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3B97B">
      <w:pPr>
        <w:keepNext w:val="0"/>
        <w:keepLines w:val="0"/>
        <w:pageBreakBefore w:val="0"/>
        <w:widowControl w:val="0"/>
        <w:kinsoku/>
        <w:wordWrap/>
        <w:overflowPunct/>
        <w:topLinePunct w:val="0"/>
        <w:autoSpaceDE/>
        <w:autoSpaceDN/>
        <w:bidi w:val="0"/>
        <w:adjustRightInd/>
        <w:snapToGrid/>
        <w:spacing w:line="600" w:lineRule="atLeast"/>
        <w:ind w:firstLine="0" w:firstLineChars="0"/>
        <w:jc w:val="center"/>
        <w:textAlignment w:val="auto"/>
        <w:rPr>
          <w:rFonts w:hint="eastAsia" w:ascii="宋体" w:hAnsi="宋体" w:eastAsia="宋体" w:cs="宋体"/>
          <w:b/>
          <w:bCs/>
          <w:i w:val="0"/>
          <w:iCs w:val="0"/>
          <w:caps w:val="0"/>
          <w:color w:val="auto"/>
          <w:spacing w:val="0"/>
          <w:sz w:val="44"/>
          <w:szCs w:val="44"/>
          <w:shd w:val="clear" w:fill="FFFFFF"/>
        </w:rPr>
      </w:pPr>
      <w:r>
        <w:rPr>
          <w:rFonts w:hint="eastAsia" w:ascii="宋体" w:hAnsi="宋体" w:eastAsia="宋体" w:cs="宋体"/>
          <w:b/>
          <w:bCs/>
          <w:i w:val="0"/>
          <w:iCs w:val="0"/>
          <w:caps w:val="0"/>
          <w:color w:val="auto"/>
          <w:spacing w:val="0"/>
          <w:sz w:val="44"/>
          <w:szCs w:val="44"/>
          <w:shd w:val="clear" w:fill="FFFFFF"/>
          <w:lang w:val="en-US" w:eastAsia="zh-CN"/>
        </w:rPr>
        <w:t>铁力市桃山镇</w:t>
      </w:r>
      <w:r>
        <w:rPr>
          <w:rFonts w:hint="eastAsia" w:ascii="宋体" w:hAnsi="宋体" w:eastAsia="宋体" w:cs="宋体"/>
          <w:b/>
          <w:bCs/>
          <w:i w:val="0"/>
          <w:iCs w:val="0"/>
          <w:caps w:val="0"/>
          <w:color w:val="auto"/>
          <w:spacing w:val="0"/>
          <w:sz w:val="44"/>
          <w:szCs w:val="44"/>
          <w:shd w:val="clear" w:fill="FFFFFF"/>
        </w:rPr>
        <w:t>20</w:t>
      </w:r>
      <w:r>
        <w:rPr>
          <w:rFonts w:hint="eastAsia" w:ascii="宋体" w:hAnsi="宋体" w:eastAsia="宋体" w:cs="宋体"/>
          <w:b/>
          <w:bCs/>
          <w:i w:val="0"/>
          <w:iCs w:val="0"/>
          <w:caps w:val="0"/>
          <w:color w:val="auto"/>
          <w:spacing w:val="0"/>
          <w:sz w:val="44"/>
          <w:szCs w:val="44"/>
          <w:shd w:val="clear" w:fill="FFFFFF"/>
          <w:lang w:val="en-US" w:eastAsia="zh-CN"/>
        </w:rPr>
        <w:t>24</w:t>
      </w:r>
      <w:r>
        <w:rPr>
          <w:rFonts w:hint="eastAsia" w:ascii="宋体" w:hAnsi="宋体" w:eastAsia="宋体" w:cs="宋体"/>
          <w:b/>
          <w:bCs/>
          <w:i w:val="0"/>
          <w:iCs w:val="0"/>
          <w:caps w:val="0"/>
          <w:color w:val="auto"/>
          <w:spacing w:val="0"/>
          <w:sz w:val="44"/>
          <w:szCs w:val="44"/>
          <w:shd w:val="clear" w:fill="FFFFFF"/>
        </w:rPr>
        <w:t>年度法治政府建设</w:t>
      </w:r>
    </w:p>
    <w:p w14:paraId="1A4DBCA2">
      <w:pPr>
        <w:keepNext w:val="0"/>
        <w:keepLines w:val="0"/>
        <w:pageBreakBefore w:val="0"/>
        <w:widowControl w:val="0"/>
        <w:kinsoku/>
        <w:wordWrap/>
        <w:overflowPunct/>
        <w:topLinePunct w:val="0"/>
        <w:autoSpaceDE/>
        <w:autoSpaceDN/>
        <w:bidi w:val="0"/>
        <w:adjustRightInd/>
        <w:snapToGrid/>
        <w:spacing w:line="600" w:lineRule="atLeast"/>
        <w:ind w:firstLine="0" w:firstLineChars="0"/>
        <w:jc w:val="center"/>
        <w:textAlignment w:val="auto"/>
        <w:rPr>
          <w:rFonts w:hint="eastAsia" w:ascii="宋体" w:hAnsi="宋体" w:eastAsia="宋体" w:cs="宋体"/>
          <w:b/>
          <w:bCs/>
          <w:i w:val="0"/>
          <w:iCs w:val="0"/>
          <w:caps w:val="0"/>
          <w:color w:val="auto"/>
          <w:spacing w:val="0"/>
          <w:sz w:val="44"/>
          <w:szCs w:val="44"/>
          <w:shd w:val="clear" w:fill="FFFFFF"/>
        </w:rPr>
      </w:pPr>
      <w:r>
        <w:rPr>
          <w:rFonts w:hint="eastAsia" w:ascii="宋体" w:hAnsi="宋体" w:eastAsia="宋体" w:cs="宋体"/>
          <w:b/>
          <w:bCs/>
          <w:i w:val="0"/>
          <w:iCs w:val="0"/>
          <w:caps w:val="0"/>
          <w:color w:val="auto"/>
          <w:spacing w:val="0"/>
          <w:sz w:val="44"/>
          <w:szCs w:val="44"/>
          <w:shd w:val="clear" w:fill="FFFFFF"/>
          <w:lang w:val="en-US" w:eastAsia="zh-CN"/>
        </w:rPr>
        <w:t>工作</w:t>
      </w:r>
      <w:r>
        <w:rPr>
          <w:rFonts w:hint="eastAsia" w:ascii="宋体" w:hAnsi="宋体" w:eastAsia="宋体" w:cs="宋体"/>
          <w:b/>
          <w:bCs/>
          <w:i w:val="0"/>
          <w:iCs w:val="0"/>
          <w:caps w:val="0"/>
          <w:color w:val="auto"/>
          <w:spacing w:val="0"/>
          <w:sz w:val="44"/>
          <w:szCs w:val="44"/>
          <w:shd w:val="clear" w:fill="FFFFFF"/>
        </w:rPr>
        <w:t>报告</w:t>
      </w:r>
    </w:p>
    <w:p w14:paraId="1478EDEA">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铁力市委市政府</w:t>
      </w:r>
      <w:r>
        <w:rPr>
          <w:rFonts w:hint="eastAsia" w:ascii="仿宋_GB2312" w:hAnsi="仿宋_GB2312" w:eastAsia="仿宋_GB2312" w:cs="仿宋_GB2312"/>
          <w:sz w:val="32"/>
          <w:szCs w:val="32"/>
        </w:rPr>
        <w:t>坚强领导下,</w:t>
      </w:r>
      <w:r>
        <w:rPr>
          <w:rFonts w:hint="eastAsia" w:ascii="仿宋_GB2312" w:hAnsi="仿宋_GB2312" w:eastAsia="仿宋_GB2312" w:cs="仿宋_GB2312"/>
          <w:sz w:val="32"/>
          <w:szCs w:val="32"/>
          <w:lang w:val="en-US" w:eastAsia="zh-CN"/>
        </w:rPr>
        <w:t>桃山</w:t>
      </w:r>
      <w:r>
        <w:rPr>
          <w:rFonts w:hint="eastAsia" w:ascii="仿宋_GB2312" w:hAnsi="仿宋_GB2312" w:eastAsia="仿宋_GB2312" w:cs="仿宋_GB2312"/>
          <w:sz w:val="32"/>
          <w:szCs w:val="32"/>
        </w:rPr>
        <w:t>镇深入贯彻落实学习习近平总书记全面依法治国新理念新思想新战略。认真落实《</w:t>
      </w:r>
      <w:r>
        <w:rPr>
          <w:rFonts w:hint="eastAsia" w:ascii="仿宋_GB2312" w:hAnsi="仿宋_GB2312" w:eastAsia="仿宋_GB2312" w:cs="仿宋_GB2312"/>
          <w:sz w:val="32"/>
          <w:szCs w:val="32"/>
          <w:lang w:val="en-US" w:eastAsia="zh-CN"/>
        </w:rPr>
        <w:t>法治政府建设与责任落实督察工作规定</w:t>
      </w:r>
      <w:r>
        <w:rPr>
          <w:rFonts w:hint="eastAsia" w:ascii="仿宋_GB2312" w:hAnsi="仿宋_GB2312" w:eastAsia="仿宋_GB2312" w:cs="仿宋_GB2312"/>
          <w:sz w:val="32"/>
          <w:szCs w:val="32"/>
        </w:rPr>
        <w:t>》</w:t>
      </w:r>
      <w:r>
        <w:rPr>
          <w:rFonts w:hint="eastAsia" w:ascii="仿宋" w:hAnsi="仿宋" w:eastAsia="仿宋" w:cs="仿宋"/>
          <w:sz w:val="32"/>
          <w:szCs w:val="32"/>
        </w:rPr>
        <w:t>《铁力市法治政府建设实施方案(2021-2025年)》</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文件要求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健全完善依法治镇各项制度机制，全面推进依法治理，着力营造“干事创业新常态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。现将我镇</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法治政府建设工作情况报告如下。</w:t>
      </w:r>
    </w:p>
    <w:p w14:paraId="64D728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w:t>
      </w:r>
      <w:r>
        <w:rPr>
          <w:rFonts w:hint="eastAsia" w:ascii="黑体" w:hAnsi="黑体" w:eastAsia="黑体" w:cs="黑体"/>
          <w:kern w:val="2"/>
          <w:sz w:val="32"/>
          <w:szCs w:val="32"/>
          <w:highlight w:val="none"/>
          <w:lang w:val="en-US" w:eastAsia="zh-CN" w:bidi="ar-SA"/>
        </w:rPr>
        <w:t>、</w:t>
      </w:r>
      <w:r>
        <w:rPr>
          <w:rFonts w:hint="eastAsia" w:ascii="黑体" w:hAnsi="黑体" w:eastAsia="黑体" w:cs="黑体"/>
          <w:sz w:val="32"/>
          <w:szCs w:val="32"/>
        </w:rPr>
        <w:t>20</w:t>
      </w:r>
      <w:r>
        <w:rPr>
          <w:rFonts w:hint="eastAsia" w:ascii="黑体" w:hAnsi="黑体" w:eastAsia="黑体" w:cs="黑体"/>
          <w:sz w:val="32"/>
          <w:szCs w:val="32"/>
          <w:lang w:val="en-US" w:eastAsia="zh-CN"/>
        </w:rPr>
        <w:t>24</w:t>
      </w:r>
      <w:r>
        <w:rPr>
          <w:rFonts w:hint="eastAsia" w:ascii="黑体" w:hAnsi="黑体" w:eastAsia="黑体" w:cs="黑体"/>
          <w:sz w:val="32"/>
          <w:szCs w:val="32"/>
        </w:rPr>
        <w:t>年度法治政府建设工作开展情况</w:t>
      </w:r>
    </w:p>
    <w:p w14:paraId="6B029E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（一）坚持以习近平法治思想指引，统筹推进法治政府建设。</w:t>
      </w:r>
      <w:r>
        <w:rPr>
          <w:rFonts w:hint="eastAsia" w:ascii="仿宋_GB2312" w:hAnsi="仿宋_GB2312" w:eastAsia="仿宋_GB2312" w:cs="仿宋_GB2312"/>
          <w:b/>
          <w:bCs/>
          <w:kern w:val="2"/>
          <w:sz w:val="32"/>
          <w:szCs w:val="32"/>
          <w:lang w:val="en-US" w:eastAsia="zh-CN" w:bidi="ar-SA"/>
        </w:rPr>
        <w:t>一是深入学习贯彻习近平法治思想和习近平总书记重要讲话重要指示精神。</w:t>
      </w:r>
      <w:r>
        <w:rPr>
          <w:rFonts w:hint="eastAsia" w:ascii="仿宋_GB2312" w:hAnsi="仿宋_GB2312" w:eastAsia="仿宋_GB2312" w:cs="仿宋_GB2312"/>
          <w:kern w:val="2"/>
          <w:sz w:val="32"/>
          <w:szCs w:val="32"/>
          <w:lang w:val="en-US" w:eastAsia="zh-CN" w:bidi="ar-SA"/>
        </w:rPr>
        <w:t>制定会前学习制度，镇党委、政府主要领导率先垂范，做学法标兵。将习近平法治思想和习近平总书记重要讲话重要指示精神纳入必学范畴，动员全镇机关干部定期开展学习习近平法治思想和铁力市全面依法治市工作会议精神，学习《民法典》《行政诉讼法》等法律法规，通过学习全镇机关干部法治思维和法治素养都得到进一步提升，并将学法、守法、用法贯穿于行政工作全过程。</w:t>
      </w:r>
      <w:r>
        <w:rPr>
          <w:rFonts w:hint="eastAsia" w:ascii="仿宋_GB2312" w:hAnsi="仿宋_GB2312" w:eastAsia="仿宋_GB2312" w:cs="仿宋_GB2312"/>
          <w:b/>
          <w:bCs/>
          <w:kern w:val="2"/>
          <w:sz w:val="32"/>
          <w:szCs w:val="32"/>
          <w:lang w:val="en-US" w:eastAsia="zh-CN" w:bidi="ar-SA"/>
        </w:rPr>
        <w:t>二是党政主要负责人切实履行好推进法治政府建设第一责任人职责。</w:t>
      </w:r>
      <w:r>
        <w:rPr>
          <w:rFonts w:hint="eastAsia" w:ascii="仿宋_GB2312" w:hAnsi="仿宋_GB2312" w:eastAsia="仿宋_GB2312" w:cs="仿宋_GB2312"/>
          <w:kern w:val="2"/>
          <w:sz w:val="32"/>
          <w:szCs w:val="32"/>
          <w:lang w:val="en-US" w:eastAsia="zh-CN" w:bidi="ar-SA"/>
        </w:rPr>
        <w:t>桃山镇成立了以党委书记、镇长为组长，领导班子为副组长，各站办所负责人为成员的法治政府建设工作领导小组，领导小组下设办公室，负责法治工作的组织实施，强化法治政府建设工作保障，为法治工作有序推进奠定了基础。做到主要领导亲自抓，确保法治建设工作落到实处，履行推进法治建设第一责任人职责，有效提升党政主要负责人法治素养和法治能力，落实党委、政府会前学法等制度，把握建设大局，牢固树立领导干部法治思维。</w:t>
      </w:r>
    </w:p>
    <w:p w14:paraId="175308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val="0"/>
          <w:bCs w:val="0"/>
          <w:kern w:val="2"/>
          <w:sz w:val="32"/>
          <w:szCs w:val="32"/>
          <w:lang w:val="en-US" w:eastAsia="zh-CN" w:bidi="ar-SA"/>
        </w:rPr>
        <w:t>（二）依法全面履行政府职能，深入把握和推进全面依法行政。</w:t>
      </w:r>
      <w:r>
        <w:rPr>
          <w:rFonts w:hint="eastAsia" w:ascii="仿宋_GB2312" w:hAnsi="仿宋_GB2312" w:eastAsia="仿宋_GB2312" w:cs="仿宋_GB2312"/>
          <w:b/>
          <w:bCs/>
          <w:sz w:val="32"/>
          <w:szCs w:val="32"/>
          <w:lang w:val="en-US" w:eastAsia="zh-CN"/>
        </w:rPr>
        <w:t>一是坚持政务公开。</w:t>
      </w:r>
      <w:r>
        <w:rPr>
          <w:rFonts w:hint="eastAsia" w:ascii="仿宋" w:hAnsi="仿宋" w:eastAsia="仿宋" w:cs="仿宋"/>
          <w:sz w:val="32"/>
          <w:szCs w:val="32"/>
        </w:rPr>
        <w:t>健全行政决策制度体系依法依规做好政府信息依申请公开工作，严格落实依申请公开的受理、办理、审查、答复、提供信息等程序，最大限度地满足人民群众对政府信息的查询需求。同时</w:t>
      </w:r>
      <w:r>
        <w:rPr>
          <w:rFonts w:hint="eastAsia" w:ascii="仿宋" w:hAnsi="仿宋" w:eastAsia="仿宋" w:cs="仿宋"/>
          <w:sz w:val="32"/>
          <w:szCs w:val="32"/>
          <w:lang w:eastAsia="zh-CN"/>
        </w:rPr>
        <w:t>，</w:t>
      </w:r>
      <w:r>
        <w:rPr>
          <w:rFonts w:hint="eastAsia" w:ascii="仿宋" w:hAnsi="仿宋" w:eastAsia="仿宋" w:cs="仿宋"/>
          <w:sz w:val="32"/>
          <w:szCs w:val="32"/>
        </w:rPr>
        <w:t>推进重点领域信息公开，加大社会公益事业建设领域、重大建设项目批准和实施领域的政府信息主动公开力度</w:t>
      </w:r>
      <w:r>
        <w:rPr>
          <w:rFonts w:hint="eastAsia" w:ascii="仿宋" w:hAnsi="仿宋" w:eastAsia="仿宋" w:cs="仿宋"/>
          <w:sz w:val="32"/>
          <w:szCs w:val="32"/>
          <w:lang w:eastAsia="zh-CN"/>
        </w:rPr>
        <w:t>。</w:t>
      </w:r>
      <w:r>
        <w:rPr>
          <w:rFonts w:hint="eastAsia" w:ascii="仿宋_GB2312" w:hAnsi="仿宋_GB2312" w:eastAsia="仿宋_GB2312" w:cs="仿宋_GB2312"/>
          <w:b/>
          <w:bCs/>
          <w:kern w:val="2"/>
          <w:sz w:val="32"/>
          <w:szCs w:val="32"/>
          <w:lang w:val="en-US" w:eastAsia="zh-CN" w:bidi="ar-SA"/>
        </w:rPr>
        <w:t>二是加强执法队伍建设，狠抓内部管理。</w:t>
      </w:r>
      <w:r>
        <w:rPr>
          <w:rFonts w:hint="eastAsia" w:ascii="仿宋" w:hAnsi="仿宋" w:eastAsia="仿宋" w:cs="仿宋"/>
          <w:sz w:val="32"/>
          <w:szCs w:val="32"/>
          <w:lang w:val="en-US" w:eastAsia="zh-CN"/>
        </w:rPr>
        <w:t>选优配强执法队伍，强化内部监督与管理，严格落实责任，严格考核奖惩，切实建立起权、责、利相统一的管理机制。严格落实行政执法证件管理规定，严格行政执法人员持证上岗和资格管理制度，组织人员参加行政执法证考试，达到全员持证上岗。我镇现有13人持有行政执法证，通过行政执法考试13人。</w:t>
      </w:r>
      <w:r>
        <w:rPr>
          <w:rFonts w:hint="eastAsia" w:ascii="仿宋" w:hAnsi="仿宋" w:eastAsia="仿宋" w:cs="仿宋"/>
          <w:b/>
          <w:bCs/>
          <w:sz w:val="32"/>
          <w:szCs w:val="32"/>
          <w:lang w:val="en-US" w:eastAsia="zh-CN"/>
        </w:rPr>
        <w:t>三是严格执法程序规范，保障执法透明公开。</w:t>
      </w:r>
      <w:r>
        <w:rPr>
          <w:rFonts w:hint="eastAsia" w:ascii="仿宋" w:hAnsi="仿宋" w:eastAsia="仿宋" w:cs="仿宋"/>
          <w:sz w:val="32"/>
          <w:szCs w:val="32"/>
          <w:lang w:val="en-US" w:eastAsia="zh-CN"/>
        </w:rPr>
        <w:t>以群众的满意为执法标准，严格落实执法人员外出执法和法律文书规范化制度，做到持证上岗、亮证执法、程序合法，杜绝执法程序违法、执法实体违法和执法文书不当等现象，营造了良好的文明执法环境。</w:t>
      </w:r>
    </w:p>
    <w:p w14:paraId="5EAEC0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69"/>
        <w:jc w:val="both"/>
        <w:textAlignment w:val="auto"/>
        <w:rPr>
          <w:rFonts w:hint="default" w:ascii="仿宋_GB2312" w:hAnsi="仿宋_GB2312" w:eastAsia="仿宋_GB2312" w:cs="仿宋_GB2312"/>
          <w:sz w:val="32"/>
          <w:szCs w:val="32"/>
          <w:highlight w:val="none"/>
          <w:lang w:val="en-US" w:eastAsia="zh-CN"/>
        </w:rPr>
      </w:pPr>
      <w:r>
        <w:rPr>
          <w:rFonts w:hint="eastAsia" w:ascii="楷体" w:hAnsi="楷体" w:eastAsia="楷体" w:cs="楷体"/>
          <w:b w:val="0"/>
          <w:bCs w:val="0"/>
          <w:kern w:val="2"/>
          <w:sz w:val="32"/>
          <w:szCs w:val="32"/>
          <w:lang w:val="en-US" w:eastAsia="zh-CN" w:bidi="ar-SA"/>
        </w:rPr>
        <w:t>（三）加强社会综合治理，深入推进普法和治理工作。</w:t>
      </w:r>
      <w:r>
        <w:rPr>
          <w:rFonts w:hint="eastAsia" w:ascii="仿宋" w:hAnsi="仿宋" w:eastAsia="仿宋" w:cs="仿宋"/>
          <w:b/>
          <w:bCs/>
          <w:kern w:val="2"/>
          <w:sz w:val="32"/>
          <w:szCs w:val="32"/>
          <w:lang w:val="en-US" w:eastAsia="zh-CN" w:bidi="ar-SA"/>
        </w:rPr>
        <w:t>一是切实做好矛盾纠纷排查和化解工作。</w:t>
      </w:r>
      <w:r>
        <w:rPr>
          <w:rFonts w:hint="eastAsia" w:ascii="仿宋_GB2312" w:hAnsi="仿宋_GB2312" w:eastAsia="仿宋_GB2312" w:cs="仿宋_GB2312"/>
          <w:kern w:val="2"/>
          <w:sz w:val="32"/>
          <w:szCs w:val="32"/>
          <w:lang w:val="en-US" w:eastAsia="zh-CN" w:bidi="ar-SA"/>
        </w:rPr>
        <w:t>桃山镇以“抓早、抓小、抓苗头”为导向，积极探索新时代“枫桥经验”,深入开展“平安桃山”创建工作，结合基层矛盾纠纷化解实际，划分网格55个，配备专职网格员55名、专业网格员27名、专属网格员20名，通过网格化管理服务，我镇全年开展矛盾纠纷排查12次，调解矛盾纠纷75起，成功调解75起，成功率达100%，有效化解各种社会矛盾纠纷，以实际工作彰显了网格化管理的重要作用，真正做到了以家庭为单位提供个性化与全方位的服务，极大地提升了管理的有效性和服务的针对性。</w:t>
      </w:r>
      <w:r>
        <w:rPr>
          <w:rFonts w:hint="eastAsia" w:ascii="仿宋_GB2312" w:hAnsi="仿宋_GB2312" w:eastAsia="仿宋_GB2312" w:cs="仿宋_GB2312"/>
          <w:b/>
          <w:bCs/>
          <w:sz w:val="32"/>
          <w:szCs w:val="32"/>
          <w:highlight w:val="none"/>
          <w:lang w:val="en-US" w:eastAsia="zh-CN"/>
        </w:rPr>
        <w:t>二是深入开展法治宣传教育。</w:t>
      </w:r>
      <w:r>
        <w:rPr>
          <w:rFonts w:hint="eastAsia" w:ascii="仿宋_GB2312" w:hAnsi="仿宋_GB2312" w:eastAsia="仿宋_GB2312" w:cs="仿宋_GB2312"/>
          <w:sz w:val="32"/>
          <w:szCs w:val="32"/>
          <w:highlight w:val="none"/>
          <w:lang w:val="en-US" w:eastAsia="zh-CN"/>
        </w:rPr>
        <w:t>桃山镇以“八五”普法为载体，在全镇开展了各类法治宣传教育活动，依托镇综治中心，成立普法小分队，在“3.5学雷锋日”、“4.15全民国家安全教育日”“5.1桃山花海文化旅游节”、“9.12国家网络安全宣传周法治日”、“12·4”国家宪法日等重要时间，</w:t>
      </w:r>
      <w:r>
        <w:rPr>
          <w:rFonts w:hint="eastAsia" w:ascii="仿宋_GB2312" w:hAnsi="仿宋_GB2312" w:eastAsia="仿宋_GB2312" w:cs="仿宋_GB2312"/>
          <w:sz w:val="32"/>
          <w:szCs w:val="32"/>
          <w:lang w:val="en-US" w:eastAsia="zh-CN"/>
        </w:rPr>
        <w:t>组织开展普法志愿宣传活动10次，其中开展法律宣讲进村屯（社区）5次，法律宣讲进企业2次，</w:t>
      </w:r>
      <w:r>
        <w:rPr>
          <w:rFonts w:hint="eastAsia" w:ascii="仿宋_GB2312" w:hAnsi="仿宋_GB2312" w:eastAsia="仿宋_GB2312" w:cs="仿宋_GB2312"/>
          <w:sz w:val="32"/>
          <w:szCs w:val="32"/>
          <w:highlight w:val="none"/>
          <w:lang w:val="en-US" w:eastAsia="zh-CN"/>
        </w:rPr>
        <w:t>悬挂宣传标语横幅10条，发放宣传材料超过800余份。开展“法律明白人”培训，10个行政村3个社区共培训7</w:t>
      </w:r>
      <w:bookmarkStart w:id="0" w:name="_GoBack"/>
      <w:bookmarkEnd w:id="0"/>
      <w:r>
        <w:rPr>
          <w:rFonts w:hint="eastAsia" w:ascii="仿宋_GB2312" w:hAnsi="仿宋_GB2312" w:eastAsia="仿宋_GB2312" w:cs="仿宋_GB2312"/>
          <w:sz w:val="32"/>
          <w:szCs w:val="32"/>
          <w:highlight w:val="none"/>
          <w:lang w:val="en-US" w:eastAsia="zh-CN"/>
        </w:rPr>
        <w:t>1名“法律明白人”，努力实现广大群众接受法制教育、有效地带动了全镇各项工作的进行，取得了明显效果。</w:t>
      </w:r>
      <w:r>
        <w:rPr>
          <w:rFonts w:hint="eastAsia" w:ascii="仿宋_GB2312" w:hAnsi="仿宋_GB2312" w:eastAsia="仿宋_GB2312" w:cs="仿宋_GB2312"/>
          <w:b/>
          <w:bCs/>
          <w:sz w:val="32"/>
          <w:szCs w:val="32"/>
          <w:highlight w:val="none"/>
          <w:lang w:val="en-US" w:eastAsia="zh-CN"/>
        </w:rPr>
        <w:t>三是打造“四所一庭一中心”联动工作机制。</w:t>
      </w:r>
      <w:r>
        <w:rPr>
          <w:rFonts w:hint="eastAsia" w:ascii="仿宋_GB2312" w:hAnsi="仿宋_GB2312" w:eastAsia="仿宋_GB2312" w:cs="仿宋_GB2312"/>
          <w:sz w:val="32"/>
          <w:szCs w:val="32"/>
          <w:highlight w:val="none"/>
          <w:lang w:val="en-US" w:eastAsia="zh-CN"/>
        </w:rPr>
        <w:t>依托镇综治中心建立由辖区派出所、司法所、法庭等职能部门组成的“四所一庭一中心”联动工作机制共同推进乡村治理。该机制实行月例会、季分析、年总结工作制度，通过“四所一庭一中心”联动机制，桃山镇实现了对矛盾纠纷的及时排查和有效化解。全年共召开联席会议12次，联合普法宣传5次，成功化解1起丰收村村民之间的经济纠纷，该事迹获得了中国报道网龙江振兴专题刊发。</w:t>
      </w:r>
    </w:p>
    <w:p w14:paraId="4012C09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二、存在问题和原因</w:t>
      </w:r>
    </w:p>
    <w:p w14:paraId="584336E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color w:val="auto"/>
          <w:sz w:val="32"/>
          <w:szCs w:val="32"/>
          <w:lang w:val="en-US" w:eastAsia="zh-CN"/>
        </w:rPr>
        <w:t>2024年我镇在法治政府建设方面取得了一定的成绩但与上级法治政府建设的要求相比，还存在一定差距和不足，具体表现在:行政执法队伍存在年龄“老化”现象，少数工作人员对于国家新出台的法律法规仍不够熟悉，法律意识和依法行政能力有待加强；法治人才匮乏，</w:t>
      </w:r>
      <w:r>
        <w:rPr>
          <w:rFonts w:hint="eastAsia" w:ascii="仿宋_GB2312" w:hAnsi="仿宋_GB2312" w:eastAsia="仿宋_GB2312" w:cs="仿宋_GB2312"/>
          <w:kern w:val="2"/>
          <w:sz w:val="32"/>
          <w:szCs w:val="32"/>
          <w:lang w:val="en-US" w:eastAsia="zh-CN" w:bidi="ar-SA"/>
        </w:rPr>
        <w:t>法治政府的建设离不开法治人才，法治人才的匮乏在一定程度上限制了我镇的法治政府建设，让诸多推进法治政府建设的制度在乡镇政府的施行面临着难题。</w:t>
      </w:r>
    </w:p>
    <w:p w14:paraId="305A8C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三、下一步工作思路</w:t>
      </w:r>
    </w:p>
    <w:p w14:paraId="3F23357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（一）加强党对法治政府建设的领导。</w:t>
      </w:r>
      <w:r>
        <w:rPr>
          <w:rFonts w:hint="eastAsia" w:ascii="仿宋_GB2312" w:hAnsi="仿宋_GB2312" w:eastAsia="仿宋_GB2312" w:cs="仿宋_GB2312"/>
          <w:kern w:val="2"/>
          <w:sz w:val="32"/>
          <w:szCs w:val="32"/>
          <w:lang w:val="en-US" w:eastAsia="zh-CN" w:bidi="ar-SA"/>
        </w:rPr>
        <w:t>镇党委及时研究涉及法治建设工作重大事项，专题听取我镇法治政府建设情况汇报，加强基层法治建设。高度重视法治建设工作，自觉把法治建设摆在全镇工作全局的重要位置，落实制度建设、人员保障、责任分工。</w:t>
      </w:r>
    </w:p>
    <w:p w14:paraId="04B29F7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(二)深化政府信息公开。</w:t>
      </w:r>
      <w:r>
        <w:rPr>
          <w:rFonts w:hint="eastAsia" w:ascii="仿宋_GB2312" w:hAnsi="仿宋_GB2312" w:eastAsia="仿宋_GB2312" w:cs="仿宋_GB2312"/>
          <w:kern w:val="2"/>
          <w:sz w:val="32"/>
          <w:szCs w:val="32"/>
          <w:lang w:val="en-US" w:eastAsia="zh-CN" w:bidi="ar-SA"/>
        </w:rPr>
        <w:t>依法妥善处理政府信息公开申请，完善政府信息发布保密审查机制，实行政务公开清单管理制度，及时更新政府信息公开指南和政府信息公开目录定期发布政府信息公开工作年度报告。抓好政务舆情处置，积极回应社会关切。</w:t>
      </w:r>
    </w:p>
    <w:p w14:paraId="776EA17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val="0"/>
          <w:bCs w:val="0"/>
          <w:kern w:val="2"/>
          <w:sz w:val="32"/>
          <w:szCs w:val="32"/>
          <w:lang w:val="en-US" w:eastAsia="zh-CN" w:bidi="ar-SA"/>
        </w:rPr>
        <w:t>（三）加强执法队伍建设，提高依法行政能力。</w:t>
      </w:r>
      <w:r>
        <w:rPr>
          <w:rFonts w:hint="eastAsia" w:ascii="仿宋" w:hAnsi="仿宋" w:eastAsia="仿宋" w:cs="仿宋"/>
          <w:sz w:val="32"/>
          <w:szCs w:val="32"/>
          <w:lang w:val="en-US" w:eastAsia="zh-CN"/>
        </w:rPr>
        <w:t>全面实行行政执法人员持证上岗和资格管理制度。严格行政执法准入门槛，及时清理不合格行政执法人员、主动接受社会监督。完善执法办案系统、现场执法记录设备、视频监控设施等技术手段，记录执法全过程，加强行政执法法律文书的管理，建立和完善纸质档案管理制度，确保所有执法工作都有据可查，所有行政执法行为都在阳光下运行，切实提高执法活动的透明度和依法行政能力。</w:t>
      </w:r>
    </w:p>
    <w:p w14:paraId="461B325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val="0"/>
          <w:bCs w:val="0"/>
          <w:kern w:val="2"/>
          <w:sz w:val="32"/>
          <w:szCs w:val="32"/>
          <w:lang w:val="en-US" w:eastAsia="zh-CN" w:bidi="ar-SA"/>
        </w:rPr>
        <w:t>（四）积极构建社会治理新格局。</w:t>
      </w:r>
      <w:r>
        <w:rPr>
          <w:rFonts w:hint="eastAsia" w:ascii="仿宋" w:hAnsi="仿宋" w:eastAsia="仿宋" w:cs="仿宋"/>
          <w:sz w:val="32"/>
          <w:szCs w:val="32"/>
          <w:lang w:val="en-US" w:eastAsia="zh-CN"/>
        </w:rPr>
        <w:t>深入开展矛盾纠纷排查，纵深推进扫黑除恶常态化，做好社会面维稳安保工作。务求在重点工程项目推进、规范“三资”管理、解决历史遗留问题以及加强基层组织建设等方面取得新成效。持续深入开展安全生产领域专项行动，抓好各项专项检查，更大力度扫盲区、除死角、提本质，更实举措遏重大、减总量、降较大，营造良好的安全生产氛围。</w:t>
      </w:r>
    </w:p>
    <w:p w14:paraId="12A33E49">
      <w:pPr>
        <w:keepNext w:val="0"/>
        <w:keepLines w:val="0"/>
        <w:pageBreakBefore w:val="0"/>
        <w:widowControl w:val="0"/>
        <w:tabs>
          <w:tab w:val="left" w:pos="729"/>
          <w:tab w:val="right" w:pos="9125"/>
        </w:tabs>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14:paraId="4C69F0FD">
      <w:pPr>
        <w:keepNext w:val="0"/>
        <w:keepLines w:val="0"/>
        <w:pageBreakBefore w:val="0"/>
        <w:widowControl w:val="0"/>
        <w:tabs>
          <w:tab w:val="left" w:pos="729"/>
          <w:tab w:val="right" w:pos="9125"/>
        </w:tabs>
        <w:kinsoku/>
        <w:wordWrap/>
        <w:overflowPunct/>
        <w:topLinePunct w:val="0"/>
        <w:autoSpaceDE/>
        <w:autoSpaceDN/>
        <w:bidi w:val="0"/>
        <w:adjustRightInd/>
        <w:snapToGrid/>
        <w:spacing w:line="560" w:lineRule="exact"/>
        <w:ind w:firstLine="3846" w:firstLineChars="1202"/>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铁力市桃山镇人民政府</w:t>
      </w:r>
    </w:p>
    <w:p w14:paraId="25C15F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176" w:firstLineChars="1305"/>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2024年12月15日</w:t>
      </w:r>
    </w:p>
    <w:p w14:paraId="7BFA88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NTQwZmEwN2IyMTdhNmIwYTliOTg3NGY2ZGU2MGEifQ=="/>
  </w:docVars>
  <w:rsids>
    <w:rsidRoot w:val="23237130"/>
    <w:rsid w:val="0451306F"/>
    <w:rsid w:val="099D428F"/>
    <w:rsid w:val="0AC21EE4"/>
    <w:rsid w:val="23237130"/>
    <w:rsid w:val="3D8C6379"/>
    <w:rsid w:val="668A3691"/>
    <w:rsid w:val="7786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2599</Words>
  <Characters>2660</Characters>
  <Lines>0</Lines>
  <Paragraphs>0</Paragraphs>
  <TotalTime>0</TotalTime>
  <ScaleCrop>false</ScaleCrop>
  <LinksUpToDate>false</LinksUpToDate>
  <CharactersWithSpaces>2660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2024-06-04T01:54:00Z</dcterms:created>
  <dc:creator>Tizzy T</dc:creator>
  <cp:lastModifiedBy>Tizzy T</cp:lastModifiedBy>
  <cp:lastPrinted>2024-11-28T02:32:00Z</cp:lastPrinted>
  <dcterms:modified xsi:type="dcterms:W3CDTF">2024-12-25T02:17:39Z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56704C5CE03244EB812735BBC039CF5D_13</vt:lpwstr>
  </property>
</Properties>
</file>