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E8FDC5C">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z w:val="44"/>
          <w:szCs w:val="44"/>
          <w:highlight w:val="none"/>
        </w:rPr>
      </w:pPr>
      <w:r>
        <w:rPr>
          <w:rFonts w:hint="eastAsia" w:ascii="方正小标宋简体" w:hAnsi="方正小标宋简体" w:eastAsia="方正小标宋简体" w:cs="方正小标宋简体"/>
          <w:sz w:val="44"/>
          <w:szCs w:val="44"/>
          <w:highlight w:val="none"/>
        </w:rPr>
        <w:t>铁力市202</w:t>
      </w:r>
      <w:r>
        <w:rPr>
          <w:rFonts w:hint="eastAsia" w:ascii="方正小标宋简体" w:hAnsi="方正小标宋简体" w:eastAsia="方正小标宋简体" w:cs="方正小标宋简体"/>
          <w:sz w:val="44"/>
          <w:szCs w:val="44"/>
          <w:highlight w:val="none"/>
          <w:lang w:val="en-US" w:eastAsia="zh-CN"/>
        </w:rPr>
        <w:t>6</w:t>
      </w:r>
      <w:r>
        <w:rPr>
          <w:rFonts w:hint="eastAsia" w:ascii="方正小标宋简体" w:hAnsi="方正小标宋简体" w:eastAsia="方正小标宋简体" w:cs="方正小标宋简体"/>
          <w:sz w:val="44"/>
          <w:szCs w:val="44"/>
          <w:highlight w:val="none"/>
        </w:rPr>
        <w:t>年上半年国民经济和社会发展</w:t>
      </w:r>
    </w:p>
    <w:p w14:paraId="77A807D8">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z w:val="44"/>
          <w:szCs w:val="44"/>
          <w:highlight w:val="none"/>
        </w:rPr>
      </w:pPr>
      <w:r>
        <w:rPr>
          <w:rFonts w:hint="eastAsia" w:ascii="方正小标宋简体" w:hAnsi="方正小标宋简体" w:eastAsia="方正小标宋简体" w:cs="方正小标宋简体"/>
          <w:sz w:val="44"/>
          <w:szCs w:val="44"/>
          <w:highlight w:val="none"/>
        </w:rPr>
        <w:t>计划执行情况及下半年国民经济和社会</w:t>
      </w:r>
    </w:p>
    <w:p w14:paraId="4C227FFE">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z w:val="44"/>
          <w:szCs w:val="44"/>
          <w:highlight w:val="none"/>
        </w:rPr>
      </w:pPr>
      <w:r>
        <w:rPr>
          <w:rFonts w:hint="eastAsia" w:ascii="方正小标宋简体" w:hAnsi="方正小标宋简体" w:eastAsia="方正小标宋简体" w:cs="方正小标宋简体"/>
          <w:sz w:val="44"/>
          <w:szCs w:val="44"/>
          <w:highlight w:val="none"/>
        </w:rPr>
        <w:t>发展计划</w:t>
      </w:r>
      <w:r>
        <w:rPr>
          <w:rFonts w:hint="eastAsia" w:ascii="方正小标宋简体" w:hAnsi="方正小标宋简体" w:eastAsia="方正小标宋简体" w:cs="方正小标宋简体"/>
          <w:sz w:val="44"/>
          <w:szCs w:val="44"/>
          <w:highlight w:val="none"/>
          <w:lang w:eastAsia="zh-CN"/>
        </w:rPr>
        <w:t>（</w:t>
      </w:r>
      <w:r>
        <w:rPr>
          <w:rFonts w:hint="eastAsia" w:ascii="方正小标宋简体" w:hAnsi="方正小标宋简体" w:eastAsia="方正小标宋简体" w:cs="方正小标宋简体"/>
          <w:sz w:val="44"/>
          <w:szCs w:val="44"/>
          <w:highlight w:val="none"/>
          <w:lang w:val="en-US" w:eastAsia="zh-CN"/>
        </w:rPr>
        <w:t>草案）</w:t>
      </w:r>
      <w:r>
        <w:rPr>
          <w:rFonts w:hint="eastAsia" w:ascii="方正小标宋简体" w:hAnsi="方正小标宋简体" w:eastAsia="方正小标宋简体" w:cs="方正小标宋简体"/>
          <w:sz w:val="44"/>
          <w:szCs w:val="44"/>
          <w:highlight w:val="none"/>
        </w:rPr>
        <w:t>的报告</w:t>
      </w:r>
    </w:p>
    <w:p w14:paraId="5473F23F">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z w:val="44"/>
          <w:szCs w:val="44"/>
          <w:highlight w:val="none"/>
          <w:lang w:eastAsia="zh-CN"/>
        </w:rPr>
      </w:pPr>
    </w:p>
    <w:p w14:paraId="42D30A27">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lang w:val="en-US" w:eastAsia="zh-CN"/>
        </w:rPr>
        <w:t>市委</w:t>
      </w:r>
      <w:r>
        <w:rPr>
          <w:rFonts w:hint="eastAsia" w:ascii="仿宋" w:hAnsi="仿宋" w:eastAsia="仿宋" w:cs="仿宋"/>
          <w:color w:val="auto"/>
          <w:kern w:val="0"/>
          <w:sz w:val="32"/>
          <w:szCs w:val="32"/>
          <w:highlight w:val="none"/>
        </w:rPr>
        <w:t>：</w:t>
      </w:r>
    </w:p>
    <w:p w14:paraId="736DB2C7">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color w:val="auto"/>
          <w:kern w:val="0"/>
          <w:sz w:val="32"/>
          <w:szCs w:val="32"/>
          <w:highlight w:val="none"/>
          <w:lang w:val="en-US" w:eastAsia="zh-CN"/>
        </w:rPr>
      </w:pPr>
      <w:r>
        <w:rPr>
          <w:rFonts w:hint="eastAsia" w:ascii="仿宋" w:hAnsi="仿宋" w:eastAsia="仿宋" w:cs="仿宋"/>
          <w:color w:val="auto"/>
          <w:kern w:val="0"/>
          <w:sz w:val="32"/>
          <w:szCs w:val="32"/>
          <w:highlight w:val="none"/>
        </w:rPr>
        <w:t>现将全市</w:t>
      </w:r>
      <w:r>
        <w:rPr>
          <w:rFonts w:hint="eastAsia" w:ascii="仿宋" w:hAnsi="仿宋" w:eastAsia="仿宋" w:cs="仿宋"/>
          <w:color w:val="auto"/>
          <w:kern w:val="0"/>
          <w:sz w:val="32"/>
          <w:szCs w:val="32"/>
          <w:highlight w:val="none"/>
          <w:lang w:eastAsia="zh-CN"/>
        </w:rPr>
        <w:t>2026年上半年</w:t>
      </w:r>
      <w:r>
        <w:rPr>
          <w:rFonts w:hint="eastAsia" w:ascii="仿宋" w:hAnsi="仿宋" w:eastAsia="仿宋" w:cs="仿宋"/>
          <w:color w:val="auto"/>
          <w:kern w:val="0"/>
          <w:sz w:val="32"/>
          <w:szCs w:val="32"/>
          <w:highlight w:val="none"/>
        </w:rPr>
        <w:t>国民经济和社会发展计划执行情况及下半年国民经济和社会发展计划（草案）报告如下，请予审议。</w:t>
      </w:r>
    </w:p>
    <w:p w14:paraId="14BE1A3C">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黑体" w:hAnsi="黑体" w:eastAsia="黑体" w:cs="黑体"/>
          <w:sz w:val="32"/>
          <w:szCs w:val="32"/>
          <w:highlight w:val="none"/>
          <w:lang w:val="en-US" w:eastAsia="zh-CN"/>
        </w:rPr>
      </w:pPr>
      <w:r>
        <w:rPr>
          <w:rFonts w:hint="eastAsia" w:ascii="黑体" w:hAnsi="黑体" w:eastAsia="黑体" w:cs="黑体"/>
          <w:sz w:val="32"/>
          <w:szCs w:val="32"/>
          <w:highlight w:val="none"/>
          <w:lang w:val="en-US" w:eastAsia="zh-CN"/>
        </w:rPr>
        <w:t>一、上半年国民经济和社会发展计划执行情况</w:t>
      </w:r>
    </w:p>
    <w:p w14:paraId="3A8D6614">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rPr>
        <w:t>年初以来，我市坚持以习近平新时代中国特色社会主义思想为指导，全面贯彻落实省委、伊春市委经济工作部署，牢牢把握</w:t>
      </w:r>
      <w:r>
        <w:rPr>
          <w:rFonts w:hint="eastAsia" w:ascii="仿宋" w:hAnsi="仿宋" w:eastAsia="仿宋" w:cs="仿宋"/>
          <w:sz w:val="32"/>
          <w:szCs w:val="32"/>
          <w:highlight w:val="none"/>
          <w:lang w:eastAsia="zh-CN"/>
        </w:rPr>
        <w:t>“</w:t>
      </w:r>
      <w:r>
        <w:rPr>
          <w:rFonts w:hint="eastAsia" w:ascii="仿宋" w:hAnsi="仿宋" w:eastAsia="仿宋" w:cs="仿宋"/>
          <w:sz w:val="32"/>
          <w:szCs w:val="32"/>
          <w:highlight w:val="none"/>
        </w:rPr>
        <w:t>稳中求进、</w:t>
      </w:r>
      <w:r>
        <w:rPr>
          <w:rFonts w:hint="eastAsia" w:ascii="仿宋" w:hAnsi="仿宋" w:eastAsia="仿宋" w:cs="仿宋"/>
          <w:sz w:val="32"/>
          <w:szCs w:val="32"/>
          <w:highlight w:val="none"/>
          <w:lang w:val="en-US" w:eastAsia="zh-CN"/>
        </w:rPr>
        <w:t>提质增效”</w:t>
      </w:r>
      <w:r>
        <w:rPr>
          <w:rFonts w:hint="eastAsia" w:ascii="仿宋" w:hAnsi="仿宋" w:eastAsia="仿宋" w:cs="仿宋"/>
          <w:sz w:val="32"/>
          <w:szCs w:val="32"/>
          <w:highlight w:val="none"/>
        </w:rPr>
        <w:t>工作总基调，对标新时代高质量发展核心要求，</w:t>
      </w:r>
      <w:r>
        <w:rPr>
          <w:rFonts w:hint="eastAsia" w:ascii="仿宋" w:hAnsi="仿宋" w:eastAsia="仿宋" w:cs="仿宋"/>
          <w:sz w:val="32"/>
          <w:szCs w:val="32"/>
          <w:highlight w:val="none"/>
          <w:lang w:val="en-US" w:eastAsia="zh-CN"/>
        </w:rPr>
        <w:t>聚焦“十五五”时期建设</w:t>
      </w:r>
      <w:r>
        <w:rPr>
          <w:rFonts w:hint="eastAsia" w:ascii="仿宋" w:hAnsi="仿宋" w:eastAsia="仿宋" w:cs="仿宋"/>
          <w:sz w:val="32"/>
          <w:szCs w:val="32"/>
          <w:highlight w:val="none"/>
          <w:lang w:eastAsia="zh-CN"/>
        </w:rPr>
        <w:t>“</w:t>
      </w:r>
      <w:r>
        <w:rPr>
          <w:rFonts w:hint="eastAsia" w:ascii="仿宋" w:hAnsi="仿宋" w:eastAsia="仿宋" w:cs="仿宋"/>
          <w:sz w:val="32"/>
          <w:szCs w:val="32"/>
          <w:highlight w:val="none"/>
        </w:rPr>
        <w:t>龙江定制农业示范区、绿色农林产品精深加工集聚区、伊春南部旅游集散地</w:t>
      </w:r>
      <w:r>
        <w:rPr>
          <w:rFonts w:hint="eastAsia" w:ascii="仿宋" w:hAnsi="仿宋" w:eastAsia="仿宋" w:cs="仿宋"/>
          <w:sz w:val="32"/>
          <w:szCs w:val="32"/>
          <w:highlight w:val="none"/>
          <w:lang w:eastAsia="zh-CN"/>
        </w:rPr>
        <w:t>”</w:t>
      </w:r>
      <w:r>
        <w:rPr>
          <w:rFonts w:hint="eastAsia" w:ascii="仿宋" w:hAnsi="仿宋" w:eastAsia="仿宋" w:cs="仿宋"/>
          <w:sz w:val="32"/>
          <w:szCs w:val="32"/>
          <w:highlight w:val="none"/>
          <w:lang w:val="en-US" w:eastAsia="zh-CN"/>
        </w:rPr>
        <w:t>目标</w:t>
      </w:r>
      <w:r>
        <w:rPr>
          <w:rFonts w:hint="eastAsia" w:ascii="仿宋" w:hAnsi="仿宋" w:eastAsia="仿宋" w:cs="仿宋"/>
          <w:sz w:val="32"/>
          <w:szCs w:val="32"/>
          <w:highlight w:val="none"/>
        </w:rPr>
        <w:t>，加快打造新质生产力</w:t>
      </w:r>
      <w:r>
        <w:rPr>
          <w:rFonts w:hint="eastAsia" w:ascii="仿宋" w:hAnsi="仿宋" w:eastAsia="仿宋" w:cs="仿宋"/>
          <w:sz w:val="32"/>
          <w:szCs w:val="32"/>
          <w:highlight w:val="none"/>
          <w:lang w:eastAsia="zh-CN"/>
        </w:rPr>
        <w:t>，</w:t>
      </w:r>
      <w:r>
        <w:rPr>
          <w:rFonts w:hint="eastAsia" w:ascii="仿宋" w:hAnsi="仿宋" w:eastAsia="仿宋" w:cs="仿宋"/>
          <w:sz w:val="32"/>
          <w:szCs w:val="32"/>
          <w:highlight w:val="none"/>
        </w:rPr>
        <w:t>增强创新动能</w:t>
      </w:r>
      <w:r>
        <w:rPr>
          <w:rFonts w:hint="eastAsia" w:ascii="仿宋" w:hAnsi="仿宋" w:eastAsia="仿宋" w:cs="仿宋"/>
          <w:sz w:val="32"/>
          <w:szCs w:val="32"/>
          <w:highlight w:val="none"/>
          <w:lang w:eastAsia="zh-CN"/>
        </w:rPr>
        <w:t>，</w:t>
      </w:r>
      <w:r>
        <w:rPr>
          <w:rFonts w:hint="eastAsia" w:ascii="仿宋" w:hAnsi="仿宋" w:eastAsia="仿宋" w:cs="仿宋"/>
          <w:sz w:val="32"/>
          <w:szCs w:val="32"/>
          <w:highlight w:val="none"/>
        </w:rPr>
        <w:t>释放发展潜力，全市经济发展保持稳中向好态势，实现了“十</w:t>
      </w:r>
      <w:r>
        <w:rPr>
          <w:rFonts w:hint="eastAsia" w:ascii="仿宋" w:hAnsi="仿宋" w:eastAsia="仿宋" w:cs="仿宋"/>
          <w:sz w:val="32"/>
          <w:szCs w:val="32"/>
          <w:highlight w:val="none"/>
          <w:lang w:val="en-US" w:eastAsia="zh-CN"/>
        </w:rPr>
        <w:t>五</w:t>
      </w:r>
      <w:r>
        <w:rPr>
          <w:rFonts w:hint="eastAsia" w:ascii="仿宋" w:hAnsi="仿宋" w:eastAsia="仿宋" w:cs="仿宋"/>
          <w:sz w:val="32"/>
          <w:szCs w:val="32"/>
          <w:highlight w:val="none"/>
        </w:rPr>
        <w:t>五”</w:t>
      </w:r>
      <w:r>
        <w:rPr>
          <w:rFonts w:hint="eastAsia" w:ascii="仿宋" w:hAnsi="仿宋" w:eastAsia="仿宋" w:cs="仿宋"/>
          <w:sz w:val="32"/>
          <w:szCs w:val="32"/>
          <w:highlight w:val="none"/>
          <w:lang w:val="en-US" w:eastAsia="zh-CN"/>
        </w:rPr>
        <w:t>良好开局</w:t>
      </w:r>
      <w:r>
        <w:rPr>
          <w:rFonts w:hint="eastAsia" w:ascii="仿宋" w:hAnsi="仿宋" w:eastAsia="仿宋" w:cs="仿宋"/>
          <w:sz w:val="32"/>
          <w:szCs w:val="32"/>
          <w:highlight w:val="none"/>
        </w:rPr>
        <w:t>。</w:t>
      </w:r>
    </w:p>
    <w:p w14:paraId="525817DF">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sz w:val="32"/>
          <w:szCs w:val="32"/>
          <w:highlight w:val="none"/>
          <w:lang w:val="en-US" w:eastAsia="zh-CN"/>
        </w:rPr>
      </w:pPr>
      <w:r>
        <w:rPr>
          <w:rFonts w:hint="eastAsia" w:ascii="楷体" w:hAnsi="楷体" w:eastAsia="楷体" w:cs="楷体"/>
          <w:sz w:val="32"/>
          <w:szCs w:val="32"/>
          <w:highlight w:val="none"/>
          <w:lang w:val="en-US" w:eastAsia="zh-CN"/>
        </w:rPr>
        <w:t>（一）靶向管控，经济运行稳中有进。</w:t>
      </w:r>
      <w:r>
        <w:rPr>
          <w:rFonts w:hint="eastAsia" w:ascii="仿宋" w:hAnsi="仿宋" w:eastAsia="仿宋" w:cs="仿宋"/>
          <w:sz w:val="32"/>
          <w:szCs w:val="32"/>
          <w:highlight w:val="none"/>
          <w:lang w:val="en-US" w:eastAsia="zh-CN"/>
        </w:rPr>
        <w:t>上半年，全市地区生产总值同比增长7.2%，较年计划高2.7个百分点；农林牧渔业总产值完成9.16亿元，同比增长4%；</w:t>
      </w:r>
      <w:r>
        <w:rPr>
          <w:rFonts w:hint="eastAsia" w:ascii="仿宋" w:hAnsi="仿宋" w:eastAsia="仿宋" w:cs="仿宋"/>
          <w:color w:val="auto"/>
          <w:sz w:val="32"/>
          <w:szCs w:val="32"/>
          <w:highlight w:val="none"/>
          <w:lang w:val="en-US" w:eastAsia="zh-CN"/>
        </w:rPr>
        <w:t>规上工业增加值同比增长14.6%，较年计划高11.6个百分点；</w:t>
      </w:r>
      <w:r>
        <w:rPr>
          <w:rFonts w:hint="eastAsia" w:ascii="仿宋" w:hAnsi="仿宋" w:eastAsia="仿宋" w:cs="仿宋"/>
          <w:sz w:val="32"/>
          <w:szCs w:val="32"/>
          <w:highlight w:val="none"/>
          <w:lang w:val="en-US" w:eastAsia="zh-CN"/>
        </w:rPr>
        <w:t>社会消费品零售总额完成10.91亿元，同比增长5.3%，较年计划低0.7个百分点；外贸进出口总额完成9438万元，同比增长2.3</w:t>
      </w:r>
      <w:bookmarkStart w:id="0" w:name="_GoBack"/>
      <w:bookmarkEnd w:id="0"/>
      <w:r>
        <w:rPr>
          <w:rFonts w:hint="eastAsia" w:ascii="仿宋" w:hAnsi="仿宋" w:eastAsia="仿宋" w:cs="仿宋"/>
          <w:sz w:val="32"/>
          <w:szCs w:val="32"/>
          <w:highlight w:val="none"/>
          <w:lang w:val="en-US" w:eastAsia="zh-CN"/>
        </w:rPr>
        <w:t>%，较年计划低9.8个百分点；一般公共预算收入完成2.22亿元，同比下降13.3%（剔除上年一次性因素影响，同比增长52.8%，较年计划高42.8个百分点）；固定资产投资完成7.83亿元，同比下降19.7%，较年计划低29.7个百分点；城乡居民人均可支配收入增长预计高于经济增长幅度。</w:t>
      </w:r>
    </w:p>
    <w:p w14:paraId="319B5617">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 w:hAnsi="仿宋" w:eastAsia="仿宋" w:cs="Times New Roman"/>
          <w:color w:val="auto"/>
          <w:sz w:val="32"/>
          <w:szCs w:val="32"/>
          <w:highlight w:val="none"/>
          <w:shd w:val="clear" w:color="auto" w:fill="auto"/>
          <w:lang w:val="en-US" w:eastAsia="zh-CN"/>
        </w:rPr>
      </w:pPr>
      <w:r>
        <w:rPr>
          <w:rFonts w:hint="eastAsia" w:ascii="楷体" w:hAnsi="楷体" w:eastAsia="楷体" w:cs="楷体"/>
          <w:sz w:val="32"/>
          <w:szCs w:val="32"/>
          <w:highlight w:val="none"/>
          <w:lang w:val="en-US" w:eastAsia="zh-CN"/>
        </w:rPr>
        <w:t>（二）稳中提质，三次产业能级跃升。</w:t>
      </w:r>
      <w:r>
        <w:rPr>
          <w:rFonts w:hint="eastAsia" w:ascii="仿宋" w:hAnsi="仿宋" w:eastAsia="仿宋" w:cs="仿宋"/>
          <w:b/>
          <w:bCs/>
          <w:color w:val="auto"/>
          <w:sz w:val="32"/>
          <w:szCs w:val="32"/>
          <w:highlight w:val="none"/>
          <w:lang w:val="en-US" w:eastAsia="zh-CN"/>
        </w:rPr>
        <w:t>农业生产提质增效。</w:t>
      </w:r>
      <w:r>
        <w:rPr>
          <w:rFonts w:hint="eastAsia" w:ascii="仿宋" w:hAnsi="仿宋" w:eastAsia="仿宋" w:cs="仿宋"/>
          <w:sz w:val="32"/>
          <w:szCs w:val="32"/>
          <w:highlight w:val="none"/>
          <w:lang w:val="en-US" w:eastAsia="zh-CN"/>
        </w:rPr>
        <w:t>粮食生产量质齐升，落实粮食种植面积157.1269万亩，完成年度任务的101%，大垄密植栽培技术面积达8.38万亩，</w:t>
      </w:r>
      <w:r>
        <w:rPr>
          <w:rFonts w:hint="eastAsia" w:ascii="仿宋" w:hAnsi="仿宋" w:eastAsia="仿宋" w:cs="仿宋"/>
          <w:b w:val="0"/>
          <w:bCs w:val="0"/>
          <w:sz w:val="32"/>
          <w:szCs w:val="32"/>
          <w:highlight w:val="none"/>
          <w:lang w:val="en-US" w:eastAsia="zh-CN"/>
        </w:rPr>
        <w:t>农业科技贡献率达72%。</w:t>
      </w:r>
      <w:r>
        <w:rPr>
          <w:rFonts w:hint="eastAsia" w:ascii="仿宋" w:hAnsi="仿宋" w:eastAsia="仿宋" w:cs="仿宋"/>
          <w:sz w:val="32"/>
          <w:szCs w:val="32"/>
          <w:highlight w:val="none"/>
          <w:lang w:val="en-US" w:eastAsia="zh-CN"/>
        </w:rPr>
        <w:t>特色种植扩面增效</w:t>
      </w:r>
      <w:r>
        <w:rPr>
          <w:rFonts w:hint="eastAsia" w:ascii="仿宋" w:hAnsi="仿宋" w:eastAsia="仿宋" w:cs="仿宋"/>
          <w:sz w:val="32"/>
          <w:szCs w:val="32"/>
          <w:highlight w:val="none"/>
          <w:lang w:eastAsia="zh-CN"/>
        </w:rPr>
        <w:t>，</w:t>
      </w:r>
      <w:r>
        <w:rPr>
          <w:rFonts w:hint="eastAsia" w:ascii="仿宋" w:hAnsi="仿宋" w:eastAsia="仿宋" w:cs="Times New Roman"/>
          <w:color w:val="auto"/>
          <w:sz w:val="32"/>
          <w:szCs w:val="32"/>
          <w:highlight w:val="none"/>
        </w:rPr>
        <w:t>全市65个示范村同步开展菜园利用建设，总面积</w:t>
      </w:r>
      <w:r>
        <w:rPr>
          <w:rFonts w:hint="eastAsia" w:ascii="仿宋" w:hAnsi="仿宋" w:eastAsia="仿宋" w:cs="Times New Roman"/>
          <w:color w:val="auto"/>
          <w:sz w:val="32"/>
          <w:szCs w:val="32"/>
          <w:highlight w:val="none"/>
          <w:lang w:val="en-US" w:eastAsia="zh-CN"/>
        </w:rPr>
        <w:t>达</w:t>
      </w:r>
      <w:r>
        <w:rPr>
          <w:rFonts w:hint="eastAsia" w:ascii="仿宋" w:hAnsi="仿宋" w:eastAsia="仿宋" w:cs="Times New Roman"/>
          <w:color w:val="auto"/>
          <w:sz w:val="32"/>
          <w:szCs w:val="32"/>
          <w:highlight w:val="none"/>
        </w:rPr>
        <w:t>7538.73亩，</w:t>
      </w:r>
      <w:r>
        <w:rPr>
          <w:rFonts w:hint="eastAsia" w:ascii="仿宋" w:hAnsi="仿宋" w:eastAsia="仿宋" w:cs="Times New Roman"/>
          <w:color w:val="auto"/>
          <w:sz w:val="32"/>
          <w:szCs w:val="32"/>
          <w:highlight w:val="none"/>
          <w:lang w:val="en-US" w:eastAsia="zh-CN"/>
        </w:rPr>
        <w:t>惠及农户</w:t>
      </w:r>
      <w:r>
        <w:rPr>
          <w:rFonts w:hint="eastAsia" w:ascii="仿宋" w:hAnsi="仿宋" w:eastAsia="仿宋" w:cs="Times New Roman"/>
          <w:color w:val="auto"/>
          <w:sz w:val="32"/>
          <w:szCs w:val="32"/>
          <w:highlight w:val="none"/>
        </w:rPr>
        <w:t>7060户</w:t>
      </w:r>
      <w:r>
        <w:rPr>
          <w:rFonts w:hint="eastAsia" w:ascii="仿宋" w:hAnsi="仿宋" w:eastAsia="仿宋" w:cs="Times New Roman"/>
          <w:color w:val="auto"/>
          <w:sz w:val="32"/>
          <w:szCs w:val="32"/>
          <w:highlight w:val="none"/>
          <w:lang w:eastAsia="zh-CN"/>
        </w:rPr>
        <w:t>；</w:t>
      </w:r>
      <w:r>
        <w:rPr>
          <w:rFonts w:hint="eastAsia" w:ascii="仿宋" w:hAnsi="仿宋" w:eastAsia="仿宋" w:cs="Times New Roman"/>
          <w:color w:val="auto"/>
          <w:sz w:val="32"/>
          <w:szCs w:val="32"/>
          <w:highlight w:val="none"/>
        </w:rPr>
        <w:t>上半年蔬菜种植面积1025.07亩</w:t>
      </w:r>
      <w:r>
        <w:rPr>
          <w:rFonts w:hint="eastAsia" w:ascii="仿宋" w:hAnsi="仿宋" w:eastAsia="仿宋" w:cs="Times New Roman"/>
          <w:color w:val="auto"/>
          <w:sz w:val="32"/>
          <w:szCs w:val="32"/>
          <w:highlight w:val="none"/>
          <w:lang w:eastAsia="zh-CN"/>
        </w:rPr>
        <w:t>、</w:t>
      </w:r>
      <w:r>
        <w:rPr>
          <w:rFonts w:hint="eastAsia" w:ascii="仿宋" w:hAnsi="仿宋" w:eastAsia="仿宋" w:cs="Times New Roman"/>
          <w:color w:val="auto"/>
          <w:sz w:val="32"/>
          <w:szCs w:val="32"/>
          <w:highlight w:val="none"/>
        </w:rPr>
        <w:t>产量3240.19吨</w:t>
      </w:r>
      <w:r>
        <w:rPr>
          <w:rFonts w:hint="eastAsia" w:ascii="仿宋" w:hAnsi="仿宋" w:eastAsia="仿宋" w:cs="Times New Roman"/>
          <w:color w:val="auto"/>
          <w:sz w:val="32"/>
          <w:szCs w:val="32"/>
          <w:highlight w:val="none"/>
          <w:lang w:eastAsia="zh-CN"/>
        </w:rPr>
        <w:t>，</w:t>
      </w:r>
      <w:r>
        <w:rPr>
          <w:rFonts w:hint="eastAsia" w:ascii="仿宋" w:hAnsi="仿宋" w:eastAsia="仿宋" w:cs="Times New Roman"/>
          <w:color w:val="auto"/>
          <w:sz w:val="32"/>
          <w:szCs w:val="32"/>
          <w:highlight w:val="none"/>
        </w:rPr>
        <w:t>食用菌种植规模91.6万袋</w:t>
      </w:r>
      <w:r>
        <w:rPr>
          <w:rFonts w:hint="eastAsia" w:ascii="仿宋" w:hAnsi="仿宋" w:eastAsia="仿宋" w:cs="Times New Roman"/>
          <w:color w:val="auto"/>
          <w:sz w:val="32"/>
          <w:szCs w:val="32"/>
          <w:highlight w:val="none"/>
          <w:lang w:eastAsia="zh-CN"/>
        </w:rPr>
        <w:t>、</w:t>
      </w:r>
      <w:r>
        <w:rPr>
          <w:rFonts w:hint="eastAsia" w:ascii="仿宋" w:hAnsi="仿宋" w:eastAsia="仿宋" w:cs="Times New Roman"/>
          <w:color w:val="auto"/>
          <w:sz w:val="32"/>
          <w:szCs w:val="32"/>
          <w:highlight w:val="none"/>
        </w:rPr>
        <w:t>产量50吨</w:t>
      </w:r>
      <w:r>
        <w:rPr>
          <w:rFonts w:hint="eastAsia" w:ascii="仿宋" w:hAnsi="仿宋" w:eastAsia="仿宋" w:cs="Times New Roman"/>
          <w:color w:val="auto"/>
          <w:sz w:val="32"/>
          <w:szCs w:val="32"/>
          <w:highlight w:val="none"/>
          <w:lang w:eastAsia="zh-CN"/>
        </w:rPr>
        <w:t>。</w:t>
      </w:r>
      <w:r>
        <w:rPr>
          <w:rFonts w:hint="eastAsia" w:ascii="仿宋" w:hAnsi="仿宋" w:eastAsia="仿宋" w:cs="仿宋"/>
          <w:color w:val="auto"/>
          <w:sz w:val="32"/>
          <w:szCs w:val="32"/>
          <w:highlight w:val="none"/>
          <w:lang w:val="en-US" w:eastAsia="zh-CN"/>
        </w:rPr>
        <w:t>畜牧业渔业稳步发展，上半年，生猪出栏17.8万头，羊出栏0.5万只，</w:t>
      </w:r>
      <w:r>
        <w:rPr>
          <w:rFonts w:hint="eastAsia" w:ascii="仿宋" w:hAnsi="仿宋" w:eastAsia="仿宋" w:cs="仿宋"/>
          <w:color w:val="auto"/>
          <w:sz w:val="32"/>
          <w:szCs w:val="32"/>
          <w:highlight w:val="none"/>
        </w:rPr>
        <w:t>活禽出栏9.</w:t>
      </w:r>
      <w:r>
        <w:rPr>
          <w:rFonts w:hint="eastAsia" w:ascii="仿宋" w:hAnsi="仿宋" w:eastAsia="仿宋" w:cs="仿宋"/>
          <w:color w:val="auto"/>
          <w:sz w:val="32"/>
          <w:szCs w:val="32"/>
          <w:highlight w:val="none"/>
          <w:lang w:val="en-US" w:eastAsia="zh-CN"/>
        </w:rPr>
        <w:t>6</w:t>
      </w:r>
      <w:r>
        <w:rPr>
          <w:rFonts w:hint="eastAsia" w:ascii="仿宋" w:hAnsi="仿宋" w:eastAsia="仿宋" w:cs="仿宋"/>
          <w:color w:val="auto"/>
          <w:sz w:val="32"/>
          <w:szCs w:val="32"/>
          <w:highlight w:val="none"/>
        </w:rPr>
        <w:t>万只、禽蛋产品0.</w:t>
      </w:r>
      <w:r>
        <w:rPr>
          <w:rFonts w:hint="eastAsia" w:ascii="仿宋" w:hAnsi="仿宋" w:eastAsia="仿宋" w:cs="仿宋"/>
          <w:color w:val="auto"/>
          <w:sz w:val="32"/>
          <w:szCs w:val="32"/>
          <w:highlight w:val="none"/>
          <w:lang w:val="en-US" w:eastAsia="zh-CN"/>
        </w:rPr>
        <w:t>16</w:t>
      </w:r>
      <w:r>
        <w:rPr>
          <w:rFonts w:hint="eastAsia" w:ascii="仿宋" w:hAnsi="仿宋" w:eastAsia="仿宋" w:cs="仿宋"/>
          <w:color w:val="auto"/>
          <w:sz w:val="32"/>
          <w:szCs w:val="32"/>
          <w:highlight w:val="none"/>
        </w:rPr>
        <w:t>万吨</w:t>
      </w:r>
      <w:r>
        <w:rPr>
          <w:rFonts w:hint="eastAsia" w:ascii="仿宋" w:hAnsi="仿宋" w:eastAsia="仿宋" w:cs="仿宋"/>
          <w:color w:val="auto"/>
          <w:sz w:val="32"/>
          <w:szCs w:val="32"/>
          <w:highlight w:val="none"/>
          <w:lang w:eastAsia="zh-CN"/>
        </w:rPr>
        <w:t>；</w:t>
      </w:r>
      <w:r>
        <w:rPr>
          <w:rFonts w:hint="eastAsia" w:ascii="仿宋" w:hAnsi="仿宋" w:eastAsia="仿宋" w:cs="仿宋"/>
          <w:color w:val="auto"/>
          <w:sz w:val="32"/>
          <w:szCs w:val="32"/>
          <w:highlight w:val="none"/>
          <w:lang w:val="en-US" w:eastAsia="zh-CN"/>
        </w:rPr>
        <w:t>推动水产绿色健康养殖，</w:t>
      </w:r>
      <w:r>
        <w:rPr>
          <w:rFonts w:hint="eastAsia" w:ascii="仿宋" w:hAnsi="仿宋" w:eastAsia="仿宋" w:cs="仿宋"/>
          <w:color w:val="auto"/>
          <w:sz w:val="32"/>
          <w:szCs w:val="32"/>
          <w:highlight w:val="none"/>
        </w:rPr>
        <w:t>申报校企水产实训基地，扶持本地水产合作社</w:t>
      </w:r>
      <w:r>
        <w:rPr>
          <w:rFonts w:hint="eastAsia" w:ascii="仿宋" w:hAnsi="仿宋" w:eastAsia="仿宋" w:cs="仿宋"/>
          <w:color w:val="auto"/>
          <w:sz w:val="32"/>
          <w:szCs w:val="32"/>
          <w:highlight w:val="none"/>
          <w:lang w:val="en-US" w:eastAsia="zh-CN"/>
        </w:rPr>
        <w:t>开展</w:t>
      </w:r>
      <w:r>
        <w:rPr>
          <w:rFonts w:hint="eastAsia" w:ascii="仿宋" w:hAnsi="仿宋" w:eastAsia="仿宋" w:cs="仿宋"/>
          <w:color w:val="auto"/>
          <w:sz w:val="32"/>
          <w:szCs w:val="32"/>
          <w:highlight w:val="none"/>
        </w:rPr>
        <w:t>虾苗</w:t>
      </w:r>
      <w:r>
        <w:rPr>
          <w:rFonts w:hint="eastAsia" w:ascii="仿宋" w:hAnsi="仿宋" w:eastAsia="仿宋" w:cs="仿宋"/>
          <w:color w:val="auto"/>
          <w:sz w:val="32"/>
          <w:szCs w:val="32"/>
          <w:highlight w:val="none"/>
          <w:lang w:val="en-US" w:eastAsia="zh-CN"/>
        </w:rPr>
        <w:t>规模化养殖</w:t>
      </w:r>
      <w:r>
        <w:rPr>
          <w:rFonts w:hint="eastAsia" w:ascii="仿宋" w:hAnsi="仿宋" w:eastAsia="仿宋" w:cs="仿宋"/>
          <w:color w:val="auto"/>
          <w:sz w:val="32"/>
          <w:szCs w:val="32"/>
          <w:highlight w:val="none"/>
        </w:rPr>
        <w:t>，建成稻渔综合种养</w:t>
      </w:r>
      <w:r>
        <w:rPr>
          <w:rFonts w:hint="eastAsia" w:ascii="仿宋" w:hAnsi="仿宋" w:eastAsia="仿宋" w:cs="仿宋"/>
          <w:color w:val="auto"/>
          <w:sz w:val="32"/>
          <w:szCs w:val="32"/>
          <w:highlight w:val="none"/>
          <w:lang w:val="en-US" w:eastAsia="zh-CN"/>
        </w:rPr>
        <w:t>基地</w:t>
      </w:r>
      <w:r>
        <w:rPr>
          <w:rFonts w:hint="eastAsia" w:ascii="仿宋" w:hAnsi="仿宋" w:eastAsia="仿宋" w:cs="仿宋"/>
          <w:color w:val="auto"/>
          <w:sz w:val="32"/>
          <w:szCs w:val="32"/>
          <w:highlight w:val="none"/>
        </w:rPr>
        <w:t>8000亩，打造南美对白虾标准化养殖棚</w:t>
      </w:r>
      <w:r>
        <w:rPr>
          <w:rFonts w:hint="eastAsia" w:ascii="仿宋" w:hAnsi="仿宋" w:eastAsia="仿宋" w:cs="仿宋"/>
          <w:color w:val="auto"/>
          <w:sz w:val="32"/>
          <w:szCs w:val="32"/>
          <w:highlight w:val="none"/>
          <w:lang w:val="en-US" w:eastAsia="zh-CN"/>
        </w:rPr>
        <w:t>2栋</w:t>
      </w:r>
      <w:r>
        <w:rPr>
          <w:rFonts w:hint="eastAsia" w:ascii="仿宋" w:hAnsi="仿宋" w:eastAsia="仿宋" w:cs="仿宋"/>
          <w:color w:val="auto"/>
          <w:sz w:val="32"/>
          <w:szCs w:val="32"/>
          <w:highlight w:val="none"/>
          <w:lang w:eastAsia="zh-CN"/>
        </w:rPr>
        <w:t>；</w:t>
      </w:r>
      <w:r>
        <w:rPr>
          <w:rFonts w:hint="eastAsia" w:ascii="仿宋" w:hAnsi="仿宋" w:eastAsia="仿宋" w:cs="仿宋"/>
          <w:b w:val="0"/>
          <w:i w:val="0"/>
          <w:caps w:val="0"/>
          <w:color w:val="auto"/>
          <w:spacing w:val="0"/>
          <w:w w:val="100"/>
          <w:kern w:val="2"/>
          <w:sz w:val="32"/>
          <w:szCs w:val="32"/>
          <w:highlight w:val="none"/>
          <w:lang w:val="en-US" w:eastAsia="zh-CN" w:bidi="ar-SA"/>
        </w:rPr>
        <w:t>渔业养殖面积保持1.2万亩以上，</w:t>
      </w:r>
      <w:r>
        <w:rPr>
          <w:rFonts w:hint="eastAsia" w:ascii="仿宋" w:hAnsi="仿宋" w:eastAsia="仿宋" w:cs="仿宋"/>
          <w:b w:val="0"/>
          <w:bCs w:val="0"/>
          <w:sz w:val="32"/>
          <w:szCs w:val="32"/>
          <w:highlight w:val="none"/>
          <w:u w:val="none"/>
          <w:lang w:val="en-US" w:eastAsia="zh-CN"/>
        </w:rPr>
        <w:t>渔业总产量815吨，其中林蛙56吨，鱼类759吨。</w:t>
      </w:r>
      <w:r>
        <w:rPr>
          <w:rFonts w:hint="eastAsia" w:ascii="仿宋" w:hAnsi="仿宋" w:eastAsia="仿宋" w:cs="仿宋"/>
          <w:b/>
          <w:bCs/>
          <w:color w:val="auto"/>
          <w:sz w:val="32"/>
          <w:szCs w:val="32"/>
          <w:highlight w:val="none"/>
          <w:lang w:val="en-US" w:eastAsia="zh-CN"/>
        </w:rPr>
        <w:t>工业经济运行平稳。</w:t>
      </w:r>
      <w:r>
        <w:rPr>
          <w:rFonts w:hint="eastAsia" w:ascii="仿宋" w:hAnsi="仿宋" w:eastAsia="仿宋" w:cs="仿宋"/>
          <w:b w:val="0"/>
          <w:bCs w:val="0"/>
          <w:color w:val="auto"/>
          <w:sz w:val="32"/>
          <w:szCs w:val="32"/>
          <w:highlight w:val="none"/>
          <w:lang w:val="en-US" w:eastAsia="zh-CN"/>
        </w:rPr>
        <w:t>持续</w:t>
      </w:r>
      <w:r>
        <w:rPr>
          <w:rFonts w:hint="eastAsia" w:ascii="仿宋" w:hAnsi="仿宋" w:eastAsia="仿宋" w:cs="仿宋"/>
          <w:color w:val="auto"/>
          <w:spacing w:val="0"/>
          <w:w w:val="100"/>
          <w:position w:val="0"/>
          <w:sz w:val="32"/>
          <w:szCs w:val="32"/>
          <w:highlight w:val="none"/>
          <w:lang w:val="en-US" w:eastAsia="zh-CN"/>
        </w:rPr>
        <w:t>强化政策宣传兑现，</w:t>
      </w:r>
      <w:r>
        <w:rPr>
          <w:rFonts w:hint="eastAsia" w:ascii="仿宋" w:hAnsi="仿宋" w:eastAsia="仿宋" w:cs="仿宋"/>
          <w:color w:val="auto"/>
          <w:sz w:val="32"/>
          <w:szCs w:val="32"/>
          <w:highlight w:val="none"/>
          <w:lang w:val="en-US" w:eastAsia="zh-CN"/>
        </w:rPr>
        <w:t>累计深入企业</w:t>
      </w:r>
      <w:r>
        <w:rPr>
          <w:rFonts w:hint="eastAsia" w:ascii="仿宋" w:hAnsi="仿宋" w:eastAsia="仿宋" w:cs="仿宋"/>
          <w:color w:val="auto"/>
          <w:spacing w:val="0"/>
          <w:w w:val="100"/>
          <w:position w:val="0"/>
          <w:sz w:val="32"/>
          <w:szCs w:val="32"/>
          <w:highlight w:val="none"/>
          <w:lang w:val="en-US" w:eastAsia="zh-CN"/>
        </w:rPr>
        <w:t>传达推送惠企政策</w:t>
      </w:r>
      <w:r>
        <w:rPr>
          <w:rFonts w:hint="eastAsia" w:ascii="仿宋" w:hAnsi="仿宋" w:eastAsia="仿宋" w:cs="仿宋"/>
          <w:color w:val="auto"/>
          <w:sz w:val="32"/>
          <w:szCs w:val="32"/>
          <w:highlight w:val="none"/>
          <w:lang w:val="en-US" w:eastAsia="zh-CN"/>
        </w:rPr>
        <w:t>100余次</w:t>
      </w:r>
      <w:r>
        <w:rPr>
          <w:rFonts w:hint="eastAsia" w:ascii="仿宋" w:hAnsi="仿宋" w:eastAsia="仿宋" w:cs="仿宋"/>
          <w:color w:val="auto"/>
          <w:spacing w:val="0"/>
          <w:w w:val="100"/>
          <w:position w:val="0"/>
          <w:sz w:val="32"/>
          <w:szCs w:val="32"/>
          <w:highlight w:val="none"/>
          <w:lang w:val="en-US" w:eastAsia="zh-CN"/>
        </w:rPr>
        <w:t>，</w:t>
      </w:r>
      <w:r>
        <w:rPr>
          <w:rFonts w:hint="eastAsia" w:ascii="仿宋" w:hAnsi="仿宋" w:eastAsia="仿宋" w:cs="仿宋"/>
          <w:color w:val="auto"/>
          <w:sz w:val="32"/>
          <w:szCs w:val="32"/>
          <w:highlight w:val="none"/>
          <w:lang w:val="en-US" w:eastAsia="zh-CN"/>
        </w:rPr>
        <w:t>为企业兑现2025年度振兴发展民营经济及创新发展36条政策奖励资金392.98万元，切实减轻企业负担。全力落实梯度培育计划，成功培育铁力市炯炜热电有限责任公司为创新型中小企业、“专精特新”中小企业，将铁力市春福记生物科技有限公司、鸿源谷稻（伊春）农业科技有限公司2户企业列为“小升规”企业重点培育对象。高标准推进桦树汁产业园区建设，一期项目已顺利完工使用，建成速冻冷藏库1栋、标准化生产车间1栋；二期项目已取得5.67公顷土地使用权。成功举办2026年黑龙江省白桦树汁产业高质量发展大会，拓宽桦树汁产业产销合作渠道</w:t>
      </w:r>
      <w:r>
        <w:rPr>
          <w:rFonts w:hint="eastAsia" w:ascii="仿宋" w:hAnsi="仿宋" w:eastAsia="仿宋" w:cs="仿宋"/>
          <w:color w:val="auto"/>
          <w:sz w:val="32"/>
          <w:szCs w:val="32"/>
          <w:highlight w:val="none"/>
          <w:lang w:eastAsia="zh-CN"/>
        </w:rPr>
        <w:t>。</w:t>
      </w:r>
      <w:r>
        <w:rPr>
          <w:rFonts w:hint="eastAsia" w:ascii="仿宋" w:hAnsi="仿宋" w:eastAsia="仿宋" w:cs="仿宋"/>
          <w:b/>
          <w:bCs/>
          <w:color w:val="auto"/>
          <w:sz w:val="32"/>
          <w:szCs w:val="32"/>
          <w:highlight w:val="none"/>
          <w:lang w:val="en-US" w:eastAsia="zh-CN"/>
        </w:rPr>
        <w:t>服务业实现优化升级。</w:t>
      </w:r>
      <w:r>
        <w:rPr>
          <w:rFonts w:hint="eastAsia" w:ascii="仿宋" w:hAnsi="仿宋" w:eastAsia="仿宋" w:cs="仿宋"/>
          <w:b w:val="0"/>
          <w:bCs w:val="0"/>
          <w:color w:val="auto"/>
          <w:sz w:val="32"/>
          <w:szCs w:val="32"/>
          <w:highlight w:val="none"/>
          <w:lang w:val="en-US" w:eastAsia="zh-CN"/>
        </w:rPr>
        <w:t>消费潜力持续释放，组织开展“祥马迎春·新春特惠”等促消费活动8次，在重点领域投入政府促消费资金390万元，上半年新增限上零售业企业1户。</w:t>
      </w:r>
      <w:r>
        <w:rPr>
          <w:rFonts w:hint="eastAsia" w:ascii="仿宋" w:hAnsi="仿宋" w:eastAsia="仿宋" w:cs="仿宋"/>
          <w:color w:val="auto"/>
          <w:kern w:val="2"/>
          <w:sz w:val="32"/>
          <w:szCs w:val="32"/>
          <w:highlight w:val="none"/>
          <w:lang w:val="en-US" w:eastAsia="zh-CN" w:bidi="ar-SA"/>
        </w:rPr>
        <w:t>文旅融合深入推进，</w:t>
      </w:r>
      <w:r>
        <w:rPr>
          <w:rFonts w:hint="eastAsia" w:ascii="仿宋" w:hAnsi="仿宋" w:eastAsia="仿宋" w:cs="仿宋"/>
          <w:color w:val="auto"/>
          <w:sz w:val="32"/>
          <w:szCs w:val="32"/>
          <w:highlight w:val="none"/>
          <w:lang w:eastAsia="zh-CN"/>
        </w:rPr>
        <w:t>开展“引客入铁”专项行动，打造</w:t>
      </w:r>
      <w:r>
        <w:rPr>
          <w:rFonts w:hint="eastAsia" w:ascii="仿宋" w:hAnsi="仿宋" w:eastAsia="仿宋" w:cs="仿宋"/>
          <w:color w:val="auto"/>
          <w:sz w:val="32"/>
          <w:szCs w:val="32"/>
          <w:highlight w:val="none"/>
          <w:lang w:val="en-US" w:eastAsia="zh-CN"/>
        </w:rPr>
        <w:t>鹿野仙踪、年丰村冰雪嘉年华等</w:t>
      </w:r>
      <w:r>
        <w:rPr>
          <w:rFonts w:hint="eastAsia" w:ascii="仿宋" w:hAnsi="仿宋" w:eastAsia="仿宋" w:cs="仿宋"/>
          <w:color w:val="auto"/>
          <w:sz w:val="32"/>
          <w:szCs w:val="32"/>
          <w:highlight w:val="none"/>
          <w:lang w:eastAsia="zh-CN"/>
        </w:rPr>
        <w:t>核心冰雪</w:t>
      </w:r>
      <w:r>
        <w:rPr>
          <w:rFonts w:hint="eastAsia" w:ascii="仿宋" w:hAnsi="仿宋" w:eastAsia="仿宋" w:cs="仿宋"/>
          <w:color w:val="auto"/>
          <w:sz w:val="32"/>
          <w:szCs w:val="32"/>
          <w:highlight w:val="none"/>
          <w:lang w:val="en-US" w:eastAsia="zh-CN"/>
        </w:rPr>
        <w:t>旅游</w:t>
      </w:r>
      <w:r>
        <w:rPr>
          <w:rFonts w:hint="eastAsia" w:ascii="仿宋" w:hAnsi="仿宋" w:eastAsia="仿宋" w:cs="仿宋"/>
          <w:color w:val="auto"/>
          <w:sz w:val="32"/>
          <w:szCs w:val="32"/>
          <w:highlight w:val="none"/>
          <w:lang w:eastAsia="zh-CN"/>
        </w:rPr>
        <w:t>项目6个，稳步推进桃源湖、岭尚十年等景区</w:t>
      </w:r>
      <w:r>
        <w:rPr>
          <w:rFonts w:hint="eastAsia" w:ascii="仿宋" w:hAnsi="仿宋" w:eastAsia="仿宋" w:cs="仿宋"/>
          <w:color w:val="auto"/>
          <w:sz w:val="32"/>
          <w:szCs w:val="32"/>
          <w:highlight w:val="none"/>
          <w:lang w:val="en-US" w:eastAsia="zh-CN"/>
        </w:rPr>
        <w:t>及精品</w:t>
      </w:r>
      <w:r>
        <w:rPr>
          <w:rFonts w:hint="eastAsia" w:ascii="仿宋" w:hAnsi="仿宋" w:eastAsia="仿宋" w:cs="仿宋"/>
          <w:color w:val="auto"/>
          <w:sz w:val="32"/>
          <w:szCs w:val="32"/>
          <w:highlight w:val="none"/>
          <w:lang w:eastAsia="zh-CN"/>
        </w:rPr>
        <w:t>民宿提质改造，持续完善</w:t>
      </w:r>
      <w:r>
        <w:rPr>
          <w:rFonts w:hint="eastAsia" w:ascii="仿宋" w:hAnsi="仿宋" w:eastAsia="仿宋" w:cs="仿宋"/>
          <w:color w:val="auto"/>
          <w:sz w:val="32"/>
          <w:szCs w:val="32"/>
          <w:highlight w:val="none"/>
          <w:lang w:val="en-US" w:eastAsia="zh-CN"/>
        </w:rPr>
        <w:t>优化</w:t>
      </w:r>
      <w:r>
        <w:rPr>
          <w:rFonts w:hint="eastAsia" w:ascii="仿宋" w:hAnsi="仿宋" w:eastAsia="仿宋" w:cs="仿宋"/>
          <w:color w:val="auto"/>
          <w:sz w:val="32"/>
          <w:szCs w:val="32"/>
          <w:highlight w:val="none"/>
          <w:lang w:eastAsia="zh-CN"/>
        </w:rPr>
        <w:t>依吉密河、桃山东山里等</w:t>
      </w:r>
      <w:r>
        <w:rPr>
          <w:rFonts w:hint="eastAsia" w:ascii="仿宋" w:hAnsi="仿宋" w:eastAsia="仿宋" w:cs="仿宋"/>
          <w:color w:val="auto"/>
          <w:sz w:val="32"/>
          <w:szCs w:val="32"/>
          <w:highlight w:val="none"/>
          <w:lang w:val="en-US" w:eastAsia="zh-CN"/>
        </w:rPr>
        <w:t>景点</w:t>
      </w:r>
      <w:r>
        <w:rPr>
          <w:rFonts w:hint="eastAsia" w:ascii="仿宋" w:hAnsi="仿宋" w:eastAsia="仿宋" w:cs="仿宋"/>
          <w:color w:val="auto"/>
          <w:sz w:val="32"/>
          <w:szCs w:val="32"/>
          <w:highlight w:val="none"/>
          <w:lang w:eastAsia="zh-CN"/>
        </w:rPr>
        <w:t>配套设施。</w:t>
      </w:r>
      <w:r>
        <w:rPr>
          <w:rFonts w:hint="eastAsia" w:ascii="仿宋" w:hAnsi="仿宋" w:eastAsia="仿宋" w:cs="仿宋"/>
          <w:color w:val="auto"/>
          <w:sz w:val="32"/>
          <w:szCs w:val="32"/>
          <w:highlight w:val="none"/>
          <w:lang w:val="en-US" w:eastAsia="zh-CN"/>
        </w:rPr>
        <w:t>电商赋能成效明显，</w:t>
      </w:r>
      <w:r>
        <w:rPr>
          <w:rFonts w:hint="eastAsia" w:ascii="仿宋" w:hAnsi="仿宋" w:eastAsia="仿宋" w:cs="仿宋"/>
          <w:color w:val="auto"/>
          <w:sz w:val="32"/>
          <w:szCs w:val="32"/>
          <w:highlight w:val="none"/>
          <w:lang w:eastAsia="zh-CN"/>
        </w:rPr>
        <w:t>电商中心</w:t>
      </w:r>
      <w:r>
        <w:rPr>
          <w:rFonts w:hint="eastAsia" w:ascii="仿宋" w:hAnsi="仿宋" w:eastAsia="仿宋" w:cs="仿宋"/>
          <w:color w:val="auto"/>
          <w:sz w:val="32"/>
          <w:szCs w:val="32"/>
          <w:highlight w:val="none"/>
          <w:lang w:val="en-US" w:eastAsia="zh-CN"/>
        </w:rPr>
        <w:t>完成</w:t>
      </w:r>
      <w:r>
        <w:rPr>
          <w:rFonts w:hint="eastAsia" w:ascii="仿宋" w:hAnsi="仿宋" w:eastAsia="仿宋" w:cs="仿宋"/>
          <w:color w:val="auto"/>
          <w:sz w:val="32"/>
          <w:szCs w:val="32"/>
          <w:highlight w:val="none"/>
          <w:lang w:eastAsia="zh-CN"/>
        </w:rPr>
        <w:t>升级改造</w:t>
      </w:r>
      <w:r>
        <w:rPr>
          <w:rFonts w:hint="eastAsia" w:ascii="仿宋" w:hAnsi="仿宋" w:eastAsia="仿宋" w:cs="仿宋"/>
          <w:color w:val="auto"/>
          <w:sz w:val="32"/>
          <w:szCs w:val="32"/>
          <w:highlight w:val="none"/>
          <w:lang w:val="en-US" w:eastAsia="zh-CN"/>
        </w:rPr>
        <w:t>并投入使用</w:t>
      </w:r>
      <w:r>
        <w:rPr>
          <w:rFonts w:hint="eastAsia" w:ascii="仿宋" w:hAnsi="仿宋" w:eastAsia="仿宋" w:cs="仿宋"/>
          <w:color w:val="auto"/>
          <w:sz w:val="32"/>
          <w:szCs w:val="32"/>
          <w:highlight w:val="none"/>
          <w:lang w:eastAsia="zh-CN"/>
        </w:rPr>
        <w:t>，</w:t>
      </w:r>
      <w:r>
        <w:rPr>
          <w:rFonts w:hint="eastAsia" w:ascii="仿宋" w:hAnsi="仿宋" w:eastAsia="仿宋" w:cs="仿宋"/>
          <w:color w:val="auto"/>
          <w:sz w:val="32"/>
          <w:szCs w:val="32"/>
          <w:highlight w:val="none"/>
          <w:lang w:val="en-US" w:eastAsia="zh-CN"/>
        </w:rPr>
        <w:t>上半年入驻企业实现销售额2029万元；借势</w:t>
      </w:r>
      <w:r>
        <w:rPr>
          <w:rFonts w:hint="eastAsia" w:ascii="仿宋" w:hAnsi="仿宋" w:eastAsia="仿宋" w:cs="仿宋"/>
          <w:color w:val="auto"/>
          <w:sz w:val="32"/>
          <w:szCs w:val="32"/>
          <w:highlight w:val="none"/>
          <w:lang w:eastAsia="zh-CN"/>
        </w:rPr>
        <w:t>第三十三届哈洽会</w:t>
      </w:r>
      <w:r>
        <w:rPr>
          <w:rFonts w:hint="eastAsia" w:ascii="仿宋" w:hAnsi="仿宋" w:eastAsia="仿宋" w:cs="仿宋"/>
          <w:color w:val="auto"/>
          <w:sz w:val="32"/>
          <w:szCs w:val="32"/>
          <w:highlight w:val="none"/>
          <w:lang w:val="en-US" w:eastAsia="zh-CN"/>
        </w:rPr>
        <w:t>平台，</w:t>
      </w:r>
      <w:r>
        <w:rPr>
          <w:rFonts w:hint="eastAsia" w:ascii="仿宋" w:hAnsi="仿宋" w:eastAsia="仿宋" w:cs="仿宋"/>
          <w:color w:val="auto"/>
          <w:sz w:val="32"/>
          <w:szCs w:val="32"/>
          <w:highlight w:val="none"/>
          <w:lang w:eastAsia="zh-CN"/>
        </w:rPr>
        <w:t>开展</w:t>
      </w:r>
      <w:r>
        <w:rPr>
          <w:rFonts w:hint="eastAsia" w:ascii="仿宋" w:hAnsi="仿宋" w:eastAsia="仿宋" w:cs="仿宋"/>
          <w:color w:val="auto"/>
          <w:sz w:val="32"/>
          <w:szCs w:val="32"/>
          <w:highlight w:val="none"/>
          <w:lang w:val="en-US" w:eastAsia="zh-CN"/>
        </w:rPr>
        <w:t>电商</w:t>
      </w:r>
      <w:r>
        <w:rPr>
          <w:rFonts w:hint="eastAsia" w:ascii="仿宋" w:hAnsi="仿宋" w:eastAsia="仿宋" w:cs="仿宋"/>
          <w:color w:val="auto"/>
          <w:sz w:val="32"/>
          <w:szCs w:val="32"/>
          <w:highlight w:val="none"/>
          <w:lang w:eastAsia="zh-CN"/>
        </w:rPr>
        <w:t>直播活动5场，实现销售单量7.33万件、销售额467万元，带动铁力玉米、油豆角、酸黄瓜等特色产品线上销量超20万单。</w:t>
      </w:r>
    </w:p>
    <w:p w14:paraId="7248EE44">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jc w:val="both"/>
        <w:textAlignment w:val="auto"/>
        <w:rPr>
          <w:rFonts w:hint="eastAsia" w:ascii="仿宋" w:hAnsi="仿宋" w:eastAsia="仿宋" w:cs="仿宋"/>
          <w:kern w:val="2"/>
          <w:sz w:val="32"/>
          <w:szCs w:val="32"/>
          <w:highlight w:val="none"/>
          <w:lang w:val="en-US" w:eastAsia="zh-CN" w:bidi="ar-SA"/>
        </w:rPr>
      </w:pPr>
      <w:r>
        <w:rPr>
          <w:rFonts w:hint="eastAsia" w:ascii="楷体" w:hAnsi="楷体" w:eastAsia="楷体" w:cs="楷体"/>
          <w:color w:val="auto"/>
          <w:kern w:val="2"/>
          <w:sz w:val="32"/>
          <w:szCs w:val="32"/>
          <w:highlight w:val="none"/>
          <w:shd w:val="clear" w:color="auto" w:fill="auto"/>
          <w:lang w:val="en-US" w:eastAsia="zh-CN" w:bidi="ar-SA"/>
        </w:rPr>
        <w:t>（三）聚力招商，优质项目加速推进。</w:t>
      </w:r>
      <w:r>
        <w:rPr>
          <w:rFonts w:hint="eastAsia" w:ascii="仿宋" w:hAnsi="仿宋" w:eastAsia="仿宋" w:cs="Times New Roman"/>
          <w:b/>
          <w:bCs/>
          <w:color w:val="auto"/>
          <w:kern w:val="2"/>
          <w:sz w:val="32"/>
          <w:szCs w:val="32"/>
          <w:highlight w:val="none"/>
          <w:shd w:val="clear" w:color="auto" w:fill="auto"/>
          <w:lang w:val="en-US" w:eastAsia="zh-CN" w:bidi="ar-SA"/>
        </w:rPr>
        <w:t>招商势能深度释放。</w:t>
      </w:r>
      <w:r>
        <w:rPr>
          <w:rFonts w:hint="eastAsia" w:ascii="仿宋" w:hAnsi="仿宋" w:eastAsia="仿宋" w:cs="仿宋"/>
          <w:b w:val="0"/>
          <w:bCs w:val="0"/>
          <w:kern w:val="2"/>
          <w:sz w:val="32"/>
          <w:szCs w:val="32"/>
          <w:highlight w:val="none"/>
          <w:lang w:val="en-US" w:eastAsia="zh-CN" w:bidi="ar-SA"/>
        </w:rPr>
        <w:t>开展精准招商，累计</w:t>
      </w:r>
      <w:r>
        <w:rPr>
          <w:rFonts w:hint="eastAsia" w:ascii="仿宋" w:hAnsi="仿宋" w:eastAsia="仿宋" w:cs="仿宋"/>
          <w:b w:val="0"/>
          <w:bCs w:val="0"/>
          <w:color w:val="000000"/>
          <w:kern w:val="2"/>
          <w:sz w:val="32"/>
          <w:szCs w:val="32"/>
          <w:highlight w:val="none"/>
          <w:lang w:val="en-US" w:eastAsia="zh-CN" w:bidi="ar-SA"/>
        </w:rPr>
        <w:t>外出招商15次，获取重要线索10条，</w:t>
      </w:r>
      <w:r>
        <w:rPr>
          <w:rFonts w:hint="eastAsia" w:ascii="仿宋" w:hAnsi="仿宋" w:eastAsia="仿宋" w:cs="仿宋"/>
          <w:b w:val="0"/>
          <w:bCs w:val="0"/>
          <w:color w:val="auto"/>
          <w:kern w:val="0"/>
          <w:sz w:val="32"/>
          <w:szCs w:val="32"/>
          <w:highlight w:val="none"/>
          <w:lang w:val="en-US" w:eastAsia="zh-CN" w:bidi="ar-SA"/>
        </w:rPr>
        <w:t>成功签约黑龙江低空数字经济旅游区</w:t>
      </w:r>
      <w:r>
        <w:rPr>
          <w:rFonts w:hint="eastAsia" w:ascii="仿宋" w:hAnsi="仿宋" w:eastAsia="仿宋" w:cs="仿宋"/>
          <w:b w:val="0"/>
          <w:bCs w:val="0"/>
          <w:kern w:val="2"/>
          <w:sz w:val="32"/>
          <w:szCs w:val="32"/>
          <w:highlight w:val="none"/>
          <w:lang w:val="en-US" w:eastAsia="zh-CN" w:bidi="ar-SA"/>
        </w:rPr>
        <w:t>、铁力市种养结合循环农业、铁力市国瑞白桦树汁产业基地、铁力市桦树汁冷链仓储物流集散等项目，总签约额18.45亿元，实际利用内资额完成13.33亿元。</w:t>
      </w:r>
      <w:r>
        <w:rPr>
          <w:rFonts w:hint="eastAsia" w:ascii="仿宋" w:hAnsi="仿宋" w:eastAsia="仿宋" w:cs="仿宋"/>
          <w:b/>
          <w:bCs/>
          <w:color w:val="auto"/>
          <w:kern w:val="2"/>
          <w:sz w:val="32"/>
          <w:szCs w:val="32"/>
          <w:highlight w:val="none"/>
          <w:lang w:val="en-US" w:eastAsia="zh-CN" w:bidi="ar-SA"/>
        </w:rPr>
        <w:t>项目建设提质攻坚。</w:t>
      </w:r>
      <w:r>
        <w:rPr>
          <w:rFonts w:hint="eastAsia" w:ascii="仿宋" w:hAnsi="仿宋" w:eastAsia="仿宋" w:cs="仿宋"/>
          <w:i w:val="0"/>
          <w:iCs w:val="0"/>
          <w:caps w:val="0"/>
          <w:color w:val="0F1115"/>
          <w:spacing w:val="0"/>
          <w:kern w:val="2"/>
          <w:sz w:val="32"/>
          <w:szCs w:val="32"/>
          <w:highlight w:val="none"/>
          <w:shd w:val="clear" w:color="auto" w:fill="FFFFFF"/>
          <w:lang w:val="en-US" w:eastAsia="zh-CN" w:bidi="ar-SA"/>
        </w:rPr>
        <w:t>2026年实施重点项目91个，总投资182.29亿元，年度计划投资30.8亿元。其中，省级重点项目7个，总投资54.08亿元，年度计划投资9.63亿元，完成投资3.67亿元，开工率85.71%；伊春市级重点项目22个，总投资112.89亿元，年度计划投资10.68亿元，完成投资2.33亿元，开工率54.55%；铁力市本级重点项目62个，总投资15.32亿元，年度计划投资10.49亿元，完成投资0.3亿元，开工率27.41%。</w:t>
      </w:r>
      <w:r>
        <w:rPr>
          <w:rFonts w:hint="eastAsia" w:ascii="仿宋" w:hAnsi="仿宋" w:eastAsia="仿宋" w:cs="Times New Roman"/>
          <w:b/>
          <w:bCs/>
          <w:color w:val="auto"/>
          <w:kern w:val="2"/>
          <w:sz w:val="32"/>
          <w:szCs w:val="32"/>
          <w:highlight w:val="none"/>
          <w:shd w:val="clear" w:color="auto" w:fill="auto"/>
          <w:lang w:val="en-US" w:eastAsia="zh-CN" w:bidi="ar-SA"/>
        </w:rPr>
        <w:t>对上争取精准破局。</w:t>
      </w:r>
      <w:r>
        <w:rPr>
          <w:rFonts w:hint="eastAsia" w:ascii="仿宋" w:hAnsi="仿宋" w:eastAsia="仿宋" w:cs="Times New Roman"/>
          <w:color w:val="auto"/>
          <w:kern w:val="2"/>
          <w:sz w:val="32"/>
          <w:szCs w:val="32"/>
          <w:highlight w:val="none"/>
          <w:shd w:val="clear" w:color="auto" w:fill="auto"/>
          <w:lang w:val="en-US" w:eastAsia="zh-CN" w:bidi="ar-SA"/>
        </w:rPr>
        <w:t>年初以来，</w:t>
      </w:r>
      <w:r>
        <w:rPr>
          <w:rFonts w:hint="eastAsia" w:ascii="仿宋" w:hAnsi="仿宋" w:eastAsia="仿宋" w:cs="仿宋"/>
          <w:i w:val="0"/>
          <w:iCs w:val="0"/>
          <w:caps w:val="0"/>
          <w:color w:val="0F1115"/>
          <w:spacing w:val="0"/>
          <w:kern w:val="2"/>
          <w:sz w:val="32"/>
          <w:szCs w:val="32"/>
          <w:highlight w:val="none"/>
          <w:shd w:val="clear" w:color="auto" w:fill="FFFFFF"/>
          <w:lang w:val="en-US" w:eastAsia="zh-CN" w:bidi="ar-SA"/>
        </w:rPr>
        <w:t>已成功争取</w:t>
      </w:r>
      <w:r>
        <w:rPr>
          <w:rFonts w:hint="default" w:ascii="仿宋" w:hAnsi="仿宋" w:eastAsia="仿宋" w:cs="仿宋"/>
          <w:sz w:val="32"/>
          <w:szCs w:val="32"/>
          <w:highlight w:val="none"/>
          <w:lang w:val="en-US" w:eastAsia="zh-CN"/>
        </w:rPr>
        <w:t>中央预算内、超长期特别国债、地方政府专项债</w:t>
      </w:r>
      <w:r>
        <w:rPr>
          <w:rFonts w:hint="eastAsia" w:ascii="仿宋" w:hAnsi="仿宋" w:eastAsia="仿宋" w:cs="仿宋"/>
          <w:i w:val="0"/>
          <w:iCs w:val="0"/>
          <w:caps w:val="0"/>
          <w:color w:val="0F1115"/>
          <w:spacing w:val="0"/>
          <w:kern w:val="2"/>
          <w:sz w:val="32"/>
          <w:szCs w:val="32"/>
          <w:highlight w:val="none"/>
          <w:shd w:val="clear" w:color="auto" w:fill="FFFFFF"/>
          <w:lang w:val="en-US" w:eastAsia="zh-CN" w:bidi="ar-SA"/>
        </w:rPr>
        <w:t>项目9个，到位资金13823.36万元，其中，中央预算内投资项目到位资金5134万元、超长期特别国债项目到位资金2911万元、2026年省级重大政府投资项目前期费到位资金805万元、2023年增发国债调整项目到位资金4973.36万元。</w:t>
      </w:r>
    </w:p>
    <w:p w14:paraId="0805782C">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b w:val="0"/>
          <w:bCs w:val="0"/>
          <w:caps/>
          <w:sz w:val="32"/>
          <w:highlight w:val="none"/>
          <w:lang w:val="en-US" w:eastAsia="zh-CN"/>
        </w:rPr>
      </w:pPr>
      <w:r>
        <w:rPr>
          <w:rFonts w:hint="eastAsia" w:ascii="楷体" w:hAnsi="楷体" w:eastAsia="楷体" w:cs="楷体"/>
          <w:sz w:val="32"/>
          <w:szCs w:val="32"/>
          <w:highlight w:val="none"/>
          <w:lang w:val="en-US" w:eastAsia="zh-CN"/>
        </w:rPr>
        <w:t>（四）攻坚突破，改革创新纵深推进。</w:t>
      </w:r>
      <w:r>
        <w:rPr>
          <w:rFonts w:hint="eastAsia" w:ascii="仿宋" w:hAnsi="仿宋" w:eastAsia="仿宋" w:cs="仿宋"/>
          <w:b/>
          <w:bCs/>
          <w:color w:val="auto"/>
          <w:sz w:val="32"/>
          <w:szCs w:val="32"/>
          <w:highlight w:val="none"/>
          <w:lang w:val="en-US" w:eastAsia="zh-CN"/>
        </w:rPr>
        <w:t>营商环境持续优化。</w:t>
      </w:r>
      <w:r>
        <w:rPr>
          <w:rFonts w:hint="eastAsia" w:ascii="仿宋" w:hAnsi="仿宋" w:eastAsia="仿宋" w:cs="仿宋"/>
          <w:sz w:val="32"/>
          <w:szCs w:val="32"/>
          <w:highlight w:val="none"/>
        </w:rPr>
        <w:t>持续完善政务服务事项“五级六十同”标准化建设，“高效办成一件事”累计受理</w:t>
      </w:r>
      <w:r>
        <w:rPr>
          <w:rFonts w:hint="eastAsia" w:ascii="仿宋" w:hAnsi="仿宋" w:eastAsia="仿宋" w:cs="仿宋"/>
          <w:sz w:val="32"/>
          <w:szCs w:val="32"/>
          <w:highlight w:val="none"/>
          <w:lang w:val="en-US" w:eastAsia="zh-CN"/>
        </w:rPr>
        <w:t>11580</w:t>
      </w:r>
      <w:r>
        <w:rPr>
          <w:rFonts w:hint="eastAsia" w:ascii="仿宋" w:hAnsi="仿宋" w:eastAsia="仿宋" w:cs="仿宋"/>
          <w:sz w:val="32"/>
          <w:szCs w:val="32"/>
          <w:highlight w:val="none"/>
        </w:rPr>
        <w:t>件</w:t>
      </w:r>
      <w:r>
        <w:rPr>
          <w:rFonts w:hint="eastAsia" w:ascii="仿宋" w:hAnsi="仿宋" w:eastAsia="仿宋" w:cs="仿宋"/>
          <w:b w:val="0"/>
          <w:bCs w:val="0"/>
          <w:sz w:val="32"/>
          <w:szCs w:val="32"/>
          <w:highlight w:val="none"/>
          <w:lang w:val="en-US" w:eastAsia="zh-CN"/>
        </w:rPr>
        <w:t>，</w:t>
      </w:r>
      <w:r>
        <w:rPr>
          <w:rFonts w:hint="eastAsia" w:ascii="仿宋" w:hAnsi="仿宋" w:eastAsia="仿宋" w:cs="仿宋"/>
          <w:b w:val="0"/>
          <w:bCs w:val="0"/>
          <w:sz w:val="32"/>
          <w:szCs w:val="32"/>
          <w:highlight w:val="none"/>
        </w:rPr>
        <w:t>开展“政商沙龙”活动</w:t>
      </w:r>
      <w:r>
        <w:rPr>
          <w:rFonts w:hint="eastAsia" w:ascii="仿宋" w:hAnsi="仿宋" w:eastAsia="仿宋" w:cs="仿宋"/>
          <w:b w:val="0"/>
          <w:bCs w:val="0"/>
          <w:sz w:val="32"/>
          <w:szCs w:val="32"/>
          <w:highlight w:val="none"/>
          <w:lang w:val="en-US" w:eastAsia="zh-CN"/>
        </w:rPr>
        <w:t>9</w:t>
      </w:r>
      <w:r>
        <w:rPr>
          <w:rFonts w:hint="eastAsia" w:ascii="仿宋" w:hAnsi="仿宋" w:eastAsia="仿宋" w:cs="仿宋"/>
          <w:b w:val="0"/>
          <w:bCs w:val="0"/>
          <w:sz w:val="32"/>
          <w:szCs w:val="32"/>
          <w:highlight w:val="none"/>
        </w:rPr>
        <w:t>次，参</w:t>
      </w:r>
      <w:r>
        <w:rPr>
          <w:rFonts w:hint="eastAsia" w:ascii="仿宋" w:hAnsi="仿宋" w:eastAsia="仿宋" w:cs="仿宋"/>
          <w:b w:val="0"/>
          <w:bCs w:val="0"/>
          <w:sz w:val="32"/>
          <w:szCs w:val="32"/>
          <w:highlight w:val="none"/>
          <w:lang w:val="en-US" w:eastAsia="zh-CN"/>
        </w:rPr>
        <w:t>与</w:t>
      </w:r>
      <w:r>
        <w:rPr>
          <w:rFonts w:hint="eastAsia" w:ascii="仿宋" w:hAnsi="仿宋" w:eastAsia="仿宋" w:cs="仿宋"/>
          <w:b w:val="0"/>
          <w:bCs w:val="0"/>
          <w:sz w:val="32"/>
          <w:szCs w:val="32"/>
          <w:highlight w:val="none"/>
        </w:rPr>
        <w:t>市场主体</w:t>
      </w:r>
      <w:r>
        <w:rPr>
          <w:rFonts w:hint="eastAsia" w:ascii="仿宋" w:hAnsi="仿宋" w:eastAsia="仿宋" w:cs="仿宋"/>
          <w:b w:val="0"/>
          <w:bCs w:val="0"/>
          <w:sz w:val="32"/>
          <w:szCs w:val="32"/>
          <w:highlight w:val="none"/>
          <w:lang w:val="en-US" w:eastAsia="zh-CN"/>
        </w:rPr>
        <w:t>42</w:t>
      </w:r>
      <w:r>
        <w:rPr>
          <w:rFonts w:hint="eastAsia" w:ascii="仿宋" w:hAnsi="仿宋" w:eastAsia="仿宋" w:cs="仿宋"/>
          <w:b w:val="0"/>
          <w:bCs w:val="0"/>
          <w:sz w:val="32"/>
          <w:szCs w:val="32"/>
          <w:highlight w:val="none"/>
        </w:rPr>
        <w:t>家</w:t>
      </w:r>
      <w:r>
        <w:rPr>
          <w:rFonts w:hint="eastAsia" w:ascii="仿宋" w:hAnsi="仿宋" w:eastAsia="仿宋" w:cs="仿宋"/>
          <w:b w:val="0"/>
          <w:bCs w:val="0"/>
          <w:sz w:val="32"/>
          <w:szCs w:val="32"/>
          <w:highlight w:val="none"/>
          <w:lang w:eastAsia="zh-CN"/>
        </w:rPr>
        <w:t>，</w:t>
      </w:r>
      <w:r>
        <w:rPr>
          <w:rFonts w:hint="eastAsia" w:ascii="仿宋" w:hAnsi="仿宋" w:eastAsia="仿宋" w:cs="仿宋"/>
          <w:b w:val="0"/>
          <w:bCs w:val="0"/>
          <w:sz w:val="32"/>
          <w:szCs w:val="32"/>
          <w:highlight w:val="none"/>
        </w:rPr>
        <w:t>帮助企业解决问题</w:t>
      </w:r>
      <w:r>
        <w:rPr>
          <w:rFonts w:hint="eastAsia" w:ascii="仿宋" w:hAnsi="仿宋" w:eastAsia="仿宋" w:cs="仿宋"/>
          <w:b w:val="0"/>
          <w:bCs w:val="0"/>
          <w:sz w:val="32"/>
          <w:szCs w:val="32"/>
          <w:highlight w:val="none"/>
          <w:lang w:val="en-US" w:eastAsia="zh-CN"/>
        </w:rPr>
        <w:t>10个</w:t>
      </w:r>
      <w:r>
        <w:rPr>
          <w:rFonts w:hint="eastAsia" w:ascii="仿宋" w:hAnsi="仿宋" w:eastAsia="仿宋" w:cs="仿宋"/>
          <w:color w:val="auto"/>
          <w:sz w:val="32"/>
          <w:szCs w:val="32"/>
          <w:highlight w:val="none"/>
          <w:lang w:val="en-US" w:eastAsia="zh-CN"/>
        </w:rPr>
        <w:t>，问题解决率100%</w:t>
      </w:r>
      <w:r>
        <w:rPr>
          <w:rFonts w:hint="eastAsia" w:ascii="仿宋" w:hAnsi="仿宋" w:eastAsia="仿宋" w:cs="仿宋"/>
          <w:sz w:val="32"/>
          <w:szCs w:val="32"/>
          <w:highlight w:val="none"/>
        </w:rPr>
        <w:t>。</w:t>
      </w:r>
      <w:r>
        <w:rPr>
          <w:rFonts w:hint="eastAsia" w:ascii="仿宋" w:hAnsi="仿宋" w:eastAsia="仿宋" w:cs="国标楷体"/>
          <w:sz w:val="32"/>
          <w:szCs w:val="32"/>
          <w:highlight w:val="none"/>
        </w:rPr>
        <w:t>深化企业诉求“2110”高效闭环处办机制，涉企诉求按时受理率、办结率保持100%。</w:t>
      </w:r>
      <w:r>
        <w:rPr>
          <w:rFonts w:hint="eastAsia" w:ascii="仿宋" w:hAnsi="仿宋" w:eastAsia="仿宋" w:cs="仿宋"/>
          <w:b/>
          <w:bCs/>
          <w:color w:val="auto"/>
          <w:sz w:val="32"/>
          <w:szCs w:val="32"/>
          <w:highlight w:val="none"/>
          <w:lang w:val="en-US" w:eastAsia="zh-CN"/>
        </w:rPr>
        <w:t>科技创新动能增强。</w:t>
      </w:r>
      <w:r>
        <w:rPr>
          <w:rFonts w:hint="eastAsia" w:ascii="仿宋" w:hAnsi="仿宋" w:eastAsia="仿宋" w:cs="仿宋"/>
          <w:sz w:val="32"/>
          <w:szCs w:val="32"/>
          <w:highlight w:val="none"/>
          <w:lang w:val="en-US" w:eastAsia="zh-CN"/>
        </w:rPr>
        <w:t>强化科技项目引领，</w:t>
      </w:r>
      <w:r>
        <w:rPr>
          <w:rFonts w:hint="eastAsia" w:ascii="仿宋" w:hAnsi="仿宋" w:eastAsia="仿宋" w:cs="仿宋"/>
          <w:b w:val="0"/>
          <w:bCs w:val="0"/>
          <w:color w:val="auto"/>
          <w:kern w:val="2"/>
          <w:sz w:val="32"/>
          <w:szCs w:val="32"/>
          <w:highlight w:val="none"/>
          <w:lang w:val="en-US" w:eastAsia="zh-CN"/>
        </w:rPr>
        <w:t>引导黑龙江桃工科技有限公司、葵花药业集团（伊春）有限公司等3户企业申报破冰除雪机研制、补虚通瘀颗粒（无糖型）等3项重大科技成果转化项目。积极引导葵花药业集团（伊春）有限公司、五洲牧洋（黑龙江）科技有限公司、黑龙江省张玉梅农机装备有限责任公司等企业申报市级科技项目。</w:t>
      </w:r>
      <w:r>
        <w:rPr>
          <w:rFonts w:hint="eastAsia" w:ascii="仿宋" w:hAnsi="仿宋" w:eastAsia="仿宋" w:cs="仿宋"/>
          <w:b/>
          <w:bCs/>
          <w:color w:val="auto"/>
          <w:kern w:val="2"/>
          <w:sz w:val="32"/>
          <w:szCs w:val="32"/>
          <w:highlight w:val="none"/>
          <w:lang w:val="en-US" w:eastAsia="zh-CN" w:bidi="ar-SA"/>
        </w:rPr>
        <w:t>改革活力全面激发。</w:t>
      </w:r>
      <w:r>
        <w:rPr>
          <w:rFonts w:hint="eastAsia" w:ascii="仿宋" w:hAnsi="仿宋" w:eastAsia="仿宋" w:cs="仿宋"/>
          <w:b w:val="0"/>
          <w:bCs w:val="0"/>
          <w:color w:val="000000"/>
          <w:kern w:val="2"/>
          <w:sz w:val="32"/>
          <w:szCs w:val="32"/>
          <w:highlight w:val="none"/>
          <w:lang w:val="en-US" w:eastAsia="zh-CN" w:bidi="ar-SA"/>
        </w:rPr>
        <w:t>深化国资国企改革，</w:t>
      </w:r>
      <w:r>
        <w:rPr>
          <w:rFonts w:hint="default" w:ascii="仿宋" w:hAnsi="仿宋" w:eastAsia="仿宋" w:cs="仿宋"/>
          <w:color w:val="auto"/>
          <w:kern w:val="2"/>
          <w:sz w:val="32"/>
          <w:szCs w:val="32"/>
          <w:highlight w:val="none"/>
          <w:lang w:val="en-US" w:eastAsia="zh-CN"/>
        </w:rPr>
        <w:t>组织全市国企开展国有资产出租、处置专题业务培训，持续提升企业经营管理水平。</w:t>
      </w:r>
      <w:r>
        <w:rPr>
          <w:rFonts w:hint="eastAsia" w:ascii="仿宋" w:hAnsi="仿宋" w:eastAsia="仿宋" w:cs="仿宋"/>
          <w:b w:val="0"/>
          <w:bCs w:val="0"/>
          <w:caps/>
          <w:sz w:val="32"/>
          <w:highlight w:val="none"/>
          <w:lang w:val="en-US" w:eastAsia="zh-CN"/>
        </w:rPr>
        <w:t>深化农村领域改革，全市累计培育家庭农场2078家、农民专业合作社117家，创建示范家庭农场118家、示范农民专业合作社29家；</w:t>
      </w:r>
      <w:r>
        <w:rPr>
          <w:rFonts w:hint="eastAsia" w:ascii="仿宋" w:hAnsi="仿宋" w:eastAsia="仿宋" w:cs="仿宋"/>
          <w:b w:val="0"/>
          <w:bCs w:val="0"/>
          <w:color w:val="auto"/>
          <w:sz w:val="32"/>
          <w:szCs w:val="32"/>
          <w:highlight w:val="none"/>
          <w:lang w:val="en-US" w:eastAsia="zh-CN"/>
        </w:rPr>
        <w:t>深化垦地合作共建，推动王杨乡建设村与铁力农场公司达成农业社会化服务合作协议，落地土地托管面积332.9亩</w:t>
      </w:r>
      <w:r>
        <w:rPr>
          <w:rFonts w:hint="eastAsia" w:ascii="仿宋" w:hAnsi="仿宋" w:eastAsia="仿宋" w:cs="仿宋"/>
          <w:b w:val="0"/>
          <w:bCs w:val="0"/>
          <w:caps/>
          <w:sz w:val="32"/>
          <w:szCs w:val="32"/>
          <w:highlight w:val="none"/>
          <w:lang w:val="en-US" w:eastAsia="zh-CN"/>
        </w:rPr>
        <w:t>。深化“三医联动”改革，</w:t>
      </w:r>
      <w:r>
        <w:rPr>
          <w:rFonts w:hint="eastAsia" w:ascii="仿宋" w:hAnsi="仿宋" w:eastAsia="仿宋" w:cs="仿宋"/>
          <w:b w:val="0"/>
          <w:bCs w:val="0"/>
          <w:caps/>
          <w:sz w:val="32"/>
          <w:highlight w:val="none"/>
          <w:lang w:val="en-US" w:eastAsia="zh-CN"/>
        </w:rPr>
        <w:t>将我市符合条件的定点医疗机构全部纳入DIP结算范围。</w:t>
      </w:r>
    </w:p>
    <w:p w14:paraId="272D539A">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color w:val="auto"/>
          <w:sz w:val="32"/>
          <w:szCs w:val="32"/>
          <w:highlight w:val="none"/>
          <w:lang w:val="en-US" w:eastAsia="zh-CN"/>
        </w:rPr>
      </w:pPr>
      <w:r>
        <w:rPr>
          <w:rFonts w:hint="eastAsia" w:ascii="楷体" w:hAnsi="楷体" w:eastAsia="楷体" w:cs="楷体"/>
          <w:b w:val="0"/>
          <w:bCs w:val="0"/>
          <w:caps/>
          <w:sz w:val="32"/>
          <w:highlight w:val="none"/>
          <w:lang w:val="en-US" w:eastAsia="zh-CN"/>
        </w:rPr>
        <w:t>（五）惠民利民，民生福祉不断增强。</w:t>
      </w:r>
      <w:r>
        <w:rPr>
          <w:rFonts w:hint="eastAsia" w:ascii="仿宋" w:hAnsi="仿宋" w:eastAsia="仿宋" w:cs="Times New Roman"/>
          <w:b/>
          <w:bCs/>
          <w:color w:val="auto"/>
          <w:sz w:val="32"/>
          <w:szCs w:val="32"/>
          <w:highlight w:val="none"/>
          <w:shd w:val="clear" w:color="auto" w:fill="auto"/>
          <w:lang w:val="en-US" w:eastAsia="zh-CN"/>
        </w:rPr>
        <w:t>社会事业持续向好。</w:t>
      </w:r>
      <w:r>
        <w:rPr>
          <w:rFonts w:hint="eastAsia" w:ascii="仿宋" w:hAnsi="仿宋" w:eastAsia="仿宋" w:cs="Times New Roman"/>
          <w:color w:val="auto"/>
          <w:sz w:val="32"/>
          <w:szCs w:val="32"/>
          <w:highlight w:val="none"/>
          <w:shd w:val="clear" w:color="auto" w:fill="auto"/>
          <w:lang w:val="en-US" w:eastAsia="zh-CN"/>
        </w:rPr>
        <w:t>教育事业优质均衡发展，学前教育普惠率实现100%，小初一体化培养深入推进，普本升学率达79.54%。</w:t>
      </w:r>
      <w:r>
        <w:rPr>
          <w:rFonts w:hint="eastAsia" w:ascii="仿宋" w:hAnsi="仿宋" w:eastAsia="仿宋" w:cs="仿宋"/>
          <w:i w:val="0"/>
          <w:iCs w:val="0"/>
          <w:caps w:val="0"/>
          <w:color w:val="000000"/>
          <w:spacing w:val="0"/>
          <w:sz w:val="32"/>
          <w:szCs w:val="32"/>
          <w:highlight w:val="none"/>
        </w:rPr>
        <w:t>基层卫生服务能力</w:t>
      </w:r>
      <w:r>
        <w:rPr>
          <w:rFonts w:hint="eastAsia" w:ascii="仿宋" w:hAnsi="仿宋" w:eastAsia="仿宋" w:cs="仿宋"/>
          <w:i w:val="0"/>
          <w:iCs w:val="0"/>
          <w:caps w:val="0"/>
          <w:color w:val="000000"/>
          <w:spacing w:val="0"/>
          <w:sz w:val="32"/>
          <w:szCs w:val="32"/>
          <w:highlight w:val="none"/>
          <w:lang w:eastAsia="zh-CN"/>
        </w:rPr>
        <w:t>逐步</w:t>
      </w:r>
      <w:r>
        <w:rPr>
          <w:rFonts w:hint="eastAsia" w:ascii="仿宋" w:hAnsi="仿宋" w:eastAsia="仿宋" w:cs="仿宋"/>
          <w:i w:val="0"/>
          <w:iCs w:val="0"/>
          <w:caps w:val="0"/>
          <w:color w:val="000000"/>
          <w:spacing w:val="0"/>
          <w:sz w:val="32"/>
          <w:szCs w:val="32"/>
          <w:highlight w:val="none"/>
        </w:rPr>
        <w:t>提升，居民电子健康档案建档率达95.74%，全市二级医疗机构部署实施覆盖率达100%，实现全国一体化自动上报监测数据互联互通与共享，全民健康体检工作</w:t>
      </w:r>
      <w:r>
        <w:rPr>
          <w:rFonts w:hint="eastAsia" w:ascii="仿宋" w:hAnsi="仿宋" w:eastAsia="仿宋" w:cs="仿宋"/>
          <w:i w:val="0"/>
          <w:iCs w:val="0"/>
          <w:caps w:val="0"/>
          <w:color w:val="000000"/>
          <w:spacing w:val="0"/>
          <w:sz w:val="32"/>
          <w:szCs w:val="32"/>
          <w:highlight w:val="none"/>
          <w:lang w:val="en-US" w:eastAsia="zh-CN"/>
        </w:rPr>
        <w:t>顺利</w:t>
      </w:r>
      <w:r>
        <w:rPr>
          <w:rFonts w:hint="eastAsia" w:ascii="仿宋" w:hAnsi="仿宋" w:eastAsia="仿宋" w:cs="仿宋"/>
          <w:i w:val="0"/>
          <w:iCs w:val="0"/>
          <w:caps w:val="0"/>
          <w:color w:val="000000"/>
          <w:spacing w:val="0"/>
          <w:sz w:val="32"/>
          <w:szCs w:val="32"/>
          <w:highlight w:val="none"/>
        </w:rPr>
        <w:t>开展</w:t>
      </w:r>
      <w:r>
        <w:rPr>
          <w:rFonts w:hint="eastAsia" w:ascii="仿宋" w:hAnsi="仿宋" w:eastAsia="仿宋" w:cs="仿宋"/>
          <w:color w:val="000000"/>
          <w:kern w:val="2"/>
          <w:sz w:val="32"/>
          <w:szCs w:val="32"/>
          <w:highlight w:val="none"/>
          <w:lang w:val="en-US" w:eastAsia="zh-CN" w:bidi="ar"/>
          <w:woUserID w:val="9"/>
        </w:rPr>
        <w:t>。</w:t>
      </w:r>
      <w:r>
        <w:rPr>
          <w:rFonts w:hint="eastAsia" w:ascii="仿宋" w:hAnsi="仿宋" w:eastAsia="仿宋" w:cs="仿宋"/>
          <w:b/>
          <w:bCs/>
          <w:color w:val="auto"/>
          <w:kern w:val="2"/>
          <w:sz w:val="32"/>
          <w:szCs w:val="32"/>
          <w:highlight w:val="none"/>
          <w:lang w:val="en-US" w:eastAsia="zh-CN" w:bidi="ar"/>
          <w:woUserID w:val="9"/>
        </w:rPr>
        <w:t>民生保障实现优化。</w:t>
      </w:r>
      <w:r>
        <w:rPr>
          <w:rFonts w:hint="eastAsia" w:ascii="仿宋" w:hAnsi="仿宋" w:eastAsia="仿宋" w:cs="仿宋"/>
          <w:color w:val="000000"/>
          <w:kern w:val="2"/>
          <w:sz w:val="32"/>
          <w:szCs w:val="32"/>
          <w:highlight w:val="none"/>
          <w:lang w:val="en-US" w:eastAsia="zh-CN" w:bidi="ar"/>
          <w:woUserID w:val="9"/>
        </w:rPr>
        <w:t>就业创业形势良好，</w:t>
      </w:r>
      <w:r>
        <w:rPr>
          <w:rFonts w:hint="eastAsia" w:ascii="仿宋" w:hAnsi="仿宋" w:eastAsia="仿宋" w:cs="仿宋"/>
          <w:b w:val="0"/>
          <w:bCs w:val="0"/>
          <w:spacing w:val="0"/>
          <w:kern w:val="2"/>
          <w:sz w:val="32"/>
          <w:szCs w:val="32"/>
          <w:highlight w:val="none"/>
          <w:lang w:val="en-US" w:eastAsia="zh-CN" w:bidi="ar"/>
          <w:woUserID w:val="1"/>
        </w:rPr>
        <w:t>城镇新增就业</w:t>
      </w:r>
      <w:r>
        <w:rPr>
          <w:rFonts w:hint="eastAsia" w:ascii="仿宋" w:hAnsi="仿宋" w:eastAsia="仿宋" w:cs="仿宋"/>
          <w:b w:val="0"/>
          <w:bCs w:val="0"/>
          <w:spacing w:val="0"/>
          <w:sz w:val="32"/>
          <w:szCs w:val="32"/>
          <w:highlight w:val="none"/>
          <w:lang w:val="en-US" w:eastAsia="zh-CN"/>
        </w:rPr>
        <w:t>1440</w:t>
      </w:r>
      <w:r>
        <w:rPr>
          <w:rFonts w:hint="eastAsia" w:ascii="仿宋" w:hAnsi="仿宋" w:eastAsia="仿宋" w:cs="仿宋"/>
          <w:b w:val="0"/>
          <w:bCs w:val="0"/>
          <w:spacing w:val="0"/>
          <w:kern w:val="2"/>
          <w:sz w:val="32"/>
          <w:szCs w:val="32"/>
          <w:highlight w:val="none"/>
          <w:lang w:val="en-US" w:eastAsia="zh-CN" w:bidi="ar"/>
          <w:woUserID w:val="1"/>
        </w:rPr>
        <w:t>人，城镇失业人员再就业</w:t>
      </w:r>
      <w:r>
        <w:rPr>
          <w:rFonts w:hint="eastAsia" w:ascii="仿宋" w:hAnsi="仿宋" w:eastAsia="仿宋" w:cs="仿宋"/>
          <w:b w:val="0"/>
          <w:bCs w:val="0"/>
          <w:spacing w:val="0"/>
          <w:sz w:val="32"/>
          <w:szCs w:val="32"/>
          <w:highlight w:val="none"/>
          <w:lang w:val="en-US" w:eastAsia="zh-CN"/>
        </w:rPr>
        <w:t>1422</w:t>
      </w:r>
      <w:r>
        <w:rPr>
          <w:rFonts w:hint="eastAsia" w:ascii="仿宋" w:hAnsi="仿宋" w:eastAsia="仿宋" w:cs="仿宋"/>
          <w:b w:val="0"/>
          <w:bCs w:val="0"/>
          <w:spacing w:val="0"/>
          <w:kern w:val="2"/>
          <w:sz w:val="32"/>
          <w:szCs w:val="32"/>
          <w:highlight w:val="none"/>
          <w:lang w:val="en-US" w:eastAsia="zh-CN" w:bidi="ar"/>
          <w:woUserID w:val="1"/>
        </w:rPr>
        <w:t>人，就业困难人员就业306人。创新搭建线上线下融合招聘平台，线下举办专项招聘2场，线上发布岗位信息187期，提供优质岗位近千个，发放创业担保贷款72万元。</w:t>
      </w:r>
      <w:r>
        <w:rPr>
          <w:rFonts w:hint="eastAsia" w:ascii="仿宋" w:hAnsi="仿宋" w:eastAsia="仿宋" w:cs="仿宋"/>
          <w:sz w:val="32"/>
          <w:szCs w:val="32"/>
          <w:highlight w:val="none"/>
          <w:lang w:val="en-US" w:eastAsia="zh-CN"/>
        </w:rPr>
        <w:t>积极推进“县乡村”三级养老服务体系建设，</w:t>
      </w:r>
      <w:r>
        <w:rPr>
          <w:rFonts w:hint="eastAsia" w:ascii="仿宋" w:hAnsi="仿宋" w:eastAsia="仿宋" w:cs="仿宋"/>
          <w:b w:val="0"/>
          <w:bCs/>
          <w:color w:val="auto"/>
          <w:sz w:val="32"/>
          <w:szCs w:val="32"/>
          <w:highlight w:val="none"/>
          <w:lang w:val="en-US" w:eastAsia="zh-CN" w:bidi="ar"/>
        </w:rPr>
        <w:t>完善新交付社区养老服务用房设施4处，开展居家上门探访关爱服务约2.5万人次，发放高龄津贴185.1万元，惠及老人7647名。</w:t>
      </w:r>
      <w:r>
        <w:rPr>
          <w:rFonts w:hint="eastAsia" w:ascii="仿宋" w:hAnsi="仿宋" w:eastAsia="仿宋" w:cs="仿宋"/>
          <w:b/>
          <w:bCs/>
          <w:color w:val="auto"/>
          <w:sz w:val="32"/>
          <w:szCs w:val="32"/>
          <w:highlight w:val="none"/>
          <w:lang w:val="en-US" w:eastAsia="zh-CN"/>
        </w:rPr>
        <w:t>城乡建设提档升级。</w:t>
      </w:r>
      <w:r>
        <w:rPr>
          <w:rFonts w:hint="eastAsia" w:ascii="仿宋" w:hAnsi="仿宋" w:eastAsia="仿宋" w:cs="仿宋"/>
          <w:b w:val="0"/>
          <w:bCs w:val="0"/>
          <w:sz w:val="32"/>
          <w:szCs w:val="32"/>
          <w:highlight w:val="none"/>
          <w:lang w:val="en-US" w:eastAsia="zh-CN"/>
        </w:rPr>
        <w:t>城市功能品质跃升，成功入选省级城市更新试点县，建立城市更新动态管理项目库，</w:t>
      </w:r>
      <w:r>
        <w:rPr>
          <w:rFonts w:hint="eastAsia" w:ascii="仿宋" w:hAnsi="仿宋" w:eastAsia="仿宋" w:cs="仿宋"/>
          <w:b w:val="0"/>
          <w:bCs w:val="0"/>
          <w:color w:val="auto"/>
          <w:sz w:val="32"/>
          <w:szCs w:val="32"/>
          <w:highlight w:val="none"/>
          <w:lang w:val="en-US" w:eastAsia="zh-CN"/>
        </w:rPr>
        <w:t>2026年谋划项目</w:t>
      </w:r>
      <w:r>
        <w:rPr>
          <w:rFonts w:hint="default" w:ascii="仿宋" w:hAnsi="仿宋" w:eastAsia="仿宋" w:cs="仿宋"/>
          <w:b w:val="0"/>
          <w:bCs w:val="0"/>
          <w:color w:val="auto"/>
          <w:sz w:val="32"/>
          <w:szCs w:val="32"/>
          <w:highlight w:val="none"/>
          <w:lang w:val="en-US" w:eastAsia="zh-CN"/>
        </w:rPr>
        <w:t>84</w:t>
      </w:r>
      <w:r>
        <w:rPr>
          <w:rFonts w:hint="eastAsia" w:ascii="仿宋" w:hAnsi="仿宋" w:eastAsia="仿宋" w:cs="仿宋"/>
          <w:b w:val="0"/>
          <w:bCs w:val="0"/>
          <w:color w:val="auto"/>
          <w:sz w:val="32"/>
          <w:szCs w:val="32"/>
          <w:highlight w:val="none"/>
          <w:lang w:val="en-US" w:eastAsia="zh-CN"/>
        </w:rPr>
        <w:t>个，计划总投资</w:t>
      </w:r>
      <w:r>
        <w:rPr>
          <w:rFonts w:hint="default" w:ascii="仿宋" w:hAnsi="仿宋" w:eastAsia="仿宋" w:cs="仿宋"/>
          <w:b w:val="0"/>
          <w:bCs w:val="0"/>
          <w:color w:val="auto"/>
          <w:sz w:val="32"/>
          <w:szCs w:val="32"/>
          <w:highlight w:val="none"/>
          <w:lang w:val="en-US" w:eastAsia="zh-CN"/>
        </w:rPr>
        <w:t>30.01</w:t>
      </w:r>
      <w:r>
        <w:rPr>
          <w:rFonts w:hint="eastAsia" w:ascii="仿宋" w:hAnsi="仿宋" w:eastAsia="仿宋" w:cs="仿宋"/>
          <w:b w:val="0"/>
          <w:bCs w:val="0"/>
          <w:color w:val="auto"/>
          <w:sz w:val="32"/>
          <w:szCs w:val="32"/>
          <w:highlight w:val="none"/>
          <w:lang w:val="en-US" w:eastAsia="zh-CN"/>
        </w:rPr>
        <w:t>亿元。</w:t>
      </w:r>
      <w:r>
        <w:rPr>
          <w:rFonts w:hint="eastAsia" w:ascii="仿宋" w:hAnsi="仿宋" w:eastAsia="仿宋" w:cs="仿宋"/>
          <w:b w:val="0"/>
          <w:bCs w:val="0"/>
          <w:sz w:val="32"/>
          <w:szCs w:val="32"/>
          <w:highlight w:val="none"/>
          <w:lang w:val="en-US" w:eastAsia="zh-CN"/>
        </w:rPr>
        <w:t>市容环境提质焕新，</w:t>
      </w:r>
      <w:r>
        <w:rPr>
          <w:rFonts w:hint="eastAsia" w:ascii="仿宋" w:hAnsi="仿宋" w:eastAsia="仿宋" w:cs="仿宋"/>
          <w:b w:val="0"/>
          <w:bCs w:val="0"/>
          <w:i w:val="0"/>
          <w:iCs w:val="0"/>
          <w:caps w:val="0"/>
          <w:color w:val="auto"/>
          <w:spacing w:val="0"/>
          <w:sz w:val="32"/>
          <w:szCs w:val="32"/>
          <w:highlight w:val="none"/>
          <w:shd w:val="clear" w:color="auto" w:fill="FFFFFF"/>
          <w:lang w:eastAsia="zh-CN"/>
        </w:rPr>
        <w:t>移栽、补植灌木和时令花草200余万株，清理绿地300余万平方米，</w:t>
      </w:r>
      <w:r>
        <w:rPr>
          <w:rFonts w:hint="eastAsia" w:ascii="仿宋" w:hAnsi="仿宋" w:eastAsia="仿宋" w:cs="仿宋"/>
          <w:b w:val="0"/>
          <w:bCs w:val="0"/>
          <w:sz w:val="32"/>
          <w:szCs w:val="32"/>
          <w:highlight w:val="none"/>
          <w:lang w:val="en-US" w:eastAsia="zh-CN"/>
        </w:rPr>
        <w:t>清运生活垃圾3万余吨，整治卫生死角100余处。城市更新扎实见效，</w:t>
      </w:r>
      <w:r>
        <w:rPr>
          <w:rFonts w:hint="eastAsia" w:ascii="仿宋" w:hAnsi="仿宋" w:eastAsia="仿宋" w:cs="仿宋"/>
          <w:b w:val="0"/>
          <w:bCs w:val="0"/>
          <w:i w:val="0"/>
          <w:iCs w:val="0"/>
          <w:caps w:val="0"/>
          <w:color w:val="auto"/>
          <w:spacing w:val="0"/>
          <w:sz w:val="32"/>
          <w:szCs w:val="32"/>
          <w:highlight w:val="none"/>
          <w:shd w:val="clear" w:color="auto" w:fill="FFFFFF"/>
          <w:lang w:val="en-US" w:eastAsia="zh-CN"/>
        </w:rPr>
        <w:t>完成供热二级网管道及居民单元立管改造13公里，覆盖楼房66栋；完成80栋老旧楼房地沟内及入户供水管线改造</w:t>
      </w:r>
      <w:r>
        <w:rPr>
          <w:rFonts w:hint="eastAsia" w:ascii="仿宋" w:hAnsi="仿宋" w:eastAsia="仿宋" w:cs="仿宋"/>
          <w:b w:val="0"/>
          <w:bCs w:val="0"/>
          <w:sz w:val="32"/>
          <w:szCs w:val="32"/>
          <w:highlight w:val="none"/>
          <w:lang w:val="en-US" w:eastAsia="zh-CN"/>
        </w:rPr>
        <w:t>。</w:t>
      </w:r>
      <w:r>
        <w:rPr>
          <w:rFonts w:hint="eastAsia" w:ascii="仿宋" w:hAnsi="仿宋" w:eastAsia="仿宋" w:cs="仿宋"/>
          <w:b/>
          <w:bCs/>
          <w:color w:val="auto"/>
          <w:sz w:val="32"/>
          <w:szCs w:val="32"/>
          <w:highlight w:val="none"/>
          <w:lang w:val="en-US" w:eastAsia="zh-CN"/>
        </w:rPr>
        <w:t>社会大局平稳和谐。</w:t>
      </w:r>
      <w:r>
        <w:rPr>
          <w:rFonts w:hint="eastAsia" w:ascii="仿宋" w:hAnsi="仿宋" w:eastAsia="仿宋" w:cs="仿宋"/>
          <w:b w:val="0"/>
          <w:bCs w:val="0"/>
          <w:color w:val="auto"/>
          <w:sz w:val="32"/>
          <w:szCs w:val="32"/>
          <w:highlight w:val="none"/>
          <w:lang w:val="en-US" w:eastAsia="zh-CN"/>
        </w:rPr>
        <w:t>安全生产防线不断筑牢，</w:t>
      </w:r>
      <w:r>
        <w:rPr>
          <w:rFonts w:hint="eastAsia" w:ascii="仿宋" w:hAnsi="仿宋" w:eastAsia="仿宋" w:cs="仿宋"/>
          <w:color w:val="auto"/>
          <w:sz w:val="32"/>
          <w:szCs w:val="32"/>
          <w:highlight w:val="none"/>
          <w:lang w:eastAsia="zh-CN"/>
        </w:rPr>
        <w:t>累计检查民用爆炸物品企业7次、危化品企业5次、烟花爆竹销售点42家次、燃气安全</w:t>
      </w:r>
      <w:r>
        <w:rPr>
          <w:rFonts w:hint="eastAsia" w:ascii="仿宋" w:hAnsi="仿宋" w:eastAsia="仿宋" w:cs="仿宋"/>
          <w:color w:val="auto"/>
          <w:sz w:val="32"/>
          <w:szCs w:val="32"/>
          <w:highlight w:val="none"/>
          <w:lang w:val="en-US" w:eastAsia="zh-CN"/>
        </w:rPr>
        <w:t>26</w:t>
      </w:r>
      <w:r>
        <w:rPr>
          <w:rFonts w:hint="eastAsia" w:ascii="仿宋" w:hAnsi="仿宋" w:eastAsia="仿宋" w:cs="仿宋"/>
          <w:color w:val="auto"/>
          <w:sz w:val="32"/>
          <w:szCs w:val="32"/>
          <w:highlight w:val="none"/>
          <w:lang w:eastAsia="zh-CN"/>
        </w:rPr>
        <w:t>家次，整改隐患7处；</w:t>
      </w:r>
      <w:r>
        <w:rPr>
          <w:rFonts w:hint="eastAsia" w:ascii="仿宋" w:hAnsi="仿宋" w:eastAsia="仿宋" w:cs="仿宋"/>
          <w:color w:val="auto"/>
          <w:sz w:val="32"/>
          <w:szCs w:val="32"/>
          <w:highlight w:val="none"/>
          <w:lang w:val="en-US" w:eastAsia="zh-CN"/>
        </w:rPr>
        <w:t>检查</w:t>
      </w:r>
      <w:r>
        <w:rPr>
          <w:rFonts w:hint="eastAsia" w:ascii="仿宋" w:hAnsi="仿宋" w:eastAsia="仿宋" w:cs="仿宋"/>
          <w:color w:val="auto"/>
          <w:sz w:val="32"/>
          <w:szCs w:val="32"/>
          <w:highlight w:val="none"/>
          <w:lang w:eastAsia="zh-CN"/>
        </w:rPr>
        <w:t>食品经营主体1132户次，发现并整改问题294项。</w:t>
      </w:r>
      <w:r>
        <w:rPr>
          <w:rFonts w:hint="eastAsia" w:ascii="仿宋" w:hAnsi="仿宋" w:eastAsia="仿宋" w:cs="仿宋"/>
          <w:color w:val="auto"/>
          <w:sz w:val="32"/>
          <w:szCs w:val="32"/>
          <w:highlight w:val="none"/>
          <w:lang w:val="en-US" w:eastAsia="zh-CN"/>
        </w:rPr>
        <w:t>严打违法犯罪，累计接报各类警情6040起，立为刑事案件150起，破案52起，破案率34.6%，抓获网上逃犯8名，实现命案库存逃犯清零。</w:t>
      </w:r>
    </w:p>
    <w:p w14:paraId="44297269">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b w:val="0"/>
          <w:bCs/>
          <w:kern w:val="2"/>
          <w:sz w:val="32"/>
          <w:szCs w:val="32"/>
          <w:highlight w:val="none"/>
          <w:lang w:val="en-US" w:eastAsia="zh-CN" w:bidi="ar-SA"/>
        </w:rPr>
      </w:pPr>
      <w:r>
        <w:rPr>
          <w:rFonts w:hint="eastAsia" w:ascii="仿宋" w:hAnsi="仿宋" w:eastAsia="仿宋" w:cs="仿宋"/>
          <w:sz w:val="32"/>
          <w:szCs w:val="32"/>
          <w:highlight w:val="none"/>
        </w:rPr>
        <w:t>从上半年计划执行情况看，全市经济总体运行</w:t>
      </w:r>
      <w:r>
        <w:rPr>
          <w:rFonts w:hint="eastAsia" w:ascii="仿宋" w:hAnsi="仿宋" w:eastAsia="仿宋" w:cs="仿宋"/>
          <w:sz w:val="32"/>
          <w:szCs w:val="32"/>
          <w:highlight w:val="none"/>
          <w:lang w:val="en-US" w:eastAsia="zh-CN"/>
        </w:rPr>
        <w:t>稳中有进，</w:t>
      </w:r>
      <w:r>
        <w:rPr>
          <w:rFonts w:hint="eastAsia" w:ascii="仿宋" w:hAnsi="仿宋" w:eastAsia="仿宋" w:cs="仿宋"/>
          <w:sz w:val="32"/>
          <w:szCs w:val="32"/>
          <w:highlight w:val="none"/>
        </w:rPr>
        <w:t>社会大局</w:t>
      </w:r>
      <w:r>
        <w:rPr>
          <w:rFonts w:hint="eastAsia" w:ascii="仿宋" w:hAnsi="仿宋" w:eastAsia="仿宋" w:cs="仿宋"/>
          <w:sz w:val="32"/>
          <w:szCs w:val="32"/>
          <w:highlight w:val="none"/>
          <w:lang w:val="en-US" w:eastAsia="zh-CN"/>
        </w:rPr>
        <w:t>平稳向好</w:t>
      </w:r>
      <w:r>
        <w:rPr>
          <w:rFonts w:hint="eastAsia" w:ascii="仿宋" w:hAnsi="仿宋" w:eastAsia="仿宋" w:cs="仿宋"/>
          <w:sz w:val="32"/>
          <w:szCs w:val="32"/>
          <w:highlight w:val="none"/>
        </w:rPr>
        <w:t>，“十五五”实现良好开局，</w:t>
      </w:r>
      <w:r>
        <w:rPr>
          <w:rFonts w:hint="eastAsia" w:ascii="仿宋" w:hAnsi="仿宋" w:eastAsia="仿宋" w:cs="仿宋"/>
          <w:color w:val="auto"/>
          <w:sz w:val="32"/>
          <w:szCs w:val="32"/>
          <w:highlight w:val="none"/>
          <w:lang w:val="en-US" w:eastAsia="zh-CN"/>
        </w:rPr>
        <w:t>但仍面临不少短板制约。</w:t>
      </w:r>
      <w:r>
        <w:rPr>
          <w:rFonts w:hint="eastAsia" w:ascii="仿宋" w:hAnsi="仿宋" w:eastAsia="仿宋" w:cs="仿宋"/>
          <w:b/>
          <w:bCs/>
          <w:color w:val="auto"/>
          <w:sz w:val="32"/>
          <w:szCs w:val="32"/>
          <w:highlight w:val="none"/>
          <w:lang w:val="en-US" w:eastAsia="zh-CN"/>
        </w:rPr>
        <w:t>一是</w:t>
      </w:r>
      <w:r>
        <w:rPr>
          <w:rFonts w:hint="eastAsia" w:ascii="仿宋" w:hAnsi="仿宋" w:eastAsia="仿宋" w:cs="仿宋"/>
          <w:b w:val="0"/>
          <w:bCs w:val="0"/>
          <w:color w:val="auto"/>
          <w:sz w:val="32"/>
          <w:szCs w:val="32"/>
          <w:highlight w:val="none"/>
          <w:lang w:val="en-US" w:eastAsia="zh-CN"/>
        </w:rPr>
        <w:t>工业局部增长后劲不足，受市场需求减少影响，喜人药业、蓝天制药、五洲牧洋和葵花药业4户规上医药企业上半年产值实现9318万元，同比下降27.3%</w:t>
      </w:r>
      <w:r>
        <w:rPr>
          <w:rFonts w:hint="eastAsia" w:ascii="仿宋" w:hAnsi="仿宋" w:eastAsia="仿宋" w:cs="仿宋"/>
          <w:color w:val="auto"/>
          <w:sz w:val="32"/>
          <w:szCs w:val="32"/>
          <w:highlight w:val="none"/>
          <w:lang w:val="en-US" w:eastAsia="zh-CN"/>
        </w:rPr>
        <w:t>。</w:t>
      </w:r>
      <w:r>
        <w:rPr>
          <w:rFonts w:hint="eastAsia" w:ascii="仿宋" w:hAnsi="仿宋" w:eastAsia="仿宋" w:cs="仿宋"/>
          <w:b/>
          <w:bCs w:val="0"/>
          <w:kern w:val="2"/>
          <w:sz w:val="32"/>
          <w:szCs w:val="32"/>
          <w:highlight w:val="none"/>
          <w:lang w:val="en-US" w:eastAsia="zh-CN" w:bidi="ar-SA"/>
        </w:rPr>
        <w:t>二是</w:t>
      </w:r>
      <w:r>
        <w:rPr>
          <w:rFonts w:hint="eastAsia" w:ascii="仿宋" w:hAnsi="仿宋" w:eastAsia="仿宋" w:cs="仿宋"/>
          <w:b w:val="0"/>
          <w:bCs/>
          <w:kern w:val="2"/>
          <w:sz w:val="32"/>
          <w:szCs w:val="32"/>
          <w:highlight w:val="none"/>
          <w:lang w:val="en-US" w:eastAsia="zh-CN" w:bidi="ar-SA"/>
        </w:rPr>
        <w:t>大项目接续不足，伊春鹿鸣钼矿采选工程、高标准农田建设等大项目减量，对经济增长造成负向拉动。</w:t>
      </w:r>
    </w:p>
    <w:p w14:paraId="2B1B79C0">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黑体" w:hAnsi="黑体" w:eastAsia="黑体" w:cs="黑体"/>
          <w:b w:val="0"/>
          <w:bCs/>
          <w:kern w:val="2"/>
          <w:sz w:val="32"/>
          <w:szCs w:val="32"/>
          <w:highlight w:val="none"/>
          <w:lang w:val="en-US" w:eastAsia="zh-CN" w:bidi="ar-SA"/>
        </w:rPr>
      </w:pPr>
      <w:r>
        <w:rPr>
          <w:rFonts w:hint="eastAsia" w:ascii="黑体" w:hAnsi="黑体" w:eastAsia="黑体" w:cs="黑体"/>
          <w:b w:val="0"/>
          <w:bCs/>
          <w:kern w:val="2"/>
          <w:sz w:val="32"/>
          <w:szCs w:val="32"/>
          <w:highlight w:val="none"/>
          <w:lang w:val="en-US" w:eastAsia="zh-CN" w:bidi="ar-SA"/>
        </w:rPr>
        <w:t>二、下半年发展计划</w:t>
      </w:r>
    </w:p>
    <w:p w14:paraId="5293AF68">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highlight w:val="none"/>
          <w:lang w:val="en-US" w:eastAsia="zh-CN"/>
        </w:rPr>
      </w:pPr>
      <w:r>
        <w:rPr>
          <w:rFonts w:hint="eastAsia" w:ascii="楷体" w:hAnsi="楷体" w:eastAsia="楷体" w:cs="楷体"/>
          <w:b w:val="0"/>
          <w:bCs/>
          <w:kern w:val="2"/>
          <w:sz w:val="32"/>
          <w:szCs w:val="32"/>
          <w:highlight w:val="none"/>
          <w:lang w:val="en-US" w:eastAsia="zh-CN" w:bidi="ar-SA"/>
        </w:rPr>
        <w:t>（一）做强做优主导产业，促进三产深度融合。</w:t>
      </w:r>
      <w:r>
        <w:rPr>
          <w:rFonts w:hint="eastAsia" w:ascii="仿宋" w:hAnsi="仿宋" w:eastAsia="仿宋" w:cs="仿宋"/>
          <w:b/>
          <w:bCs w:val="0"/>
          <w:kern w:val="2"/>
          <w:sz w:val="32"/>
          <w:szCs w:val="32"/>
          <w:highlight w:val="none"/>
          <w:lang w:val="en-US" w:eastAsia="zh-CN" w:bidi="ar-SA"/>
        </w:rPr>
        <w:t>提高农业发展质效。</w:t>
      </w:r>
      <w:r>
        <w:rPr>
          <w:rFonts w:hint="eastAsia" w:ascii="仿宋" w:hAnsi="仿宋" w:eastAsia="仿宋" w:cs="仿宋"/>
          <w:sz w:val="32"/>
          <w:szCs w:val="32"/>
          <w:highlight w:val="none"/>
          <w:lang w:val="en-US" w:eastAsia="zh-CN"/>
        </w:rPr>
        <w:t>高质量推进高标准农田建设，</w:t>
      </w:r>
      <w:r>
        <w:rPr>
          <w:rFonts w:hint="eastAsia" w:ascii="仿宋" w:hAnsi="仿宋" w:eastAsia="仿宋" w:cs="仿宋"/>
          <w:b w:val="0"/>
          <w:bCs/>
          <w:kern w:val="2"/>
          <w:sz w:val="32"/>
          <w:szCs w:val="32"/>
          <w:highlight w:val="none"/>
          <w:lang w:val="en-US" w:eastAsia="zh-CN" w:bidi="ar-SA"/>
        </w:rPr>
        <w:t>扎实做好田间管理，强化病虫害绿色防控，</w:t>
      </w:r>
      <w:r>
        <w:rPr>
          <w:rFonts w:hint="eastAsia" w:ascii="仿宋" w:hAnsi="仿宋" w:eastAsia="仿宋" w:cs="仿宋"/>
          <w:sz w:val="32"/>
          <w:szCs w:val="32"/>
          <w:highlight w:val="none"/>
          <w:lang w:val="en-US" w:eastAsia="zh-CN"/>
        </w:rPr>
        <w:t>统筹开展秋收、秸秆处理等各项工作，维护国家粮食安全。深挖林下采集潜力，</w:t>
      </w:r>
      <w:r>
        <w:rPr>
          <w:rFonts w:hint="eastAsia" w:ascii="仿宋" w:hAnsi="仿宋" w:eastAsia="仿宋" w:cs="仿宋"/>
          <w:b w:val="0"/>
          <w:bCs/>
          <w:kern w:val="2"/>
          <w:sz w:val="32"/>
          <w:szCs w:val="32"/>
          <w:highlight w:val="none"/>
          <w:lang w:val="en-US" w:eastAsia="zh-CN" w:bidi="ar-SA"/>
        </w:rPr>
        <w:t>因地制宜持续推广林下种植复合经营模式，</w:t>
      </w:r>
      <w:r>
        <w:rPr>
          <w:rFonts w:hint="eastAsia" w:ascii="仿宋" w:hAnsi="仿宋" w:eastAsia="仿宋" w:cs="仿宋"/>
          <w:color w:val="auto"/>
          <w:sz w:val="32"/>
          <w:szCs w:val="32"/>
          <w:highlight w:val="none"/>
          <w:lang w:val="en-US" w:eastAsia="zh-CN"/>
        </w:rPr>
        <w:t>积极宣传引导广大农户和职工进山采收林产品。做强湖羊、梅花鹿等特色养殖，稳定铁力市金新农生态农牧有限公司生猪产能。大力推广水稻综合种养等生态养殖模式，促进渔业高质量发展。</w:t>
      </w:r>
      <w:r>
        <w:rPr>
          <w:rFonts w:hint="eastAsia" w:ascii="仿宋" w:hAnsi="仿宋" w:eastAsia="仿宋" w:cs="仿宋"/>
          <w:b/>
          <w:bCs/>
          <w:color w:val="auto"/>
          <w:sz w:val="32"/>
          <w:szCs w:val="32"/>
          <w:highlight w:val="none"/>
          <w:lang w:val="en-US" w:eastAsia="zh-CN"/>
        </w:rPr>
        <w:t>强化为企跟踪服务。</w:t>
      </w:r>
      <w:r>
        <w:rPr>
          <w:rFonts w:hint="eastAsia" w:ascii="仿宋" w:hAnsi="仿宋" w:eastAsia="仿宋" w:cs="仿宋"/>
          <w:b w:val="0"/>
          <w:bCs w:val="0"/>
          <w:color w:val="auto"/>
          <w:sz w:val="32"/>
          <w:szCs w:val="32"/>
          <w:highlight w:val="none"/>
          <w:lang w:val="en-US" w:eastAsia="zh-CN"/>
        </w:rPr>
        <w:t>持续推进鹿鸣智能矿山等工业项目建设，</w:t>
      </w:r>
      <w:r>
        <w:rPr>
          <w:rFonts w:hint="eastAsia" w:ascii="仿宋" w:hAnsi="仿宋" w:eastAsia="仿宋" w:cs="仿宋"/>
          <w:color w:val="000000"/>
          <w:spacing w:val="0"/>
          <w:w w:val="100"/>
          <w:kern w:val="0"/>
          <w:position w:val="0"/>
          <w:sz w:val="32"/>
          <w:szCs w:val="32"/>
          <w:highlight w:val="none"/>
          <w:lang w:val="en-US" w:eastAsia="zh-CN" w:bidi="ar-SA"/>
        </w:rPr>
        <w:t>抓好重点后备企业“升规”培育，壮大市场主体。建立动态帮扶机制，积极搭建沟通平台，加大惠企政策宣传解读力度，及时协调解决企业急难愁盼问题</w:t>
      </w:r>
      <w:r>
        <w:rPr>
          <w:rFonts w:hint="eastAsia" w:ascii="仿宋" w:hAnsi="仿宋" w:eastAsia="仿宋" w:cs="仿宋"/>
          <w:b w:val="0"/>
          <w:bCs w:val="0"/>
          <w:strike w:val="0"/>
          <w:dstrike w:val="0"/>
          <w:color w:val="auto"/>
          <w:kern w:val="2"/>
          <w:sz w:val="32"/>
          <w:szCs w:val="32"/>
          <w:highlight w:val="none"/>
          <w:u w:val="none"/>
          <w:lang w:val="en-US" w:eastAsia="zh-CN"/>
        </w:rPr>
        <w:t>。</w:t>
      </w:r>
      <w:r>
        <w:rPr>
          <w:rFonts w:hint="eastAsia" w:ascii="仿宋" w:hAnsi="仿宋" w:eastAsia="仿宋" w:cs="仿宋"/>
          <w:b w:val="0"/>
          <w:bCs w:val="0"/>
          <w:color w:val="auto"/>
          <w:kern w:val="2"/>
          <w:sz w:val="32"/>
          <w:szCs w:val="32"/>
          <w:highlight w:val="none"/>
          <w:lang w:val="en-US" w:eastAsia="zh-CN"/>
        </w:rPr>
        <w:t>持续培育“专精特新”中小企业，提高企业核心竞争力。</w:t>
      </w:r>
      <w:r>
        <w:rPr>
          <w:rFonts w:hint="eastAsia" w:ascii="仿宋" w:hAnsi="仿宋" w:eastAsia="仿宋" w:cs="仿宋"/>
          <w:b/>
          <w:bCs/>
          <w:color w:val="auto"/>
          <w:kern w:val="2"/>
          <w:sz w:val="32"/>
          <w:szCs w:val="32"/>
          <w:highlight w:val="none"/>
          <w:lang w:val="en-US" w:eastAsia="zh-CN"/>
        </w:rPr>
        <w:t>培优壮大服务业态</w:t>
      </w:r>
      <w:r>
        <w:rPr>
          <w:rFonts w:hint="eastAsia" w:ascii="仿宋" w:hAnsi="仿宋" w:eastAsia="仿宋" w:cs="仿宋"/>
          <w:b/>
          <w:bCs/>
          <w:sz w:val="32"/>
          <w:szCs w:val="32"/>
          <w:highlight w:val="none"/>
          <w:lang w:val="en-US" w:eastAsia="zh-CN"/>
        </w:rPr>
        <w:t>。</w:t>
      </w:r>
      <w:r>
        <w:rPr>
          <w:rFonts w:hint="eastAsia" w:ascii="仿宋" w:hAnsi="仿宋" w:eastAsia="仿宋" w:cs="仿宋"/>
          <w:color w:val="auto"/>
          <w:sz w:val="32"/>
          <w:szCs w:val="32"/>
          <w:highlight w:val="none"/>
          <w:lang w:val="en-US" w:eastAsia="zh-CN"/>
        </w:rPr>
        <w:t>全面激发消费动能，常态化开展促消费活动，结合创业就业基地早市、西河公园夜市等特色集市，打造沉浸式市井消费场景。加速文体旅产业发展，</w:t>
      </w:r>
      <w:r>
        <w:rPr>
          <w:rFonts w:hint="eastAsia" w:ascii="仿宋" w:hAnsi="仿宋" w:eastAsia="仿宋" w:cs="仿宋"/>
          <w:color w:val="auto"/>
          <w:sz w:val="32"/>
          <w:szCs w:val="32"/>
          <w:highlight w:val="none"/>
          <w:lang w:eastAsia="zh-CN"/>
        </w:rPr>
        <w:t>完善景区配套设施，培育研学、冰雪、康养特色产品，重点打造冬季特色体育活动，高标准承办国际越野滑雪赛事，常态化开展欢乐跑、秧歌展演等群众文体活动，丰富日常运动场景。</w:t>
      </w:r>
      <w:r>
        <w:rPr>
          <w:rFonts w:hint="eastAsia" w:ascii="仿宋" w:hAnsi="仿宋" w:eastAsia="仿宋" w:cs="仿宋"/>
          <w:color w:val="auto"/>
          <w:sz w:val="32"/>
          <w:szCs w:val="32"/>
          <w:highlight w:val="none"/>
          <w:lang w:val="en-US" w:eastAsia="zh-CN"/>
        </w:rPr>
        <w:t>组织</w:t>
      </w:r>
      <w:r>
        <w:rPr>
          <w:rFonts w:hint="eastAsia" w:ascii="仿宋" w:hAnsi="仿宋" w:eastAsia="仿宋" w:cs="仿宋"/>
          <w:color w:val="auto"/>
          <w:sz w:val="32"/>
          <w:szCs w:val="32"/>
          <w:highlight w:val="none"/>
          <w:lang w:eastAsia="zh-CN"/>
        </w:rPr>
        <w:t>电商人才培训，提高电商从业技能，邀请网红达人到我市直播带货，开展电商销售</w:t>
      </w:r>
      <w:r>
        <w:rPr>
          <w:rFonts w:hint="eastAsia" w:ascii="仿宋" w:hAnsi="仿宋" w:eastAsia="仿宋" w:cs="仿宋"/>
          <w:color w:val="auto"/>
          <w:sz w:val="32"/>
          <w:szCs w:val="32"/>
          <w:highlight w:val="none"/>
          <w:lang w:val="en-US" w:eastAsia="zh-CN"/>
        </w:rPr>
        <w:t>等活动，激发电商创业发展动力</w:t>
      </w:r>
      <w:r>
        <w:rPr>
          <w:rFonts w:hint="eastAsia" w:ascii="仿宋" w:hAnsi="仿宋" w:eastAsia="仿宋" w:cs="仿宋"/>
          <w:color w:val="auto"/>
          <w:sz w:val="32"/>
          <w:szCs w:val="32"/>
          <w:highlight w:val="none"/>
          <w:lang w:eastAsia="zh-CN"/>
        </w:rPr>
        <w:t>。</w:t>
      </w:r>
    </w:p>
    <w:p w14:paraId="62A66B0B">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sz w:val="32"/>
          <w:szCs w:val="32"/>
          <w:highlight w:val="none"/>
          <w:lang w:val="en-US" w:eastAsia="zh-CN"/>
        </w:rPr>
      </w:pPr>
      <w:r>
        <w:rPr>
          <w:rFonts w:hint="eastAsia" w:ascii="楷体" w:hAnsi="楷体" w:eastAsia="楷体" w:cs="楷体"/>
          <w:color w:val="auto"/>
          <w:sz w:val="32"/>
          <w:szCs w:val="32"/>
          <w:highlight w:val="none"/>
          <w:lang w:val="en-US" w:eastAsia="zh-CN"/>
        </w:rPr>
        <w:t>（二）抓实精准招商引资，扩容提质有效投资。</w:t>
      </w:r>
      <w:r>
        <w:rPr>
          <w:rFonts w:hint="eastAsia" w:ascii="仿宋" w:hAnsi="仿宋" w:eastAsia="仿宋" w:cs="仿宋"/>
          <w:b/>
          <w:bCs/>
          <w:color w:val="auto"/>
          <w:sz w:val="32"/>
          <w:szCs w:val="32"/>
          <w:highlight w:val="none"/>
          <w:lang w:val="en-US" w:eastAsia="zh-CN"/>
        </w:rPr>
        <w:t>聚力精准招商。</w:t>
      </w:r>
      <w:r>
        <w:rPr>
          <w:rFonts w:hint="eastAsia" w:ascii="仿宋" w:hAnsi="仿宋" w:eastAsia="仿宋" w:cs="仿宋"/>
          <w:color w:val="auto"/>
          <w:sz w:val="32"/>
          <w:szCs w:val="32"/>
          <w:highlight w:val="none"/>
          <w:lang w:val="en-US" w:eastAsia="zh-CN"/>
        </w:rPr>
        <w:t>精准对接、靶向攻关，谋划一批投资规模大、带动力强的项目，</w:t>
      </w:r>
      <w:r>
        <w:rPr>
          <w:rFonts w:hint="eastAsia" w:ascii="仿宋" w:hAnsi="仿宋" w:eastAsia="仿宋" w:cs="Times New Roman"/>
          <w:color w:val="auto"/>
          <w:sz w:val="32"/>
          <w:szCs w:val="32"/>
          <w:highlight w:val="none"/>
          <w:shd w:val="clear" w:color="auto" w:fill="auto"/>
          <w:lang w:val="en-US" w:eastAsia="zh-CN"/>
        </w:rPr>
        <w:t>招引更多企业在我市落地</w:t>
      </w:r>
      <w:r>
        <w:rPr>
          <w:rFonts w:hint="eastAsia" w:ascii="仿宋" w:hAnsi="仿宋" w:eastAsia="仿宋" w:cs="仿宋"/>
          <w:color w:val="auto"/>
          <w:sz w:val="32"/>
          <w:szCs w:val="32"/>
          <w:highlight w:val="none"/>
          <w:lang w:val="en-US" w:eastAsia="zh-CN"/>
        </w:rPr>
        <w:t>。</w:t>
      </w:r>
      <w:r>
        <w:rPr>
          <w:rFonts w:hint="eastAsia" w:ascii="仿宋" w:hAnsi="仿宋" w:eastAsia="仿宋" w:cs="仿宋"/>
          <w:sz w:val="32"/>
          <w:szCs w:val="32"/>
          <w:highlight w:val="none"/>
          <w:lang w:val="en-US" w:eastAsia="zh-CN"/>
        </w:rPr>
        <w:t>加大与杭州阳光新视界健康管理集团有限公司的沟通对接力度，增强企业投资意向，推动项目早日签约落地；积极跟进国瑞白桦树汁产业基地、鹿鸣绿色矿山等在库项目，提升项目固投到位率</w:t>
      </w:r>
      <w:r>
        <w:rPr>
          <w:rFonts w:hint="eastAsia" w:ascii="仿宋" w:hAnsi="仿宋" w:eastAsia="仿宋" w:cs="仿宋"/>
          <w:b w:val="0"/>
          <w:bCs w:val="0"/>
          <w:sz w:val="32"/>
          <w:szCs w:val="32"/>
          <w:highlight w:val="none"/>
          <w:lang w:val="en-US" w:eastAsia="zh-CN"/>
        </w:rPr>
        <w:t>；深化与杭州阳光新视界健康管理集团有限公司、天津天士力制药股份有限公司的对接，推动外资项目早日落地。</w:t>
      </w:r>
      <w:r>
        <w:rPr>
          <w:rFonts w:hint="eastAsia" w:ascii="仿宋" w:hAnsi="仿宋" w:eastAsia="仿宋" w:cs="仿宋"/>
          <w:b/>
          <w:bCs/>
          <w:sz w:val="32"/>
          <w:szCs w:val="32"/>
          <w:highlight w:val="none"/>
          <w:lang w:val="en-US" w:eastAsia="zh-CN"/>
        </w:rPr>
        <w:t>狠抓项目建设。</w:t>
      </w:r>
      <w:r>
        <w:rPr>
          <w:rFonts w:hint="eastAsia" w:ascii="仿宋" w:hAnsi="仿宋" w:eastAsia="仿宋" w:cs="仿宋"/>
          <w:sz w:val="32"/>
          <w:szCs w:val="32"/>
          <w:highlight w:val="none"/>
          <w:lang w:val="en-US" w:eastAsia="zh-CN"/>
        </w:rPr>
        <w:t>加强重点项目调度</w:t>
      </w:r>
      <w:r>
        <w:rPr>
          <w:rFonts w:hint="default" w:ascii="仿宋" w:hAnsi="仿宋" w:eastAsia="仿宋" w:cs="仿宋"/>
          <w:b w:val="0"/>
          <w:bCs w:val="0"/>
          <w:color w:val="auto"/>
          <w:sz w:val="32"/>
          <w:szCs w:val="32"/>
          <w:highlight w:val="none"/>
          <w:lang w:val="en-US" w:eastAsia="zh-CN"/>
        </w:rPr>
        <w:t>，</w:t>
      </w:r>
      <w:r>
        <w:rPr>
          <w:rFonts w:hint="eastAsia" w:ascii="仿宋" w:hAnsi="仿宋" w:eastAsia="仿宋" w:cs="仿宋"/>
          <w:b w:val="0"/>
          <w:bCs w:val="0"/>
          <w:color w:val="auto"/>
          <w:sz w:val="32"/>
          <w:szCs w:val="32"/>
          <w:highlight w:val="none"/>
          <w:lang w:val="en-US" w:eastAsia="zh-CN"/>
        </w:rPr>
        <w:t>聚焦国瑞200MW风电、</w:t>
      </w:r>
      <w:r>
        <w:rPr>
          <w:rFonts w:hint="default" w:ascii="仿宋" w:hAnsi="仿宋" w:eastAsia="仿宋" w:cs="仿宋"/>
          <w:b w:val="0"/>
          <w:bCs w:val="0"/>
          <w:color w:val="auto"/>
          <w:sz w:val="32"/>
          <w:szCs w:val="32"/>
          <w:highlight w:val="none"/>
          <w:lang w:val="en-US" w:eastAsia="zh-CN"/>
        </w:rPr>
        <w:t>中储粮（伊春）直属库有限公司仓储</w:t>
      </w:r>
      <w:r>
        <w:rPr>
          <w:rFonts w:hint="eastAsia" w:ascii="仿宋" w:hAnsi="仿宋" w:eastAsia="仿宋" w:cs="仿宋"/>
          <w:b w:val="0"/>
          <w:bCs w:val="0"/>
          <w:color w:val="auto"/>
          <w:sz w:val="32"/>
          <w:szCs w:val="32"/>
          <w:highlight w:val="none"/>
          <w:lang w:val="en-US" w:eastAsia="zh-CN"/>
        </w:rPr>
        <w:t>、白桦树汁产业基地</w:t>
      </w:r>
      <w:r>
        <w:rPr>
          <w:rFonts w:hint="default" w:ascii="仿宋" w:hAnsi="仿宋" w:eastAsia="仿宋" w:cs="仿宋"/>
          <w:b w:val="0"/>
          <w:bCs w:val="0"/>
          <w:color w:val="auto"/>
          <w:sz w:val="32"/>
          <w:szCs w:val="32"/>
          <w:highlight w:val="none"/>
          <w:lang w:val="en-US" w:eastAsia="zh-CN"/>
        </w:rPr>
        <w:t>等</w:t>
      </w:r>
      <w:r>
        <w:rPr>
          <w:rFonts w:hint="eastAsia" w:ascii="仿宋" w:hAnsi="仿宋" w:eastAsia="仿宋" w:cs="仿宋"/>
          <w:b w:val="0"/>
          <w:bCs w:val="0"/>
          <w:color w:val="auto"/>
          <w:sz w:val="32"/>
          <w:szCs w:val="32"/>
          <w:highlight w:val="none"/>
          <w:lang w:val="en-US" w:eastAsia="zh-CN"/>
        </w:rPr>
        <w:t>重大</w:t>
      </w:r>
      <w:r>
        <w:rPr>
          <w:rFonts w:hint="default" w:ascii="仿宋" w:hAnsi="仿宋" w:eastAsia="仿宋" w:cs="仿宋"/>
          <w:b w:val="0"/>
          <w:bCs w:val="0"/>
          <w:color w:val="auto"/>
          <w:sz w:val="32"/>
          <w:szCs w:val="32"/>
          <w:highlight w:val="none"/>
          <w:lang w:val="en-US" w:eastAsia="zh-CN"/>
        </w:rPr>
        <w:t>项目</w:t>
      </w:r>
      <w:r>
        <w:rPr>
          <w:rFonts w:hint="eastAsia" w:ascii="仿宋" w:hAnsi="仿宋" w:eastAsia="仿宋" w:cs="仿宋"/>
          <w:b w:val="0"/>
          <w:bCs w:val="0"/>
          <w:color w:val="auto"/>
          <w:sz w:val="32"/>
          <w:szCs w:val="32"/>
          <w:highlight w:val="none"/>
          <w:lang w:val="en-US" w:eastAsia="zh-CN"/>
        </w:rPr>
        <w:t>建设，</w:t>
      </w:r>
      <w:r>
        <w:rPr>
          <w:rFonts w:hint="eastAsia" w:ascii="仿宋" w:hAnsi="仿宋" w:eastAsia="仿宋" w:cs="仿宋"/>
          <w:sz w:val="32"/>
          <w:szCs w:val="32"/>
          <w:highlight w:val="none"/>
          <w:lang w:val="en-US" w:eastAsia="zh-CN"/>
        </w:rPr>
        <w:t>靠前服务、靶向解决问题，层层压实工作责任，细化落实各项举措，推动我市重点项目早日投产达效。</w:t>
      </w:r>
      <w:r>
        <w:rPr>
          <w:rFonts w:hint="eastAsia" w:ascii="仿宋" w:hAnsi="仿宋" w:eastAsia="仿宋" w:cs="仿宋"/>
          <w:b/>
          <w:bCs/>
          <w:color w:val="auto"/>
          <w:sz w:val="32"/>
          <w:highlight w:val="none"/>
          <w:lang w:val="en-US" w:eastAsia="zh-CN"/>
        </w:rPr>
        <w:t>积极对上争取</w:t>
      </w:r>
      <w:r>
        <w:rPr>
          <w:rFonts w:ascii="仿宋" w:hAnsi="仿宋" w:eastAsia="仿宋" w:cs="仿宋"/>
          <w:b/>
          <w:bCs/>
          <w:color w:val="auto"/>
          <w:sz w:val="32"/>
          <w:highlight w:val="none"/>
          <w:lang w:val="en-US" w:eastAsia="zh-CN"/>
        </w:rPr>
        <w:t>。</w:t>
      </w:r>
      <w:r>
        <w:rPr>
          <w:rFonts w:hint="eastAsia" w:ascii="仿宋" w:hAnsi="仿宋" w:eastAsia="仿宋" w:cs="仿宋"/>
          <w:b w:val="0"/>
          <w:bCs w:val="0"/>
          <w:color w:val="auto"/>
          <w:sz w:val="32"/>
          <w:highlight w:val="none"/>
          <w:lang w:val="en-US" w:eastAsia="zh-CN"/>
        </w:rPr>
        <w:t>加强与上级部门对接，推进用地、规划、环评等审批手续办理，统筹本级财政配套资金，严格按工程进度拨付资金，切实提高资金使用效率和支付率。</w:t>
      </w:r>
      <w:r>
        <w:rPr>
          <w:rFonts w:hint="eastAsia" w:ascii="仿宋" w:hAnsi="仿宋" w:eastAsia="仿宋" w:cs="仿宋"/>
          <w:color w:val="auto"/>
          <w:sz w:val="32"/>
          <w:highlight w:val="none"/>
          <w:lang w:val="en-US" w:eastAsia="zh-CN"/>
        </w:rPr>
        <w:t>深挖储备潜力，增强争取后劲，紧盯国家政策最新动向，动态更新项目储备库，提前启动前期工作，提高项目成熟度和申报竞争力，为后续超长期特别国债、“两新”“两重”等</w:t>
      </w:r>
      <w:r>
        <w:rPr>
          <w:rFonts w:ascii="仿宋" w:hAnsi="仿宋" w:eastAsia="仿宋" w:cs="仿宋"/>
          <w:color w:val="auto"/>
          <w:sz w:val="32"/>
          <w:highlight w:val="none"/>
          <w:lang w:val="en-US" w:eastAsia="zh-CN"/>
        </w:rPr>
        <w:t>有关资金</w:t>
      </w:r>
      <w:r>
        <w:rPr>
          <w:rFonts w:hint="eastAsia" w:ascii="仿宋" w:hAnsi="仿宋" w:eastAsia="仿宋" w:cs="仿宋"/>
          <w:color w:val="auto"/>
          <w:sz w:val="32"/>
          <w:highlight w:val="none"/>
          <w:lang w:val="en-US" w:eastAsia="zh-CN"/>
        </w:rPr>
        <w:t>争取奠定坚实基础。</w:t>
      </w:r>
    </w:p>
    <w:p w14:paraId="55F382B3">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sz w:val="32"/>
          <w:szCs w:val="32"/>
          <w:highlight w:val="none"/>
          <w:lang w:val="en-US" w:eastAsia="zh-CN"/>
        </w:rPr>
      </w:pPr>
      <w:r>
        <w:rPr>
          <w:rFonts w:hint="eastAsia" w:ascii="楷体" w:hAnsi="楷体" w:eastAsia="楷体" w:cs="楷体"/>
          <w:sz w:val="32"/>
          <w:szCs w:val="32"/>
          <w:highlight w:val="none"/>
          <w:lang w:val="en-US" w:eastAsia="zh-CN"/>
        </w:rPr>
        <w:t>（三）纵深推进改革创新，充分激发内生动能。</w:t>
      </w:r>
      <w:r>
        <w:rPr>
          <w:rFonts w:hint="eastAsia" w:ascii="仿宋" w:hAnsi="仿宋" w:eastAsia="仿宋" w:cs="仿宋"/>
          <w:b/>
          <w:bCs/>
          <w:sz w:val="32"/>
          <w:szCs w:val="32"/>
          <w:highlight w:val="none"/>
          <w:lang w:val="en-US" w:eastAsia="zh-CN"/>
        </w:rPr>
        <w:t>持续优化营商环境。</w:t>
      </w:r>
      <w:r>
        <w:rPr>
          <w:rFonts w:hint="eastAsia" w:ascii="仿宋" w:hAnsi="仿宋" w:eastAsia="仿宋" w:cs="Times New Roman"/>
          <w:sz w:val="32"/>
          <w:szCs w:val="32"/>
          <w:highlight w:val="none"/>
        </w:rPr>
        <w:t>加强政务服务供给侧建设，</w:t>
      </w:r>
      <w:r>
        <w:rPr>
          <w:rFonts w:hint="eastAsia" w:ascii="仿宋" w:hAnsi="仿宋" w:eastAsia="仿宋" w:cs="国标楷体"/>
          <w:sz w:val="32"/>
          <w:szCs w:val="32"/>
          <w:highlight w:val="none"/>
        </w:rPr>
        <w:t>深化“高效办成一件事”改革，加大宣传推广力度，提升企业群众知晓度和应用率。</w:t>
      </w:r>
      <w:r>
        <w:rPr>
          <w:rFonts w:hint="eastAsia" w:ascii="仿宋" w:hAnsi="仿宋" w:eastAsia="仿宋" w:cs="Times New Roman"/>
          <w:sz w:val="32"/>
          <w:szCs w:val="32"/>
          <w:highlight w:val="none"/>
        </w:rPr>
        <w:t>深化综合监管、电子证照等领域改革，不断</w:t>
      </w:r>
      <w:r>
        <w:rPr>
          <w:rFonts w:hint="eastAsia" w:ascii="仿宋" w:hAnsi="仿宋" w:eastAsia="仿宋" w:cs="Times New Roman"/>
          <w:sz w:val="32"/>
          <w:szCs w:val="32"/>
          <w:highlight w:val="none"/>
          <w:lang w:eastAsia="zh-CN"/>
        </w:rPr>
        <w:t>提升</w:t>
      </w:r>
      <w:r>
        <w:rPr>
          <w:rFonts w:hint="eastAsia" w:ascii="仿宋" w:hAnsi="仿宋" w:eastAsia="仿宋" w:cs="Times New Roman"/>
          <w:sz w:val="32"/>
          <w:szCs w:val="32"/>
          <w:highlight w:val="none"/>
        </w:rPr>
        <w:t>县域政务服务品牌</w:t>
      </w:r>
      <w:r>
        <w:rPr>
          <w:rFonts w:hint="eastAsia" w:ascii="仿宋" w:hAnsi="仿宋" w:eastAsia="仿宋" w:cs="Times New Roman"/>
          <w:sz w:val="32"/>
          <w:szCs w:val="32"/>
          <w:highlight w:val="none"/>
          <w:lang w:val="en-US" w:eastAsia="zh-CN"/>
        </w:rPr>
        <w:t>知名</w:t>
      </w:r>
      <w:r>
        <w:rPr>
          <w:rFonts w:hint="eastAsia" w:ascii="仿宋" w:hAnsi="仿宋" w:eastAsia="仿宋" w:cs="Times New Roman"/>
          <w:sz w:val="32"/>
          <w:szCs w:val="32"/>
          <w:highlight w:val="none"/>
        </w:rPr>
        <w:t>度。</w:t>
      </w:r>
      <w:r>
        <w:rPr>
          <w:rFonts w:hint="eastAsia" w:ascii="仿宋" w:hAnsi="仿宋" w:eastAsia="仿宋" w:cs="国标楷体"/>
          <w:sz w:val="32"/>
          <w:szCs w:val="32"/>
          <w:highlight w:val="none"/>
        </w:rPr>
        <w:t>紧盯惠企政策兑现率短板，加大政策宣传和精准推送力度。拓展“</w:t>
      </w:r>
      <w:r>
        <w:rPr>
          <w:rFonts w:hint="eastAsia" w:ascii="仿宋" w:hAnsi="仿宋" w:eastAsia="仿宋" w:cs="国标楷体"/>
          <w:sz w:val="32"/>
          <w:szCs w:val="32"/>
          <w:highlight w:val="none"/>
          <w:lang w:eastAsia="zh-CN"/>
        </w:rPr>
        <w:t>信用代证</w:t>
      </w:r>
      <w:r>
        <w:rPr>
          <w:rFonts w:hint="eastAsia" w:ascii="仿宋" w:hAnsi="仿宋" w:eastAsia="仿宋" w:cs="国标楷体"/>
          <w:sz w:val="32"/>
          <w:szCs w:val="32"/>
          <w:highlight w:val="none"/>
          <w:lang w:val="en-US" w:eastAsia="zh-CN"/>
        </w:rPr>
        <w:t>+</w:t>
      </w:r>
      <w:r>
        <w:rPr>
          <w:rFonts w:hint="eastAsia" w:ascii="仿宋" w:hAnsi="仿宋" w:eastAsia="仿宋" w:cs="国标楷体"/>
          <w:sz w:val="32"/>
          <w:szCs w:val="32"/>
          <w:highlight w:val="none"/>
        </w:rPr>
        <w:t>”应用场景，加快推进“</w:t>
      </w:r>
      <w:r>
        <w:rPr>
          <w:rFonts w:hint="eastAsia" w:ascii="仿宋" w:hAnsi="仿宋" w:eastAsia="仿宋" w:cs="国标楷体"/>
          <w:sz w:val="32"/>
          <w:szCs w:val="32"/>
          <w:highlight w:val="none"/>
          <w:lang w:eastAsia="zh-CN"/>
        </w:rPr>
        <w:t>信用代证</w:t>
      </w:r>
      <w:r>
        <w:rPr>
          <w:rFonts w:hint="eastAsia" w:ascii="仿宋" w:hAnsi="仿宋" w:eastAsia="仿宋" w:cs="国标楷体"/>
          <w:sz w:val="32"/>
          <w:szCs w:val="32"/>
          <w:highlight w:val="none"/>
        </w:rPr>
        <w:t>+公证服务”落地实施。</w:t>
      </w:r>
      <w:r>
        <w:rPr>
          <w:rFonts w:hint="eastAsia" w:ascii="仿宋" w:hAnsi="仿宋" w:eastAsia="仿宋" w:cs="仿宋"/>
          <w:b/>
          <w:bCs/>
          <w:sz w:val="32"/>
          <w:szCs w:val="32"/>
          <w:highlight w:val="none"/>
          <w:lang w:val="en-US" w:eastAsia="zh-CN"/>
        </w:rPr>
        <w:t>推动重点领域改革。</w:t>
      </w:r>
      <w:r>
        <w:rPr>
          <w:rFonts w:hint="default" w:ascii="仿宋" w:hAnsi="仿宋" w:eastAsia="仿宋" w:cs="仿宋"/>
          <w:color w:val="auto"/>
          <w:kern w:val="2"/>
          <w:sz w:val="32"/>
          <w:szCs w:val="32"/>
          <w:highlight w:val="none"/>
          <w:lang w:val="en-US" w:eastAsia="zh-CN"/>
        </w:rPr>
        <w:t>持续深化国企改革，督促各企业结合经营实际</w:t>
      </w:r>
      <w:r>
        <w:rPr>
          <w:rFonts w:hint="eastAsia" w:ascii="仿宋" w:hAnsi="仿宋" w:eastAsia="仿宋" w:cs="仿宋"/>
          <w:color w:val="auto"/>
          <w:kern w:val="2"/>
          <w:sz w:val="32"/>
          <w:szCs w:val="32"/>
          <w:highlight w:val="none"/>
          <w:lang w:val="en-US" w:eastAsia="zh-CN"/>
        </w:rPr>
        <w:t>健全</w:t>
      </w:r>
      <w:r>
        <w:rPr>
          <w:rFonts w:hint="default" w:ascii="仿宋" w:hAnsi="仿宋" w:eastAsia="仿宋" w:cs="仿宋"/>
          <w:color w:val="auto"/>
          <w:kern w:val="2"/>
          <w:sz w:val="32"/>
          <w:szCs w:val="32"/>
          <w:highlight w:val="none"/>
          <w:lang w:val="en-US" w:eastAsia="zh-CN"/>
        </w:rPr>
        <w:t>完善内控制度</w:t>
      </w:r>
      <w:r>
        <w:rPr>
          <w:rFonts w:hint="eastAsia" w:ascii="仿宋" w:hAnsi="仿宋" w:eastAsia="仿宋" w:cs="仿宋"/>
          <w:color w:val="auto"/>
          <w:kern w:val="2"/>
          <w:sz w:val="32"/>
          <w:szCs w:val="32"/>
          <w:highlight w:val="none"/>
          <w:lang w:val="en-US" w:eastAsia="zh-CN"/>
        </w:rPr>
        <w:t>，</w:t>
      </w:r>
      <w:r>
        <w:rPr>
          <w:rFonts w:hint="default" w:ascii="仿宋" w:hAnsi="仿宋" w:eastAsia="仿宋" w:cs="仿宋"/>
          <w:color w:val="auto"/>
          <w:kern w:val="2"/>
          <w:sz w:val="32"/>
          <w:szCs w:val="32"/>
          <w:highlight w:val="none"/>
          <w:lang w:val="en-US" w:eastAsia="zh-CN"/>
        </w:rPr>
        <w:t>规范国有资产管理，严格执行出租处置审批程序，通过平台公开交易。</w:t>
      </w:r>
      <w:r>
        <w:rPr>
          <w:rFonts w:hint="eastAsia" w:ascii="仿宋" w:hAnsi="仿宋" w:eastAsia="仿宋" w:cs="仿宋"/>
          <w:color w:val="auto"/>
          <w:kern w:val="0"/>
          <w:sz w:val="32"/>
          <w:szCs w:val="32"/>
          <w:highlight w:val="none"/>
          <w:lang w:val="en-US" w:eastAsia="zh-CN" w:bidi="ar"/>
        </w:rPr>
        <w:t>全面深化农村领域改革，稳慎推进土地延包，完善农业社会化服务，积极培育新型经营主体。</w:t>
      </w:r>
      <w:r>
        <w:rPr>
          <w:rFonts w:hint="eastAsia" w:ascii="仿宋" w:hAnsi="仿宋" w:eastAsia="仿宋" w:cs="仿宋"/>
          <w:color w:val="auto"/>
          <w:sz w:val="32"/>
          <w:szCs w:val="32"/>
          <w:highlight w:val="none"/>
          <w:lang w:val="en-US" w:eastAsia="zh-CN"/>
        </w:rPr>
        <w:t>深化医药卫生体制改革，持续推进紧密型县域医共体建设，优化医疗收入结构，提升医疗服务占比，促进控费增效再提标。</w:t>
      </w:r>
      <w:r>
        <w:rPr>
          <w:rFonts w:hint="eastAsia" w:ascii="仿宋" w:hAnsi="仿宋" w:eastAsia="仿宋" w:cs="仿宋"/>
          <w:b/>
          <w:bCs/>
          <w:sz w:val="32"/>
          <w:szCs w:val="32"/>
          <w:highlight w:val="none"/>
          <w:lang w:val="en-US" w:eastAsia="zh-CN"/>
        </w:rPr>
        <w:t>稳步推进科技驱动。</w:t>
      </w:r>
      <w:r>
        <w:rPr>
          <w:rFonts w:hint="eastAsia" w:ascii="仿宋" w:hAnsi="仿宋" w:eastAsia="仿宋" w:cs="仿宋"/>
          <w:kern w:val="0"/>
          <w:sz w:val="32"/>
          <w:szCs w:val="32"/>
          <w:highlight w:val="none"/>
          <w:lang w:val="en-US" w:eastAsia="zh-CN" w:bidi="ar"/>
        </w:rPr>
        <w:t>实行常态化跟踪监测、全周期精准培育，依据企业发展阶段和成长态势动态优化培育举措，持续激活产业发展新动能。强化基础研究产业应用导向，推送高校、科研院所科技成果转化项目，支持企业形成相关产业发展的关键技术和科技成果，有效促进企业科技成果转化落地。</w:t>
      </w:r>
    </w:p>
    <w:p w14:paraId="7FAB2B88">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highlight w:val="none"/>
        </w:rPr>
      </w:pPr>
      <w:r>
        <w:rPr>
          <w:rFonts w:hint="eastAsia" w:ascii="楷体" w:hAnsi="楷体" w:eastAsia="楷体" w:cs="楷体"/>
          <w:sz w:val="32"/>
          <w:szCs w:val="32"/>
          <w:highlight w:val="none"/>
          <w:lang w:val="en-US" w:eastAsia="zh-CN"/>
        </w:rPr>
        <w:t>（四）健全民生保障体系，不断增进群众福祉。</w:t>
      </w:r>
      <w:r>
        <w:rPr>
          <w:rFonts w:hint="eastAsia" w:ascii="仿宋" w:hAnsi="仿宋" w:eastAsia="仿宋" w:cs="仿宋"/>
          <w:b/>
          <w:bCs/>
          <w:sz w:val="32"/>
          <w:szCs w:val="32"/>
          <w:highlight w:val="none"/>
          <w:lang w:val="en-US" w:eastAsia="zh-CN"/>
        </w:rPr>
        <w:t>大力繁荣社会事业。</w:t>
      </w:r>
      <w:r>
        <w:rPr>
          <w:rFonts w:hint="eastAsia" w:ascii="仿宋" w:hAnsi="仿宋" w:eastAsia="仿宋" w:cs="仿宋"/>
          <w:b w:val="0"/>
          <w:bCs w:val="0"/>
          <w:sz w:val="32"/>
          <w:szCs w:val="32"/>
          <w:highlight w:val="none"/>
          <w:lang w:val="en-US" w:eastAsia="zh-CN"/>
        </w:rPr>
        <w:t>常态化开展薄弱校整改“回头看”，以强弱校结对缩小校际差距。</w:t>
      </w:r>
      <w:r>
        <w:rPr>
          <w:rFonts w:hint="eastAsia" w:ascii="仿宋" w:hAnsi="仿宋" w:eastAsia="仿宋" w:cs="仿宋"/>
          <w:sz w:val="32"/>
          <w:szCs w:val="32"/>
          <w:highlight w:val="none"/>
          <w:lang w:val="en-US" w:eastAsia="zh-CN"/>
        </w:rPr>
        <w:t>拓展数字教育应用，</w:t>
      </w:r>
      <w:r>
        <w:rPr>
          <w:rFonts w:hint="eastAsia" w:ascii="仿宋" w:hAnsi="仿宋" w:eastAsia="仿宋" w:cs="仿宋"/>
          <w:b w:val="0"/>
          <w:bCs w:val="0"/>
          <w:sz w:val="32"/>
          <w:szCs w:val="32"/>
          <w:highlight w:val="none"/>
        </w:rPr>
        <w:t>扩大AI智慧教学试点覆盖范围。</w:t>
      </w:r>
      <w:r>
        <w:rPr>
          <w:rFonts w:hint="eastAsia" w:ascii="仿宋" w:hAnsi="仿宋" w:eastAsia="仿宋" w:cs="仿宋"/>
          <w:sz w:val="32"/>
          <w:szCs w:val="32"/>
          <w:highlight w:val="none"/>
          <w:lang w:val="en-US" w:eastAsia="zh-CN"/>
        </w:rPr>
        <w:t>全面强化医疗质量管理，健全医疗质量管理体系，深入开展医疗机构行业安全专项整治及患者安全专项行动，持续巩固基层医疗质量安全管理基础。深化基层卫生服务能力建设，充分发挥基层医疗卫生机构“网底”功能，精准提供健康教育、健康咨询、用药指导及协助转诊等健康服务。</w:t>
      </w:r>
      <w:r>
        <w:rPr>
          <w:rFonts w:hint="eastAsia" w:ascii="仿宋" w:hAnsi="仿宋" w:eastAsia="仿宋" w:cs="仿宋"/>
          <w:b/>
          <w:bCs/>
          <w:sz w:val="32"/>
          <w:szCs w:val="32"/>
          <w:highlight w:val="none"/>
          <w:lang w:val="en-US" w:eastAsia="zh-CN"/>
        </w:rPr>
        <w:t>提升民生保障水平。</w:t>
      </w:r>
      <w:r>
        <w:rPr>
          <w:rFonts w:hint="eastAsia" w:ascii="仿宋" w:hAnsi="仿宋" w:eastAsia="仿宋" w:cs="仿宋"/>
          <w:color w:val="auto"/>
          <w:sz w:val="32"/>
          <w:szCs w:val="32"/>
          <w:highlight w:val="none"/>
          <w:lang w:val="en-US" w:eastAsia="zh-CN"/>
        </w:rPr>
        <w:t>谋划开展全市用工主体排查、服务工作，提升公共就业服务精细化、精准化水平。健全完善低收入人口动态监测信息平台和常态化救助帮扶机制，优化社会救助审核确认程序，提高为民办事效率。加快推进公办养老机构提质改造，优化公办养老机构收费标准和入住准入条件，扩大普惠养老服务覆盖范围。加快推进居家和社区基本养老服务提升行动和县域养老服务网络建设，全面提升我市养老服务供给质量和水平。</w:t>
      </w:r>
      <w:r>
        <w:rPr>
          <w:rFonts w:hint="eastAsia" w:ascii="仿宋" w:hAnsi="仿宋" w:eastAsia="仿宋" w:cs="仿宋"/>
          <w:b/>
          <w:bCs/>
          <w:color w:val="auto"/>
          <w:sz w:val="32"/>
          <w:szCs w:val="32"/>
          <w:highlight w:val="none"/>
          <w:lang w:val="en-US" w:eastAsia="zh-CN"/>
        </w:rPr>
        <w:t>完善</w:t>
      </w:r>
      <w:r>
        <w:rPr>
          <w:rFonts w:hint="eastAsia" w:ascii="仿宋" w:hAnsi="仿宋" w:eastAsia="仿宋" w:cs="仿宋"/>
          <w:b/>
          <w:bCs/>
          <w:sz w:val="32"/>
          <w:szCs w:val="32"/>
          <w:highlight w:val="none"/>
          <w:lang w:val="en-US" w:eastAsia="zh-CN"/>
        </w:rPr>
        <w:t>城乡设施建设。</w:t>
      </w:r>
      <w:r>
        <w:rPr>
          <w:rFonts w:hint="eastAsia" w:ascii="仿宋" w:hAnsi="仿宋" w:eastAsia="仿宋" w:cs="仿宋"/>
          <w:sz w:val="32"/>
          <w:szCs w:val="32"/>
          <w:highlight w:val="none"/>
          <w:lang w:val="en-US" w:eastAsia="zh-CN"/>
        </w:rPr>
        <w:t>加快提高城市建设品质，</w:t>
      </w:r>
      <w:r>
        <w:rPr>
          <w:rFonts w:hint="eastAsia" w:ascii="仿宋" w:hAnsi="仿宋" w:eastAsia="仿宋" w:cs="仿宋"/>
          <w:b w:val="0"/>
          <w:bCs w:val="0"/>
          <w:sz w:val="32"/>
          <w:szCs w:val="32"/>
          <w:highlight w:val="none"/>
          <w:lang w:val="en-US" w:eastAsia="zh-CN"/>
        </w:rPr>
        <w:t>推进城市更新重点项目落地实施，紧盯资金拨付与施工进度，优化审批流程，压缩前期手续办理时限，推动民生项目尽快落地见效</w:t>
      </w:r>
      <w:r>
        <w:rPr>
          <w:rFonts w:hint="eastAsia" w:ascii="仿宋" w:hAnsi="仿宋" w:eastAsia="仿宋" w:cs="仿宋"/>
          <w:b w:val="0"/>
          <w:bCs w:val="0"/>
          <w:i w:val="0"/>
          <w:caps w:val="0"/>
          <w:spacing w:val="0"/>
          <w:w w:val="100"/>
          <w:kern w:val="2"/>
          <w:sz w:val="32"/>
          <w:szCs w:val="32"/>
          <w:highlight w:val="none"/>
          <w:u w:val="none"/>
          <w:lang w:val="en-US" w:eastAsia="zh-CN" w:bidi="ar-SA"/>
        </w:rPr>
        <w:t>。持续推进省级城市更新试点县建设，完善管网、路网、公共配套，改造老旧小区，提升城镇承载能力与宜居度。</w:t>
      </w:r>
      <w:r>
        <w:rPr>
          <w:rFonts w:hint="eastAsia" w:ascii="仿宋" w:hAnsi="仿宋" w:eastAsia="仿宋" w:cs="仿宋"/>
          <w:b/>
          <w:bCs/>
          <w:color w:val="auto"/>
          <w:kern w:val="2"/>
          <w:sz w:val="32"/>
          <w:szCs w:val="32"/>
          <w:highlight w:val="none"/>
          <w:lang w:val="en-US" w:eastAsia="zh-CN" w:bidi="ar-SA"/>
        </w:rPr>
        <w:t>筑牢平安稳定根基。</w:t>
      </w:r>
      <w:r>
        <w:rPr>
          <w:rFonts w:hint="eastAsia" w:ascii="仿宋" w:hAnsi="仿宋" w:eastAsia="仿宋" w:cs="仿宋"/>
          <w:b w:val="0"/>
          <w:bCs w:val="0"/>
          <w:color w:val="auto"/>
          <w:kern w:val="2"/>
          <w:sz w:val="32"/>
          <w:szCs w:val="32"/>
          <w:highlight w:val="none"/>
          <w:lang w:val="en-US" w:eastAsia="zh-CN" w:bidi="ar-SA"/>
        </w:rPr>
        <w:t>常态化开展食品、药械专项整治，严打执业药师挂证、药品违规经营行为；持续开展特种设备“筑基行动”，完成老旧锅炉淘汰改造，实现隐患动态清零。</w:t>
      </w:r>
      <w:r>
        <w:rPr>
          <w:rFonts w:hint="eastAsia" w:ascii="仿宋" w:hAnsi="仿宋" w:eastAsia="仿宋" w:cs="仿宋"/>
          <w:color w:val="auto"/>
          <w:kern w:val="2"/>
          <w:sz w:val="32"/>
          <w:szCs w:val="32"/>
          <w:highlight w:val="none"/>
          <w:lang w:val="en-US" w:eastAsia="zh-CN" w:bidi="ar-SA"/>
        </w:rPr>
        <w:t>加强婚恋、家庭等各类矛盾纠纷化解，</w:t>
      </w:r>
      <w:r>
        <w:rPr>
          <w:rFonts w:hint="eastAsia" w:ascii="仿宋" w:hAnsi="仿宋" w:eastAsia="仿宋" w:cs="仿宋"/>
          <w:sz w:val="32"/>
          <w:szCs w:val="32"/>
          <w:highlight w:val="none"/>
        </w:rPr>
        <w:t>优化巡逻防控布局，加大隐患排查整治力度，充分发挥群防群治力量，抓实道路交通安全管理，全方位筑牢公共安全屏障。</w:t>
      </w:r>
    </w:p>
    <w:sectPr>
      <w:footerReference r:id="rId3" w:type="default"/>
      <w:pgSz w:w="11906" w:h="16838"/>
      <w:pgMar w:top="2098" w:right="1474" w:bottom="1984" w:left="1587" w:header="851" w:footer="992" w:gutter="0"/>
      <w:pgNumType w:fmt="numberInDash"/>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75761DFB-AE85-4F4F-A18D-55FF23553CF8}"/>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简体">
    <w:panose1 w:val="02010600010101010101"/>
    <w:charset w:val="86"/>
    <w:family w:val="auto"/>
    <w:pitch w:val="default"/>
    <w:sig w:usb0="00000001" w:usb1="080E0000" w:usb2="00000000" w:usb3="00000000" w:csb0="00040000" w:csb1="00000000"/>
    <w:embedRegular r:id="rId2" w:fontKey="{9A762AE0-472D-4894-8480-D49A785443CD}"/>
  </w:font>
  <w:font w:name="仿宋">
    <w:panose1 w:val="02010609060101010101"/>
    <w:charset w:val="86"/>
    <w:family w:val="auto"/>
    <w:pitch w:val="default"/>
    <w:sig w:usb0="800002BF" w:usb1="38CF7CFA" w:usb2="00000016" w:usb3="00000000" w:csb0="00040001" w:csb1="00000000"/>
    <w:embedRegular r:id="rId3" w:fontKey="{C9C38680-7E1D-41F8-92C8-BD9B2EF3C6B0}"/>
  </w:font>
  <w:font w:name="楷体">
    <w:panose1 w:val="02010609060101010101"/>
    <w:charset w:val="86"/>
    <w:family w:val="auto"/>
    <w:pitch w:val="default"/>
    <w:sig w:usb0="800002BF" w:usb1="38CF7CFA" w:usb2="00000016" w:usb3="00000000" w:csb0="00040001" w:csb1="00000000"/>
    <w:embedRegular r:id="rId4" w:fontKey="{688770D4-8BA2-4F28-9CF5-8A33B5DBAA69}"/>
  </w:font>
  <w:font w:name="国标楷体">
    <w:altName w:val="宋体"/>
    <w:panose1 w:val="00000000000000000000"/>
    <w:charset w:val="86"/>
    <w:family w:val="auto"/>
    <w:pitch w:val="default"/>
    <w:sig w:usb0="00000000" w:usb1="00000000" w:usb2="00000000" w:usb3="00000000" w:csb0="00040000" w:csb1="00000000"/>
    <w:embedRegular r:id="rId5" w:fontKey="{82BA601A-EC63-48E7-9D50-6E520AB9BE1B}"/>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51C2FA">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D540E7C">
                          <w:pPr>
                            <w:pStyle w:val="2"/>
                            <w:rPr>
                              <w:rFonts w:hint="eastAsia" w:ascii="仿宋" w:hAnsi="仿宋" w:eastAsia="仿宋" w:cs="仿宋"/>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1D540E7C">
                    <w:pPr>
                      <w:pStyle w:val="2"/>
                      <w:rPr>
                        <w:rFonts w:hint="eastAsia" w:ascii="仿宋" w:hAnsi="仿宋" w:eastAsia="仿宋" w:cs="仿宋"/>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A605259"/>
    <w:rsid w:val="00DF14BB"/>
    <w:rsid w:val="04602913"/>
    <w:rsid w:val="05790131"/>
    <w:rsid w:val="08BD0ECF"/>
    <w:rsid w:val="09E238CF"/>
    <w:rsid w:val="0C6D1E1E"/>
    <w:rsid w:val="0C9844C2"/>
    <w:rsid w:val="0D660F9A"/>
    <w:rsid w:val="11F2541D"/>
    <w:rsid w:val="12AD766B"/>
    <w:rsid w:val="148368D6"/>
    <w:rsid w:val="17714FC6"/>
    <w:rsid w:val="1C5D1A0A"/>
    <w:rsid w:val="20926FD6"/>
    <w:rsid w:val="21E07451"/>
    <w:rsid w:val="245D2FEA"/>
    <w:rsid w:val="24FA5429"/>
    <w:rsid w:val="2A1B3E38"/>
    <w:rsid w:val="2A465F84"/>
    <w:rsid w:val="2D423B87"/>
    <w:rsid w:val="2D5C37EC"/>
    <w:rsid w:val="2E057F04"/>
    <w:rsid w:val="2E3B56D4"/>
    <w:rsid w:val="32340DB8"/>
    <w:rsid w:val="328679AD"/>
    <w:rsid w:val="36C31EDF"/>
    <w:rsid w:val="36D82F68"/>
    <w:rsid w:val="37735EDE"/>
    <w:rsid w:val="39953421"/>
    <w:rsid w:val="42097B6B"/>
    <w:rsid w:val="424E0463"/>
    <w:rsid w:val="42731488"/>
    <w:rsid w:val="459C2AA4"/>
    <w:rsid w:val="468C2B4D"/>
    <w:rsid w:val="46D26BE6"/>
    <w:rsid w:val="47464A1F"/>
    <w:rsid w:val="47D75983"/>
    <w:rsid w:val="49E56678"/>
    <w:rsid w:val="4B34264C"/>
    <w:rsid w:val="4B6F14FC"/>
    <w:rsid w:val="4B7764DD"/>
    <w:rsid w:val="4DEE5E67"/>
    <w:rsid w:val="4E654861"/>
    <w:rsid w:val="4EB946C7"/>
    <w:rsid w:val="4F2A1121"/>
    <w:rsid w:val="4FA62E9D"/>
    <w:rsid w:val="5015592D"/>
    <w:rsid w:val="50946DC2"/>
    <w:rsid w:val="51264E53"/>
    <w:rsid w:val="514E5C3F"/>
    <w:rsid w:val="516C52D7"/>
    <w:rsid w:val="52A25C20"/>
    <w:rsid w:val="52BE547B"/>
    <w:rsid w:val="540A7F2A"/>
    <w:rsid w:val="55B55BE8"/>
    <w:rsid w:val="579932E7"/>
    <w:rsid w:val="581110D0"/>
    <w:rsid w:val="59C90A06"/>
    <w:rsid w:val="5B6A2FD1"/>
    <w:rsid w:val="5E1715F2"/>
    <w:rsid w:val="5E544686"/>
    <w:rsid w:val="5F432E56"/>
    <w:rsid w:val="6170549B"/>
    <w:rsid w:val="62A96AD4"/>
    <w:rsid w:val="64D0018C"/>
    <w:rsid w:val="68C55CEA"/>
    <w:rsid w:val="6A605259"/>
    <w:rsid w:val="6BA0061E"/>
    <w:rsid w:val="6F95026E"/>
    <w:rsid w:val="702D2A17"/>
    <w:rsid w:val="70D46761"/>
    <w:rsid w:val="723D0268"/>
    <w:rsid w:val="73F67F9E"/>
    <w:rsid w:val="76BD6253"/>
    <w:rsid w:val="7BD209F2"/>
    <w:rsid w:val="7F8A16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reviewItem>
      <errorID>4c06ae52-cf09-4233-9836-49598a0744ab</errorID>
      <errorWord>农林产品精深加工</errorWord>
      <group>L1_Political</group>
      <groupName>政治性问题</groupName>
      <ability>L2_Keyword</ability>
      <abilityName>固定表述</abilityName>
      <candidateList>
        <item>农产品精深加工</item>
      </candidateList>
      <explain>词汇“农产品精深加工”在特定场景下为固定表述形式，请确认此处的“农林产品精深加工”是否存在不当。</explain>
      <paraID>3A8D6614</paraID>
      <start>110</start>
      <end>118</end>
      <status>unmodified</status>
      <modifiedWord/>
      <trackRevisions>false</trackRevisions>
    </reviewItem>
    <reviewItem>
      <errorID>e16b6b38-cfc4-4ccf-9757-0191250ad1b8</errorID>
      <errorWord>服务业发展</errorWord>
      <group>L1_Grammar</group>
      <groupName>语法问题</groupName>
      <ability>L2_Order</ability>
      <abilityName>语序不当</abilityName>
      <candidateList>
        <item>服务业</item>
      </candidateList>
      <explain>句子可能没有遵循时空、逻辑顺序，或者介词、关联词等位置不当。</explain>
      <paraID>5293AF68</paraID>
      <start>315</start>
      <end>320</end>
      <status>unmodified</status>
      <modifiedWord/>
      <trackRevisions>false</trackRevisions>
    </reviewItem>
    <reviewItem>
      <errorID>4f588669-91e0-4d78-9180-18cba975b097</errorID>
      <errorWord>信用代证</errorWord>
      <group>L1_Political</group>
      <groupName>政治性问题</groupName>
      <ability>L2_Keyword</ability>
      <abilityName>固定表述</abilityName>
      <candidateList>
        <item>‘信用代证’</item>
      </candidateList>
      <explain>注意检查当前固定表述标点是否使用规范。</explain>
      <paraID>55F382B3</paraID>
      <start>141</start>
      <end>145</end>
      <status>unmodified</status>
      <modifiedWord/>
      <trackRevisions>false</trackRevisions>
    </reviewItem>
    <reviewItem>
      <errorID>292fa479-5b91-4361-bfc7-3fd5dfd6105d</errorID>
      <errorWord>信用代证</errorWord>
      <group>L1_Political</group>
      <groupName>政治性问题</groupName>
      <ability>L2_Keyword</ability>
      <abilityName>固定表述</abilityName>
      <candidateList>
        <item>‘信用代证’</item>
      </candidateList>
      <explain>注意检查当前固定表述标点是否使用规范。</explain>
      <paraID>55F382B3</paraID>
      <start>157</start>
      <end>161</end>
      <status>unmodified</status>
      <modifiedWord/>
      <trackRevisions>false</trackRevisions>
    </reviewItem>
    <reviewItem>
      <errorID>2d30379d-e047-496e-8513-bf3ab0afae99</errorID>
      <errorWord>究</errorWord>
      <group>L1_Word</group>
      <groupName>字词问题</groupName>
      <ability>L2_Typo</ability>
      <abilityName>字词错误</abilityName>
      <candidateList>
        <item>究和</item>
      </candidateList>
      <explain/>
      <paraID>55F382B3</paraID>
      <start>404</start>
      <end>405</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5f6b0d6-50f9-4119-998a-0d052c42b9e3}">
  <ds:schemaRefs/>
</ds:datastoreItem>
</file>

<file path=docProps/app.xml><?xml version="1.0" encoding="utf-8"?>
<Properties xmlns="http://schemas.openxmlformats.org/officeDocument/2006/extended-properties" xmlns:vt="http://schemas.openxmlformats.org/officeDocument/2006/docPropsVTypes">
  <Template>Normal.dotm</Template>
  <Pages>10</Pages>
  <Words>5321</Words>
  <Characters>5682</Characters>
  <Lines>0</Lines>
  <Paragraphs>0</Paragraphs>
  <TotalTime>1199</TotalTime>
  <ScaleCrop>false</ScaleCrop>
  <LinksUpToDate>false</LinksUpToDate>
  <CharactersWithSpaces>5682</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2026-07-09T07:26:00Z</dcterms:created>
  <dc:creator>Eternity_M</dc:creator>
  <cp:lastModifiedBy>lenovo</cp:lastModifiedBy>
  <cp:lastPrinted>2026-07-09T07:34:00Z</cp:lastPrinted>
  <dcterms:modified xsi:type="dcterms:W3CDTF">2026-08-07T02:40:47Z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2FF53789A1814475892FCDC41C2A7060_13</vt:lpwstr>
  </property>
  <property fmtid="{D5CDD505-2E9C-101B-9397-08002B2CF9AE}" pid="4" name="KSOTemplateDocerSaveRecord">
    <vt:lpwstr>eyJoZGlkIjoiZmY4ZTdhZTU2YzI3YTk3NjYxNjRiNTI3ODMyOGE2OWMiLCJ1c2VySWQiOiI0MjIzNTU3MDkifQ==</vt:lpwstr>
  </property>
</Properties>
</file>