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27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/>
        <w:jc w:val="center"/>
        <w:textAlignment w:val="baseline"/>
        <w:outlineLvl w:val="9"/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</w:pPr>
    </w:p>
    <w:p w14:paraId="3F351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铁力市人民政府关于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年国民经济和社会发展计划执行情况及202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年国民经济和社会</w:t>
      </w:r>
    </w:p>
    <w:p w14:paraId="03A74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发展计划（草案）的报告</w:t>
      </w:r>
    </w:p>
    <w:p w14:paraId="4AD38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</w:rPr>
        <w:t>日在铁力市第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</w:rPr>
        <w:t>届人民代表大会第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</w:rPr>
        <w:t>次会议上</w:t>
      </w:r>
    </w:p>
    <w:p w14:paraId="010DB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right="0"/>
        <w:jc w:val="center"/>
        <w:textAlignment w:val="baseline"/>
        <w:outlineLvl w:val="9"/>
        <w:rPr>
          <w:rFonts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Style w:val="17"/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kern w:val="10"/>
          <w:sz w:val="32"/>
          <w:szCs w:val="32"/>
          <w:highlight w:val="none"/>
          <w:lang w:val="en-US" w:eastAsia="zh-CN" w:bidi="ar-SA"/>
        </w:rPr>
        <w:t>铁力市发改局局长  孙小宇</w:t>
      </w:r>
      <w:r>
        <w:rPr>
          <w:rStyle w:val="17"/>
          <w:rFonts w:hint="eastAsia" w:ascii="华文行楷" w:hAnsi="华文行楷" w:eastAsia="华文行楷" w:cs="华文行楷"/>
          <w:b w:val="0"/>
          <w:bCs w:val="0"/>
          <w:i w:val="0"/>
          <w:caps w:val="0"/>
          <w:color w:val="auto"/>
          <w:spacing w:val="0"/>
          <w:w w:val="100"/>
          <w:kern w:val="10"/>
          <w:sz w:val="32"/>
          <w:szCs w:val="32"/>
          <w:highlight w:val="none"/>
          <w:lang w:val="en-US" w:eastAsia="zh-CN" w:bidi="ar-SA"/>
        </w:rPr>
        <w:t xml:space="preserve">  </w:t>
      </w:r>
    </w:p>
    <w:p w14:paraId="19B62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</w:pPr>
    </w:p>
    <w:p w14:paraId="0E858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各位代表：</w:t>
      </w:r>
    </w:p>
    <w:p w14:paraId="2D367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受市政府委托，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向本次会议报告我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市202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年国民经济和社会发展计划执行情况及202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年国民经济和社会发展计划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，请予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审议。</w:t>
      </w:r>
      <w:bookmarkStart w:id="0" w:name="_GoBack"/>
      <w:bookmarkEnd w:id="0"/>
    </w:p>
    <w:p w14:paraId="6C126B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一、2024年国民经济和社会发展计划执行情况</w:t>
      </w:r>
    </w:p>
    <w:p w14:paraId="4F55A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年初以来，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在市委、市政府的正确领导和市人大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市政协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的监督支持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全市坚持以习近平新时代中国特色社会主义思想为指导，牢牢把握稳中求进工作总基调，努力克服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复杂严峻形势，高质量发展扎实推进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经济运行总体平稳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</w:rPr>
        <w:t>县域经济综合实力跃居全省上游，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改革开放持续深化，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</w:rPr>
        <w:t>社会民生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明显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</w:rPr>
        <w:t>改善，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人民群众获得感、幸福感、安全感持续提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</w:rPr>
        <w:t>升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经济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社会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发展和谐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稳定。</w:t>
      </w:r>
    </w:p>
    <w:p w14:paraId="774A9EB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宏观经济</w:t>
      </w:r>
      <w:r>
        <w:rPr>
          <w:rFonts w:hint="eastAsia" w:ascii="楷体" w:hAnsi="楷体" w:eastAsia="楷体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主要指标</w:t>
      </w:r>
      <w:r>
        <w:rPr>
          <w:rFonts w:hint="eastAsia" w:ascii="楷体" w:hAnsi="楷体" w:eastAsia="楷体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争先晋位、稳中提质。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全市地区生产总值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预计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同比增长3.5%，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较年计划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低2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个百分点；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规上工业增加值预计同比下降0.4%，较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年计划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低5.1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个百分点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固定资产投资预计完成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31.73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亿元，同比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下降7.35%，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较年计划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低15.35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个百分点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一般公共预算收入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完成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10.44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同比增长53.8%，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完成年计划的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154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社会消费品零售总额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预计实现27.1亿元，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同比增长4%，较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年计划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低3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个百分点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外贸进出口总额预计实现1.19亿元，同比增长65.5%，完成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年计划的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165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；</w:t>
      </w:r>
      <w:r>
        <w:rPr>
          <w:rFonts w:hint="eastAsia" w:ascii="仿宋" w:hAnsi="仿宋" w:eastAsia="仿宋" w:cs="Times New Roman"/>
          <w:caps w:val="0"/>
          <w:color w:val="000000"/>
          <w:spacing w:val="0"/>
          <w:sz w:val="32"/>
          <w:szCs w:val="32"/>
          <w:highlight w:val="none"/>
        </w:rPr>
        <w:t>预计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城乡居民人均可支配收入增长高于经济增长幅度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我市前三季度在全省县域经济考核中综合排名第2名，较去年前进了16位，为全面实现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“十四五”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规划目标奠定了坚实基础。</w:t>
      </w:r>
    </w:p>
    <w:p w14:paraId="603DA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（二）“</w:t>
      </w:r>
      <w:r>
        <w:rPr>
          <w:rFonts w:hint="eastAsia" w:ascii="楷体" w:hAnsi="楷体" w:eastAsia="楷体" w:cs="楷体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4+2+N</w:t>
      </w:r>
      <w:r>
        <w:rPr>
          <w:rFonts w:hint="eastAsia" w:ascii="楷体" w:hAnsi="楷体" w:eastAsia="楷体" w:cs="楷体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产业体系融合发展、协同发力。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加快转方式、调结构，推动一二三产业融合发展，全力构建“4+2+N”现代化产业体系。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主导产业夯基提质。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做强农林产业，筑牢粮食安全“压舱石”，落实粮食作物播种157.2万亩，超额完成省级下达目标任务；全年林下采摘量达到3.9万吨，林业产值达到5.6亿元，同比增长10%。做大畜牧产业，践行“大食物观”先行地，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生猪出栏28万头，肉牛、湖羊出栏分别达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2.7和1.6万只；新引进纯种梅花鹿种畜350只，鹿存栏量达1355只；渔业总产量2950吨。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做精中医药产业，中药材种植技术、品牌建设协同发力，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产值预计达到15.11亿元，同比增长4.84%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。做热康养旅游，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不断丰富康养旅游产品，打造森林康养、乡村民宿等差异化、特色化旅游产品5个；预计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全年旅游接待人数336.35万人，同比增长39.2%，旅游收入达15.1亿元，同比增长42%。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传统产业扩面增效。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着力推动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矿业转型升级，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鹿鸣矿业数字化改造持续提速，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智能矿山项目完成投资9500万元，实现尾矿库在线动态监测升级。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推动木业加工向外发展，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木制品进出口企业发展到9家，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森源木业等木制品加工企业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外贸进出口总额预计达到8525万元，占外贸进出口总额的94.7%。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新兴产业加速成长。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大力发展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数字经济，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谋划推动智慧水务及数字孪生平台建设，构建“四预”功能智慧水利，铁力市呼兰河获评省级五星级幸福河湖；着力打造“智慧云仓”，实现“商仓流”一体，为电商产业发展注入新动能。深度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发展生物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经济，延伸产业链条，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投资4500万元的中兽药饲料工程技术研究中心项目竣工投产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；成功引进雨晓生物科技公司，大力发展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桦树汁精深加工，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预计实现产值1162万元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纵深发展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bidi="ar-SA"/>
        </w:rPr>
        <w:t>冰雪经济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带动桃源湖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、日月峡滑雪场等一批冬季冰雪项目建设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，成功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举办“铁力冬韵 沪上恋歌”“赏冰乐雪 冻感铁力”等主题冬季旅游推介会，</w:t>
      </w:r>
      <w:r>
        <w:rPr>
          <w:rFonts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lang w:bidi="ar-SA"/>
        </w:rPr>
        <w:t>冬季旅游品牌影响力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进一步提升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lang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创新发展创意设计产业，打造产品20余类，推出“雪宝”“兴安版画”“非遗盘纸”等文创产品百余个，为文旅产业融合发展注入活力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持续深耕新能源产业，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年丰200MW风电项目实现首批并网发电，项目建成后预计实现产值1.5亿元，税金3000万元。</w:t>
      </w:r>
    </w:p>
    <w:p w14:paraId="1AD1A7F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Style w:val="16"/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（三）重大项目招商引资提速推进、拉动明显。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坚持以国家政策为导向，深挖需求潜力，全力抓好项目谋划、争取和建设。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扎实推进项目建设。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全年实施重点项目88个，总投资143.5亿元，开复工率达到100%。哈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伊高铁铁力站房建成投入使用，年丰乡年丰村岭尚十年民宿、工农乡北星村民宿产业试点项目相继投入运营，总投资8.59亿元的小白河水库工程开工建设，美丽宜居村庄建设等21个项目顺利竣工，城市排水管网、雨污分流及农村危桥改造等基础设施项目有序推进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超前谋划资金争取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。科学研判国家及省级投资导向，申报中央预算内、超长期特别国债、地方政府一般债和专项债项目72个、资金43.17亿元，已争取到位上级资金项目15个，到位资金6.4亿元，同比增长11.5%。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精准招商靶向发力。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立足产业发展实际，研究制定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《铁力市重点招商项目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 w:bidi="ar"/>
        </w:rPr>
        <w:t>清单》和计划，市级领导带队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开展“点对点”“一对一”走访对接，已签约招商引资项目8个，签约总额20.8亿元，实际利用内资额预计完成22.29亿元，同比增长30.96%</w:t>
      </w:r>
      <w:r>
        <w:rPr>
          <w:rStyle w:val="16"/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 w14:paraId="154A577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16"/>
          <w:rFonts w:hint="eastAsia" w:ascii="楷体" w:hAnsi="楷体" w:eastAsia="楷体" w:cs="楷体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（四）重点领域改革创新蹄疾步稳、活力彰显。</w:t>
      </w:r>
      <w:r>
        <w:rPr>
          <w:rStyle w:val="16"/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以科技创新、新质生产力赋能企业转型，持续深化重点领域改革。</w:t>
      </w:r>
      <w:r>
        <w:rPr>
          <w:rStyle w:val="16"/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营商环境不断优化。</w:t>
      </w:r>
      <w:r>
        <w:rPr>
          <w:rStyle w:val="16"/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深化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  <w:u w:val="none"/>
        </w:rPr>
        <w:t>省和伊春市优化营商环境专项行动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  <w:lang w:val="en-US" w:eastAsia="zh-CN"/>
        </w:rPr>
        <w:t>印发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</w:rPr>
        <w:t>《铁力市2024年优化营商环境专项行动方案》和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  <w:lang w:val="en-US" w:eastAsia="zh-CN"/>
        </w:rPr>
        <w:t>各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</w:rPr>
        <w:t>工作专班专项行动实施方案，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  <w:lang w:val="en-US" w:eastAsia="zh-CN"/>
        </w:rPr>
        <w:t>细化分解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</w:rPr>
        <w:t>10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  <w:lang w:val="en-US" w:eastAsia="zh-CN"/>
        </w:rPr>
        <w:t>项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</w:rPr>
        <w:t>指标267项工作任务，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  <w:lang w:val="en-US" w:eastAsia="zh-CN"/>
        </w:rPr>
        <w:t>预计我市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</w:rPr>
        <w:t>在伊春市优化营商环境专项行动年度考核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  <w:lang w:val="en-US" w:eastAsia="zh-CN"/>
        </w:rPr>
        <w:t>排名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</w:rPr>
        <w:t>第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highlight w:val="none"/>
          <w:lang w:val="en-US" w:eastAsia="zh-CN"/>
        </w:rPr>
        <w:t>体制机制改革纵深推进。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highlight w:val="none"/>
          <w:lang w:val="en-US" w:eastAsia="zh-CN"/>
        </w:rPr>
        <w:t>深化医保支付方式改革，24家医疗机构纳入DIP支付方式结算；大力推进国企改革，印发《铁力市国有企业改革深化提升行动实施方案》，设立审计委员会，进一步推动国企运营管理水平提升；深化数字政府建设，“全省通办”事项达560个，公积金业务、二手房交易等29个事项实现“指尖办”，“高效办成一件事”主题套餐提升至21件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highlight w:val="none"/>
          <w:lang w:val="en-US" w:eastAsia="zh-CN"/>
        </w:rPr>
        <w:t>科技创新成果丰硕。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优化整合科技资源，鼓励引导企业自主创新，为企业推送高校、科研院所科技成果项目150余项，5家企业与高校、科研院所达成合作，投入研发费用5047.1万元，完成全年目标任务的168%。新增高新技术企业8户，科技型中小企业18户。</w:t>
      </w:r>
    </w:p>
    <w:p w14:paraId="404F4BE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（五）民生社会保障事业提质扩面、指数攀升。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坚决兜牢“三保”底线，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民生支出占一般公共预算支出比重达到86%。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资源配置优化升级。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持续强化教育投入保障，累计投入资金1.6亿元支持教育信息化等教育经费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推动优质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医疗资源下沉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，开展“名医下沉”等活动42次，诊疗患者1.25万人，发放药品3800余盒；健全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医保经办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服务体系建设，累计建成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医保服务站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273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个，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配备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工作人员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311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人；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优化完善救助体系，为9116名低保户累计发放低保金5885.9万元，临时救助1931人次，累计发放救助资金328.95万元；强化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bidi="ar-SA"/>
        </w:rPr>
        <w:t>公共就业服务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引导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，统筹利用公益性岗位，全市城镇新增就业3028人。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城乡面貌增颜提质。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推动“住有所居”向“优居乐享”迈进，累计投入资金1.44亿元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改造老旧小区单体楼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54栋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实现“十四五”时期内老旧小区改造全覆盖；累计投资1.95亿元，改造市政“四网”44.31公里，有效提升城市配套设施水平。扎实推进和美乡村建设，累计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投入资金3499.3万元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，创建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伊春市级宜居宜业和美乡村示范乡镇1个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示范村4个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示范庭院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8个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。稳步推进全国文明城市创建，成功获得中央文明办考察评估资格。</w:t>
      </w:r>
      <w:r>
        <w:rPr>
          <w:rStyle w:val="17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持续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优化生态环境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，畜禽粪污资源化利用率预计达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到85%，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</w:rPr>
        <w:t>秸秆综合利用率预计达到95.3%以上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社会大局平安稳定。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加强食品药品质量安全监管，督查食品生产企业全项目食品安全100次，覆盖率100%；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查办药品、医疗器械领域一般违法案件6起，夯实健康防线；常态化开展扫黑除恶斗争，深入开展“百万警进千万家”活动，排查化解矛盾纠纷424起；严格落实7×24小时网络巡查机制。</w:t>
      </w:r>
    </w:p>
    <w:p w14:paraId="7936F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在肯定成绩的同时，我们清醒地认识到存在的问题和短板，</w:t>
      </w:r>
      <w:r>
        <w:rPr>
          <w:rFonts w:hint="eastAsia" w:ascii="楷体" w:hAnsi="楷体" w:eastAsia="楷体" w:cs="楷体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一是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我市经济持续平稳向好的内生动力还不够强，缺乏新的支柱型企业。</w:t>
      </w:r>
      <w:r>
        <w:rPr>
          <w:rFonts w:hint="eastAsia" w:ascii="楷体" w:hAnsi="楷体" w:eastAsia="楷体" w:cs="楷体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二是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大项目、好项目、高质量产业项目接续不足，短期内难以弥补哈伊高铁、年丰200MW风电项目投资基数大的影响。</w:t>
      </w:r>
      <w:r>
        <w:rPr>
          <w:rFonts w:hint="eastAsia" w:ascii="楷体" w:hAnsi="楷体" w:eastAsia="楷体" w:cs="楷体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三是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在供热、供水、教育、医疗等民生领域仍有短板弱项。</w:t>
      </w:r>
    </w:p>
    <w:p w14:paraId="274E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</w:rPr>
        <w:t>二、202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</w:rPr>
        <w:t>年国民经济和社会发展总体要求和主要预期目标</w:t>
      </w:r>
    </w:p>
    <w:p w14:paraId="7D481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2025年既是“十四五”规划收官之年，又是“十五五”规划的布局之年，做好经济和社会工作意义重大。要坚持以习近平新时代中国特色社会主义思想为指导，全面贯彻落实党的二十大和二十届二中、三中全会精神，坚持稳中求进工作总基调，完整准确全面贯彻新发展理念，加快构建新发展格局，扎实推动高质量发展，进一步全面深化改革，不断增进民生福祉，高质量完成“十四五”规划目标任务，为实现“十五五”良好开局筑牢基础。</w:t>
      </w:r>
    </w:p>
    <w:p w14:paraId="54FCD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楷体" w:hAnsi="楷体" w:eastAsia="楷体" w:cs="楷体"/>
          <w:b w:val="0"/>
          <w:bCs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202</w:t>
      </w:r>
      <w:r>
        <w:rPr>
          <w:rStyle w:val="13"/>
          <w:rFonts w:hint="eastAsia" w:ascii="楷体" w:hAnsi="楷体" w:eastAsia="楷体" w:cs="楷体"/>
          <w:b w:val="0"/>
          <w:bCs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Style w:val="13"/>
          <w:rFonts w:hint="eastAsia" w:ascii="楷体" w:hAnsi="楷体" w:eastAsia="楷体" w:cs="楷体"/>
          <w:b w:val="0"/>
          <w:bCs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年全市经济和社会发展的预期目标是：</w:t>
      </w:r>
      <w:r>
        <w:rPr>
          <w:rStyle w:val="13"/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地区生产总值增长5%左右，规模以上工业增加值增长5%左右，固定资产投资增长7%左右，一般公共预算收入增长6%左右（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剔除2024年一次性收入因素</w:t>
      </w:r>
      <w:r>
        <w:rPr>
          <w:rStyle w:val="13"/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），社会消费品零售总额增长5.5%以上，外贸进出口总额增长10%，</w:t>
      </w:r>
      <w:r>
        <w:rPr>
          <w:rFonts w:hint="eastAsia" w:ascii="仿宋" w:hAnsi="仿宋" w:eastAsia="仿宋" w:cs="仿宋"/>
          <w:b w:val="0"/>
          <w:bCs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城乡居民人均可支配收入增长高于经济增长幅度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。围绕上述目标，着力做好以下工作：</w:t>
      </w:r>
    </w:p>
    <w:p w14:paraId="10225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（一）坚持以新质生产力赋能，做优做强现代产业。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以科技创新引领产业振兴，聚焦构建“4+2+N”现代化产业体系取得新进展。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夯实主导产业根基。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稳步提高粮食综合生产能力，坚持良种、良法、良田、良机、良制“五良”融合，力争粮食产量突破11.7亿斤；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</w:rPr>
        <w:t>宣传推广铁力区域品牌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/>
        </w:rPr>
        <w:t>以“铁力大米”“铁力森鲜”等为核心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/>
        </w:rPr>
        <w:t>利用国内大中型展会契机，组织企业、合作社开展展销活动，提升品牌影响力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；持续打造“大食物观”先行地，推进多元化食物供给体系扩量提质，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以生猪、湖羊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冷水鱼规模养殖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为重点，创新绿色健康养殖模式，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特色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发展梅花鹿养殖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，保持畜禽产业发展稳定态势。2025年，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计划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生猪饲养量达到45万头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湖羊饲养量达2万头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梅花鹿养殖达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1600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</w:rPr>
        <w:t>头。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做强“寒地龙药”产业，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eastAsia="zh-CN"/>
        </w:rPr>
        <w:t>加快建设道地中药材核心产区，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扩大种植规模，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eastAsia="zh-CN"/>
        </w:rPr>
        <w:t>深化与知名药企合作，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促进“产学研”深度融合。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eastAsia="zh-CN"/>
        </w:rPr>
        <w:t>持续开展夏季避暑和冬季冰雪旅游，加强文化旅游基础设施建设，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重点发展研学游、康养游、乡村游等业态；加大文旅从业人员培训，结合市场特点开展有针对性旅游服务培训，提升从业者服务质效。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创新驱动传统产业。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推动绿色矿业降本增效，鼓励鹿鸣钼矿研发尾矿衍生产品，重点关注企业设备更新进度，持续推动建兴矿业碎石场生产线项目、鹿鸣钼矿智能矿山建设等项目，积极主动为企业技改数转提供支持；推动木材加工业创新发展，扩大木质餐具、木艺产品生产规模，积极拓展国内外市场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培育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壮大新兴产业。</w:t>
      </w:r>
      <w:r>
        <w:rPr>
          <w:rFonts w:hint="default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支持重点企业在数据资源、数字技术、数据流通交易等方面加快发展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；大力提振消费，紧抓“两新”等政策机遇，着力提高经济效益，扩大内需；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开发特色文创产品和数字文化藏品，持续以文化赋能景区旅游发展，以冬季冰雪吉祥物“雪宝”为核心，设计开发具有地方元素和市场吸引力的冰雪文创产品；抢抓“碳达峰、碳中和”机遇，大力推进以生物质、光伏、风力、水力等为牵动的新能源产业，持续推进铁力年丰200MW风电项目全面并网发电，持续运营管理好扶贫光伏电站项目，推动屋顶分布式光伏规模化开发；加快推进“气化龙江”建设，挖掘我市潜在用气量，提高项目投资回报率，加快推进伊春支线管道建设，争取实现清洁能源高效利用。</w:t>
      </w:r>
    </w:p>
    <w:p w14:paraId="6448A3F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（二）坚持以项目建设为牵动，着力扩大有效投资。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围绕产业链建链延链，谋划培育有吸引力竞争力的优质项目，以高质量项目建设和招商引资带动经济高质量发展。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聚力提升投资成效。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始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终把项目建设作为推动铁力振兴发展的重要支撑，紧盯项目“四率”，加快实施“项目提速”行动。强化项目监测调度，找准项目推进关键症结，推动重点项目早开工早建设早投产。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全力以赴对上争取。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紧紧抓住政策机遇，全面细致研判政策支持方向，精准把握政策着力点和突破口，深入挖掘我市在产业升级、基础设施建设、民生改善等领域需求潜力，创新方式方法，全力抓好项目谋划储备及前期手续办理，为项目对上争取提供坚强保障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精准推进招商引资。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围绕京津冀、珠三角等重点招商区域，紧盯“六强企业”、行业龙头企业等目标企业，精准对接，靶向攻关，积极寻求新的项目合作，推动招商阵地向发达地区有效延伸。积极参与各类经贸交流活动，吸引更多企业到我市落户投资兴业。</w:t>
      </w:r>
    </w:p>
    <w:p w14:paraId="641BDA0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（三）坚持以改革创新促发展，打造一流营商环境。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大力推进重点领域改革，增强改革系统性、整体性、协同性，切实以改革破瓶颈、解难题、促发展。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力铸一流营商环境。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依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托“专班+专区+专网”审批服务体系，为招商引资项目和固定资产投资项目提供审批领办、帮办服务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</w:rPr>
        <w:t>持续开展“政商沙龙”活动，零距离倾听并帮助企业解决急难愁盼问题，实时对接跟踪问题解决进程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探索推出更多“高效一件事”主题套餐，强化政务数据共享运用，着力提升线上线下办理质效。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抓好关键领域改革。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深入实施国有企业振兴专项行动和改革深化提升行动，提升国有企业核心竞争力。大力支持制造业高质量发展，鼓励企业根据市场需求和自身优势，合理规划产能扩张，推动产业向高端化、智能化、绿色化发展。完善要素市场化配置体制机制，探索深化土地管理制度改革，推动农业适度规模经营，促进农业科技应用和产业结构升级，助力乡村振兴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打造企业创新引擎。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持续培育“专精特新”中小企业，提高企业的核心竞争力。鼓励企业加大研发投入，提升企业技术创新能力。积极探索企业对外合作新模式，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大力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推动</w:t>
      </w:r>
      <w:r>
        <w:rPr>
          <w:rFonts w:hint="default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科技成果转化，切实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扩大企业产能。力争2025年高新技术企业数量达到16家，科技型企业达到20家。</w:t>
      </w:r>
    </w:p>
    <w:p w14:paraId="48B71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（四）坚持以人民满意为目标，不断增进民生福祉。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坚持以人民为中心的发展思想，坚持惠民生、听民声、暖民心，在绿水青山间打造宜居家园。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优化城乡基础设施。</w:t>
      </w: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持续实施老旧小区改造项目，深入推进城镇生活污水管网补短板攻坚三年行动，不断提升地下管网建设水平。优化绿地布局，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计划全年城市绿地改造提升11公顷。持续开展宜居宜业和美乡村建设行动，计划投资1880.4万元，在7个乡镇17个村实施宜居宜业和美乡村建设项目。深入实施农村人居环境整治提升五年行动，推动人居环境整治提档升级。实施农村公路危桥改造等项目，增强交通服务能力。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组织编制落实《铁力市土地储备三年滚动计划（2025-2027年）》，加强土地统筹管理。全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面提升生态环境质量，持续打好“三大保卫战”。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提升社保服务水平。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加强对大龄、残疾、较长时间失业等就业困难群体的帮扶，确保零就业家庭动态清零。精准补强学校基础设施短板，有序整合城乡教育资源。持续开展“名医下沉”“流动医院”行动，提升基层医疗服务水平。实施精准社会救助，不断完善低收入人口主动发现平台，实现低保对象信息精准和动态管理。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筑牢群众安全底线。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持续开展“两品一械”日常监督检查工作，强化重点工业产品质量安全监管治理，加强黑土地、野生动植物保护，守护未成年人健康成长。提高平安建设水平，扎实推进常态化扫黑除恶斗争向纵深开展，结合新一轮派出所提升三年行动计划，警力持续倾斜下沉，推动“派出所主防”提质增效，全面提升基层社会治理能力和水平，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zh-CN"/>
        </w:rPr>
        <w:t>深入开展安全生产治本攻坚三年行动，强化本质安全水平稳步提升</w:t>
      </w: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D548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各位代表，做好2025年经济和社会发展工作，责任重大、使命光荣，让我们在市委、市政府的领导下，在市人大、市政协的监督支持下，笃定信心，攻坚克难，全力以赴完成经济社会预期目标，以高质量发展谱写社会主义现代化铁力建设新篇章！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C0DBFF-788B-44DC-AC03-CD64A05C3B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362491A-031A-469E-8E33-57D3B0570A1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D571DA-13BA-4297-9C3C-3DE5D3CE3E2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4ACF520-B348-4F58-A3AD-BDEEE54A83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07E70B0-737D-412D-9346-F7A4FECA82E5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6" w:fontKey="{4A99A3EB-9792-42E5-AAB8-428977BC5B01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6009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CDA78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CDA78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2UwZDZiZWFlMTNkOTdjMzEwNDc3YjI4MGQ5NjcifQ=="/>
  </w:docVars>
  <w:rsids>
    <w:rsidRoot w:val="00000000"/>
    <w:rsid w:val="00617651"/>
    <w:rsid w:val="01482FF0"/>
    <w:rsid w:val="015679D0"/>
    <w:rsid w:val="0279622F"/>
    <w:rsid w:val="0295277A"/>
    <w:rsid w:val="03004097"/>
    <w:rsid w:val="046B09FF"/>
    <w:rsid w:val="05BB31AD"/>
    <w:rsid w:val="05FD2B10"/>
    <w:rsid w:val="072E5516"/>
    <w:rsid w:val="079E5C2C"/>
    <w:rsid w:val="0A9B3201"/>
    <w:rsid w:val="0BF64289"/>
    <w:rsid w:val="0C0A7D34"/>
    <w:rsid w:val="114F7F97"/>
    <w:rsid w:val="11851C0B"/>
    <w:rsid w:val="11901E0B"/>
    <w:rsid w:val="1279795D"/>
    <w:rsid w:val="12E965B6"/>
    <w:rsid w:val="13FB6737"/>
    <w:rsid w:val="14395F16"/>
    <w:rsid w:val="14830684"/>
    <w:rsid w:val="15542020"/>
    <w:rsid w:val="1628175A"/>
    <w:rsid w:val="1892089D"/>
    <w:rsid w:val="18A129B2"/>
    <w:rsid w:val="195C6789"/>
    <w:rsid w:val="199657F7"/>
    <w:rsid w:val="1B0D514B"/>
    <w:rsid w:val="1B2A7AAB"/>
    <w:rsid w:val="1BE21353"/>
    <w:rsid w:val="1C730FDE"/>
    <w:rsid w:val="1CAA6E43"/>
    <w:rsid w:val="1EFE68E7"/>
    <w:rsid w:val="209A6DA2"/>
    <w:rsid w:val="218A76EE"/>
    <w:rsid w:val="23047A11"/>
    <w:rsid w:val="240379BC"/>
    <w:rsid w:val="247E1DD0"/>
    <w:rsid w:val="24B02BFB"/>
    <w:rsid w:val="267E6EFD"/>
    <w:rsid w:val="286A48C6"/>
    <w:rsid w:val="29041BAB"/>
    <w:rsid w:val="29EB29B5"/>
    <w:rsid w:val="29FD68D5"/>
    <w:rsid w:val="2AC31382"/>
    <w:rsid w:val="2C3359BB"/>
    <w:rsid w:val="2C723060"/>
    <w:rsid w:val="2D18610A"/>
    <w:rsid w:val="2EE8585B"/>
    <w:rsid w:val="2EF67FB5"/>
    <w:rsid w:val="2F250B75"/>
    <w:rsid w:val="31456F95"/>
    <w:rsid w:val="315E07FB"/>
    <w:rsid w:val="324B63FE"/>
    <w:rsid w:val="34852828"/>
    <w:rsid w:val="35981CAF"/>
    <w:rsid w:val="35CB590B"/>
    <w:rsid w:val="365D2C0D"/>
    <w:rsid w:val="367C093A"/>
    <w:rsid w:val="377F521C"/>
    <w:rsid w:val="381B0DC8"/>
    <w:rsid w:val="39434843"/>
    <w:rsid w:val="397D584B"/>
    <w:rsid w:val="3CB21257"/>
    <w:rsid w:val="3CB37024"/>
    <w:rsid w:val="3DE8161F"/>
    <w:rsid w:val="3F7279EC"/>
    <w:rsid w:val="3FDE6257"/>
    <w:rsid w:val="407639FE"/>
    <w:rsid w:val="413545F7"/>
    <w:rsid w:val="41AE0A50"/>
    <w:rsid w:val="4230334A"/>
    <w:rsid w:val="43756EDC"/>
    <w:rsid w:val="43952B59"/>
    <w:rsid w:val="43E443EC"/>
    <w:rsid w:val="45685056"/>
    <w:rsid w:val="4689127A"/>
    <w:rsid w:val="46EC5DF9"/>
    <w:rsid w:val="480D7C89"/>
    <w:rsid w:val="48C72033"/>
    <w:rsid w:val="49D44C30"/>
    <w:rsid w:val="4AAE32C3"/>
    <w:rsid w:val="4C2513A9"/>
    <w:rsid w:val="4E63367A"/>
    <w:rsid w:val="4F2954F1"/>
    <w:rsid w:val="4F7725B8"/>
    <w:rsid w:val="50E5325B"/>
    <w:rsid w:val="51405817"/>
    <w:rsid w:val="53A41953"/>
    <w:rsid w:val="544E587C"/>
    <w:rsid w:val="54656CBC"/>
    <w:rsid w:val="55A90FF1"/>
    <w:rsid w:val="578A30A4"/>
    <w:rsid w:val="57C41768"/>
    <w:rsid w:val="58DB5D81"/>
    <w:rsid w:val="59733979"/>
    <w:rsid w:val="5AD22A7A"/>
    <w:rsid w:val="5AD5630B"/>
    <w:rsid w:val="5BF62AB6"/>
    <w:rsid w:val="5C0D7E00"/>
    <w:rsid w:val="5C3F26AF"/>
    <w:rsid w:val="5CB70498"/>
    <w:rsid w:val="5CD41DA5"/>
    <w:rsid w:val="5E7423B8"/>
    <w:rsid w:val="5EBB454E"/>
    <w:rsid w:val="5F136503"/>
    <w:rsid w:val="5FFB135E"/>
    <w:rsid w:val="614C3178"/>
    <w:rsid w:val="61B54E04"/>
    <w:rsid w:val="61ED4CA5"/>
    <w:rsid w:val="624272C0"/>
    <w:rsid w:val="637922A2"/>
    <w:rsid w:val="64696DDA"/>
    <w:rsid w:val="64FE29DC"/>
    <w:rsid w:val="68AF296B"/>
    <w:rsid w:val="69194288"/>
    <w:rsid w:val="6A93119B"/>
    <w:rsid w:val="6B7B2D28"/>
    <w:rsid w:val="6B882FFF"/>
    <w:rsid w:val="6B8E2D0B"/>
    <w:rsid w:val="6C3D64DF"/>
    <w:rsid w:val="6C643A6C"/>
    <w:rsid w:val="6C716163"/>
    <w:rsid w:val="6D0B213A"/>
    <w:rsid w:val="6D400035"/>
    <w:rsid w:val="6D8819DC"/>
    <w:rsid w:val="6DD66F51"/>
    <w:rsid w:val="6E80788B"/>
    <w:rsid w:val="6EEE7B8B"/>
    <w:rsid w:val="6F0C36BF"/>
    <w:rsid w:val="6F2F55F5"/>
    <w:rsid w:val="6FBD3BBF"/>
    <w:rsid w:val="71374D50"/>
    <w:rsid w:val="71576F59"/>
    <w:rsid w:val="71E25D2E"/>
    <w:rsid w:val="71F92EA9"/>
    <w:rsid w:val="72192C03"/>
    <w:rsid w:val="725D5F95"/>
    <w:rsid w:val="727B1B10"/>
    <w:rsid w:val="733F0D8F"/>
    <w:rsid w:val="746E5488"/>
    <w:rsid w:val="75792336"/>
    <w:rsid w:val="762229CE"/>
    <w:rsid w:val="76FB19F1"/>
    <w:rsid w:val="78E511EE"/>
    <w:rsid w:val="79074632"/>
    <w:rsid w:val="7A01351B"/>
    <w:rsid w:val="7A8121B4"/>
    <w:rsid w:val="7A910122"/>
    <w:rsid w:val="7B4F1915"/>
    <w:rsid w:val="7B6C1FDA"/>
    <w:rsid w:val="7D056BA5"/>
    <w:rsid w:val="7D5E1798"/>
    <w:rsid w:val="9EFF5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color w:val="000000"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link w:val="16"/>
    <w:unhideWhenUsed/>
    <w:qFormat/>
    <w:uiPriority w:val="0"/>
    <w:pPr>
      <w:keepNext/>
      <w:keepLines/>
      <w:snapToGrid w:val="0"/>
      <w:spacing w:line="560" w:lineRule="exact"/>
      <w:ind w:firstLine="640"/>
      <w:outlineLvl w:val="2"/>
    </w:pPr>
    <w:rPr>
      <w:rFonts w:ascii="楷体_GB2312" w:hAnsi="楷体_GB2312" w:eastAsia="楷体_GB2312" w:cs="Times New Roman"/>
      <w:kern w:val="0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6">
    <w:name w:val="annotation text"/>
    <w:basedOn w:val="1"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qFormat/>
    <w:uiPriority w:val="0"/>
    <w:pPr>
      <w:jc w:val="center"/>
      <w:outlineLvl w:val="0"/>
    </w:pPr>
    <w:rPr>
      <w:rFonts w:ascii="Arial" w:hAnsi="Arial" w:cs="Arial" w:eastAsiaTheme="minorEastAsia"/>
      <w:b/>
      <w:bCs/>
      <w:sz w:val="32"/>
      <w:szCs w:val="32"/>
    </w:rPr>
  </w:style>
  <w:style w:type="paragraph" w:styleId="10">
    <w:name w:val="Body Text First Indent"/>
    <w:basedOn w:val="2"/>
    <w:qFormat/>
    <w:uiPriority w:val="0"/>
    <w:pPr>
      <w:ind w:firstLine="498" w:firstLineChars="200"/>
    </w:pPr>
    <w:rPr>
      <w:rFonts w:ascii="宋体" w:hAnsi="宋体" w:eastAsia="宋体" w:cs="Times New Roman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">
    <w:name w:val="Body Text 21"/>
    <w:qFormat/>
    <w:uiPriority w:val="0"/>
    <w:pPr>
      <w:spacing w:after="120" w:line="480" w:lineRule="auto"/>
      <w:jc w:val="left"/>
    </w:pPr>
    <w:rPr>
      <w:rFonts w:eastAsia="仿宋_GB2312" w:asciiTheme="minorHAnsi" w:hAnsiTheme="minorHAnsi" w:cstheme="minorBidi"/>
      <w:kern w:val="0"/>
      <w:sz w:val="32"/>
      <w:szCs w:val="32"/>
      <w:lang w:val="en-US" w:eastAsia="zh-CN" w:bidi="ar"/>
    </w:rPr>
  </w:style>
  <w:style w:type="character" w:customStyle="1" w:styleId="16">
    <w:name w:val="Heading 3 Char"/>
    <w:basedOn w:val="12"/>
    <w:link w:val="5"/>
    <w:qFormat/>
    <w:locked/>
    <w:uiPriority w:val="99"/>
    <w:rPr>
      <w:rFonts w:ascii="楷体_GB2312" w:hAnsi="楷体_GB2312" w:eastAsia="楷体_GB2312" w:cs="Times New Roman"/>
      <w:kern w:val="0"/>
      <w:szCs w:val="20"/>
    </w:rPr>
  </w:style>
  <w:style w:type="character" w:customStyle="1" w:styleId="17">
    <w:name w:val="NormalCharacter"/>
    <w:link w:val="18"/>
    <w:qFormat/>
    <w:uiPriority w:val="0"/>
    <w:rPr>
      <w:rFonts w:ascii="Times New Roman" w:hAnsi="Times New Roman" w:eastAsia="宋体" w:cs="Times New Roman"/>
    </w:rPr>
  </w:style>
  <w:style w:type="paragraph" w:customStyle="1" w:styleId="18">
    <w:name w:val="UserStyle_1"/>
    <w:basedOn w:val="1"/>
    <w:link w:val="17"/>
    <w:qFormat/>
    <w:uiPriority w:val="0"/>
    <w:pPr>
      <w:jc w:val="both"/>
      <w:textAlignment w:val="baseline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5848</Words>
  <Characters>6183</Characters>
  <Lines>1</Lines>
  <Paragraphs>1</Paragraphs>
  <TotalTime>49</TotalTime>
  <ScaleCrop>false</ScaleCrop>
  <LinksUpToDate>false</LinksUpToDate>
  <CharactersWithSpaces>6191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2022-12-12T10:51:00Z</dcterms:created>
  <dc:creator>WongS</dc:creator>
  <cp:lastModifiedBy>WPS_655496751</cp:lastModifiedBy>
  <cp:lastPrinted>2024-12-31T07:25:00Z</cp:lastPrinted>
  <dcterms:modified xsi:type="dcterms:W3CDTF">2025-07-21T07:57:56Z</dcterms:modified>
  <dc:title>关于铁力市2022年国民经济和社会发展计划执行情况及2023年国民经济和社会发展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B2D0BBEEBC7F4606B15BCD8109B27367_13</vt:lpwstr>
  </property>
  <property fmtid="{D5CDD505-2E9C-101B-9397-08002B2CF9AE}" pid="4" name="KSOTemplateDocerSaveRecord">
    <vt:lpwstr>eyJoZGlkIjoiNDViZWUyNTg3ZmRhYWYxM2UxM2MyZDExMGExZTY1NzUiLCJ1c2VySWQiOiI2NTU0OTY3NTEifQ==</vt:lpwstr>
  </property>
</Properties>
</file>