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ms-word.document.macroEnabled.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5C59D57F">
      <w:pPr>
        <w:spacing w:line="240" w:lineRule="auto"/>
        <w:jc w:val="both"/>
        <w:rPr>
          <w:rFonts w:hint="default" w:ascii="仿宋_GB2312" w:hAnsi="仿宋_GB2312" w:eastAsia="仿宋_GB2312" w:cs="仿宋_GB2312"/>
          <w:color w:val="auto"/>
          <w:kern w:val="2"/>
          <w:sz w:val="36"/>
          <w:szCs w:val="36"/>
          <w:lang w:val="en-US" w:eastAsia="zh-CN"/>
        </w:rPr>
      </w:pPr>
      <w:bookmarkStart w:id="0" w:name="_Toc67775550"/>
      <w:r>
        <w:rPr>
          <w:color w:val="auto"/>
        </w:rPr>
        <w:drawing>
          <wp:anchor distT="0" distB="0" distL="114300" distR="114300" simplePos="0" relativeHeight="251685888" behindDoc="0" locked="0" layoutInCell="1" allowOverlap="1">
            <wp:simplePos x="0" y="0"/>
            <wp:positionH relativeFrom="column">
              <wp:posOffset>-913765</wp:posOffset>
            </wp:positionH>
            <wp:positionV relativeFrom="paragraph">
              <wp:posOffset>-1029970</wp:posOffset>
            </wp:positionV>
            <wp:extent cx="7475855" cy="10574020"/>
            <wp:effectExtent l="0" t="0" r="10795" b="17780"/>
            <wp:wrapNone/>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17"/>
                    <a:stretch>
                      <a:fillRect/>
                    </a:stretch>
                  </pic:blipFill>
                  <pic:spPr>
                    <a:xfrm>
                      <a:off x="0" y="0"/>
                      <a:ext cx="7475855" cy="10574020"/>
                    </a:xfrm>
                    <a:prstGeom prst="rect">
                      <a:avLst/>
                    </a:prstGeom>
                    <a:noFill/>
                    <a:ln>
                      <a:noFill/>
                    </a:ln>
                  </pic:spPr>
                </pic:pic>
              </a:graphicData>
            </a:graphic>
          </wp:anchor>
        </w:drawing>
      </w:r>
    </w:p>
    <w:p w14:paraId="370FF014">
      <w:pPr>
        <w:spacing w:line="240" w:lineRule="auto"/>
        <w:jc w:val="both"/>
        <w:rPr>
          <w:rFonts w:hint="default" w:ascii="仿宋_GB2312" w:hAnsi="仿宋_GB2312" w:eastAsia="仿宋_GB2312" w:cs="仿宋_GB2312"/>
          <w:color w:val="auto"/>
          <w:kern w:val="2"/>
          <w:sz w:val="36"/>
          <w:szCs w:val="36"/>
        </w:rPr>
      </w:pPr>
    </w:p>
    <w:p w14:paraId="47AFEF85">
      <w:pPr>
        <w:spacing w:line="240" w:lineRule="auto"/>
        <w:jc w:val="both"/>
        <w:rPr>
          <w:rFonts w:hint="default" w:ascii="仿宋_GB2312" w:hAnsi="仿宋_GB2312" w:eastAsia="仿宋_GB2312" w:cs="仿宋_GB2312"/>
          <w:color w:val="auto"/>
          <w:kern w:val="2"/>
          <w:sz w:val="36"/>
          <w:szCs w:val="36"/>
        </w:rPr>
      </w:pPr>
    </w:p>
    <w:p w14:paraId="55FB367E">
      <w:pPr>
        <w:spacing w:line="240" w:lineRule="auto"/>
        <w:jc w:val="both"/>
        <w:rPr>
          <w:rFonts w:hint="default" w:ascii="仿宋_GB2312" w:hAnsi="仿宋_GB2312" w:eastAsia="仿宋_GB2312" w:cs="仿宋_GB2312"/>
          <w:color w:val="auto"/>
          <w:kern w:val="2"/>
          <w:sz w:val="36"/>
          <w:szCs w:val="36"/>
        </w:rPr>
      </w:pPr>
    </w:p>
    <w:p w14:paraId="0686B123">
      <w:pPr>
        <w:spacing w:line="240" w:lineRule="auto"/>
        <w:jc w:val="both"/>
        <w:rPr>
          <w:rFonts w:hint="eastAsia" w:ascii="仿宋_GB2312" w:hAnsi="仿宋_GB2312" w:eastAsia="仿宋_GB2312" w:cs="仿宋_GB2312"/>
          <w:color w:val="auto"/>
          <w:kern w:val="2"/>
          <w:sz w:val="36"/>
          <w:szCs w:val="36"/>
        </w:rPr>
      </w:pPr>
    </w:p>
    <w:p w14:paraId="43F30CFA">
      <w:pPr>
        <w:adjustRightInd w:val="0"/>
        <w:snapToGrid w:val="0"/>
        <w:spacing w:line="240" w:lineRule="auto"/>
        <w:jc w:val="center"/>
        <w:outlineLvl w:val="0"/>
        <w:rPr>
          <w:rFonts w:hint="eastAsia" w:ascii="方正小标宋_GBK" w:hAnsi="Times New Roman" w:eastAsia="方正小标宋_GBK" w:cs="Times New Roman"/>
          <w:bCs/>
          <w:color w:val="auto"/>
          <w:kern w:val="2"/>
          <w:sz w:val="72"/>
          <w:szCs w:val="72"/>
        </w:rPr>
      </w:pPr>
      <w:bookmarkStart w:id="1" w:name="_Toc26480"/>
      <w:bookmarkStart w:id="2" w:name="_Toc15503"/>
      <w:bookmarkStart w:id="22" w:name="_GoBack"/>
      <w:bookmarkEnd w:id="22"/>
      <w:r>
        <w:rPr>
          <w:rFonts w:hint="eastAsia" w:ascii="方正小标宋_GBK" w:hAnsi="Times New Roman" w:eastAsia="方正小标宋_GBK" w:cs="Times New Roman"/>
          <w:bCs/>
          <w:color w:val="auto"/>
          <w:kern w:val="2"/>
          <w:sz w:val="72"/>
          <w:szCs w:val="72"/>
        </w:rPr>
        <w:t>建设项目环境影响报告表</w:t>
      </w:r>
      <w:bookmarkEnd w:id="1"/>
    </w:p>
    <w:p w14:paraId="55A45AAC">
      <w:pPr>
        <w:adjustRightInd w:val="0"/>
        <w:snapToGrid w:val="0"/>
        <w:spacing w:before="192" w:beforeLines="80" w:line="240" w:lineRule="auto"/>
        <w:jc w:val="center"/>
        <w:rPr>
          <w:rFonts w:hint="eastAsia" w:ascii="楷体_GB2312" w:hAnsi="Times New Roman" w:eastAsia="楷体_GB2312" w:cs="Times New Roman"/>
          <w:bCs/>
          <w:color w:val="auto"/>
          <w:kern w:val="2"/>
          <w:sz w:val="48"/>
          <w:szCs w:val="48"/>
        </w:rPr>
      </w:pPr>
      <w:r>
        <w:rPr>
          <w:rFonts w:hint="eastAsia" w:ascii="楷体_GB2312" w:hAnsi="Times New Roman" w:eastAsia="楷体_GB2312" w:cs="Times New Roman"/>
          <w:bCs/>
          <w:color w:val="auto"/>
          <w:kern w:val="2"/>
          <w:sz w:val="48"/>
          <w:szCs w:val="48"/>
        </w:rPr>
        <w:t>（污染影响类）</w:t>
      </w:r>
    </w:p>
    <w:p w14:paraId="1954141D">
      <w:pPr>
        <w:adjustRightInd w:val="0"/>
        <w:snapToGrid w:val="0"/>
        <w:spacing w:line="288" w:lineRule="auto"/>
        <w:jc w:val="center"/>
        <w:outlineLvl w:val="9"/>
        <w:rPr>
          <w:rFonts w:hint="default" w:ascii="华文仿宋" w:hAnsi="华文仿宋" w:eastAsia="华文仿宋" w:cs="华文仿宋"/>
          <w:color w:val="auto"/>
          <w:kern w:val="44"/>
          <w:sz w:val="44"/>
          <w:szCs w:val="44"/>
        </w:rPr>
      </w:pPr>
    </w:p>
    <w:p w14:paraId="64D9D9A6">
      <w:pPr>
        <w:spacing w:line="240" w:lineRule="auto"/>
        <w:jc w:val="center"/>
        <w:rPr>
          <w:rFonts w:hint="default" w:ascii="Times New Roman" w:hAnsi="Times New Roman" w:eastAsia="仿宋" w:cs="Times New Roman"/>
          <w:color w:val="auto"/>
          <w:kern w:val="2"/>
          <w:sz w:val="52"/>
          <w:szCs w:val="52"/>
        </w:rPr>
      </w:pPr>
    </w:p>
    <w:p w14:paraId="7BB7CE54">
      <w:pPr>
        <w:spacing w:line="240" w:lineRule="auto"/>
        <w:ind w:firstLine="1040"/>
        <w:jc w:val="both"/>
        <w:rPr>
          <w:rFonts w:hint="default" w:ascii="Times New Roman" w:hAnsi="Times New Roman" w:eastAsia="仿宋" w:cs="Times New Roman"/>
          <w:color w:val="auto"/>
          <w:kern w:val="2"/>
          <w:sz w:val="44"/>
          <w:szCs w:val="44"/>
        </w:rPr>
      </w:pPr>
    </w:p>
    <w:p w14:paraId="3C20D03D">
      <w:pPr>
        <w:spacing w:line="240" w:lineRule="auto"/>
        <w:ind w:firstLine="1040"/>
        <w:jc w:val="both"/>
        <w:rPr>
          <w:rFonts w:hint="default" w:ascii="Times New Roman" w:hAnsi="Times New Roman" w:eastAsia="仿宋" w:cs="Times New Roman"/>
          <w:color w:val="auto"/>
          <w:kern w:val="2"/>
          <w:sz w:val="44"/>
          <w:szCs w:val="44"/>
        </w:rPr>
      </w:pPr>
    </w:p>
    <w:p w14:paraId="3463B12E">
      <w:pPr>
        <w:spacing w:line="240" w:lineRule="auto"/>
        <w:ind w:firstLine="1040"/>
        <w:jc w:val="both"/>
        <w:rPr>
          <w:rFonts w:hint="default" w:ascii="Times New Roman" w:hAnsi="Times New Roman" w:eastAsia="仿宋" w:cs="Times New Roman"/>
          <w:color w:val="auto"/>
          <w:kern w:val="2"/>
          <w:sz w:val="44"/>
          <w:szCs w:val="44"/>
        </w:rPr>
      </w:pPr>
    </w:p>
    <w:p w14:paraId="753C8885">
      <w:pPr>
        <w:spacing w:line="240" w:lineRule="auto"/>
        <w:ind w:firstLine="1040"/>
        <w:jc w:val="both"/>
        <w:rPr>
          <w:rFonts w:hint="default" w:ascii="Times New Roman" w:hAnsi="Times New Roman" w:eastAsia="仿宋" w:cs="Times New Roman"/>
          <w:color w:val="auto"/>
          <w:kern w:val="2"/>
          <w:sz w:val="44"/>
          <w:szCs w:val="44"/>
        </w:rPr>
      </w:pPr>
    </w:p>
    <w:tbl>
      <w:tblPr>
        <w:tblStyle w:val="57"/>
        <w:tblW w:w="0" w:type="auto"/>
        <w:tblInd w:w="38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12"/>
        <w:gridCol w:w="6158"/>
      </w:tblGrid>
      <w:tr w14:paraId="7CD18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2" w:type="dxa"/>
            <w:tcBorders>
              <w:top w:val="nil"/>
              <w:left w:val="nil"/>
              <w:bottom w:val="nil"/>
              <w:right w:val="nil"/>
            </w:tcBorders>
            <w:noWrap w:val="0"/>
            <w:vAlign w:val="top"/>
          </w:tcPr>
          <w:p w14:paraId="7B69773F">
            <w:pPr>
              <w:keepNext w:val="0"/>
              <w:keepLines w:val="0"/>
              <w:suppressLineNumbers w:val="0"/>
              <w:spacing w:before="0" w:beforeAutospacing="0" w:after="0" w:afterAutospacing="0" w:line="240" w:lineRule="auto"/>
              <w:ind w:left="0" w:right="0"/>
              <w:jc w:val="both"/>
              <w:rPr>
                <w:rFonts w:hint="eastAsia" w:ascii="Times New Roman" w:hAnsi="Times New Roman" w:eastAsia="宋体" w:cs="Times New Roman"/>
                <w:color w:val="auto"/>
                <w:kern w:val="2"/>
                <w:sz w:val="36"/>
                <w:szCs w:val="36"/>
                <w:u w:val="none"/>
                <w:vertAlign w:val="baseline"/>
                <w:lang w:eastAsia="zh-CN"/>
              </w:rPr>
            </w:pPr>
            <w:bookmarkStart w:id="3" w:name="_Hlk57884087"/>
            <w:r>
              <w:rPr>
                <w:rFonts w:hint="default" w:ascii="Times New Roman" w:hAnsi="Times New Roman" w:eastAsia="宋体" w:cs="Times New Roman"/>
                <w:color w:val="auto"/>
                <w:kern w:val="2"/>
                <w:sz w:val="36"/>
                <w:szCs w:val="36"/>
                <w:u w:val="none"/>
              </w:rPr>
              <w:t>项目名称</w:t>
            </w:r>
            <w:r>
              <w:rPr>
                <w:rFonts w:hint="eastAsia" w:ascii="Times New Roman" w:hAnsi="Times New Roman" w:eastAsia="宋体" w:cs="Times New Roman"/>
                <w:color w:val="auto"/>
                <w:kern w:val="2"/>
                <w:sz w:val="36"/>
                <w:szCs w:val="36"/>
                <w:u w:val="none"/>
                <w:lang w:eastAsia="zh-CN"/>
              </w:rPr>
              <w:t>：</w:t>
            </w:r>
          </w:p>
        </w:tc>
        <w:tc>
          <w:tcPr>
            <w:tcW w:w="6158" w:type="dxa"/>
            <w:tcBorders>
              <w:top w:val="nil"/>
              <w:left w:val="nil"/>
              <w:bottom w:val="nil"/>
              <w:right w:val="nil"/>
            </w:tcBorders>
            <w:noWrap w:val="0"/>
            <w:vAlign w:val="top"/>
          </w:tcPr>
          <w:p w14:paraId="19F2C5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kern w:val="2"/>
                <w:sz w:val="36"/>
                <w:szCs w:val="36"/>
                <w:u w:val="none"/>
                <w:vertAlign w:val="baseline"/>
              </w:rPr>
            </w:pPr>
            <w:r>
              <w:rPr>
                <w:rFonts w:hint="default" w:ascii="Times New Roman" w:hAnsi="Times New Roman" w:eastAsia="宋体" w:cs="Times New Roman"/>
                <w:color w:val="auto"/>
                <w:kern w:val="2"/>
                <w:sz w:val="36"/>
                <w:szCs w:val="36"/>
                <w:u w:val="single"/>
                <w:vertAlign w:val="baseline"/>
                <w:lang w:val="en-US" w:eastAsia="zh-CN"/>
              </w:rPr>
              <w:t>铁力泓旭机械制造有限公司年产</w:t>
            </w:r>
            <w:r>
              <w:rPr>
                <w:rFonts w:hint="eastAsia" w:ascii="Times New Roman" w:hAnsi="Times New Roman" w:cs="Times New Roman"/>
                <w:color w:val="auto"/>
                <w:kern w:val="2"/>
                <w:sz w:val="36"/>
                <w:szCs w:val="36"/>
                <w:u w:val="single"/>
                <w:vertAlign w:val="baseline"/>
                <w:lang w:val="en-US" w:eastAsia="zh-CN"/>
              </w:rPr>
              <w:t>5000</w:t>
            </w:r>
            <w:r>
              <w:rPr>
                <w:rFonts w:hint="default" w:ascii="Times New Roman" w:hAnsi="Times New Roman" w:eastAsia="宋体" w:cs="Times New Roman"/>
                <w:color w:val="auto"/>
                <w:kern w:val="2"/>
                <w:sz w:val="36"/>
                <w:szCs w:val="36"/>
                <w:u w:val="single"/>
                <w:vertAlign w:val="baseline"/>
                <w:lang w:val="en-US" w:eastAsia="zh-CN"/>
              </w:rPr>
              <w:t>吨耐磨铸件生产线项目</w:t>
            </w:r>
          </w:p>
        </w:tc>
      </w:tr>
      <w:tr w14:paraId="304C1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2" w:type="dxa"/>
            <w:tcBorders>
              <w:top w:val="nil"/>
              <w:left w:val="nil"/>
              <w:bottom w:val="nil"/>
              <w:right w:val="nil"/>
            </w:tcBorders>
            <w:noWrap w:val="0"/>
            <w:vAlign w:val="top"/>
          </w:tcPr>
          <w:p w14:paraId="491367D1">
            <w:pPr>
              <w:keepNext w:val="0"/>
              <w:keepLines w:val="0"/>
              <w:suppressLineNumbers w:val="0"/>
              <w:spacing w:before="0" w:beforeAutospacing="0" w:after="0" w:afterAutospacing="0" w:line="240" w:lineRule="auto"/>
              <w:ind w:left="0" w:right="0"/>
              <w:jc w:val="both"/>
              <w:rPr>
                <w:rFonts w:hint="default" w:ascii="Times New Roman" w:hAnsi="Times New Roman" w:eastAsia="宋体" w:cs="Times New Roman"/>
                <w:color w:val="auto"/>
                <w:kern w:val="2"/>
                <w:sz w:val="36"/>
                <w:szCs w:val="36"/>
                <w:u w:val="none"/>
                <w:vertAlign w:val="baseline"/>
              </w:rPr>
            </w:pPr>
            <w:r>
              <w:rPr>
                <w:rFonts w:hint="default" w:ascii="Times New Roman" w:hAnsi="Times New Roman" w:eastAsia="宋体" w:cs="Times New Roman"/>
                <w:color w:val="auto"/>
                <w:kern w:val="2"/>
                <w:sz w:val="36"/>
                <w:szCs w:val="36"/>
                <w:u w:val="none"/>
              </w:rPr>
              <w:t>建设单位：</w:t>
            </w:r>
          </w:p>
        </w:tc>
        <w:tc>
          <w:tcPr>
            <w:tcW w:w="6158" w:type="dxa"/>
            <w:tcBorders>
              <w:top w:val="nil"/>
              <w:left w:val="nil"/>
              <w:bottom w:val="nil"/>
              <w:right w:val="nil"/>
            </w:tcBorders>
            <w:noWrap w:val="0"/>
            <w:vAlign w:val="top"/>
          </w:tcPr>
          <w:p w14:paraId="6B53BB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firstLine="0"/>
              <w:jc w:val="center"/>
              <w:textAlignment w:val="auto"/>
              <w:rPr>
                <w:rFonts w:hint="default" w:ascii="Times New Roman" w:hAnsi="Times New Roman" w:eastAsia="宋体" w:cs="Times New Roman"/>
                <w:color w:val="auto"/>
                <w:kern w:val="2"/>
                <w:sz w:val="36"/>
                <w:szCs w:val="36"/>
                <w:u w:val="single"/>
                <w:vertAlign w:val="baseline"/>
              </w:rPr>
            </w:pPr>
            <w:r>
              <w:rPr>
                <w:rFonts w:hint="eastAsia" w:ascii="Times New Roman" w:hAnsi="Times New Roman" w:eastAsia="宋体" w:cs="Times New Roman"/>
                <w:color w:val="auto"/>
                <w:kern w:val="2"/>
                <w:sz w:val="36"/>
                <w:szCs w:val="36"/>
                <w:u w:val="single"/>
                <w:lang w:val="en-US" w:eastAsia="zh-CN"/>
              </w:rPr>
              <w:t>铁力泓旭机械制造有限公司</w:t>
            </w:r>
          </w:p>
        </w:tc>
      </w:tr>
      <w:tr w14:paraId="0D4AD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2" w:type="dxa"/>
            <w:tcBorders>
              <w:top w:val="nil"/>
              <w:left w:val="nil"/>
              <w:bottom w:val="nil"/>
              <w:right w:val="nil"/>
            </w:tcBorders>
            <w:noWrap w:val="0"/>
            <w:vAlign w:val="top"/>
          </w:tcPr>
          <w:p w14:paraId="2512B5B7">
            <w:pPr>
              <w:keepNext w:val="0"/>
              <w:keepLines w:val="0"/>
              <w:suppressLineNumbers w:val="0"/>
              <w:spacing w:before="0" w:beforeAutospacing="0" w:after="0" w:afterAutospacing="0" w:line="240" w:lineRule="auto"/>
              <w:ind w:left="0" w:right="0"/>
              <w:jc w:val="both"/>
              <w:rPr>
                <w:rFonts w:hint="default" w:ascii="Times New Roman" w:hAnsi="Times New Roman" w:eastAsia="宋体" w:cs="Times New Roman"/>
                <w:color w:val="auto"/>
                <w:kern w:val="2"/>
                <w:sz w:val="36"/>
                <w:szCs w:val="36"/>
                <w:u w:val="none"/>
              </w:rPr>
            </w:pPr>
            <w:r>
              <w:rPr>
                <w:rFonts w:hint="default" w:ascii="Times New Roman" w:hAnsi="Times New Roman" w:eastAsia="宋体" w:cs="Times New Roman"/>
                <w:color w:val="auto"/>
                <w:kern w:val="2"/>
                <w:sz w:val="36"/>
                <w:szCs w:val="36"/>
                <w:u w:val="none"/>
              </w:rPr>
              <w:t>编制日期：</w:t>
            </w:r>
          </w:p>
        </w:tc>
        <w:tc>
          <w:tcPr>
            <w:tcW w:w="6158" w:type="dxa"/>
            <w:tcBorders>
              <w:top w:val="nil"/>
              <w:left w:val="nil"/>
              <w:bottom w:val="nil"/>
              <w:right w:val="nil"/>
            </w:tcBorders>
            <w:noWrap w:val="0"/>
            <w:vAlign w:val="top"/>
          </w:tcPr>
          <w:p w14:paraId="346537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kern w:val="2"/>
                <w:sz w:val="36"/>
                <w:szCs w:val="36"/>
                <w:u w:val="single"/>
                <w:vertAlign w:val="baseline"/>
              </w:rPr>
            </w:pPr>
            <w:r>
              <w:rPr>
                <w:rFonts w:hint="default" w:ascii="Times New Roman" w:hAnsi="Times New Roman" w:eastAsia="宋体" w:cs="Times New Roman"/>
                <w:color w:val="auto"/>
                <w:kern w:val="2"/>
                <w:sz w:val="36"/>
                <w:szCs w:val="36"/>
                <w:u w:val="single"/>
                <w:lang w:val="en-US" w:eastAsia="zh-CN"/>
              </w:rPr>
              <w:t>202</w:t>
            </w:r>
            <w:r>
              <w:rPr>
                <w:rFonts w:hint="eastAsia" w:ascii="Times New Roman" w:hAnsi="Times New Roman" w:eastAsia="宋体" w:cs="Times New Roman"/>
                <w:color w:val="auto"/>
                <w:kern w:val="2"/>
                <w:sz w:val="36"/>
                <w:szCs w:val="36"/>
                <w:u w:val="single"/>
                <w:lang w:val="en-US" w:eastAsia="zh-CN"/>
              </w:rPr>
              <w:t>6</w:t>
            </w:r>
            <w:r>
              <w:rPr>
                <w:rFonts w:hint="default" w:ascii="Times New Roman" w:hAnsi="Times New Roman" w:eastAsia="宋体" w:cs="Times New Roman"/>
                <w:color w:val="auto"/>
                <w:kern w:val="2"/>
                <w:sz w:val="36"/>
                <w:szCs w:val="36"/>
                <w:u w:val="single"/>
                <w:lang w:val="en-US" w:eastAsia="zh-CN"/>
              </w:rPr>
              <w:t>年</w:t>
            </w:r>
            <w:r>
              <w:rPr>
                <w:rFonts w:hint="eastAsia" w:ascii="Times New Roman" w:hAnsi="Times New Roman" w:cs="Times New Roman"/>
                <w:color w:val="auto"/>
                <w:kern w:val="2"/>
                <w:sz w:val="36"/>
                <w:szCs w:val="36"/>
                <w:u w:val="single"/>
                <w:lang w:val="en-US" w:eastAsia="zh-CN"/>
              </w:rPr>
              <w:t xml:space="preserve">  </w:t>
            </w:r>
            <w:r>
              <w:rPr>
                <w:rFonts w:hint="default" w:ascii="Times New Roman" w:hAnsi="Times New Roman" w:eastAsia="宋体" w:cs="Times New Roman"/>
                <w:color w:val="auto"/>
                <w:kern w:val="2"/>
                <w:sz w:val="36"/>
                <w:szCs w:val="36"/>
                <w:u w:val="single"/>
                <w:lang w:val="en-US" w:eastAsia="zh-CN"/>
              </w:rPr>
              <w:t>月</w:t>
            </w:r>
          </w:p>
        </w:tc>
      </w:tr>
    </w:tbl>
    <w:p w14:paraId="5B0F495B">
      <w:pPr>
        <w:adjustRightInd w:val="0"/>
        <w:snapToGrid w:val="0"/>
        <w:spacing w:line="288" w:lineRule="auto"/>
        <w:ind w:firstLine="1040"/>
        <w:jc w:val="both"/>
        <w:rPr>
          <w:rFonts w:hint="default" w:ascii="仿宋_GB2312" w:hAnsi="Times New Roman" w:eastAsia="仿宋_GB2312" w:cs="Times New Roman"/>
          <w:color w:val="auto"/>
          <w:kern w:val="2"/>
          <w:sz w:val="36"/>
          <w:szCs w:val="36"/>
          <w:u w:val="single"/>
        </w:rPr>
      </w:pPr>
    </w:p>
    <w:p w14:paraId="2897A980">
      <w:pPr>
        <w:adjustRightInd w:val="0"/>
        <w:snapToGrid w:val="0"/>
        <w:spacing w:line="288" w:lineRule="auto"/>
        <w:ind w:firstLine="1040"/>
        <w:jc w:val="both"/>
        <w:rPr>
          <w:rFonts w:hint="default" w:ascii="仿宋_GB2312" w:hAnsi="Times New Roman" w:eastAsia="仿宋_GB2312" w:cs="Times New Roman"/>
          <w:color w:val="auto"/>
          <w:kern w:val="2"/>
          <w:sz w:val="36"/>
          <w:szCs w:val="36"/>
        </w:rPr>
      </w:pPr>
    </w:p>
    <w:p w14:paraId="7A57F522">
      <w:pPr>
        <w:adjustRightInd w:val="0"/>
        <w:snapToGrid w:val="0"/>
        <w:spacing w:line="288" w:lineRule="auto"/>
        <w:ind w:firstLine="1040"/>
        <w:jc w:val="both"/>
        <w:rPr>
          <w:rFonts w:hint="default" w:ascii="仿宋_GB2312" w:hAnsi="Times New Roman" w:eastAsia="仿宋_GB2312" w:cs="Times New Roman"/>
          <w:color w:val="auto"/>
          <w:kern w:val="2"/>
          <w:sz w:val="36"/>
          <w:szCs w:val="36"/>
        </w:rPr>
      </w:pPr>
    </w:p>
    <w:p w14:paraId="2F0EEBF7">
      <w:pPr>
        <w:adjustRightInd w:val="0"/>
        <w:snapToGrid w:val="0"/>
        <w:spacing w:line="288" w:lineRule="auto"/>
        <w:ind w:firstLine="1040"/>
        <w:jc w:val="both"/>
        <w:rPr>
          <w:rFonts w:hint="eastAsia" w:ascii="仿宋_GB2312" w:hAnsi="Times New Roman" w:eastAsia="仿宋_GB2312" w:cs="Times New Roman"/>
          <w:color w:val="auto"/>
          <w:kern w:val="2"/>
          <w:sz w:val="36"/>
          <w:szCs w:val="36"/>
        </w:rPr>
      </w:pPr>
    </w:p>
    <w:bookmarkEnd w:id="3"/>
    <w:p w14:paraId="63EE4EEB">
      <w:pPr>
        <w:adjustRightInd w:val="0"/>
        <w:snapToGrid w:val="0"/>
        <w:spacing w:line="288" w:lineRule="auto"/>
        <w:jc w:val="center"/>
        <w:outlineLvl w:val="0"/>
        <w:rPr>
          <w:rFonts w:hint="eastAsia" w:ascii="楷体_GB2312" w:eastAsia="楷体_GB2312"/>
          <w:color w:val="auto"/>
          <w:sz w:val="36"/>
          <w:szCs w:val="36"/>
        </w:rPr>
        <w:sectPr>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r>
        <w:rPr>
          <w:rFonts w:hint="eastAsia" w:ascii="楷体_GB2312" w:hAnsi="Times New Roman" w:eastAsia="楷体_GB2312" w:cs="Times New Roman"/>
          <w:color w:val="auto"/>
          <w:kern w:val="2"/>
          <w:sz w:val="36"/>
          <w:szCs w:val="36"/>
        </w:rPr>
        <w:t>中华人民共和国生态环境部制</w:t>
      </w:r>
      <w:bookmarkEnd w:id="2"/>
    </w:p>
    <w:p w14:paraId="5A3D3588">
      <w:pPr>
        <w:rPr>
          <w:rFonts w:hint="default" w:ascii="Times New Roman" w:hAnsi="Times New Roman" w:eastAsia="宋体" w:cs="Times New Roman"/>
          <w:b/>
          <w:color w:val="auto"/>
          <w:sz w:val="32"/>
          <w:szCs w:val="32"/>
          <w:highlight w:val="none"/>
        </w:rPr>
      </w:pPr>
      <w:r>
        <w:rPr>
          <w:color w:val="auto"/>
        </w:rPr>
        <w:drawing>
          <wp:anchor distT="0" distB="0" distL="114300" distR="114300" simplePos="0" relativeHeight="251682816" behindDoc="0" locked="0" layoutInCell="1" allowOverlap="1">
            <wp:simplePos x="0" y="0"/>
            <wp:positionH relativeFrom="column">
              <wp:posOffset>-727075</wp:posOffset>
            </wp:positionH>
            <wp:positionV relativeFrom="paragraph">
              <wp:posOffset>-725805</wp:posOffset>
            </wp:positionV>
            <wp:extent cx="7246620" cy="10253345"/>
            <wp:effectExtent l="0" t="0" r="11430" b="14605"/>
            <wp:wrapNone/>
            <wp:docPr id="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pic:cNvPicPr>
                      <a:picLocks noChangeAspect="1"/>
                    </pic:cNvPicPr>
                  </pic:nvPicPr>
                  <pic:blipFill>
                    <a:blip r:embed="rId18"/>
                    <a:stretch>
                      <a:fillRect/>
                    </a:stretch>
                  </pic:blipFill>
                  <pic:spPr>
                    <a:xfrm>
                      <a:off x="0" y="0"/>
                      <a:ext cx="7246620" cy="10253345"/>
                    </a:xfrm>
                    <a:prstGeom prst="rect">
                      <a:avLst/>
                    </a:prstGeom>
                    <a:noFill/>
                    <a:ln>
                      <a:noFill/>
                    </a:ln>
                  </pic:spPr>
                </pic:pic>
              </a:graphicData>
            </a:graphic>
          </wp:anchor>
        </w:drawing>
      </w:r>
      <w:r>
        <w:rPr>
          <w:rFonts w:hint="default" w:ascii="Times New Roman" w:hAnsi="Times New Roman" w:eastAsia="宋体" w:cs="Times New Roman"/>
          <w:b/>
          <w:color w:val="auto"/>
          <w:sz w:val="32"/>
          <w:szCs w:val="32"/>
          <w:highlight w:val="none"/>
        </w:rPr>
        <w:br w:type="page"/>
      </w:r>
    </w:p>
    <w:p w14:paraId="4C512F3E">
      <w:pPr>
        <w:jc w:val="center"/>
        <w:rPr>
          <w:rFonts w:hint="default" w:ascii="Times New Roman" w:hAnsi="Times New Roman" w:eastAsia="宋体" w:cs="Times New Roman"/>
          <w:b/>
          <w:color w:val="auto"/>
          <w:sz w:val="32"/>
          <w:szCs w:val="32"/>
          <w:highlight w:val="none"/>
        </w:rPr>
      </w:pPr>
      <w:r>
        <w:rPr>
          <w:rFonts w:hint="default" w:ascii="Times New Roman" w:hAnsi="Times New Roman" w:eastAsia="宋体" w:cs="Times New Roman"/>
          <w:b/>
          <w:color w:val="auto"/>
          <w:sz w:val="32"/>
          <w:szCs w:val="32"/>
          <w:highlight w:val="none"/>
        </w:rPr>
        <w:t>目录</w:t>
      </w:r>
      <w:bookmarkEnd w:id="0"/>
    </w:p>
    <w:p w14:paraId="18182A17">
      <w:pPr>
        <w:pStyle w:val="35"/>
        <w:tabs>
          <w:tab w:val="right" w:leader="dot" w:pos="9026"/>
        </w:tabs>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fldChar w:fldCharType="begin"/>
      </w:r>
      <w:r>
        <w:rPr>
          <w:rFonts w:hint="default" w:ascii="Times New Roman" w:hAnsi="Times New Roman" w:eastAsia="宋体" w:cs="Times New Roman"/>
          <w:b/>
          <w:bCs/>
          <w:color w:val="auto"/>
          <w:highlight w:val="none"/>
        </w:rPr>
        <w:instrText xml:space="preserve"> TOC \o "1-2" \h \z \u </w:instrText>
      </w:r>
      <w:r>
        <w:rPr>
          <w:rFonts w:hint="default" w:ascii="Times New Roman" w:hAnsi="Times New Roman" w:eastAsia="宋体" w:cs="Times New Roman"/>
          <w:b/>
          <w:bCs/>
          <w:color w:val="auto"/>
          <w:highlight w:val="none"/>
        </w:rPr>
        <w:fldChar w:fldCharType="separate"/>
      </w:r>
      <w:r>
        <w:rPr>
          <w:rFonts w:hint="default" w:ascii="Times New Roman" w:hAnsi="Times New Roman" w:eastAsia="宋体" w:cs="Times New Roman"/>
          <w:b/>
          <w:bCs/>
          <w:color w:val="auto"/>
          <w:highlight w:val="none"/>
        </w:rPr>
        <w:fldChar w:fldCharType="begin"/>
      </w:r>
      <w:r>
        <w:rPr>
          <w:rFonts w:hint="default" w:ascii="Times New Roman" w:hAnsi="Times New Roman" w:eastAsia="宋体" w:cs="Times New Roman"/>
          <w:b/>
          <w:bCs/>
          <w:color w:val="auto"/>
          <w:highlight w:val="none"/>
        </w:rPr>
        <w:instrText xml:space="preserve"> HYPERLINK \l _Toc26424 </w:instrText>
      </w:r>
      <w:r>
        <w:rPr>
          <w:rFonts w:hint="default" w:ascii="Times New Roman" w:hAnsi="Times New Roman" w:eastAsia="宋体" w:cs="Times New Roman"/>
          <w:b/>
          <w:bCs/>
          <w:color w:val="auto"/>
          <w:highlight w:val="none"/>
        </w:rPr>
        <w:fldChar w:fldCharType="separate"/>
      </w:r>
      <w:r>
        <w:rPr>
          <w:rFonts w:hint="default" w:ascii="Times New Roman" w:hAnsi="Times New Roman" w:eastAsia="宋体" w:cs="Times New Roman"/>
          <w:b/>
          <w:bCs/>
          <w:color w:val="auto"/>
          <w:szCs w:val="28"/>
          <w:highlight w:val="none"/>
        </w:rPr>
        <w:t>一、建设项目基本情况</w:t>
      </w:r>
      <w:r>
        <w:rPr>
          <w:rFonts w:hint="default" w:ascii="Times New Roman" w:hAnsi="Times New Roman" w:eastAsia="宋体" w:cs="Times New Roman"/>
          <w:b/>
          <w:bCs/>
          <w:color w:val="auto"/>
          <w:highlight w:val="none"/>
        </w:rPr>
        <w:tab/>
      </w:r>
      <w:r>
        <w:rPr>
          <w:rFonts w:hint="default" w:ascii="Times New Roman" w:hAnsi="Times New Roman" w:eastAsia="宋体" w:cs="Times New Roman"/>
          <w:b/>
          <w:bCs/>
          <w:color w:val="auto"/>
          <w:highlight w:val="none"/>
        </w:rPr>
        <w:fldChar w:fldCharType="begin"/>
      </w:r>
      <w:r>
        <w:rPr>
          <w:rFonts w:hint="default" w:ascii="Times New Roman" w:hAnsi="Times New Roman" w:eastAsia="宋体" w:cs="Times New Roman"/>
          <w:b/>
          <w:bCs/>
          <w:color w:val="auto"/>
          <w:highlight w:val="none"/>
        </w:rPr>
        <w:instrText xml:space="preserve"> PAGEREF _Toc26424 \h </w:instrText>
      </w:r>
      <w:r>
        <w:rPr>
          <w:rFonts w:hint="default" w:ascii="Times New Roman" w:hAnsi="Times New Roman" w:eastAsia="宋体" w:cs="Times New Roman"/>
          <w:b/>
          <w:bCs/>
          <w:color w:val="auto"/>
          <w:highlight w:val="none"/>
        </w:rPr>
        <w:fldChar w:fldCharType="separate"/>
      </w:r>
      <w:r>
        <w:rPr>
          <w:rFonts w:hint="default" w:ascii="Times New Roman" w:hAnsi="Times New Roman" w:eastAsia="宋体" w:cs="Times New Roman"/>
          <w:b/>
          <w:bCs/>
          <w:color w:val="auto"/>
          <w:highlight w:val="none"/>
        </w:rPr>
        <w:t>1</w:t>
      </w:r>
      <w:r>
        <w:rPr>
          <w:rFonts w:hint="default" w:ascii="Times New Roman" w:hAnsi="Times New Roman" w:eastAsia="宋体" w:cs="Times New Roman"/>
          <w:b/>
          <w:bCs/>
          <w:color w:val="auto"/>
          <w:highlight w:val="none"/>
        </w:rPr>
        <w:fldChar w:fldCharType="end"/>
      </w:r>
      <w:r>
        <w:rPr>
          <w:rFonts w:hint="default" w:ascii="Times New Roman" w:hAnsi="Times New Roman" w:eastAsia="宋体" w:cs="Times New Roman"/>
          <w:b/>
          <w:bCs/>
          <w:color w:val="auto"/>
          <w:highlight w:val="none"/>
        </w:rPr>
        <w:fldChar w:fldCharType="end"/>
      </w:r>
    </w:p>
    <w:p w14:paraId="6F1A2D2D">
      <w:pPr>
        <w:pStyle w:val="35"/>
        <w:tabs>
          <w:tab w:val="right" w:leader="dot" w:pos="9026"/>
        </w:tabs>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fldChar w:fldCharType="begin"/>
      </w:r>
      <w:r>
        <w:rPr>
          <w:rFonts w:hint="default" w:ascii="Times New Roman" w:hAnsi="Times New Roman" w:eastAsia="宋体" w:cs="Times New Roman"/>
          <w:b/>
          <w:bCs/>
          <w:color w:val="auto"/>
          <w:highlight w:val="none"/>
        </w:rPr>
        <w:instrText xml:space="preserve"> HYPERLINK \l _Toc29039 </w:instrText>
      </w:r>
      <w:r>
        <w:rPr>
          <w:rFonts w:hint="default" w:ascii="Times New Roman" w:hAnsi="Times New Roman" w:eastAsia="宋体" w:cs="Times New Roman"/>
          <w:b/>
          <w:bCs/>
          <w:color w:val="auto"/>
          <w:highlight w:val="none"/>
        </w:rPr>
        <w:fldChar w:fldCharType="separate"/>
      </w:r>
      <w:r>
        <w:rPr>
          <w:rFonts w:hint="default" w:ascii="Times New Roman" w:hAnsi="Times New Roman" w:eastAsia="宋体" w:cs="Times New Roman"/>
          <w:b/>
          <w:bCs/>
          <w:color w:val="auto"/>
          <w:szCs w:val="28"/>
          <w:highlight w:val="none"/>
        </w:rPr>
        <w:t>二、建设项目工程分析</w:t>
      </w:r>
      <w:r>
        <w:rPr>
          <w:rFonts w:hint="default" w:ascii="Times New Roman" w:hAnsi="Times New Roman" w:eastAsia="宋体" w:cs="Times New Roman"/>
          <w:b/>
          <w:bCs/>
          <w:color w:val="auto"/>
          <w:highlight w:val="none"/>
        </w:rPr>
        <w:tab/>
      </w:r>
      <w:r>
        <w:rPr>
          <w:rFonts w:hint="default" w:ascii="Times New Roman" w:hAnsi="Times New Roman" w:eastAsia="宋体" w:cs="Times New Roman"/>
          <w:b/>
          <w:bCs/>
          <w:color w:val="auto"/>
          <w:highlight w:val="none"/>
        </w:rPr>
        <w:fldChar w:fldCharType="begin"/>
      </w:r>
      <w:r>
        <w:rPr>
          <w:rFonts w:hint="default" w:ascii="Times New Roman" w:hAnsi="Times New Roman" w:eastAsia="宋体" w:cs="Times New Roman"/>
          <w:b/>
          <w:bCs/>
          <w:color w:val="auto"/>
          <w:highlight w:val="none"/>
        </w:rPr>
        <w:instrText xml:space="preserve"> PAGEREF _Toc29039 \h </w:instrText>
      </w:r>
      <w:r>
        <w:rPr>
          <w:rFonts w:hint="default" w:ascii="Times New Roman" w:hAnsi="Times New Roman" w:eastAsia="宋体" w:cs="Times New Roman"/>
          <w:b/>
          <w:bCs/>
          <w:color w:val="auto"/>
          <w:highlight w:val="none"/>
        </w:rPr>
        <w:fldChar w:fldCharType="separate"/>
      </w:r>
      <w:r>
        <w:rPr>
          <w:rFonts w:hint="default" w:ascii="Times New Roman" w:hAnsi="Times New Roman" w:eastAsia="宋体" w:cs="Times New Roman"/>
          <w:b/>
          <w:bCs/>
          <w:color w:val="auto"/>
          <w:highlight w:val="none"/>
        </w:rPr>
        <w:t>27</w:t>
      </w:r>
      <w:r>
        <w:rPr>
          <w:rFonts w:hint="default" w:ascii="Times New Roman" w:hAnsi="Times New Roman" w:eastAsia="宋体" w:cs="Times New Roman"/>
          <w:b/>
          <w:bCs/>
          <w:color w:val="auto"/>
          <w:highlight w:val="none"/>
        </w:rPr>
        <w:fldChar w:fldCharType="end"/>
      </w:r>
      <w:r>
        <w:rPr>
          <w:rFonts w:hint="default" w:ascii="Times New Roman" w:hAnsi="Times New Roman" w:eastAsia="宋体" w:cs="Times New Roman"/>
          <w:b/>
          <w:bCs/>
          <w:color w:val="auto"/>
          <w:highlight w:val="none"/>
        </w:rPr>
        <w:fldChar w:fldCharType="end"/>
      </w:r>
    </w:p>
    <w:p w14:paraId="3C7EA898">
      <w:pPr>
        <w:pStyle w:val="35"/>
        <w:tabs>
          <w:tab w:val="right" w:leader="dot" w:pos="9026"/>
        </w:tabs>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fldChar w:fldCharType="begin"/>
      </w:r>
      <w:r>
        <w:rPr>
          <w:rFonts w:hint="default" w:ascii="Times New Roman" w:hAnsi="Times New Roman" w:eastAsia="宋体" w:cs="Times New Roman"/>
          <w:b/>
          <w:bCs/>
          <w:color w:val="auto"/>
          <w:highlight w:val="none"/>
        </w:rPr>
        <w:instrText xml:space="preserve"> HYPERLINK \l _Toc8900 </w:instrText>
      </w:r>
      <w:r>
        <w:rPr>
          <w:rFonts w:hint="default" w:ascii="Times New Roman" w:hAnsi="Times New Roman" w:eastAsia="宋体" w:cs="Times New Roman"/>
          <w:b/>
          <w:bCs/>
          <w:color w:val="auto"/>
          <w:highlight w:val="none"/>
        </w:rPr>
        <w:fldChar w:fldCharType="separate"/>
      </w:r>
      <w:r>
        <w:rPr>
          <w:rFonts w:hint="default" w:ascii="Times New Roman" w:hAnsi="Times New Roman" w:eastAsia="宋体" w:cs="Times New Roman"/>
          <w:b/>
          <w:bCs/>
          <w:color w:val="auto"/>
          <w:szCs w:val="28"/>
          <w:highlight w:val="none"/>
        </w:rPr>
        <w:t>三、区域环境质量现状、环境保护目标及评价标准</w:t>
      </w:r>
      <w:r>
        <w:rPr>
          <w:rFonts w:hint="default" w:ascii="Times New Roman" w:hAnsi="Times New Roman" w:eastAsia="宋体" w:cs="Times New Roman"/>
          <w:b/>
          <w:bCs/>
          <w:color w:val="auto"/>
          <w:highlight w:val="none"/>
        </w:rPr>
        <w:tab/>
      </w:r>
      <w:r>
        <w:rPr>
          <w:rFonts w:hint="default" w:ascii="Times New Roman" w:hAnsi="Times New Roman" w:eastAsia="宋体" w:cs="Times New Roman"/>
          <w:b/>
          <w:bCs/>
          <w:color w:val="auto"/>
          <w:highlight w:val="none"/>
        </w:rPr>
        <w:fldChar w:fldCharType="begin"/>
      </w:r>
      <w:r>
        <w:rPr>
          <w:rFonts w:hint="default" w:ascii="Times New Roman" w:hAnsi="Times New Roman" w:eastAsia="宋体" w:cs="Times New Roman"/>
          <w:b/>
          <w:bCs/>
          <w:color w:val="auto"/>
          <w:highlight w:val="none"/>
        </w:rPr>
        <w:instrText xml:space="preserve"> PAGEREF _Toc8900 \h </w:instrText>
      </w:r>
      <w:r>
        <w:rPr>
          <w:rFonts w:hint="default" w:ascii="Times New Roman" w:hAnsi="Times New Roman" w:eastAsia="宋体" w:cs="Times New Roman"/>
          <w:b/>
          <w:bCs/>
          <w:color w:val="auto"/>
          <w:highlight w:val="none"/>
        </w:rPr>
        <w:fldChar w:fldCharType="separate"/>
      </w:r>
      <w:r>
        <w:rPr>
          <w:rFonts w:hint="default" w:ascii="Times New Roman" w:hAnsi="Times New Roman" w:eastAsia="宋体" w:cs="Times New Roman"/>
          <w:b/>
          <w:bCs/>
          <w:color w:val="auto"/>
          <w:highlight w:val="none"/>
        </w:rPr>
        <w:t>45</w:t>
      </w:r>
      <w:r>
        <w:rPr>
          <w:rFonts w:hint="default" w:ascii="Times New Roman" w:hAnsi="Times New Roman" w:eastAsia="宋体" w:cs="Times New Roman"/>
          <w:b/>
          <w:bCs/>
          <w:color w:val="auto"/>
          <w:highlight w:val="none"/>
        </w:rPr>
        <w:fldChar w:fldCharType="end"/>
      </w:r>
      <w:r>
        <w:rPr>
          <w:rFonts w:hint="default" w:ascii="Times New Roman" w:hAnsi="Times New Roman" w:eastAsia="宋体" w:cs="Times New Roman"/>
          <w:b/>
          <w:bCs/>
          <w:color w:val="auto"/>
          <w:highlight w:val="none"/>
        </w:rPr>
        <w:fldChar w:fldCharType="end"/>
      </w:r>
    </w:p>
    <w:p w14:paraId="39165D5B">
      <w:pPr>
        <w:pStyle w:val="35"/>
        <w:tabs>
          <w:tab w:val="right" w:leader="dot" w:pos="9026"/>
        </w:tabs>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fldChar w:fldCharType="begin"/>
      </w:r>
      <w:r>
        <w:rPr>
          <w:rFonts w:hint="default" w:ascii="Times New Roman" w:hAnsi="Times New Roman" w:eastAsia="宋体" w:cs="Times New Roman"/>
          <w:b/>
          <w:bCs/>
          <w:color w:val="auto"/>
          <w:highlight w:val="none"/>
        </w:rPr>
        <w:instrText xml:space="preserve"> HYPERLINK \l _Toc5066 </w:instrText>
      </w:r>
      <w:r>
        <w:rPr>
          <w:rFonts w:hint="default" w:ascii="Times New Roman" w:hAnsi="Times New Roman" w:eastAsia="宋体" w:cs="Times New Roman"/>
          <w:b/>
          <w:bCs/>
          <w:color w:val="auto"/>
          <w:highlight w:val="none"/>
        </w:rPr>
        <w:fldChar w:fldCharType="separate"/>
      </w:r>
      <w:r>
        <w:rPr>
          <w:rFonts w:hint="default" w:ascii="Times New Roman" w:hAnsi="Times New Roman" w:eastAsia="宋体" w:cs="Times New Roman"/>
          <w:b/>
          <w:bCs/>
          <w:color w:val="auto"/>
          <w:szCs w:val="28"/>
          <w:highlight w:val="none"/>
        </w:rPr>
        <w:t>四、主要环境影响和保护措施</w:t>
      </w:r>
      <w:r>
        <w:rPr>
          <w:rFonts w:hint="default" w:ascii="Times New Roman" w:hAnsi="Times New Roman" w:eastAsia="宋体" w:cs="Times New Roman"/>
          <w:b/>
          <w:bCs/>
          <w:color w:val="auto"/>
          <w:highlight w:val="none"/>
        </w:rPr>
        <w:tab/>
      </w:r>
      <w:r>
        <w:rPr>
          <w:rFonts w:hint="default" w:ascii="Times New Roman" w:hAnsi="Times New Roman" w:eastAsia="宋体" w:cs="Times New Roman"/>
          <w:b/>
          <w:bCs/>
          <w:color w:val="auto"/>
          <w:highlight w:val="none"/>
        </w:rPr>
        <w:fldChar w:fldCharType="begin"/>
      </w:r>
      <w:r>
        <w:rPr>
          <w:rFonts w:hint="default" w:ascii="Times New Roman" w:hAnsi="Times New Roman" w:eastAsia="宋体" w:cs="Times New Roman"/>
          <w:b/>
          <w:bCs/>
          <w:color w:val="auto"/>
          <w:highlight w:val="none"/>
        </w:rPr>
        <w:instrText xml:space="preserve"> PAGEREF _Toc5066 \h </w:instrText>
      </w:r>
      <w:r>
        <w:rPr>
          <w:rFonts w:hint="default" w:ascii="Times New Roman" w:hAnsi="Times New Roman" w:eastAsia="宋体" w:cs="Times New Roman"/>
          <w:b/>
          <w:bCs/>
          <w:color w:val="auto"/>
          <w:highlight w:val="none"/>
        </w:rPr>
        <w:fldChar w:fldCharType="separate"/>
      </w:r>
      <w:r>
        <w:rPr>
          <w:rFonts w:hint="default" w:ascii="Times New Roman" w:hAnsi="Times New Roman" w:eastAsia="宋体" w:cs="Times New Roman"/>
          <w:b/>
          <w:bCs/>
          <w:color w:val="auto"/>
          <w:highlight w:val="none"/>
        </w:rPr>
        <w:t>50</w:t>
      </w:r>
      <w:r>
        <w:rPr>
          <w:rFonts w:hint="default" w:ascii="Times New Roman" w:hAnsi="Times New Roman" w:eastAsia="宋体" w:cs="Times New Roman"/>
          <w:b/>
          <w:bCs/>
          <w:color w:val="auto"/>
          <w:highlight w:val="none"/>
        </w:rPr>
        <w:fldChar w:fldCharType="end"/>
      </w:r>
      <w:r>
        <w:rPr>
          <w:rFonts w:hint="default" w:ascii="Times New Roman" w:hAnsi="Times New Roman" w:eastAsia="宋体" w:cs="Times New Roman"/>
          <w:b/>
          <w:bCs/>
          <w:color w:val="auto"/>
          <w:highlight w:val="none"/>
        </w:rPr>
        <w:fldChar w:fldCharType="end"/>
      </w:r>
    </w:p>
    <w:p w14:paraId="327AF472">
      <w:pPr>
        <w:pStyle w:val="35"/>
        <w:tabs>
          <w:tab w:val="right" w:leader="dot" w:pos="9026"/>
        </w:tabs>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fldChar w:fldCharType="begin"/>
      </w:r>
      <w:r>
        <w:rPr>
          <w:rFonts w:hint="default" w:ascii="Times New Roman" w:hAnsi="Times New Roman" w:eastAsia="宋体" w:cs="Times New Roman"/>
          <w:b/>
          <w:bCs/>
          <w:color w:val="auto"/>
          <w:highlight w:val="none"/>
        </w:rPr>
        <w:instrText xml:space="preserve"> HYPERLINK \l _Toc4821 </w:instrText>
      </w:r>
      <w:r>
        <w:rPr>
          <w:rFonts w:hint="default" w:ascii="Times New Roman" w:hAnsi="Times New Roman" w:eastAsia="宋体" w:cs="Times New Roman"/>
          <w:b/>
          <w:bCs/>
          <w:color w:val="auto"/>
          <w:highlight w:val="none"/>
        </w:rPr>
        <w:fldChar w:fldCharType="separate"/>
      </w:r>
      <w:r>
        <w:rPr>
          <w:rFonts w:hint="default" w:ascii="Times New Roman" w:hAnsi="Times New Roman" w:eastAsia="宋体" w:cs="Times New Roman"/>
          <w:b/>
          <w:bCs/>
          <w:color w:val="auto"/>
          <w:szCs w:val="28"/>
          <w:highlight w:val="none"/>
        </w:rPr>
        <w:t>五、环境保护措施监督检查清单</w:t>
      </w:r>
      <w:r>
        <w:rPr>
          <w:rFonts w:hint="default" w:ascii="Times New Roman" w:hAnsi="Times New Roman" w:eastAsia="宋体" w:cs="Times New Roman"/>
          <w:b/>
          <w:bCs/>
          <w:color w:val="auto"/>
          <w:highlight w:val="none"/>
        </w:rPr>
        <w:tab/>
      </w:r>
      <w:r>
        <w:rPr>
          <w:rFonts w:hint="default" w:ascii="Times New Roman" w:hAnsi="Times New Roman" w:eastAsia="宋体" w:cs="Times New Roman"/>
          <w:b/>
          <w:bCs/>
          <w:color w:val="auto"/>
          <w:highlight w:val="none"/>
        </w:rPr>
        <w:fldChar w:fldCharType="begin"/>
      </w:r>
      <w:r>
        <w:rPr>
          <w:rFonts w:hint="default" w:ascii="Times New Roman" w:hAnsi="Times New Roman" w:eastAsia="宋体" w:cs="Times New Roman"/>
          <w:b/>
          <w:bCs/>
          <w:color w:val="auto"/>
          <w:highlight w:val="none"/>
        </w:rPr>
        <w:instrText xml:space="preserve"> PAGEREF _Toc4821 \h </w:instrText>
      </w:r>
      <w:r>
        <w:rPr>
          <w:rFonts w:hint="default" w:ascii="Times New Roman" w:hAnsi="Times New Roman" w:eastAsia="宋体" w:cs="Times New Roman"/>
          <w:b/>
          <w:bCs/>
          <w:color w:val="auto"/>
          <w:highlight w:val="none"/>
        </w:rPr>
        <w:fldChar w:fldCharType="separate"/>
      </w:r>
      <w:r>
        <w:rPr>
          <w:rFonts w:hint="default" w:ascii="Times New Roman" w:hAnsi="Times New Roman" w:eastAsia="宋体" w:cs="Times New Roman"/>
          <w:b/>
          <w:bCs/>
          <w:color w:val="auto"/>
          <w:highlight w:val="none"/>
        </w:rPr>
        <w:t>86</w:t>
      </w:r>
      <w:r>
        <w:rPr>
          <w:rFonts w:hint="default" w:ascii="Times New Roman" w:hAnsi="Times New Roman" w:eastAsia="宋体" w:cs="Times New Roman"/>
          <w:b/>
          <w:bCs/>
          <w:color w:val="auto"/>
          <w:highlight w:val="none"/>
        </w:rPr>
        <w:fldChar w:fldCharType="end"/>
      </w:r>
      <w:r>
        <w:rPr>
          <w:rFonts w:hint="default" w:ascii="Times New Roman" w:hAnsi="Times New Roman" w:eastAsia="宋体" w:cs="Times New Roman"/>
          <w:b/>
          <w:bCs/>
          <w:color w:val="auto"/>
          <w:highlight w:val="none"/>
        </w:rPr>
        <w:fldChar w:fldCharType="end"/>
      </w:r>
    </w:p>
    <w:p w14:paraId="4602F6A7">
      <w:pPr>
        <w:pStyle w:val="35"/>
        <w:tabs>
          <w:tab w:val="right" w:leader="dot" w:pos="9026"/>
        </w:tabs>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fldChar w:fldCharType="begin"/>
      </w:r>
      <w:r>
        <w:rPr>
          <w:rFonts w:hint="default" w:ascii="Times New Roman" w:hAnsi="Times New Roman" w:eastAsia="宋体" w:cs="Times New Roman"/>
          <w:b/>
          <w:bCs/>
          <w:color w:val="auto"/>
          <w:highlight w:val="none"/>
        </w:rPr>
        <w:instrText xml:space="preserve"> HYPERLINK \l _Toc15311 </w:instrText>
      </w:r>
      <w:r>
        <w:rPr>
          <w:rFonts w:hint="default" w:ascii="Times New Roman" w:hAnsi="Times New Roman" w:eastAsia="宋体" w:cs="Times New Roman"/>
          <w:b/>
          <w:bCs/>
          <w:color w:val="auto"/>
          <w:highlight w:val="none"/>
        </w:rPr>
        <w:fldChar w:fldCharType="separate"/>
      </w:r>
      <w:r>
        <w:rPr>
          <w:rFonts w:hint="default" w:ascii="Times New Roman" w:hAnsi="Times New Roman" w:eastAsia="宋体" w:cs="Times New Roman"/>
          <w:b/>
          <w:bCs/>
          <w:color w:val="auto"/>
          <w:szCs w:val="28"/>
          <w:highlight w:val="none"/>
        </w:rPr>
        <w:t>六、结论</w:t>
      </w:r>
      <w:r>
        <w:rPr>
          <w:rFonts w:hint="default" w:ascii="Times New Roman" w:hAnsi="Times New Roman" w:eastAsia="宋体" w:cs="Times New Roman"/>
          <w:b/>
          <w:bCs/>
          <w:color w:val="auto"/>
          <w:highlight w:val="none"/>
        </w:rPr>
        <w:tab/>
      </w:r>
      <w:r>
        <w:rPr>
          <w:rFonts w:hint="default" w:ascii="Times New Roman" w:hAnsi="Times New Roman" w:eastAsia="宋体" w:cs="Times New Roman"/>
          <w:b/>
          <w:bCs/>
          <w:color w:val="auto"/>
          <w:highlight w:val="none"/>
        </w:rPr>
        <w:fldChar w:fldCharType="begin"/>
      </w:r>
      <w:r>
        <w:rPr>
          <w:rFonts w:hint="default" w:ascii="Times New Roman" w:hAnsi="Times New Roman" w:eastAsia="宋体" w:cs="Times New Roman"/>
          <w:b/>
          <w:bCs/>
          <w:color w:val="auto"/>
          <w:highlight w:val="none"/>
        </w:rPr>
        <w:instrText xml:space="preserve"> PAGEREF _Toc15311 \h </w:instrText>
      </w:r>
      <w:r>
        <w:rPr>
          <w:rFonts w:hint="default" w:ascii="Times New Roman" w:hAnsi="Times New Roman" w:eastAsia="宋体" w:cs="Times New Roman"/>
          <w:b/>
          <w:bCs/>
          <w:color w:val="auto"/>
          <w:highlight w:val="none"/>
        </w:rPr>
        <w:fldChar w:fldCharType="separate"/>
      </w:r>
      <w:r>
        <w:rPr>
          <w:rFonts w:hint="default" w:ascii="Times New Roman" w:hAnsi="Times New Roman" w:eastAsia="宋体" w:cs="Times New Roman"/>
          <w:b/>
          <w:bCs/>
          <w:color w:val="auto"/>
          <w:highlight w:val="none"/>
        </w:rPr>
        <w:t>89</w:t>
      </w:r>
      <w:r>
        <w:rPr>
          <w:rFonts w:hint="default" w:ascii="Times New Roman" w:hAnsi="Times New Roman" w:eastAsia="宋体" w:cs="Times New Roman"/>
          <w:b/>
          <w:bCs/>
          <w:color w:val="auto"/>
          <w:highlight w:val="none"/>
        </w:rPr>
        <w:fldChar w:fldCharType="end"/>
      </w:r>
      <w:r>
        <w:rPr>
          <w:rFonts w:hint="default" w:ascii="Times New Roman" w:hAnsi="Times New Roman" w:eastAsia="宋体" w:cs="Times New Roman"/>
          <w:b/>
          <w:bCs/>
          <w:color w:val="auto"/>
          <w:highlight w:val="none"/>
        </w:rPr>
        <w:fldChar w:fldCharType="end"/>
      </w:r>
    </w:p>
    <w:p w14:paraId="17B96EC9">
      <w:pPr>
        <w:pStyle w:val="35"/>
        <w:tabs>
          <w:tab w:val="right" w:leader="dot" w:pos="9026"/>
        </w:tabs>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fldChar w:fldCharType="begin"/>
      </w:r>
      <w:r>
        <w:rPr>
          <w:rFonts w:hint="default" w:ascii="Times New Roman" w:hAnsi="Times New Roman" w:eastAsia="宋体" w:cs="Times New Roman"/>
          <w:b/>
          <w:bCs/>
          <w:color w:val="auto"/>
          <w:highlight w:val="none"/>
        </w:rPr>
        <w:instrText xml:space="preserve"> HYPERLINK \l _Toc14657 </w:instrText>
      </w:r>
      <w:r>
        <w:rPr>
          <w:rFonts w:hint="default" w:ascii="Times New Roman" w:hAnsi="Times New Roman" w:eastAsia="宋体" w:cs="Times New Roman"/>
          <w:b/>
          <w:bCs/>
          <w:color w:val="auto"/>
          <w:highlight w:val="none"/>
        </w:rPr>
        <w:fldChar w:fldCharType="separate"/>
      </w:r>
      <w:r>
        <w:rPr>
          <w:rFonts w:hint="default" w:ascii="Times New Roman" w:hAnsi="Times New Roman" w:eastAsia="宋体" w:cs="Times New Roman"/>
          <w:b/>
          <w:bCs/>
          <w:color w:val="auto"/>
          <w:szCs w:val="32"/>
          <w:highlight w:val="none"/>
        </w:rPr>
        <w:t>附表</w:t>
      </w:r>
      <w:r>
        <w:rPr>
          <w:rFonts w:hint="default" w:ascii="Times New Roman" w:hAnsi="Times New Roman" w:eastAsia="宋体" w:cs="Times New Roman"/>
          <w:b/>
          <w:bCs/>
          <w:color w:val="auto"/>
          <w:szCs w:val="32"/>
          <w:highlight w:val="none"/>
          <w:lang w:val="en-US" w:eastAsia="zh-CN"/>
        </w:rPr>
        <w:t xml:space="preserve"> </w:t>
      </w:r>
      <w:r>
        <w:rPr>
          <w:rFonts w:hint="default" w:ascii="Times New Roman" w:hAnsi="Times New Roman" w:eastAsia="宋体" w:cs="Times New Roman"/>
          <w:b/>
          <w:bCs/>
          <w:color w:val="auto"/>
          <w:highlight w:val="none"/>
        </w:rPr>
        <w:fldChar w:fldCharType="end"/>
      </w:r>
      <w:r>
        <w:rPr>
          <w:rFonts w:hint="default" w:ascii="Times New Roman" w:hAnsi="Times New Roman" w:eastAsia="宋体" w:cs="Times New Roman"/>
          <w:b/>
          <w:bCs/>
          <w:color w:val="auto"/>
          <w:highlight w:val="none"/>
        </w:rPr>
        <w:fldChar w:fldCharType="begin"/>
      </w:r>
      <w:r>
        <w:rPr>
          <w:rFonts w:hint="default" w:ascii="Times New Roman" w:hAnsi="Times New Roman" w:eastAsia="宋体" w:cs="Times New Roman"/>
          <w:b/>
          <w:bCs/>
          <w:color w:val="auto"/>
          <w:highlight w:val="none"/>
        </w:rPr>
        <w:instrText xml:space="preserve"> HYPERLINK \l _Toc22461 </w:instrText>
      </w:r>
      <w:r>
        <w:rPr>
          <w:rFonts w:hint="default" w:ascii="Times New Roman" w:hAnsi="Times New Roman" w:eastAsia="宋体" w:cs="Times New Roman"/>
          <w:b/>
          <w:bCs/>
          <w:color w:val="auto"/>
          <w:highlight w:val="none"/>
        </w:rPr>
        <w:fldChar w:fldCharType="separate"/>
      </w:r>
      <w:r>
        <w:rPr>
          <w:rFonts w:hint="default" w:ascii="Times New Roman" w:hAnsi="Times New Roman" w:eastAsia="宋体" w:cs="Times New Roman"/>
          <w:b/>
          <w:bCs/>
          <w:color w:val="auto"/>
          <w:szCs w:val="28"/>
          <w:highlight w:val="none"/>
        </w:rPr>
        <w:t>建设项目污染物排放量汇总表</w:t>
      </w:r>
      <w:r>
        <w:rPr>
          <w:rFonts w:hint="default" w:ascii="Times New Roman" w:hAnsi="Times New Roman" w:eastAsia="宋体" w:cs="Times New Roman"/>
          <w:b/>
          <w:bCs/>
          <w:color w:val="auto"/>
          <w:highlight w:val="none"/>
        </w:rPr>
        <w:tab/>
      </w:r>
      <w:r>
        <w:rPr>
          <w:rFonts w:hint="default" w:ascii="Times New Roman" w:hAnsi="Times New Roman" w:eastAsia="宋体" w:cs="Times New Roman"/>
          <w:b/>
          <w:bCs/>
          <w:color w:val="auto"/>
          <w:highlight w:val="none"/>
        </w:rPr>
        <w:fldChar w:fldCharType="begin"/>
      </w:r>
      <w:r>
        <w:rPr>
          <w:rFonts w:hint="default" w:ascii="Times New Roman" w:hAnsi="Times New Roman" w:eastAsia="宋体" w:cs="Times New Roman"/>
          <w:b/>
          <w:bCs/>
          <w:color w:val="auto"/>
          <w:highlight w:val="none"/>
        </w:rPr>
        <w:instrText xml:space="preserve"> PAGEREF _Toc22461 \h </w:instrText>
      </w:r>
      <w:r>
        <w:rPr>
          <w:rFonts w:hint="default" w:ascii="Times New Roman" w:hAnsi="Times New Roman" w:eastAsia="宋体" w:cs="Times New Roman"/>
          <w:b/>
          <w:bCs/>
          <w:color w:val="auto"/>
          <w:highlight w:val="none"/>
        </w:rPr>
        <w:fldChar w:fldCharType="separate"/>
      </w:r>
      <w:r>
        <w:rPr>
          <w:rFonts w:hint="default" w:ascii="Times New Roman" w:hAnsi="Times New Roman" w:eastAsia="宋体" w:cs="Times New Roman"/>
          <w:b/>
          <w:bCs/>
          <w:color w:val="auto"/>
          <w:highlight w:val="none"/>
        </w:rPr>
        <w:t>90</w:t>
      </w:r>
      <w:r>
        <w:rPr>
          <w:rFonts w:hint="default" w:ascii="Times New Roman" w:hAnsi="Times New Roman" w:eastAsia="宋体" w:cs="Times New Roman"/>
          <w:b/>
          <w:bCs/>
          <w:color w:val="auto"/>
          <w:highlight w:val="none"/>
        </w:rPr>
        <w:fldChar w:fldCharType="end"/>
      </w:r>
      <w:r>
        <w:rPr>
          <w:rFonts w:hint="default" w:ascii="Times New Roman" w:hAnsi="Times New Roman" w:eastAsia="宋体" w:cs="Times New Roman"/>
          <w:b/>
          <w:bCs/>
          <w:color w:val="auto"/>
          <w:highlight w:val="none"/>
        </w:rPr>
        <w:fldChar w:fldCharType="end"/>
      </w:r>
    </w:p>
    <w:p w14:paraId="611EBFE8">
      <w:pPr>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fldChar w:fldCharType="end"/>
      </w:r>
      <w:r>
        <w:rPr>
          <w:rFonts w:hint="default" w:ascii="Times New Roman" w:hAnsi="Times New Roman" w:eastAsia="宋体" w:cs="Times New Roman"/>
          <w:color w:val="auto"/>
          <w:highlight w:val="none"/>
        </w:rPr>
        <w:t xml:space="preserve">附图：附图1 </w:t>
      </w:r>
      <w:r>
        <w:rPr>
          <w:rFonts w:hint="default" w:ascii="Times New Roman" w:hAnsi="Times New Roman" w:eastAsia="宋体" w:cs="Times New Roman"/>
          <w:color w:val="auto"/>
          <w:highlight w:val="none"/>
          <w:lang w:val="en-US" w:eastAsia="zh-CN"/>
        </w:rPr>
        <w:t>与环境管控单元叠加图</w:t>
      </w:r>
    </w:p>
    <w:p w14:paraId="758279BB">
      <w:pPr>
        <w:ind w:firstLine="72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 xml:space="preserve">附图2 </w:t>
      </w:r>
      <w:r>
        <w:rPr>
          <w:rFonts w:hint="eastAsia" w:ascii="Times New Roman" w:hAnsi="Times New Roman" w:cs="Times New Roman"/>
          <w:color w:val="auto"/>
          <w:highlight w:val="none"/>
          <w:lang w:val="en-US" w:eastAsia="zh-CN"/>
        </w:rPr>
        <w:t>地理位置图</w:t>
      </w:r>
    </w:p>
    <w:p w14:paraId="43A01582">
      <w:pPr>
        <w:ind w:firstLine="72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 xml:space="preserve">附图3 </w:t>
      </w:r>
      <w:r>
        <w:rPr>
          <w:rFonts w:hint="default" w:ascii="Times New Roman" w:hAnsi="Times New Roman" w:eastAsia="宋体" w:cs="Times New Roman"/>
          <w:color w:val="auto"/>
          <w:highlight w:val="none"/>
          <w:lang w:val="en-US" w:eastAsia="zh-CN"/>
        </w:rPr>
        <w:t>平面布置图</w:t>
      </w:r>
    </w:p>
    <w:p w14:paraId="1153CE79">
      <w:pPr>
        <w:ind w:firstLine="72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附图4 铁力市建成区声环境功能区划图</w:t>
      </w:r>
    </w:p>
    <w:p w14:paraId="5A23D940">
      <w:pPr>
        <w:ind w:firstLine="72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附图</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 xml:space="preserve"> </w:t>
      </w:r>
      <w:r>
        <w:rPr>
          <w:rFonts w:hint="default" w:ascii="Times New Roman" w:hAnsi="Times New Roman" w:eastAsia="宋体" w:cs="Times New Roman"/>
          <w:color w:val="auto"/>
          <w:highlight w:val="none"/>
          <w:lang w:val="en-US" w:eastAsia="zh-CN"/>
        </w:rPr>
        <w:t>评价范围及环境保护目标分布图</w:t>
      </w:r>
    </w:p>
    <w:p w14:paraId="0ED80059">
      <w:pPr>
        <w:ind w:firstLine="72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附图</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eastAsia="zh-CN"/>
        </w:rPr>
        <w:t xml:space="preserve"> </w:t>
      </w:r>
      <w:r>
        <w:rPr>
          <w:rFonts w:hint="default" w:ascii="Times New Roman" w:hAnsi="Times New Roman" w:eastAsia="宋体" w:cs="Times New Roman"/>
          <w:color w:val="auto"/>
          <w:highlight w:val="none"/>
          <w:lang w:val="en-US" w:eastAsia="zh-CN"/>
        </w:rPr>
        <w:t>现场照片</w:t>
      </w:r>
    </w:p>
    <w:p w14:paraId="4D9733C8">
      <w:pP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附件：附件1</w:t>
      </w:r>
      <w:r>
        <w:rPr>
          <w:rFonts w:hint="default" w:ascii="Times New Roman" w:hAnsi="Times New Roman" w:eastAsia="宋体" w:cs="Times New Roman"/>
          <w:color w:val="auto"/>
          <w:highlight w:val="none"/>
          <w:lang w:val="en-US" w:eastAsia="zh-CN"/>
        </w:rPr>
        <w:t xml:space="preserve"> </w:t>
      </w:r>
      <w:r>
        <w:rPr>
          <w:rFonts w:hint="eastAsia" w:ascii="Times New Roman" w:hAnsi="Times New Roman" w:cs="Times New Roman"/>
          <w:color w:val="auto"/>
          <w:highlight w:val="none"/>
          <w:lang w:val="en-US" w:eastAsia="zh-CN"/>
        </w:rPr>
        <w:t>营业执照</w:t>
      </w:r>
    </w:p>
    <w:p w14:paraId="1BDB509D">
      <w:pPr>
        <w:ind w:firstLine="72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 xml:space="preserve">附件2 </w:t>
      </w:r>
      <w:r>
        <w:rPr>
          <w:rFonts w:hint="eastAsia" w:ascii="Times New Roman" w:hAnsi="Times New Roman" w:cs="Times New Roman"/>
          <w:color w:val="auto"/>
          <w:highlight w:val="none"/>
          <w:lang w:val="en-US" w:eastAsia="zh-CN"/>
        </w:rPr>
        <w:t>土地证</w:t>
      </w:r>
    </w:p>
    <w:p w14:paraId="033D8D75">
      <w:pPr>
        <w:ind w:firstLine="72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 xml:space="preserve">附件3 </w:t>
      </w:r>
      <w:r>
        <w:rPr>
          <w:rFonts w:hint="eastAsia" w:ascii="Times New Roman" w:hAnsi="Times New Roman" w:cs="Times New Roman"/>
          <w:color w:val="auto"/>
          <w:highlight w:val="none"/>
          <w:lang w:val="en-US" w:eastAsia="zh-CN"/>
        </w:rPr>
        <w:t>检测报告</w:t>
      </w:r>
    </w:p>
    <w:p w14:paraId="28811890">
      <w:pPr>
        <w:ind w:firstLine="72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 xml:space="preserve">附件4 </w:t>
      </w:r>
      <w:r>
        <w:rPr>
          <w:rFonts w:hint="default" w:ascii="Times New Roman" w:hAnsi="Times New Roman" w:eastAsia="宋体" w:cs="Times New Roman"/>
          <w:color w:val="auto"/>
          <w:highlight w:val="none"/>
          <w:lang w:val="en-US" w:eastAsia="zh-CN"/>
        </w:rPr>
        <w:t>企业投资项目备案承诺书</w:t>
      </w:r>
    </w:p>
    <w:p w14:paraId="69F4FBAD">
      <w:pPr>
        <w:ind w:firstLine="72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附件5</w:t>
      </w:r>
      <w:r>
        <w:rPr>
          <w:rFonts w:hint="eastAsia" w:ascii="Times New Roman" w:hAnsi="Times New Roman"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环评批复</w:t>
      </w:r>
    </w:p>
    <w:p w14:paraId="5231F228">
      <w:pPr>
        <w:ind w:firstLine="72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附件6 生态环境分区管控分析报告</w:t>
      </w:r>
    </w:p>
    <w:p w14:paraId="56FDC349">
      <w:pPr>
        <w:ind w:firstLine="720"/>
        <w:rPr>
          <w:rFonts w:hint="default" w:ascii="Times New Roman" w:hAnsi="Times New Roman" w:eastAsia="宋体" w:cs="Times New Roman"/>
          <w:color w:val="auto"/>
          <w:highlight w:val="none"/>
          <w:lang w:val="en-US" w:eastAsia="zh-CN"/>
        </w:rPr>
        <w:sectPr>
          <w:headerReference r:id="rId5" w:type="default"/>
          <w:pgSz w:w="11906" w:h="16838" w:orient="landscape"/>
          <w:pgMar w:top="1440" w:right="1440" w:bottom="1440" w:left="1440" w:header="851" w:footer="1077" w:gutter="0"/>
          <w:pgBorders>
            <w:top w:val="none" w:sz="0" w:space="0"/>
            <w:left w:val="none" w:sz="0" w:space="0"/>
            <w:bottom w:val="none" w:sz="0" w:space="0"/>
            <w:right w:val="none" w:sz="0" w:space="0"/>
          </w:pgBorders>
          <w:pgNumType w:start="1"/>
          <w:cols w:space="720" w:num="1"/>
        </w:sectPr>
      </w:pPr>
    </w:p>
    <w:p w14:paraId="06C54D53">
      <w:pPr>
        <w:pStyle w:val="53"/>
        <w:keepNext/>
        <w:keepLines w:val="0"/>
        <w:pageBreakBefore w:val="0"/>
        <w:widowControl w:val="0"/>
        <w:spacing w:before="120" w:beforeAutospacing="0" w:after="0" w:afterAutospacing="0"/>
        <w:jc w:val="center"/>
        <w:outlineLvl w:val="0"/>
        <w:rPr>
          <w:rFonts w:hint="default" w:ascii="Times New Roman" w:hAnsi="Times New Roman" w:eastAsia="宋体" w:cs="Times New Roman"/>
          <w:color w:val="auto"/>
          <w:sz w:val="28"/>
          <w:szCs w:val="28"/>
          <w:highlight w:val="none"/>
        </w:rPr>
      </w:pPr>
      <w:bookmarkStart w:id="4" w:name="_Toc26424"/>
      <w:r>
        <w:rPr>
          <w:rFonts w:hint="default" w:ascii="Times New Roman" w:hAnsi="Times New Roman" w:eastAsia="宋体" w:cs="Times New Roman"/>
          <w:b/>
          <w:bCs/>
          <w:color w:val="auto"/>
          <w:sz w:val="28"/>
          <w:szCs w:val="28"/>
          <w:highlight w:val="none"/>
        </w:rPr>
        <w:t>一、建设项目基本情况</w:t>
      </w:r>
      <w:bookmarkEnd w:id="4"/>
    </w:p>
    <w:tbl>
      <w:tblPr>
        <w:tblStyle w:val="56"/>
        <w:tblW w:w="498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329"/>
        <w:gridCol w:w="1913"/>
        <w:gridCol w:w="2158"/>
        <w:gridCol w:w="232"/>
        <w:gridCol w:w="3352"/>
      </w:tblGrid>
      <w:tr w14:paraId="7B6F14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739" w:type="pct"/>
            <w:noWrap w:val="0"/>
            <w:tcMar>
              <w:top w:w="16" w:type="dxa"/>
              <w:left w:w="16" w:type="dxa"/>
              <w:right w:w="16" w:type="dxa"/>
            </w:tcMar>
            <w:vAlign w:val="center"/>
          </w:tcPr>
          <w:p w14:paraId="63F89FE8">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b/>
                <w:bCs/>
                <w:color w:val="auto"/>
                <w:sz w:val="24"/>
                <w:highlight w:val="none"/>
                <w:u w:val="none"/>
              </w:rPr>
            </w:pPr>
            <w:r>
              <w:rPr>
                <w:rFonts w:hint="default" w:ascii="Times New Roman" w:hAnsi="Times New Roman" w:eastAsia="宋体" w:cs="Times New Roman"/>
                <w:b/>
                <w:bCs/>
                <w:color w:val="auto"/>
                <w:sz w:val="24"/>
                <w:highlight w:val="none"/>
                <w:u w:val="none"/>
              </w:rPr>
              <w:t>建设项目</w:t>
            </w:r>
          </w:p>
          <w:p w14:paraId="6F6858DB">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sz w:val="24"/>
                <w:highlight w:val="none"/>
                <w:u w:val="none"/>
              </w:rPr>
              <w:t>名称</w:t>
            </w:r>
          </w:p>
        </w:tc>
        <w:tc>
          <w:tcPr>
            <w:tcW w:w="4260" w:type="pct"/>
            <w:gridSpan w:val="4"/>
            <w:noWrap w:val="0"/>
            <w:vAlign w:val="center"/>
          </w:tcPr>
          <w:p w14:paraId="5AABA1FB">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sz w:val="24"/>
                <w:highlight w:val="none"/>
                <w:u w:val="none"/>
                <w:lang w:eastAsia="zh-CN"/>
              </w:rPr>
              <w:t>铁力泓旭机械制造有限公司年产5000吨耐磨铸件生产线项目</w:t>
            </w:r>
          </w:p>
        </w:tc>
      </w:tr>
      <w:tr w14:paraId="2F35D4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739" w:type="pct"/>
            <w:noWrap w:val="0"/>
            <w:tcMar>
              <w:top w:w="16" w:type="dxa"/>
              <w:left w:w="16" w:type="dxa"/>
              <w:right w:w="16" w:type="dxa"/>
            </w:tcMar>
            <w:vAlign w:val="center"/>
          </w:tcPr>
          <w:p w14:paraId="0C79BFFD">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sz w:val="24"/>
                <w:highlight w:val="none"/>
                <w:u w:val="none"/>
              </w:rPr>
              <w:t>项目代码</w:t>
            </w:r>
          </w:p>
        </w:tc>
        <w:tc>
          <w:tcPr>
            <w:tcW w:w="4260" w:type="pct"/>
            <w:gridSpan w:val="4"/>
            <w:noWrap w:val="0"/>
            <w:vAlign w:val="center"/>
          </w:tcPr>
          <w:p w14:paraId="26AA09B5">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4"/>
                <w:highlight w:val="none"/>
                <w:u w:val="none"/>
                <w:lang w:val="en-US" w:eastAsia="zh-CN"/>
              </w:rPr>
              <w:t>2603-230781-04-01-672468</w:t>
            </w:r>
          </w:p>
        </w:tc>
      </w:tr>
      <w:tr w14:paraId="55B655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739" w:type="pct"/>
            <w:noWrap w:val="0"/>
            <w:tcMar>
              <w:top w:w="16" w:type="dxa"/>
              <w:left w:w="16" w:type="dxa"/>
              <w:right w:w="16" w:type="dxa"/>
            </w:tcMar>
            <w:vAlign w:val="center"/>
          </w:tcPr>
          <w:p w14:paraId="4D651F88">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b/>
                <w:bCs/>
                <w:color w:val="auto"/>
                <w:sz w:val="24"/>
                <w:highlight w:val="none"/>
                <w:u w:val="none"/>
              </w:rPr>
            </w:pPr>
            <w:r>
              <w:rPr>
                <w:rFonts w:hint="default" w:ascii="Times New Roman" w:hAnsi="Times New Roman" w:eastAsia="宋体" w:cs="Times New Roman"/>
                <w:b/>
                <w:bCs/>
                <w:color w:val="auto"/>
                <w:sz w:val="24"/>
                <w:highlight w:val="none"/>
                <w:u w:val="none"/>
              </w:rPr>
              <w:t>建设单位</w:t>
            </w:r>
          </w:p>
          <w:p w14:paraId="7077B35A">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sz w:val="24"/>
                <w:highlight w:val="none"/>
                <w:u w:val="none"/>
              </w:rPr>
              <w:t>联系人</w:t>
            </w:r>
          </w:p>
        </w:tc>
        <w:tc>
          <w:tcPr>
            <w:tcW w:w="1064" w:type="pct"/>
            <w:noWrap w:val="0"/>
            <w:vAlign w:val="center"/>
          </w:tcPr>
          <w:p w14:paraId="7168CDEE">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张俊权</w:t>
            </w:r>
          </w:p>
        </w:tc>
        <w:tc>
          <w:tcPr>
            <w:tcW w:w="1346" w:type="pct"/>
            <w:gridSpan w:val="2"/>
            <w:noWrap w:val="0"/>
            <w:vAlign w:val="center"/>
          </w:tcPr>
          <w:p w14:paraId="4AC5E865">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u w:val="none"/>
              </w:rPr>
              <w:t>联系方式</w:t>
            </w:r>
          </w:p>
        </w:tc>
        <w:tc>
          <w:tcPr>
            <w:tcW w:w="1849" w:type="pct"/>
            <w:noWrap w:val="0"/>
            <w:vAlign w:val="center"/>
          </w:tcPr>
          <w:p w14:paraId="1B8A15C8">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18545481557</w:t>
            </w:r>
          </w:p>
        </w:tc>
      </w:tr>
      <w:tr w14:paraId="04B63E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739" w:type="pct"/>
            <w:noWrap w:val="0"/>
            <w:tcMar>
              <w:top w:w="16" w:type="dxa"/>
              <w:left w:w="16" w:type="dxa"/>
              <w:right w:w="16" w:type="dxa"/>
            </w:tcMar>
            <w:vAlign w:val="center"/>
          </w:tcPr>
          <w:p w14:paraId="3EC9734A">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sz w:val="24"/>
                <w:highlight w:val="none"/>
                <w:u w:val="none"/>
              </w:rPr>
              <w:t>建设地点</w:t>
            </w:r>
          </w:p>
        </w:tc>
        <w:tc>
          <w:tcPr>
            <w:tcW w:w="4260" w:type="pct"/>
            <w:gridSpan w:val="4"/>
            <w:noWrap w:val="0"/>
            <w:vAlign w:val="center"/>
          </w:tcPr>
          <w:p w14:paraId="477AAEA2">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4"/>
                <w:szCs w:val="24"/>
                <w:highlight w:val="none"/>
                <w:u w:val="none"/>
                <w:lang w:val="en-US" w:eastAsia="zh-CN"/>
              </w:rPr>
              <w:t>黑龙江省铁力经济开发区内</w:t>
            </w:r>
          </w:p>
        </w:tc>
      </w:tr>
      <w:tr w14:paraId="692CB8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739" w:type="pct"/>
            <w:noWrap w:val="0"/>
            <w:tcMar>
              <w:top w:w="16" w:type="dxa"/>
              <w:left w:w="16" w:type="dxa"/>
              <w:right w:w="16" w:type="dxa"/>
            </w:tcMar>
            <w:vAlign w:val="center"/>
          </w:tcPr>
          <w:p w14:paraId="3F14C015">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sz w:val="24"/>
                <w:highlight w:val="none"/>
                <w:u w:val="none"/>
              </w:rPr>
              <w:t>地理坐标</w:t>
            </w:r>
          </w:p>
        </w:tc>
        <w:tc>
          <w:tcPr>
            <w:tcW w:w="4260" w:type="pct"/>
            <w:gridSpan w:val="4"/>
            <w:noWrap w:val="0"/>
            <w:vAlign w:val="center"/>
          </w:tcPr>
          <w:p w14:paraId="51CE3FF2">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4"/>
                <w:highlight w:val="none"/>
                <w:u w:val="none"/>
              </w:rPr>
              <w:t>（</w:t>
            </w:r>
            <w:r>
              <w:rPr>
                <w:rFonts w:hint="default" w:ascii="Times New Roman" w:hAnsi="Times New Roman" w:eastAsia="宋体" w:cs="Times New Roman"/>
                <w:color w:val="auto"/>
                <w:sz w:val="24"/>
                <w:highlight w:val="none"/>
                <w:u w:val="none"/>
                <w:lang w:eastAsia="zh-CN"/>
              </w:rPr>
              <w:t>东经：</w:t>
            </w:r>
            <w:r>
              <w:rPr>
                <w:rFonts w:hint="default" w:ascii="Times New Roman" w:hAnsi="Times New Roman" w:cs="Times New Roman"/>
                <w:color w:val="auto"/>
                <w:sz w:val="24"/>
                <w:highlight w:val="none"/>
                <w:u w:val="none"/>
                <w:lang w:val="en-US" w:eastAsia="zh-CN"/>
              </w:rPr>
              <w:t>128</w:t>
            </w:r>
            <w:r>
              <w:rPr>
                <w:rFonts w:hint="default" w:ascii="Times New Roman" w:hAnsi="Times New Roman" w:eastAsia="宋体" w:cs="Times New Roman"/>
                <w:color w:val="auto"/>
                <w:sz w:val="24"/>
                <w:highlight w:val="none"/>
                <w:u w:val="none"/>
                <w:lang w:eastAsia="zh-CN"/>
              </w:rPr>
              <w:t>度</w:t>
            </w:r>
            <w:r>
              <w:rPr>
                <w:rFonts w:hint="default" w:ascii="Times New Roman" w:hAnsi="Times New Roman" w:cs="Times New Roman"/>
                <w:color w:val="auto"/>
                <w:sz w:val="24"/>
                <w:highlight w:val="none"/>
                <w:u w:val="none"/>
                <w:lang w:val="en-US" w:eastAsia="zh-CN"/>
              </w:rPr>
              <w:t>06</w:t>
            </w:r>
            <w:r>
              <w:rPr>
                <w:rFonts w:hint="default" w:ascii="Times New Roman" w:hAnsi="Times New Roman" w:eastAsia="宋体" w:cs="Times New Roman"/>
                <w:color w:val="auto"/>
                <w:sz w:val="24"/>
                <w:highlight w:val="none"/>
                <w:u w:val="none"/>
                <w:lang w:eastAsia="zh-CN"/>
              </w:rPr>
              <w:t>分</w:t>
            </w:r>
            <w:r>
              <w:rPr>
                <w:rFonts w:hint="default" w:ascii="Times New Roman" w:hAnsi="Times New Roman" w:cs="Times New Roman"/>
                <w:color w:val="auto"/>
                <w:sz w:val="24"/>
                <w:highlight w:val="none"/>
                <w:u w:val="none"/>
                <w:lang w:val="en-US" w:eastAsia="zh-CN"/>
              </w:rPr>
              <w:t>20.954</w:t>
            </w:r>
            <w:r>
              <w:rPr>
                <w:rFonts w:hint="default" w:ascii="Times New Roman" w:hAnsi="Times New Roman" w:eastAsia="宋体" w:cs="Times New Roman"/>
                <w:color w:val="auto"/>
                <w:sz w:val="24"/>
                <w:highlight w:val="none"/>
                <w:u w:val="none"/>
                <w:lang w:eastAsia="zh-CN"/>
              </w:rPr>
              <w:t>秒，北纬：</w:t>
            </w:r>
            <w:r>
              <w:rPr>
                <w:rFonts w:hint="default" w:ascii="Times New Roman" w:hAnsi="Times New Roman" w:cs="Times New Roman"/>
                <w:color w:val="auto"/>
                <w:sz w:val="24"/>
                <w:highlight w:val="none"/>
                <w:u w:val="none"/>
                <w:lang w:val="en-US" w:eastAsia="zh-CN"/>
              </w:rPr>
              <w:t>46</w:t>
            </w:r>
            <w:r>
              <w:rPr>
                <w:rFonts w:hint="default" w:ascii="Times New Roman" w:hAnsi="Times New Roman" w:eastAsia="宋体" w:cs="Times New Roman"/>
                <w:color w:val="auto"/>
                <w:sz w:val="24"/>
                <w:highlight w:val="none"/>
                <w:u w:val="none"/>
                <w:lang w:eastAsia="zh-CN"/>
              </w:rPr>
              <w:t>度</w:t>
            </w:r>
            <w:r>
              <w:rPr>
                <w:rFonts w:hint="default" w:ascii="Times New Roman" w:hAnsi="Times New Roman" w:cs="Times New Roman"/>
                <w:color w:val="auto"/>
                <w:sz w:val="24"/>
                <w:highlight w:val="none"/>
                <w:u w:val="none"/>
                <w:lang w:val="en-US" w:eastAsia="zh-CN"/>
              </w:rPr>
              <w:t>58</w:t>
            </w:r>
            <w:r>
              <w:rPr>
                <w:rFonts w:hint="default" w:ascii="Times New Roman" w:hAnsi="Times New Roman" w:eastAsia="宋体" w:cs="Times New Roman"/>
                <w:color w:val="auto"/>
                <w:sz w:val="24"/>
                <w:highlight w:val="none"/>
                <w:u w:val="none"/>
                <w:lang w:eastAsia="zh-CN"/>
              </w:rPr>
              <w:t>分</w:t>
            </w:r>
            <w:r>
              <w:rPr>
                <w:rFonts w:hint="default" w:ascii="Times New Roman" w:hAnsi="Times New Roman" w:cs="Times New Roman"/>
                <w:color w:val="auto"/>
                <w:sz w:val="24"/>
                <w:highlight w:val="none"/>
                <w:u w:val="none"/>
                <w:lang w:val="en-US" w:eastAsia="zh-CN"/>
              </w:rPr>
              <w:t>4.970</w:t>
            </w:r>
            <w:r>
              <w:rPr>
                <w:rFonts w:hint="default" w:ascii="Times New Roman" w:hAnsi="Times New Roman" w:eastAsia="宋体" w:cs="Times New Roman"/>
                <w:color w:val="auto"/>
                <w:sz w:val="24"/>
                <w:highlight w:val="none"/>
                <w:u w:val="none"/>
                <w:lang w:eastAsia="zh-CN"/>
              </w:rPr>
              <w:t>秒</w:t>
            </w:r>
            <w:r>
              <w:rPr>
                <w:rFonts w:hint="default" w:ascii="Times New Roman" w:hAnsi="Times New Roman" w:eastAsia="宋体" w:cs="Times New Roman"/>
                <w:color w:val="auto"/>
                <w:sz w:val="24"/>
                <w:highlight w:val="none"/>
                <w:u w:val="none"/>
              </w:rPr>
              <w:t>）</w:t>
            </w:r>
          </w:p>
        </w:tc>
      </w:tr>
      <w:tr w14:paraId="7F3C68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739" w:type="pct"/>
            <w:noWrap w:val="0"/>
            <w:tcMar>
              <w:top w:w="16" w:type="dxa"/>
              <w:left w:w="16" w:type="dxa"/>
              <w:right w:w="16" w:type="dxa"/>
            </w:tcMar>
            <w:vAlign w:val="center"/>
          </w:tcPr>
          <w:p w14:paraId="430A4F50">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b/>
                <w:bCs/>
                <w:color w:val="auto"/>
                <w:sz w:val="24"/>
                <w:highlight w:val="none"/>
                <w:u w:val="none"/>
              </w:rPr>
            </w:pPr>
            <w:r>
              <w:rPr>
                <w:rFonts w:hint="default" w:ascii="Times New Roman" w:hAnsi="Times New Roman" w:eastAsia="宋体" w:cs="Times New Roman"/>
                <w:b/>
                <w:bCs/>
                <w:color w:val="auto"/>
                <w:sz w:val="24"/>
                <w:highlight w:val="none"/>
                <w:u w:val="none"/>
              </w:rPr>
              <w:t>国民经济</w:t>
            </w:r>
          </w:p>
          <w:p w14:paraId="43699A17">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sz w:val="24"/>
                <w:highlight w:val="none"/>
                <w:u w:val="none"/>
              </w:rPr>
              <w:t>行业类别</w:t>
            </w:r>
          </w:p>
        </w:tc>
        <w:tc>
          <w:tcPr>
            <w:tcW w:w="1064" w:type="pct"/>
            <w:noWrap w:val="0"/>
            <w:vAlign w:val="center"/>
          </w:tcPr>
          <w:p w14:paraId="6FE4E468">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4"/>
                <w:szCs w:val="24"/>
                <w:highlight w:val="none"/>
                <w:u w:val="none"/>
                <w:lang w:val="en-US" w:eastAsia="zh-CN"/>
              </w:rPr>
              <w:t>C3391 黑色金属铸造</w:t>
            </w:r>
          </w:p>
        </w:tc>
        <w:tc>
          <w:tcPr>
            <w:tcW w:w="1201" w:type="pct"/>
            <w:noWrap w:val="0"/>
            <w:vAlign w:val="center"/>
          </w:tcPr>
          <w:p w14:paraId="1DC22496">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建设项目</w:t>
            </w:r>
          </w:p>
          <w:p w14:paraId="52176AD2">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u w:val="none"/>
                <w:lang w:val="en-US" w:eastAsia="zh-CN"/>
              </w:rPr>
              <w:t>行业类别</w:t>
            </w:r>
          </w:p>
        </w:tc>
        <w:tc>
          <w:tcPr>
            <w:tcW w:w="1994" w:type="pct"/>
            <w:gridSpan w:val="2"/>
            <w:noWrap w:val="0"/>
            <w:vAlign w:val="center"/>
          </w:tcPr>
          <w:p w14:paraId="484B0BD5">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三十、金属制品业33</w:t>
            </w:r>
          </w:p>
          <w:p w14:paraId="52AB5E53">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4"/>
                <w:szCs w:val="24"/>
                <w:highlight w:val="none"/>
                <w:lang w:val="en-US" w:eastAsia="zh-CN"/>
              </w:rPr>
              <w:t>68 铸造及其他金属制品制造 339</w:t>
            </w:r>
            <w:r>
              <w:rPr>
                <w:rFonts w:hint="eastAsia"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其他</w:t>
            </w:r>
          </w:p>
        </w:tc>
      </w:tr>
      <w:tr w14:paraId="0B41B0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739" w:type="pct"/>
            <w:noWrap w:val="0"/>
            <w:tcMar>
              <w:top w:w="16" w:type="dxa"/>
              <w:left w:w="16" w:type="dxa"/>
              <w:right w:w="16" w:type="dxa"/>
            </w:tcMar>
            <w:vAlign w:val="center"/>
          </w:tcPr>
          <w:p w14:paraId="4FFD9E47">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sz w:val="24"/>
                <w:highlight w:val="none"/>
                <w:u w:val="none"/>
              </w:rPr>
              <w:t>建设性质</w:t>
            </w:r>
          </w:p>
        </w:tc>
        <w:tc>
          <w:tcPr>
            <w:tcW w:w="1064" w:type="pct"/>
            <w:noWrap w:val="0"/>
            <w:vAlign w:val="center"/>
          </w:tcPr>
          <w:p w14:paraId="45D0F1B5">
            <w:pPr>
              <w:keepNext/>
              <w:keepLines w:val="0"/>
              <w:pageBreakBefore w:val="0"/>
              <w:widowControl w:val="0"/>
              <w:suppressLineNumbers w:val="0"/>
              <w:spacing w:before="0" w:beforeAutospacing="0" w:after="0" w:afterAutospacing="0" w:line="400" w:lineRule="exact"/>
              <w:ind w:left="0" w:right="0"/>
              <w:jc w:val="left"/>
              <w:rPr>
                <w:rFonts w:hint="default" w:ascii="Times New Roman" w:hAnsi="Times New Roman" w:eastAsia="宋体" w:cs="Times New Roman"/>
                <w:color w:val="auto"/>
                <w:sz w:val="24"/>
                <w:highlight w:val="none"/>
                <w:u w:val="none"/>
              </w:rPr>
            </w:pPr>
            <w:r>
              <w:rPr>
                <w:rFonts w:hint="default" w:ascii="Times New Roman" w:hAnsi="Times New Roman" w:eastAsia="Wingdings 2" w:cs="Times New Roman"/>
                <w:color w:val="auto"/>
                <w:sz w:val="24"/>
                <w:highlight w:val="none"/>
                <w:u w:val="none"/>
              </w:rPr>
              <w:sym w:font="Wingdings 2" w:char="0052"/>
            </w:r>
            <w:r>
              <w:rPr>
                <w:rFonts w:hint="default" w:ascii="Times New Roman" w:hAnsi="Times New Roman" w:eastAsia="宋体" w:cs="Times New Roman"/>
                <w:color w:val="auto"/>
                <w:sz w:val="24"/>
                <w:highlight w:val="none"/>
                <w:u w:val="none"/>
              </w:rPr>
              <w:t>新建（迁建）</w:t>
            </w:r>
          </w:p>
          <w:p w14:paraId="3BD02F9B">
            <w:pPr>
              <w:keepNext/>
              <w:keepLines w:val="0"/>
              <w:pageBreakBefore w:val="0"/>
              <w:widowControl w:val="0"/>
              <w:suppressLineNumbers w:val="0"/>
              <w:spacing w:before="0" w:beforeAutospacing="0" w:after="0" w:afterAutospacing="0" w:line="400" w:lineRule="exact"/>
              <w:ind w:left="0" w:right="0"/>
              <w:jc w:val="left"/>
              <w:rPr>
                <w:rFonts w:hint="default" w:ascii="Times New Roman" w:hAnsi="Times New Roman" w:eastAsia="宋体" w:cs="Times New Roman"/>
                <w:color w:val="auto"/>
                <w:sz w:val="24"/>
                <w:highlight w:val="none"/>
                <w:u w:val="none"/>
              </w:rPr>
            </w:pPr>
            <w:r>
              <w:rPr>
                <w:rFonts w:hint="default" w:ascii="Times New Roman" w:hAnsi="Times New Roman" w:eastAsia="Wingdings 2" w:cs="Times New Roman"/>
                <w:color w:val="auto"/>
                <w:sz w:val="24"/>
                <w:highlight w:val="none"/>
                <w:u w:val="none"/>
              </w:rPr>
              <w:sym w:font="Wingdings 2" w:char="00A3"/>
            </w:r>
            <w:r>
              <w:rPr>
                <w:rFonts w:hint="default" w:ascii="Times New Roman" w:hAnsi="Times New Roman" w:eastAsia="宋体" w:cs="Times New Roman"/>
                <w:color w:val="auto"/>
                <w:sz w:val="24"/>
                <w:highlight w:val="none"/>
                <w:u w:val="none"/>
              </w:rPr>
              <w:t>改建</w:t>
            </w:r>
          </w:p>
          <w:p w14:paraId="71542E6E">
            <w:pPr>
              <w:keepNext/>
              <w:keepLines w:val="0"/>
              <w:pageBreakBefore w:val="0"/>
              <w:widowControl w:val="0"/>
              <w:suppressLineNumbers w:val="0"/>
              <w:spacing w:before="0" w:beforeAutospacing="0" w:after="0" w:afterAutospacing="0" w:line="400" w:lineRule="exact"/>
              <w:ind w:left="0" w:right="0"/>
              <w:jc w:val="left"/>
              <w:rPr>
                <w:rFonts w:hint="default" w:ascii="Times New Roman" w:hAnsi="Times New Roman" w:eastAsia="宋体" w:cs="Times New Roman"/>
                <w:color w:val="auto"/>
                <w:sz w:val="24"/>
                <w:highlight w:val="none"/>
                <w:u w:val="none"/>
              </w:rPr>
            </w:pPr>
            <w:r>
              <w:rPr>
                <w:rFonts w:hint="default" w:ascii="Times New Roman" w:hAnsi="Times New Roman" w:eastAsia="Wingdings 2" w:cs="Times New Roman"/>
                <w:color w:val="auto"/>
                <w:sz w:val="24"/>
                <w:highlight w:val="none"/>
                <w:u w:val="none"/>
              </w:rPr>
              <w:sym w:font="Wingdings 2" w:char="00A3"/>
            </w:r>
            <w:r>
              <w:rPr>
                <w:rFonts w:hint="default" w:ascii="Times New Roman" w:hAnsi="Times New Roman" w:eastAsia="宋体" w:cs="Times New Roman"/>
                <w:color w:val="auto"/>
                <w:sz w:val="24"/>
                <w:highlight w:val="none"/>
                <w:u w:val="none"/>
              </w:rPr>
              <w:t>扩建</w:t>
            </w:r>
          </w:p>
          <w:p w14:paraId="3D51D215">
            <w:pPr>
              <w:keepNext/>
              <w:keepLines w:val="0"/>
              <w:pageBreakBefore w:val="0"/>
              <w:widowControl w:val="0"/>
              <w:suppressLineNumbers w:val="0"/>
              <w:spacing w:before="0" w:beforeAutospacing="0" w:after="0" w:afterAutospacing="0" w:line="400" w:lineRule="exact"/>
              <w:ind w:left="0" w:right="0"/>
              <w:jc w:val="left"/>
              <w:rPr>
                <w:rFonts w:hint="default" w:ascii="Times New Roman" w:hAnsi="Times New Roman" w:eastAsia="宋体" w:cs="Times New Roman"/>
                <w:color w:val="auto"/>
                <w:highlight w:val="none"/>
              </w:rPr>
            </w:pPr>
            <w:r>
              <w:rPr>
                <w:rFonts w:hint="default" w:ascii="Times New Roman" w:hAnsi="Times New Roman" w:eastAsia="Wingdings 2" w:cs="Times New Roman"/>
                <w:color w:val="auto"/>
                <w:sz w:val="24"/>
                <w:highlight w:val="none"/>
                <w:u w:val="none"/>
              </w:rPr>
              <w:sym w:font="Wingdings 2" w:char="00A3"/>
            </w:r>
            <w:r>
              <w:rPr>
                <w:rFonts w:hint="default" w:ascii="Times New Roman" w:hAnsi="Times New Roman" w:eastAsia="宋体" w:cs="Times New Roman"/>
                <w:color w:val="auto"/>
                <w:sz w:val="24"/>
                <w:highlight w:val="none"/>
                <w:u w:val="none"/>
              </w:rPr>
              <w:t>技术改造</w:t>
            </w:r>
          </w:p>
        </w:tc>
        <w:tc>
          <w:tcPr>
            <w:tcW w:w="1201" w:type="pct"/>
            <w:noWrap w:val="0"/>
            <w:vAlign w:val="center"/>
          </w:tcPr>
          <w:p w14:paraId="5361FFD9">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建设项目</w:t>
            </w:r>
          </w:p>
          <w:p w14:paraId="135032A3">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u w:val="none"/>
              </w:rPr>
              <w:t>申报情形</w:t>
            </w:r>
          </w:p>
        </w:tc>
        <w:tc>
          <w:tcPr>
            <w:tcW w:w="1994" w:type="pct"/>
            <w:gridSpan w:val="2"/>
            <w:noWrap w:val="0"/>
            <w:vAlign w:val="center"/>
          </w:tcPr>
          <w:p w14:paraId="60193D95">
            <w:pPr>
              <w:keepNext/>
              <w:keepLines w:val="0"/>
              <w:pageBreakBefore w:val="0"/>
              <w:widowControl w:val="0"/>
              <w:suppressLineNumbers w:val="0"/>
              <w:spacing w:before="0" w:beforeAutospacing="0" w:after="0" w:afterAutospacing="0" w:line="400" w:lineRule="exact"/>
              <w:ind w:left="0" w:right="0"/>
              <w:jc w:val="left"/>
              <w:rPr>
                <w:rFonts w:hint="default" w:ascii="Times New Roman" w:hAnsi="Times New Roman" w:eastAsia="宋体" w:cs="Times New Roman"/>
                <w:color w:val="auto"/>
                <w:sz w:val="24"/>
                <w:highlight w:val="none"/>
                <w:u w:val="none"/>
              </w:rPr>
            </w:pPr>
            <w:r>
              <w:rPr>
                <w:rFonts w:hint="default" w:ascii="Times New Roman" w:hAnsi="Times New Roman" w:eastAsia="Wingdings 2" w:cs="Times New Roman"/>
                <w:color w:val="auto"/>
                <w:sz w:val="24"/>
                <w:highlight w:val="none"/>
                <w:u w:val="none"/>
              </w:rPr>
              <w:sym w:font="Wingdings 2" w:char="0052"/>
            </w:r>
            <w:r>
              <w:rPr>
                <w:rFonts w:hint="default" w:ascii="Times New Roman" w:hAnsi="Times New Roman" w:eastAsia="宋体" w:cs="Times New Roman"/>
                <w:color w:val="auto"/>
                <w:sz w:val="24"/>
                <w:highlight w:val="none"/>
                <w:u w:val="none"/>
              </w:rPr>
              <w:t>首次申报项目</w:t>
            </w:r>
          </w:p>
          <w:p w14:paraId="3BBE734F">
            <w:pPr>
              <w:keepNext/>
              <w:keepLines w:val="0"/>
              <w:pageBreakBefore w:val="0"/>
              <w:widowControl w:val="0"/>
              <w:suppressLineNumbers w:val="0"/>
              <w:spacing w:before="0" w:beforeAutospacing="0" w:after="0" w:afterAutospacing="0" w:line="400" w:lineRule="exact"/>
              <w:ind w:left="0" w:right="0"/>
              <w:jc w:val="left"/>
              <w:rPr>
                <w:rFonts w:hint="default" w:ascii="Times New Roman" w:hAnsi="Times New Roman" w:eastAsia="宋体" w:cs="Times New Roman"/>
                <w:color w:val="auto"/>
                <w:sz w:val="24"/>
                <w:highlight w:val="none"/>
                <w:u w:val="none"/>
              </w:rPr>
            </w:pPr>
            <w:r>
              <w:rPr>
                <w:rFonts w:hint="default" w:ascii="Times New Roman" w:hAnsi="Times New Roman" w:eastAsia="Wingdings 2" w:cs="Times New Roman"/>
                <w:color w:val="auto"/>
                <w:sz w:val="24"/>
                <w:highlight w:val="none"/>
                <w:u w:val="none"/>
              </w:rPr>
              <w:sym w:font="Wingdings 2" w:char="00A3"/>
            </w:r>
            <w:r>
              <w:rPr>
                <w:rFonts w:hint="default" w:ascii="Times New Roman" w:hAnsi="Times New Roman" w:eastAsia="宋体" w:cs="Times New Roman"/>
                <w:color w:val="auto"/>
                <w:sz w:val="24"/>
                <w:highlight w:val="none"/>
                <w:u w:val="none"/>
              </w:rPr>
              <w:t>不予批准后再次申报项目</w:t>
            </w:r>
          </w:p>
          <w:p w14:paraId="127E6F1A">
            <w:pPr>
              <w:keepNext/>
              <w:keepLines w:val="0"/>
              <w:pageBreakBefore w:val="0"/>
              <w:widowControl w:val="0"/>
              <w:suppressLineNumbers w:val="0"/>
              <w:spacing w:before="0" w:beforeAutospacing="0" w:after="0" w:afterAutospacing="0" w:line="400" w:lineRule="exact"/>
              <w:ind w:left="0" w:right="0"/>
              <w:jc w:val="left"/>
              <w:rPr>
                <w:rFonts w:hint="default" w:ascii="Times New Roman" w:hAnsi="Times New Roman" w:eastAsia="宋体" w:cs="Times New Roman"/>
                <w:color w:val="auto"/>
                <w:sz w:val="24"/>
                <w:highlight w:val="none"/>
                <w:u w:val="none"/>
              </w:rPr>
            </w:pPr>
            <w:r>
              <w:rPr>
                <w:rFonts w:hint="default" w:ascii="Times New Roman" w:hAnsi="Times New Roman" w:eastAsia="Wingdings 2" w:cs="Times New Roman"/>
                <w:color w:val="auto"/>
                <w:sz w:val="24"/>
                <w:highlight w:val="none"/>
                <w:u w:val="none"/>
              </w:rPr>
              <w:sym w:font="Wingdings 2" w:char="00A3"/>
            </w:r>
            <w:r>
              <w:rPr>
                <w:rFonts w:hint="default" w:ascii="Times New Roman" w:hAnsi="Times New Roman" w:eastAsia="宋体" w:cs="Times New Roman"/>
                <w:color w:val="auto"/>
                <w:sz w:val="24"/>
                <w:highlight w:val="none"/>
                <w:u w:val="none"/>
              </w:rPr>
              <w:t>超五年重新审核项目</w:t>
            </w:r>
          </w:p>
          <w:p w14:paraId="26196F62">
            <w:pPr>
              <w:keepNext/>
              <w:keepLines w:val="0"/>
              <w:pageBreakBefore w:val="0"/>
              <w:widowControl w:val="0"/>
              <w:suppressLineNumbers w:val="0"/>
              <w:spacing w:before="0" w:beforeAutospacing="0" w:after="0" w:afterAutospacing="0" w:line="400" w:lineRule="exact"/>
              <w:ind w:left="0" w:right="0"/>
              <w:jc w:val="left"/>
              <w:rPr>
                <w:rFonts w:hint="default" w:ascii="Times New Roman" w:hAnsi="Times New Roman" w:eastAsia="宋体" w:cs="Times New Roman"/>
                <w:color w:val="auto"/>
                <w:highlight w:val="none"/>
              </w:rPr>
            </w:pPr>
            <w:r>
              <w:rPr>
                <w:rFonts w:hint="default" w:ascii="Times New Roman" w:hAnsi="Times New Roman" w:eastAsia="Wingdings 2" w:cs="Times New Roman"/>
                <w:color w:val="auto"/>
                <w:sz w:val="24"/>
                <w:highlight w:val="none"/>
                <w:u w:val="none"/>
              </w:rPr>
              <w:sym w:font="Wingdings 2" w:char="00A3"/>
            </w:r>
            <w:r>
              <w:rPr>
                <w:rFonts w:hint="default" w:ascii="Times New Roman" w:hAnsi="Times New Roman" w:eastAsia="宋体" w:cs="Times New Roman"/>
                <w:color w:val="auto"/>
                <w:sz w:val="24"/>
                <w:highlight w:val="none"/>
                <w:u w:val="none"/>
              </w:rPr>
              <w:t>重大变动重新报批项目</w:t>
            </w:r>
          </w:p>
        </w:tc>
      </w:tr>
      <w:tr w14:paraId="0A5348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739" w:type="pct"/>
            <w:noWrap w:val="0"/>
            <w:tcMar>
              <w:top w:w="16" w:type="dxa"/>
              <w:left w:w="16" w:type="dxa"/>
              <w:right w:w="16" w:type="dxa"/>
            </w:tcMar>
            <w:vAlign w:val="center"/>
          </w:tcPr>
          <w:p w14:paraId="2809DE31">
            <w:pPr>
              <w:keepNext/>
              <w:keepLines w:val="0"/>
              <w:pageBreakBefore w:val="0"/>
              <w:widowControl w:val="0"/>
              <w:suppressLineNumbers w:val="0"/>
              <w:spacing w:before="0" w:beforeAutospacing="0" w:after="0" w:afterAutospacing="0" w:line="400" w:lineRule="exact"/>
              <w:ind w:left="-120" w:right="-120"/>
              <w:jc w:val="center"/>
              <w:rPr>
                <w:rFonts w:hint="default" w:ascii="Times New Roman" w:hAnsi="Times New Roman" w:eastAsia="宋体" w:cs="Times New Roman"/>
                <w:b/>
                <w:bCs/>
                <w:color w:val="auto"/>
                <w:sz w:val="24"/>
                <w:highlight w:val="none"/>
                <w:u w:val="none"/>
              </w:rPr>
            </w:pPr>
            <w:r>
              <w:rPr>
                <w:rFonts w:hint="default" w:ascii="Times New Roman" w:hAnsi="Times New Roman" w:eastAsia="宋体" w:cs="Times New Roman"/>
                <w:b/>
                <w:bCs/>
                <w:color w:val="auto"/>
                <w:sz w:val="24"/>
                <w:highlight w:val="none"/>
                <w:u w:val="none"/>
              </w:rPr>
              <w:t>项目审批</w:t>
            </w:r>
          </w:p>
          <w:p w14:paraId="11E56BD9">
            <w:pPr>
              <w:keepNext/>
              <w:keepLines w:val="0"/>
              <w:pageBreakBefore w:val="0"/>
              <w:widowControl w:val="0"/>
              <w:suppressLineNumbers w:val="0"/>
              <w:spacing w:before="0" w:beforeAutospacing="0" w:after="0" w:afterAutospacing="0" w:line="400" w:lineRule="exact"/>
              <w:ind w:left="-120" w:right="-120"/>
              <w:jc w:val="center"/>
              <w:rPr>
                <w:rFonts w:hint="default" w:ascii="Times New Roman" w:hAnsi="Times New Roman" w:eastAsia="宋体" w:cs="Times New Roman"/>
                <w:b/>
                <w:bCs/>
                <w:color w:val="auto"/>
                <w:sz w:val="24"/>
                <w:highlight w:val="none"/>
                <w:u w:val="none"/>
              </w:rPr>
            </w:pPr>
            <w:r>
              <w:rPr>
                <w:rFonts w:hint="default" w:ascii="Times New Roman" w:hAnsi="Times New Roman" w:eastAsia="宋体" w:cs="Times New Roman"/>
                <w:b/>
                <w:bCs/>
                <w:color w:val="auto"/>
                <w:sz w:val="24"/>
                <w:highlight w:val="none"/>
                <w:u w:val="none"/>
              </w:rPr>
              <w:t>（核准/备案）</w:t>
            </w:r>
          </w:p>
          <w:p w14:paraId="0B546FC9">
            <w:pPr>
              <w:keepNext/>
              <w:keepLines w:val="0"/>
              <w:pageBreakBefore w:val="0"/>
              <w:widowControl w:val="0"/>
              <w:suppressLineNumbers w:val="0"/>
              <w:spacing w:before="0" w:beforeAutospacing="0" w:after="0" w:afterAutospacing="0" w:line="400" w:lineRule="exact"/>
              <w:ind w:left="-120" w:right="-12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sz w:val="24"/>
                <w:highlight w:val="none"/>
                <w:u w:val="none"/>
              </w:rPr>
              <w:t>部门</w:t>
            </w:r>
          </w:p>
        </w:tc>
        <w:tc>
          <w:tcPr>
            <w:tcW w:w="1064" w:type="pct"/>
            <w:noWrap w:val="0"/>
            <w:vAlign w:val="center"/>
          </w:tcPr>
          <w:p w14:paraId="115E2A9E">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highlight w:val="none"/>
              </w:rPr>
            </w:pPr>
            <w:r>
              <w:rPr>
                <w:rFonts w:hint="default" w:ascii="Times New Roman" w:hAnsi="Times New Roman" w:cs="Times New Roman"/>
                <w:color w:val="auto"/>
                <w:sz w:val="24"/>
                <w:highlight w:val="none"/>
                <w:u w:val="none"/>
                <w:lang w:val="en-US" w:eastAsia="zh-CN"/>
              </w:rPr>
              <w:t>铁力</w:t>
            </w:r>
            <w:r>
              <w:rPr>
                <w:rFonts w:hint="default" w:ascii="Times New Roman" w:hAnsi="Times New Roman" w:eastAsia="宋体" w:cs="Times New Roman"/>
                <w:color w:val="auto"/>
                <w:sz w:val="24"/>
                <w:highlight w:val="none"/>
                <w:u w:val="none"/>
                <w:lang w:val="en-US" w:eastAsia="zh-CN"/>
              </w:rPr>
              <w:t>市发展和改革委员会</w:t>
            </w:r>
          </w:p>
        </w:tc>
        <w:tc>
          <w:tcPr>
            <w:tcW w:w="1201" w:type="pct"/>
            <w:noWrap w:val="0"/>
            <w:vAlign w:val="center"/>
          </w:tcPr>
          <w:p w14:paraId="6D14DFF2">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项目审批（核准/</w:t>
            </w:r>
          </w:p>
          <w:p w14:paraId="23137E8B">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u w:val="none"/>
              </w:rPr>
              <w:t>备案）文号（选填）</w:t>
            </w:r>
          </w:p>
        </w:tc>
        <w:tc>
          <w:tcPr>
            <w:tcW w:w="1994" w:type="pct"/>
            <w:gridSpan w:val="2"/>
            <w:noWrap w:val="0"/>
            <w:vAlign w:val="center"/>
          </w:tcPr>
          <w:p w14:paraId="0955909B">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4"/>
                <w:highlight w:val="none"/>
                <w:u w:val="none"/>
                <w:lang w:val="en-US" w:eastAsia="zh-CN"/>
              </w:rPr>
              <w:t>2603-230781-04-01-672468</w:t>
            </w:r>
          </w:p>
        </w:tc>
      </w:tr>
      <w:tr w14:paraId="686E89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739" w:type="pct"/>
            <w:noWrap w:val="0"/>
            <w:tcMar>
              <w:top w:w="16" w:type="dxa"/>
              <w:left w:w="16" w:type="dxa"/>
              <w:right w:w="16" w:type="dxa"/>
            </w:tcMar>
            <w:vAlign w:val="center"/>
          </w:tcPr>
          <w:p w14:paraId="238DADFB">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b/>
                <w:bCs/>
                <w:color w:val="auto"/>
                <w:sz w:val="24"/>
                <w:highlight w:val="none"/>
                <w:u w:val="none"/>
              </w:rPr>
            </w:pPr>
            <w:r>
              <w:rPr>
                <w:rFonts w:hint="default" w:ascii="Times New Roman" w:hAnsi="Times New Roman" w:eastAsia="宋体" w:cs="Times New Roman"/>
                <w:b/>
                <w:bCs/>
                <w:color w:val="auto"/>
                <w:sz w:val="24"/>
                <w:highlight w:val="none"/>
                <w:u w:val="none"/>
              </w:rPr>
              <w:t>总投资</w:t>
            </w:r>
          </w:p>
          <w:p w14:paraId="6C83B384">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sz w:val="24"/>
                <w:highlight w:val="none"/>
                <w:u w:val="none"/>
              </w:rPr>
              <w:t>（万元）</w:t>
            </w:r>
          </w:p>
        </w:tc>
        <w:tc>
          <w:tcPr>
            <w:tcW w:w="1064" w:type="pct"/>
            <w:noWrap w:val="0"/>
            <w:vAlign w:val="center"/>
          </w:tcPr>
          <w:p w14:paraId="6A0E67F7">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sz w:val="24"/>
                <w:highlight w:val="none"/>
                <w:u w:val="none"/>
                <w:lang w:val="en-US" w:eastAsia="zh-CN"/>
              </w:rPr>
              <w:t>505</w:t>
            </w:r>
          </w:p>
        </w:tc>
        <w:tc>
          <w:tcPr>
            <w:tcW w:w="1201" w:type="pct"/>
            <w:noWrap w:val="0"/>
            <w:tcMar>
              <w:top w:w="16" w:type="dxa"/>
              <w:left w:w="16" w:type="dxa"/>
              <w:right w:w="16" w:type="dxa"/>
            </w:tcMar>
            <w:vAlign w:val="center"/>
          </w:tcPr>
          <w:p w14:paraId="5A86CB80">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环保投资</w:t>
            </w:r>
          </w:p>
          <w:p w14:paraId="75617774">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u w:val="none"/>
              </w:rPr>
              <w:t>（万元）</w:t>
            </w:r>
          </w:p>
        </w:tc>
        <w:tc>
          <w:tcPr>
            <w:tcW w:w="1994" w:type="pct"/>
            <w:gridSpan w:val="2"/>
            <w:noWrap w:val="0"/>
            <w:vAlign w:val="center"/>
          </w:tcPr>
          <w:p w14:paraId="723BBBED">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sz w:val="24"/>
                <w:highlight w:val="none"/>
                <w:u w:val="none"/>
                <w:lang w:val="en-US" w:eastAsia="zh-CN"/>
              </w:rPr>
              <w:t>30</w:t>
            </w:r>
          </w:p>
        </w:tc>
      </w:tr>
      <w:tr w14:paraId="381785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739" w:type="pct"/>
            <w:noWrap w:val="0"/>
            <w:tcMar>
              <w:top w:w="16" w:type="dxa"/>
              <w:left w:w="16" w:type="dxa"/>
              <w:right w:w="16" w:type="dxa"/>
            </w:tcMar>
            <w:vAlign w:val="center"/>
          </w:tcPr>
          <w:p w14:paraId="1E639018">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sz w:val="24"/>
                <w:highlight w:val="none"/>
                <w:u w:val="none"/>
              </w:rPr>
              <w:t>环保投资占比（%）</w:t>
            </w:r>
          </w:p>
        </w:tc>
        <w:tc>
          <w:tcPr>
            <w:tcW w:w="1064" w:type="pct"/>
            <w:noWrap w:val="0"/>
            <w:vAlign w:val="center"/>
          </w:tcPr>
          <w:p w14:paraId="5A342C49">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sz w:val="24"/>
                <w:highlight w:val="none"/>
                <w:u w:val="none"/>
                <w:lang w:val="en-US" w:eastAsia="zh-CN"/>
              </w:rPr>
              <w:t>5.94</w:t>
            </w:r>
            <w:r>
              <w:rPr>
                <w:rFonts w:hint="default" w:ascii="Times New Roman" w:hAnsi="Times New Roman" w:eastAsia="宋体" w:cs="Times New Roman"/>
                <w:color w:val="auto"/>
                <w:sz w:val="24"/>
                <w:highlight w:val="none"/>
                <w:u w:val="none"/>
                <w:lang w:val="en-US" w:eastAsia="zh-CN"/>
              </w:rPr>
              <w:t>%</w:t>
            </w:r>
          </w:p>
        </w:tc>
        <w:tc>
          <w:tcPr>
            <w:tcW w:w="1201" w:type="pct"/>
            <w:noWrap w:val="0"/>
            <w:tcMar>
              <w:top w:w="16" w:type="dxa"/>
              <w:left w:w="16" w:type="dxa"/>
              <w:right w:w="16" w:type="dxa"/>
            </w:tcMar>
            <w:vAlign w:val="center"/>
          </w:tcPr>
          <w:p w14:paraId="322B3186">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u w:val="none"/>
              </w:rPr>
              <w:t>施工工期</w:t>
            </w:r>
          </w:p>
        </w:tc>
        <w:tc>
          <w:tcPr>
            <w:tcW w:w="1994" w:type="pct"/>
            <w:gridSpan w:val="2"/>
            <w:noWrap w:val="0"/>
            <w:vAlign w:val="center"/>
          </w:tcPr>
          <w:p w14:paraId="65F7F689">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highlight w:val="none"/>
                <w:lang w:eastAsia="zh-CN"/>
              </w:rPr>
            </w:pPr>
            <w:r>
              <w:rPr>
                <w:rFonts w:hint="eastAsia" w:ascii="Times New Roman" w:hAnsi="Times New Roman" w:cs="Times New Roman"/>
                <w:color w:val="auto"/>
                <w:sz w:val="24"/>
                <w:highlight w:val="none"/>
                <w:u w:val="none"/>
                <w:lang w:val="en-US" w:eastAsia="zh-CN"/>
              </w:rPr>
              <w:t>2</w:t>
            </w:r>
            <w:r>
              <w:rPr>
                <w:rFonts w:hint="default" w:ascii="Times New Roman" w:hAnsi="Times New Roman" w:eastAsia="宋体" w:cs="Times New Roman"/>
                <w:color w:val="auto"/>
                <w:sz w:val="24"/>
                <w:highlight w:val="none"/>
                <w:u w:val="none"/>
                <w:lang w:val="en-US" w:eastAsia="zh-CN"/>
              </w:rPr>
              <w:t>个月</w:t>
            </w:r>
            <w:r>
              <w:rPr>
                <w:rFonts w:hint="eastAsia" w:ascii="Times New Roman" w:hAnsi="Times New Roman" w:cs="Times New Roman"/>
                <w:color w:val="auto"/>
                <w:sz w:val="24"/>
                <w:highlight w:val="none"/>
                <w:u w:val="none"/>
                <w:lang w:val="en-US" w:eastAsia="zh-CN"/>
              </w:rPr>
              <w:t>（2026年7月-2026年8月）</w:t>
            </w:r>
          </w:p>
        </w:tc>
      </w:tr>
      <w:tr w14:paraId="0B1F36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739" w:type="pct"/>
            <w:noWrap w:val="0"/>
            <w:tcMar>
              <w:top w:w="16" w:type="dxa"/>
              <w:left w:w="16" w:type="dxa"/>
              <w:right w:w="16" w:type="dxa"/>
            </w:tcMar>
            <w:vAlign w:val="center"/>
          </w:tcPr>
          <w:p w14:paraId="220999AD">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b/>
                <w:bCs/>
                <w:color w:val="auto"/>
                <w:sz w:val="24"/>
                <w:highlight w:val="none"/>
                <w:u w:val="none"/>
              </w:rPr>
            </w:pPr>
            <w:r>
              <w:rPr>
                <w:rFonts w:hint="default" w:ascii="Times New Roman" w:hAnsi="Times New Roman" w:eastAsia="宋体" w:cs="Times New Roman"/>
                <w:b/>
                <w:bCs/>
                <w:color w:val="auto"/>
                <w:sz w:val="24"/>
                <w:highlight w:val="none"/>
                <w:u w:val="none"/>
              </w:rPr>
              <w:t>是否开工</w:t>
            </w:r>
          </w:p>
          <w:p w14:paraId="542899EC">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sz w:val="24"/>
                <w:highlight w:val="none"/>
                <w:u w:val="none"/>
              </w:rPr>
              <w:t>建设</w:t>
            </w:r>
          </w:p>
        </w:tc>
        <w:tc>
          <w:tcPr>
            <w:tcW w:w="1064" w:type="pct"/>
            <w:noWrap w:val="0"/>
            <w:vAlign w:val="center"/>
          </w:tcPr>
          <w:p w14:paraId="59971FEE">
            <w:pPr>
              <w:keepNext/>
              <w:keepLines w:val="0"/>
              <w:pageBreakBefore w:val="0"/>
              <w:widowControl w:val="0"/>
              <w:suppressLineNumbers w:val="0"/>
              <w:spacing w:before="0" w:beforeAutospacing="0" w:after="0" w:afterAutospacing="0" w:line="400" w:lineRule="exact"/>
              <w:ind w:left="0" w:right="0"/>
              <w:rPr>
                <w:rFonts w:hint="default" w:ascii="Times New Roman" w:hAnsi="Times New Roman" w:eastAsia="宋体" w:cs="Times New Roman"/>
                <w:color w:val="auto"/>
                <w:sz w:val="24"/>
                <w:highlight w:val="none"/>
                <w:u w:val="none"/>
              </w:rPr>
            </w:pPr>
            <w:r>
              <w:rPr>
                <w:rFonts w:hint="default" w:ascii="Times New Roman" w:hAnsi="Times New Roman" w:eastAsia="Wingdings 2" w:cs="Times New Roman"/>
                <w:color w:val="auto"/>
                <w:sz w:val="24"/>
                <w:highlight w:val="none"/>
                <w:u w:val="none"/>
              </w:rPr>
              <w:sym w:font="Wingdings 2" w:char="0052"/>
            </w:r>
            <w:r>
              <w:rPr>
                <w:rFonts w:hint="default" w:ascii="Times New Roman" w:hAnsi="Times New Roman" w:eastAsia="宋体" w:cs="Times New Roman"/>
                <w:color w:val="auto"/>
                <w:sz w:val="24"/>
                <w:highlight w:val="none"/>
                <w:u w:val="none"/>
              </w:rPr>
              <w:t>否</w:t>
            </w:r>
          </w:p>
          <w:p w14:paraId="6806D055">
            <w:pPr>
              <w:keepNext/>
              <w:keepLines w:val="0"/>
              <w:pageBreakBefore w:val="0"/>
              <w:widowControl w:val="0"/>
              <w:suppressLineNumbers w:val="0"/>
              <w:spacing w:before="0" w:beforeAutospacing="0" w:after="0" w:afterAutospacing="0" w:line="400" w:lineRule="exact"/>
              <w:ind w:left="0" w:right="0"/>
              <w:rPr>
                <w:rFonts w:hint="default" w:ascii="Times New Roman" w:hAnsi="Times New Roman" w:eastAsia="宋体" w:cs="Times New Roman"/>
                <w:color w:val="auto"/>
                <w:highlight w:val="none"/>
              </w:rPr>
            </w:pPr>
            <w:r>
              <w:rPr>
                <w:rFonts w:hint="default" w:ascii="Times New Roman" w:hAnsi="Times New Roman" w:eastAsia="Wingdings 2" w:cs="Times New Roman"/>
                <w:color w:val="auto"/>
                <w:sz w:val="24"/>
                <w:highlight w:val="none"/>
                <w:u w:val="none"/>
              </w:rPr>
              <w:sym w:font="Wingdings 2" w:char="00A3"/>
            </w:r>
            <w:r>
              <w:rPr>
                <w:rFonts w:hint="default" w:ascii="Times New Roman" w:hAnsi="Times New Roman" w:eastAsia="宋体" w:cs="Times New Roman"/>
                <w:color w:val="auto"/>
                <w:sz w:val="24"/>
                <w:highlight w:val="none"/>
                <w:u w:val="none"/>
              </w:rPr>
              <w:t>是</w:t>
            </w:r>
          </w:p>
        </w:tc>
        <w:tc>
          <w:tcPr>
            <w:tcW w:w="1201" w:type="pct"/>
            <w:noWrap w:val="0"/>
            <w:tcMar>
              <w:top w:w="16" w:type="dxa"/>
              <w:left w:w="16" w:type="dxa"/>
              <w:right w:w="16" w:type="dxa"/>
            </w:tcMar>
            <w:vAlign w:val="center"/>
          </w:tcPr>
          <w:p w14:paraId="4FFD27EB">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spacing w:val="-6"/>
                <w:sz w:val="24"/>
                <w:highlight w:val="none"/>
                <w:u w:val="none"/>
              </w:rPr>
            </w:pPr>
            <w:r>
              <w:rPr>
                <w:rFonts w:hint="default" w:ascii="Times New Roman" w:hAnsi="Times New Roman" w:eastAsia="宋体" w:cs="Times New Roman"/>
                <w:color w:val="auto"/>
                <w:spacing w:val="-6"/>
                <w:sz w:val="24"/>
                <w:highlight w:val="none"/>
                <w:u w:val="none"/>
              </w:rPr>
              <w:t>用地面积</w:t>
            </w:r>
          </w:p>
          <w:p w14:paraId="67EA0E2A">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highlight w:val="none"/>
              </w:rPr>
            </w:pPr>
            <w:r>
              <w:rPr>
                <w:rFonts w:hint="eastAsia" w:ascii="Times New Roman" w:hAnsi="Times New Roman" w:cs="Times New Roman"/>
                <w:color w:val="auto"/>
                <w:spacing w:val="-6"/>
                <w:sz w:val="24"/>
                <w:highlight w:val="none"/>
                <w:u w:val="none"/>
                <w:lang w:eastAsia="zh-CN"/>
              </w:rPr>
              <w:t>(</w:t>
            </w:r>
            <w:r>
              <w:rPr>
                <w:rFonts w:hint="default" w:ascii="Times New Roman" w:hAnsi="Times New Roman" w:eastAsia="宋体" w:cs="Times New Roman"/>
                <w:color w:val="auto"/>
                <w:spacing w:val="-6"/>
                <w:sz w:val="24"/>
                <w:highlight w:val="none"/>
                <w:u w:val="none"/>
              </w:rPr>
              <w:t>m</w:t>
            </w:r>
            <w:r>
              <w:rPr>
                <w:rFonts w:hint="default" w:ascii="Times New Roman" w:hAnsi="Times New Roman" w:eastAsia="宋体" w:cs="Times New Roman"/>
                <w:color w:val="auto"/>
                <w:spacing w:val="-6"/>
                <w:sz w:val="24"/>
                <w:highlight w:val="none"/>
                <w:u w:val="none"/>
                <w:vertAlign w:val="superscript"/>
              </w:rPr>
              <w:t>2</w:t>
            </w:r>
            <w:r>
              <w:rPr>
                <w:rFonts w:hint="eastAsia" w:ascii="Times New Roman" w:hAnsi="Times New Roman" w:cs="Times New Roman"/>
                <w:color w:val="auto"/>
                <w:spacing w:val="-6"/>
                <w:sz w:val="24"/>
                <w:highlight w:val="none"/>
                <w:u w:val="none"/>
                <w:vertAlign w:val="superscript"/>
                <w:lang w:eastAsia="zh-CN"/>
              </w:rPr>
              <w:t>)</w:t>
            </w:r>
          </w:p>
        </w:tc>
        <w:tc>
          <w:tcPr>
            <w:tcW w:w="1994" w:type="pct"/>
            <w:gridSpan w:val="2"/>
            <w:noWrap w:val="0"/>
            <w:vAlign w:val="center"/>
          </w:tcPr>
          <w:p w14:paraId="5E605226">
            <w:pPr>
              <w:keepNext/>
              <w:keepLines w:val="0"/>
              <w:pageBreakBefore w:val="0"/>
              <w:widowControl w:val="0"/>
              <w:suppressLineNumbers w:val="0"/>
              <w:spacing w:before="0" w:beforeAutospacing="0" w:after="0" w:afterAutospacing="0" w:line="400" w:lineRule="exact"/>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sz w:val="24"/>
                <w:highlight w:val="none"/>
                <w:u w:val="none"/>
                <w:lang w:val="en-US" w:eastAsia="zh-CN"/>
              </w:rPr>
              <w:t>95698</w:t>
            </w:r>
          </w:p>
        </w:tc>
      </w:tr>
      <w:tr w14:paraId="257104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22" w:hRule="atLeast"/>
          <w:jc w:val="center"/>
        </w:trPr>
        <w:tc>
          <w:tcPr>
            <w:tcW w:w="739" w:type="pct"/>
            <w:noWrap w:val="0"/>
            <w:vAlign w:val="center"/>
          </w:tcPr>
          <w:p w14:paraId="54F10AA7">
            <w:pPr>
              <w:keepNext/>
              <w:keepLines w:val="0"/>
              <w:pageBreakBefore w:val="0"/>
              <w:widowControl w:val="0"/>
              <w:suppressLineNumbers w:val="0"/>
              <w:spacing w:before="0" w:beforeAutospacing="0" w:after="0" w:afterAutospacing="0" w:line="400" w:lineRule="exact"/>
              <w:ind w:left="-72" w:right="-72"/>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sz w:val="24"/>
                <w:highlight w:val="none"/>
                <w:u w:val="none"/>
              </w:rPr>
              <w:t>专项评价设置情况</w:t>
            </w:r>
          </w:p>
        </w:tc>
        <w:tc>
          <w:tcPr>
            <w:tcW w:w="4260" w:type="pct"/>
            <w:gridSpan w:val="4"/>
            <w:noWrap w:val="0"/>
            <w:vAlign w:val="center"/>
          </w:tcPr>
          <w:p w14:paraId="3C82622C">
            <w:pPr>
              <w:keepNext/>
              <w:keepLines w:val="0"/>
              <w:pageBreakBefore w:val="0"/>
              <w:widowControl w:val="0"/>
              <w:suppressLineNumbers w:val="0"/>
              <w:spacing w:before="0" w:beforeAutospacing="0" w:after="0" w:afterAutospacing="0" w:line="400" w:lineRule="exact"/>
              <w:ind w:left="0" w:right="0" w:firstLine="480" w:firstLineChars="200"/>
              <w:jc w:val="both"/>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根据《建设项目环境影响报告表编制技术指南（污染影响类）（试行）》中表1专项评价设置原则表的要求，项目专项设置情况参照表1-1。</w:t>
            </w:r>
          </w:p>
          <w:p w14:paraId="64B92BF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kern w:val="2"/>
                <w:sz w:val="21"/>
                <w:szCs w:val="21"/>
                <w:lang w:eastAsia="zh-CN" w:bidi="ar"/>
              </w:rPr>
            </w:pPr>
            <w:r>
              <w:rPr>
                <w:rFonts w:hint="default" w:ascii="Times New Roman" w:hAnsi="Times New Roman" w:eastAsia="宋体" w:cs="Times New Roman"/>
                <w:b/>
                <w:color w:val="auto"/>
                <w:kern w:val="2"/>
                <w:sz w:val="21"/>
                <w:szCs w:val="21"/>
                <w:lang w:val="en-US" w:eastAsia="zh-CN" w:bidi="ar"/>
              </w:rPr>
              <w:t>表1-1 专项评价设置情况一览表</w:t>
            </w:r>
          </w:p>
          <w:tbl>
            <w:tblPr>
              <w:tblStyle w:val="56"/>
              <w:tblW w:w="495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000"/>
              <w:gridCol w:w="3866"/>
              <w:gridCol w:w="1931"/>
              <w:gridCol w:w="747"/>
            </w:tblGrid>
            <w:tr w14:paraId="710437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662" w:type="pct"/>
                  <w:tcBorders>
                    <w:tl2br w:val="nil"/>
                    <w:tr2bl w:val="nil"/>
                  </w:tcBorders>
                  <w:noWrap w:val="0"/>
                  <w:vAlign w:val="center"/>
                </w:tcPr>
                <w:p w14:paraId="5A8CD62D">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专项评价类别</w:t>
                  </w:r>
                </w:p>
              </w:tc>
              <w:tc>
                <w:tcPr>
                  <w:tcW w:w="2561" w:type="pct"/>
                  <w:tcBorders>
                    <w:tl2br w:val="nil"/>
                    <w:tr2bl w:val="nil"/>
                  </w:tcBorders>
                  <w:noWrap w:val="0"/>
                  <w:vAlign w:val="center"/>
                </w:tcPr>
                <w:p w14:paraId="78AED854">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设置原则</w:t>
                  </w:r>
                </w:p>
              </w:tc>
              <w:tc>
                <w:tcPr>
                  <w:tcW w:w="1280" w:type="pct"/>
                  <w:tcBorders>
                    <w:tl2br w:val="nil"/>
                    <w:tr2bl w:val="nil"/>
                  </w:tcBorders>
                  <w:noWrap w:val="0"/>
                  <w:vAlign w:val="center"/>
                </w:tcPr>
                <w:p w14:paraId="64DC3D7C">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本项目建设情况</w:t>
                  </w:r>
                </w:p>
              </w:tc>
              <w:tc>
                <w:tcPr>
                  <w:tcW w:w="495" w:type="pct"/>
                  <w:tcBorders>
                    <w:tl2br w:val="nil"/>
                    <w:tr2bl w:val="nil"/>
                  </w:tcBorders>
                  <w:noWrap w:val="0"/>
                  <w:vAlign w:val="center"/>
                </w:tcPr>
                <w:p w14:paraId="3FAB63AA">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是否专项评价</w:t>
                  </w:r>
                </w:p>
              </w:tc>
            </w:tr>
            <w:tr w14:paraId="108BDA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662" w:type="pct"/>
                  <w:tcBorders>
                    <w:tl2br w:val="nil"/>
                    <w:tr2bl w:val="nil"/>
                  </w:tcBorders>
                  <w:noWrap w:val="0"/>
                  <w:vAlign w:val="center"/>
                </w:tcPr>
                <w:p w14:paraId="191F3F6E">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大气</w:t>
                  </w:r>
                </w:p>
              </w:tc>
              <w:tc>
                <w:tcPr>
                  <w:tcW w:w="2561" w:type="pct"/>
                  <w:tcBorders>
                    <w:tl2br w:val="nil"/>
                    <w:tr2bl w:val="nil"/>
                  </w:tcBorders>
                  <w:noWrap w:val="0"/>
                  <w:vAlign w:val="center"/>
                </w:tcPr>
                <w:p w14:paraId="5B947045">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排放废气含有毒有害污染物、二噁英、苯并[a]芘、氰化物、氯气且厂界外500米范围内有环境空气保护目标的建设项目</w:t>
                  </w:r>
                </w:p>
              </w:tc>
              <w:tc>
                <w:tcPr>
                  <w:tcW w:w="1280" w:type="pct"/>
                  <w:tcBorders>
                    <w:tl2br w:val="nil"/>
                    <w:tr2bl w:val="nil"/>
                  </w:tcBorders>
                  <w:noWrap w:val="0"/>
                  <w:vAlign w:val="center"/>
                </w:tcPr>
                <w:p w14:paraId="35FE4E2D">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不排放有毒有害污染物、二噁英、苯并[a]芘、氰化物、氯气等废气</w:t>
                  </w:r>
                </w:p>
              </w:tc>
              <w:tc>
                <w:tcPr>
                  <w:tcW w:w="495" w:type="pct"/>
                  <w:tcBorders>
                    <w:tl2br w:val="nil"/>
                    <w:tr2bl w:val="nil"/>
                  </w:tcBorders>
                  <w:noWrap w:val="0"/>
                  <w:vAlign w:val="center"/>
                </w:tcPr>
                <w:p w14:paraId="145D6A8B">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否</w:t>
                  </w:r>
                </w:p>
              </w:tc>
            </w:tr>
            <w:tr w14:paraId="348C16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662" w:type="pct"/>
                  <w:tcBorders>
                    <w:tl2br w:val="nil"/>
                    <w:tr2bl w:val="nil"/>
                  </w:tcBorders>
                  <w:noWrap w:val="0"/>
                  <w:vAlign w:val="center"/>
                </w:tcPr>
                <w:p w14:paraId="6530185A">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地表水</w:t>
                  </w:r>
                </w:p>
              </w:tc>
              <w:tc>
                <w:tcPr>
                  <w:tcW w:w="2561" w:type="pct"/>
                  <w:tcBorders>
                    <w:tl2br w:val="nil"/>
                    <w:tr2bl w:val="nil"/>
                  </w:tcBorders>
                  <w:noWrap w:val="0"/>
                  <w:vAlign w:val="center"/>
                </w:tcPr>
                <w:p w14:paraId="6E7845D8">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新增工业废水直排建设项目（槽罐车外送污水处理厂的除外）：新增废水直排的污水集中处理厂</w:t>
                  </w:r>
                </w:p>
              </w:tc>
              <w:tc>
                <w:tcPr>
                  <w:tcW w:w="1280" w:type="pct"/>
                  <w:tcBorders>
                    <w:tl2br w:val="nil"/>
                    <w:tr2bl w:val="nil"/>
                  </w:tcBorders>
                  <w:noWrap w:val="0"/>
                  <w:vAlign w:val="center"/>
                </w:tcPr>
                <w:p w14:paraId="5C409A02">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本项目废水不直接排放</w:t>
                  </w:r>
                </w:p>
              </w:tc>
              <w:tc>
                <w:tcPr>
                  <w:tcW w:w="495" w:type="pct"/>
                  <w:tcBorders>
                    <w:tl2br w:val="nil"/>
                    <w:tr2bl w:val="nil"/>
                  </w:tcBorders>
                  <w:noWrap w:val="0"/>
                  <w:vAlign w:val="center"/>
                </w:tcPr>
                <w:p w14:paraId="76B6CC10">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否</w:t>
                  </w:r>
                </w:p>
              </w:tc>
            </w:tr>
            <w:tr w14:paraId="159913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662" w:type="pct"/>
                  <w:tcBorders>
                    <w:tl2br w:val="nil"/>
                    <w:tr2bl w:val="nil"/>
                  </w:tcBorders>
                  <w:noWrap w:val="0"/>
                  <w:vAlign w:val="center"/>
                </w:tcPr>
                <w:p w14:paraId="36B09864">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环境</w:t>
                  </w:r>
                  <w:r>
                    <w:rPr>
                      <w:rFonts w:hint="default" w:ascii="Times New Roman" w:hAnsi="Times New Roman" w:eastAsia="宋体" w:cs="Times New Roman"/>
                      <w:color w:val="auto"/>
                      <w:sz w:val="21"/>
                      <w:szCs w:val="21"/>
                      <w:highlight w:val="none"/>
                      <w:lang w:val="en-US" w:eastAsia="zh-CN"/>
                    </w:rPr>
                    <w:t>风险</w:t>
                  </w:r>
                </w:p>
              </w:tc>
              <w:tc>
                <w:tcPr>
                  <w:tcW w:w="2561" w:type="pct"/>
                  <w:tcBorders>
                    <w:tl2br w:val="nil"/>
                    <w:tr2bl w:val="nil"/>
                  </w:tcBorders>
                  <w:noWrap w:val="0"/>
                  <w:vAlign w:val="center"/>
                </w:tcPr>
                <w:p w14:paraId="665E51F0">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有毒有害和易燃易爆危险物质存储量超过临界量的建设项目</w:t>
                  </w:r>
                </w:p>
              </w:tc>
              <w:tc>
                <w:tcPr>
                  <w:tcW w:w="1280" w:type="pct"/>
                  <w:tcBorders>
                    <w:tl2br w:val="nil"/>
                    <w:tr2bl w:val="nil"/>
                  </w:tcBorders>
                  <w:noWrap w:val="0"/>
                  <w:vAlign w:val="center"/>
                </w:tcPr>
                <w:p w14:paraId="5B825563">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本项目涉及的危险物质存储量未超过临界量</w:t>
                  </w:r>
                </w:p>
              </w:tc>
              <w:tc>
                <w:tcPr>
                  <w:tcW w:w="495" w:type="pct"/>
                  <w:tcBorders>
                    <w:tl2br w:val="nil"/>
                    <w:tr2bl w:val="nil"/>
                  </w:tcBorders>
                  <w:noWrap w:val="0"/>
                  <w:vAlign w:val="center"/>
                </w:tcPr>
                <w:p w14:paraId="00DE2B59">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否</w:t>
                  </w:r>
                </w:p>
              </w:tc>
            </w:tr>
            <w:tr w14:paraId="2272A2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662" w:type="pct"/>
                  <w:tcBorders>
                    <w:tl2br w:val="nil"/>
                    <w:tr2bl w:val="nil"/>
                  </w:tcBorders>
                  <w:noWrap w:val="0"/>
                  <w:vAlign w:val="center"/>
                </w:tcPr>
                <w:p w14:paraId="5D906EF6">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生态</w:t>
                  </w:r>
                </w:p>
              </w:tc>
              <w:tc>
                <w:tcPr>
                  <w:tcW w:w="2561" w:type="pct"/>
                  <w:tcBorders>
                    <w:tl2br w:val="nil"/>
                    <w:tr2bl w:val="nil"/>
                  </w:tcBorders>
                  <w:noWrap w:val="0"/>
                  <w:vAlign w:val="center"/>
                </w:tcPr>
                <w:p w14:paraId="3D676743">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取水口下游500米范围内有重要水生生物的自然产卵场、索饵场、越冬场和洄游通道的新增河道取水的污染类建设项目</w:t>
                  </w:r>
                </w:p>
              </w:tc>
              <w:tc>
                <w:tcPr>
                  <w:tcW w:w="1280" w:type="pct"/>
                  <w:tcBorders>
                    <w:tl2br w:val="nil"/>
                    <w:tr2bl w:val="nil"/>
                  </w:tcBorders>
                  <w:noWrap w:val="0"/>
                  <w:vAlign w:val="center"/>
                </w:tcPr>
                <w:p w14:paraId="78EFAF64">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本项目不涉及河道取水</w:t>
                  </w:r>
                </w:p>
              </w:tc>
              <w:tc>
                <w:tcPr>
                  <w:tcW w:w="495" w:type="pct"/>
                  <w:tcBorders>
                    <w:tl2br w:val="nil"/>
                    <w:tr2bl w:val="nil"/>
                  </w:tcBorders>
                  <w:noWrap w:val="0"/>
                  <w:vAlign w:val="center"/>
                </w:tcPr>
                <w:p w14:paraId="79A89EAD">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否</w:t>
                  </w:r>
                </w:p>
              </w:tc>
            </w:tr>
          </w:tbl>
          <w:p w14:paraId="4587A98D">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highlight w:val="none"/>
                <w:lang w:eastAsia="zh-CN"/>
              </w:rPr>
            </w:pPr>
          </w:p>
        </w:tc>
      </w:tr>
      <w:tr w14:paraId="56A090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9" w:type="pct"/>
            <w:noWrap w:val="0"/>
            <w:vAlign w:val="center"/>
          </w:tcPr>
          <w:p w14:paraId="3111DC51">
            <w:pPr>
              <w:keepNext/>
              <w:keepLines w:val="0"/>
              <w:pageBreakBefore w:val="0"/>
              <w:widowControl w:val="0"/>
              <w:suppressLineNumbers w:val="0"/>
              <w:spacing w:before="0" w:beforeAutospacing="0" w:after="0" w:afterAutospacing="0" w:line="400" w:lineRule="exact"/>
              <w:ind w:left="-72" w:right="-72"/>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sz w:val="24"/>
                <w:highlight w:val="none"/>
                <w:u w:val="none"/>
              </w:rPr>
              <w:t>规划情况</w:t>
            </w:r>
          </w:p>
        </w:tc>
        <w:tc>
          <w:tcPr>
            <w:tcW w:w="4260" w:type="pct"/>
            <w:gridSpan w:val="4"/>
            <w:noWrap w:val="0"/>
            <w:vAlign w:val="center"/>
          </w:tcPr>
          <w:p w14:paraId="2DADF5E4">
            <w:pPr>
              <w:keepNext/>
              <w:keepLines w:val="0"/>
              <w:pageBreakBefore w:val="0"/>
              <w:widowControl w:val="0"/>
              <w:suppressLineNumbers w:val="0"/>
              <w:spacing w:before="157" w:beforeAutospacing="0" w:after="0" w:afterAutospacing="0" w:line="360" w:lineRule="auto"/>
              <w:ind w:left="0" w:right="0" w:firstLine="0"/>
              <w:jc w:val="both"/>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
                <w:bCs/>
                <w:color w:val="auto"/>
                <w:sz w:val="24"/>
                <w:highlight w:val="none"/>
                <w:lang w:eastAsia="zh-CN"/>
              </w:rPr>
              <w:t>规划名称：</w:t>
            </w:r>
            <w:r>
              <w:rPr>
                <w:rFonts w:hint="default" w:ascii="Times New Roman" w:hAnsi="Times New Roman" w:eastAsia="宋体" w:cs="Times New Roman"/>
                <w:color w:val="auto"/>
                <w:sz w:val="24"/>
                <w:highlight w:val="none"/>
              </w:rPr>
              <w:t>《黑龙江铁力经济开发区总体规划（2021-2030年）》</w:t>
            </w:r>
          </w:p>
        </w:tc>
      </w:tr>
      <w:tr w14:paraId="3476A6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64" w:hRule="atLeast"/>
          <w:jc w:val="center"/>
        </w:trPr>
        <w:tc>
          <w:tcPr>
            <w:tcW w:w="739" w:type="pct"/>
            <w:noWrap w:val="0"/>
            <w:vAlign w:val="center"/>
          </w:tcPr>
          <w:p w14:paraId="1D08D75A">
            <w:pPr>
              <w:keepNext/>
              <w:keepLines w:val="0"/>
              <w:pageBreakBefore w:val="0"/>
              <w:widowControl w:val="0"/>
              <w:suppressLineNumbers w:val="0"/>
              <w:spacing w:before="0" w:beforeAutospacing="0" w:after="0" w:afterAutospacing="0"/>
              <w:ind w:left="-72" w:right="-72"/>
              <w:jc w:val="center"/>
              <w:rPr>
                <w:rFonts w:hint="default" w:ascii="Times New Roman" w:hAnsi="Times New Roman" w:eastAsia="宋体" w:cs="Times New Roman"/>
                <w:b/>
                <w:bCs/>
                <w:color w:val="auto"/>
                <w:sz w:val="24"/>
                <w:highlight w:val="none"/>
                <w:u w:val="none"/>
              </w:rPr>
            </w:pPr>
            <w:r>
              <w:rPr>
                <w:rFonts w:hint="default" w:ascii="Times New Roman" w:hAnsi="Times New Roman" w:eastAsia="宋体" w:cs="Times New Roman"/>
                <w:b/>
                <w:bCs/>
                <w:color w:val="auto"/>
                <w:sz w:val="24"/>
                <w:highlight w:val="none"/>
                <w:u w:val="none"/>
              </w:rPr>
              <w:t>规划环境影响评价情况</w:t>
            </w:r>
          </w:p>
        </w:tc>
        <w:tc>
          <w:tcPr>
            <w:tcW w:w="4260" w:type="pct"/>
            <w:gridSpan w:val="4"/>
            <w:noWrap w:val="0"/>
            <w:vAlign w:val="center"/>
          </w:tcPr>
          <w:p w14:paraId="79C07942">
            <w:pPr>
              <w:keepNext/>
              <w:keepLines w:val="0"/>
              <w:pageBreakBefore w:val="0"/>
              <w:widowControl w:val="0"/>
              <w:numPr>
                <w:ilvl w:val="0"/>
                <w:numId w:val="0"/>
              </w:numPr>
              <w:suppressLineNumbers w:val="0"/>
              <w:tabs>
                <w:tab w:val="left" w:pos="1167"/>
                <w:tab w:val="center" w:pos="4084"/>
              </w:tabs>
              <w:spacing w:before="0" w:beforeAutospacing="0" w:after="0" w:afterAutospacing="0" w:line="360" w:lineRule="auto"/>
              <w:ind w:left="0" w:right="0" w:firstLine="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规划环境影响评价文件名称：</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黑龙江铁力经济开发区总体规划（2021—2030年）环境影响报告书</w:t>
            </w:r>
            <w:r>
              <w:rPr>
                <w:rFonts w:hint="default" w:ascii="Times New Roman" w:hAnsi="Times New Roman" w:eastAsia="宋体" w:cs="Times New Roman"/>
                <w:color w:val="auto"/>
                <w:sz w:val="24"/>
                <w:highlight w:val="none"/>
              </w:rPr>
              <w:t>》</w:t>
            </w:r>
          </w:p>
          <w:p w14:paraId="67B66025">
            <w:pPr>
              <w:keepNext/>
              <w:keepLines w:val="0"/>
              <w:pageBreakBefore w:val="0"/>
              <w:widowControl w:val="0"/>
              <w:numPr>
                <w:ilvl w:val="0"/>
                <w:numId w:val="0"/>
              </w:numPr>
              <w:suppressLineNumbers w:val="0"/>
              <w:tabs>
                <w:tab w:val="left" w:pos="1167"/>
                <w:tab w:val="center" w:pos="4084"/>
              </w:tabs>
              <w:spacing w:before="0" w:beforeAutospacing="0" w:after="0" w:afterAutospacing="0" w:line="360" w:lineRule="auto"/>
              <w:ind w:left="0" w:right="0" w:firstLine="0"/>
              <w:jc w:val="both"/>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b/>
                <w:bCs/>
                <w:color w:val="auto"/>
                <w:sz w:val="24"/>
                <w:highlight w:val="none"/>
                <w:lang w:val="en-US" w:eastAsia="zh-CN"/>
              </w:rPr>
              <w:t>环评</w:t>
            </w:r>
            <w:r>
              <w:rPr>
                <w:rFonts w:hint="default" w:ascii="Times New Roman" w:hAnsi="Times New Roman" w:eastAsia="宋体" w:cs="Times New Roman"/>
                <w:b/>
                <w:bCs/>
                <w:color w:val="auto"/>
                <w:sz w:val="24"/>
                <w:szCs w:val="24"/>
                <w:highlight w:val="none"/>
                <w:vertAlign w:val="baseline"/>
                <w:lang w:val="en-US" w:eastAsia="zh-CN"/>
              </w:rPr>
              <w:t>审查机关</w:t>
            </w:r>
            <w:r>
              <w:rPr>
                <w:rFonts w:hint="default" w:ascii="Times New Roman" w:hAnsi="Times New Roman" w:eastAsia="宋体" w:cs="Times New Roman"/>
                <w:b/>
                <w:bCs/>
                <w:color w:val="auto"/>
                <w:sz w:val="24"/>
                <w:highlight w:val="none"/>
              </w:rPr>
              <w:t>：</w:t>
            </w:r>
            <w:r>
              <w:rPr>
                <w:rFonts w:hint="default" w:ascii="Times New Roman" w:hAnsi="Times New Roman" w:eastAsia="宋体" w:cs="Times New Roman"/>
                <w:color w:val="auto"/>
                <w:sz w:val="24"/>
                <w:highlight w:val="none"/>
                <w:lang w:val="en-US" w:eastAsia="zh-CN"/>
              </w:rPr>
              <w:t>黑龙江省生态环境厅</w:t>
            </w:r>
          </w:p>
          <w:p w14:paraId="56367F2B">
            <w:pPr>
              <w:keepNext/>
              <w:keepLines w:val="0"/>
              <w:pageBreakBefore w:val="0"/>
              <w:widowControl w:val="0"/>
              <w:suppressLineNumbers w:val="0"/>
              <w:spacing w:before="0" w:beforeAutospacing="0" w:after="0" w:afterAutospacing="0" w:line="360" w:lineRule="auto"/>
              <w:ind w:left="0" w:right="0" w:firstLine="0"/>
              <w:jc w:val="both"/>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
                <w:bCs/>
                <w:color w:val="auto"/>
                <w:sz w:val="24"/>
                <w:szCs w:val="24"/>
                <w:highlight w:val="none"/>
                <w:vertAlign w:val="baseline"/>
                <w:lang w:val="en-US" w:eastAsia="zh-CN"/>
              </w:rPr>
              <w:t>审查文件名称及文号</w:t>
            </w:r>
            <w:r>
              <w:rPr>
                <w:rFonts w:hint="default" w:ascii="Times New Roman" w:hAnsi="Times New Roman" w:eastAsia="宋体" w:cs="Times New Roman"/>
                <w:b/>
                <w:bCs/>
                <w:color w:val="auto"/>
                <w:sz w:val="24"/>
                <w:highlight w:val="none"/>
              </w:rPr>
              <w:t>：</w:t>
            </w:r>
            <w:r>
              <w:rPr>
                <w:rFonts w:hint="default" w:ascii="Times New Roman" w:hAnsi="Times New Roman" w:eastAsia="宋体" w:cs="Times New Roman"/>
                <w:color w:val="auto"/>
                <w:sz w:val="24"/>
                <w:highlight w:val="none"/>
                <w:lang w:val="en-US" w:eastAsia="zh-CN"/>
              </w:rPr>
              <w:t>《关于〈黑龙江铁力经济开发区总体规划（2021—2030年）环境影响报告书〉的审查意见》</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黑环函〔2025〕32 号</w:t>
            </w:r>
            <w:r>
              <w:rPr>
                <w:rFonts w:hint="default" w:ascii="Times New Roman" w:hAnsi="Times New Roman" w:eastAsia="宋体" w:cs="Times New Roman"/>
                <w:color w:val="auto"/>
                <w:sz w:val="24"/>
                <w:highlight w:val="none"/>
              </w:rPr>
              <w:t>）</w:t>
            </w:r>
          </w:p>
        </w:tc>
      </w:tr>
      <w:tr w14:paraId="6A72DB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739" w:type="pct"/>
            <w:noWrap w:val="0"/>
            <w:vAlign w:val="center"/>
          </w:tcPr>
          <w:p w14:paraId="66A785B3">
            <w:pPr>
              <w:keepNext/>
              <w:keepLines w:val="0"/>
              <w:pageBreakBefore w:val="0"/>
              <w:widowControl w:val="0"/>
              <w:suppressLineNumbers w:val="0"/>
              <w:spacing w:before="0" w:beforeAutospacing="0" w:after="0" w:afterAutospacing="0"/>
              <w:ind w:left="-72" w:right="-72"/>
              <w:jc w:val="center"/>
              <w:rPr>
                <w:rFonts w:hint="default" w:ascii="Times New Roman" w:hAnsi="Times New Roman" w:eastAsia="宋体" w:cs="Times New Roman"/>
                <w:b/>
                <w:bCs/>
                <w:color w:val="auto"/>
                <w:sz w:val="24"/>
                <w:highlight w:val="none"/>
                <w:u w:val="none"/>
              </w:rPr>
            </w:pPr>
            <w:r>
              <w:rPr>
                <w:rFonts w:hint="default" w:ascii="Times New Roman" w:hAnsi="Times New Roman" w:eastAsia="宋体" w:cs="Times New Roman"/>
                <w:b/>
                <w:bCs/>
                <w:color w:val="auto"/>
                <w:sz w:val="24"/>
                <w:highlight w:val="none"/>
                <w:u w:val="none"/>
              </w:rPr>
              <w:t>规划及规划环境影响评价符合性分析</w:t>
            </w:r>
          </w:p>
        </w:tc>
        <w:tc>
          <w:tcPr>
            <w:tcW w:w="4260" w:type="pct"/>
            <w:gridSpan w:val="4"/>
            <w:noWrap w:val="0"/>
            <w:vAlign w:val="top"/>
          </w:tcPr>
          <w:p w14:paraId="6EAB500D">
            <w:pPr>
              <w:keepNext/>
              <w:keepLines w:val="0"/>
              <w:pageBreakBefore w:val="0"/>
              <w:widowControl w:val="0"/>
              <w:suppressLineNumbers w:val="0"/>
              <w:spacing w:before="0" w:beforeAutospacing="0" w:after="0" w:afterAutospacing="0" w:line="360" w:lineRule="auto"/>
              <w:ind w:left="0" w:right="0" w:firstLine="482" w:firstLineChars="200"/>
              <w:jc w:val="both"/>
              <w:rPr>
                <w:rFonts w:hint="default" w:ascii="Times New Roman" w:hAnsi="Times New Roman" w:eastAsia="宋体" w:cs="Times New Roman"/>
                <w:b/>
                <w:bCs/>
                <w:color w:val="auto"/>
                <w:sz w:val="24"/>
                <w:szCs w:val="24"/>
                <w:highlight w:val="none"/>
                <w:lang w:val="zh-CN"/>
              </w:rPr>
            </w:pPr>
            <w:r>
              <w:rPr>
                <w:rFonts w:hint="eastAsia" w:ascii="Times New Roman" w:hAnsi="Times New Roman" w:cs="Times New Roman"/>
                <w:b/>
                <w:bCs/>
                <w:color w:val="auto"/>
                <w:sz w:val="24"/>
                <w:szCs w:val="24"/>
                <w:highlight w:val="none"/>
                <w:lang w:val="zh-CN"/>
              </w:rPr>
              <w:t>1.</w:t>
            </w:r>
            <w:r>
              <w:rPr>
                <w:rFonts w:hint="default" w:ascii="Times New Roman" w:hAnsi="Times New Roman" w:eastAsia="宋体" w:cs="Times New Roman"/>
                <w:b/>
                <w:bCs/>
                <w:color w:val="auto"/>
                <w:sz w:val="24"/>
                <w:szCs w:val="24"/>
                <w:highlight w:val="none"/>
                <w:lang w:val="zh-CN"/>
              </w:rPr>
              <w:t>规划符合性分析</w:t>
            </w:r>
          </w:p>
          <w:p w14:paraId="3794F09D">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eastAsia="zh-CN"/>
              </w:rPr>
              <w:t>《黑龙江铁力经济开发区总体规划（2021-2030年）》</w:t>
            </w:r>
            <w:r>
              <w:rPr>
                <w:rFonts w:hint="default" w:ascii="Times New Roman" w:hAnsi="Times New Roman" w:cs="Times New Roman"/>
                <w:b/>
                <w:bCs/>
                <w:color w:val="auto"/>
                <w:sz w:val="24"/>
                <w:highlight w:val="none"/>
                <w:lang w:val="en-US" w:eastAsia="zh-CN"/>
              </w:rPr>
              <w:t>：</w:t>
            </w:r>
          </w:p>
          <w:p w14:paraId="0B5D9F8F">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总体定位</w:t>
            </w:r>
          </w:p>
          <w:p w14:paraId="7A00B6B5">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紧跟国家及区域产业布局导向，立足本地产业基础和资源优势，以绿色食品、医药制造、装备制造及矿产精深加工为主导产业，与生产性服务业进行协作，新材料产业在其中寻找机会。形成以铁力当地自然资源优势为核心的区域产业链，通过产品供需而形成的互相关联、</w:t>
            </w:r>
            <w:r>
              <w:rPr>
                <w:rFonts w:hint="eastAsia" w:ascii="Times New Roman" w:hAnsi="Times New Roman" w:cs="Times New Roman"/>
                <w:color w:val="auto"/>
                <w:sz w:val="24"/>
                <w:highlight w:val="none"/>
                <w:lang w:eastAsia="zh-CN"/>
              </w:rPr>
              <w:t>互补</w:t>
            </w:r>
            <w:r>
              <w:rPr>
                <w:rFonts w:hint="default" w:ascii="Times New Roman" w:hAnsi="Times New Roman" w:eastAsia="宋体" w:cs="Times New Roman"/>
                <w:color w:val="auto"/>
                <w:sz w:val="24"/>
                <w:highlight w:val="none"/>
              </w:rPr>
              <w:t>的内在联系构成了产业关联度。较高的产业关联度是企业能够共融共生、形成产业集群的必要条件。</w:t>
            </w:r>
          </w:p>
          <w:p w14:paraId="31BD0561">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产业定位</w:t>
            </w:r>
          </w:p>
          <w:p w14:paraId="0F2C0F72">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规划以打造主导产业、支柱产业、特色产业，着力发展新兴产业为目标</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全力发展仓储物流区、绿色食品及医药制造产业区、装备制造及矿产精深加工区，同时配以配套服务区，满足当地人口的生活需求。</w:t>
            </w:r>
          </w:p>
          <w:p w14:paraId="76AEB672">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（3）空间布局规划</w:t>
            </w:r>
          </w:p>
          <w:p w14:paraId="1324E011">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1）仓储物流区</w:t>
            </w:r>
          </w:p>
          <w:p w14:paraId="29187644">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规划占地面积：102.71hm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w:t>
            </w:r>
          </w:p>
          <w:p w14:paraId="03DD1471">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规划范围：位于经济开发区西部，城南街以南，工厂路以东。</w:t>
            </w:r>
          </w:p>
          <w:p w14:paraId="009CCD37">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产业定位：充分发挥当地丰富的产品资源和森林资源的储备优势，依托本地区域位置的通达性和交通的便捷性，形成集中、集约的管理模式，为园区及周边地区的产品提供坚实的后盾。</w:t>
            </w:r>
          </w:p>
          <w:p w14:paraId="56971111">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主要发展仓储物流等。</w:t>
            </w:r>
          </w:p>
          <w:p w14:paraId="2A4DA429">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2）配套服务区</w:t>
            </w:r>
          </w:p>
          <w:p w14:paraId="3A3D6244">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规划占地面积：25.89hm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w:t>
            </w:r>
          </w:p>
          <w:p w14:paraId="3391A414">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规划范围：位于经济开发区的西北部，铁甲河两侧，建设大街与创业路交口。</w:t>
            </w:r>
          </w:p>
          <w:p w14:paraId="6CA8F8F6">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区域内以公共绿地、居住用地、公共配套用地为主，包含松柏街两侧的滨水公园，为园区西部提供良好的配套景观</w:t>
            </w:r>
            <w:r>
              <w:rPr>
                <w:rFonts w:hint="eastAsia" w:ascii="Times New Roman" w:hAnsi="Times New Roman" w:cs="Times New Roman"/>
                <w:color w:val="auto"/>
                <w:sz w:val="24"/>
                <w:highlight w:val="none"/>
                <w:lang w:eastAsia="zh-CN"/>
              </w:rPr>
              <w:t>，满足</w:t>
            </w:r>
            <w:r>
              <w:rPr>
                <w:rFonts w:hint="default" w:ascii="Times New Roman" w:hAnsi="Times New Roman" w:eastAsia="宋体" w:cs="Times New Roman"/>
                <w:color w:val="auto"/>
                <w:sz w:val="24"/>
                <w:highlight w:val="none"/>
              </w:rPr>
              <w:t>人们生产生活的需求。</w:t>
            </w:r>
          </w:p>
          <w:p w14:paraId="37DD37BE">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3）绿色食品及医药制造产业区</w:t>
            </w:r>
          </w:p>
          <w:p w14:paraId="25B8D908">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规划占地面积：248.47hm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w:t>
            </w:r>
          </w:p>
          <w:p w14:paraId="7A8FA86D">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规划范围：位于建设东大街以南、铁东路以东、志远路以西。</w:t>
            </w:r>
          </w:p>
          <w:p w14:paraId="4F92737B">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产业定位：</w:t>
            </w:r>
            <w:r>
              <w:rPr>
                <w:rFonts w:hint="eastAsia" w:ascii="Times New Roman" w:hAnsi="Times New Roman" w:cs="Times New Roman"/>
                <w:color w:val="auto"/>
                <w:sz w:val="24"/>
                <w:highlight w:val="none"/>
                <w:lang w:eastAsia="zh-CN"/>
              </w:rPr>
              <w:t>依托</w:t>
            </w:r>
            <w:r>
              <w:rPr>
                <w:rFonts w:hint="default" w:ascii="Times New Roman" w:hAnsi="Times New Roman" w:eastAsia="宋体" w:cs="Times New Roman"/>
                <w:color w:val="auto"/>
                <w:sz w:val="24"/>
                <w:highlight w:val="none"/>
              </w:rPr>
              <w:t>当地特色且丰富的物产资源，完善经开区绿色食品链条，形成具有竞争力的主导产业；打造现代工艺屠宰加工厂，</w:t>
            </w:r>
            <w:r>
              <w:rPr>
                <w:rFonts w:hint="eastAsia" w:ascii="Times New Roman" w:hAnsi="Times New Roman" w:cs="Times New Roman"/>
                <w:color w:val="auto"/>
                <w:sz w:val="24"/>
                <w:highlight w:val="none"/>
                <w:lang w:eastAsia="zh-CN"/>
              </w:rPr>
              <w:t>进行农</w:t>
            </w:r>
            <w:r>
              <w:rPr>
                <w:rFonts w:hint="default" w:ascii="Times New Roman" w:hAnsi="Times New Roman" w:eastAsia="宋体" w:cs="Times New Roman"/>
                <w:color w:val="auto"/>
                <w:sz w:val="24"/>
                <w:highlight w:val="none"/>
              </w:rPr>
              <w:t>副食品加工，实现数字化、生态化、智能化、科技化的先进屠宰加工流程，形成具有行业竞争力的屠宰加工产业区；依托现有的葵花药业等项目的良好基础，继续加大对医药产业的投入，</w:t>
            </w:r>
            <w:r>
              <w:rPr>
                <w:rFonts w:hint="eastAsia" w:ascii="Times New Roman" w:hAnsi="Times New Roman" w:cs="Times New Roman"/>
                <w:color w:val="auto"/>
                <w:sz w:val="24"/>
                <w:highlight w:val="none"/>
                <w:lang w:eastAsia="zh-CN"/>
              </w:rPr>
              <w:t>在提高</w:t>
            </w:r>
            <w:r>
              <w:rPr>
                <w:rFonts w:hint="default" w:ascii="Times New Roman" w:hAnsi="Times New Roman" w:eastAsia="宋体" w:cs="Times New Roman"/>
                <w:color w:val="auto"/>
                <w:sz w:val="24"/>
                <w:highlight w:val="none"/>
              </w:rPr>
              <w:t>中药饮片的加工和中成药生产产量的同时，发展兽用中药及饲料。重点发展绿色食品和药品，主要包括农业、农副食品加工业、食品制造业、酒、饮料和精制茶制造业、医药制造业（不包括原料药）等。</w:t>
            </w:r>
          </w:p>
          <w:p w14:paraId="7B8F61FE">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4）装备制造及矿产精深加工区</w:t>
            </w:r>
          </w:p>
          <w:p w14:paraId="01F19B1E">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规划占地面积：101.03hm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w:t>
            </w:r>
          </w:p>
          <w:p w14:paraId="746895F3">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规划范围：位于骊山大街以南，远广路以西。</w:t>
            </w:r>
          </w:p>
          <w:p w14:paraId="78CC5862">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产业定位：以发展农机装备制造，着力提高自主创新能力和核心竞争力，</w:t>
            </w:r>
            <w:r>
              <w:rPr>
                <w:rFonts w:hint="eastAsia" w:ascii="Times New Roman" w:hAnsi="Times New Roman" w:cs="Times New Roman"/>
                <w:color w:val="auto"/>
                <w:sz w:val="24"/>
                <w:highlight w:val="none"/>
                <w:lang w:eastAsia="zh-CN"/>
              </w:rPr>
              <w:t>对实现</w:t>
            </w:r>
            <w:r>
              <w:rPr>
                <w:rFonts w:hint="default" w:ascii="Times New Roman" w:hAnsi="Times New Roman" w:eastAsia="宋体" w:cs="Times New Roman"/>
                <w:color w:val="auto"/>
                <w:sz w:val="24"/>
                <w:highlight w:val="none"/>
              </w:rPr>
              <w:t>铁力农机工业自主化、农业现代化</w:t>
            </w:r>
            <w:r>
              <w:rPr>
                <w:rFonts w:hint="eastAsia" w:ascii="Times New Roman" w:hAnsi="Times New Roman" w:cs="Times New Roman"/>
                <w:color w:val="auto"/>
                <w:sz w:val="24"/>
                <w:highlight w:val="none"/>
                <w:lang w:eastAsia="zh-CN"/>
              </w:rPr>
              <w:t>具有重要意义</w:t>
            </w:r>
            <w:r>
              <w:rPr>
                <w:rFonts w:hint="default" w:ascii="Times New Roman" w:hAnsi="Times New Roman" w:eastAsia="宋体" w:cs="Times New Roman"/>
                <w:color w:val="auto"/>
                <w:sz w:val="24"/>
                <w:highlight w:val="none"/>
              </w:rPr>
              <w:t>；以鹿鸣钼矿为依托，实现钼精矿深加工，拓展产业链，增加矿产品附加值。发展矿产精深加工、矿产副产品加工和综合开发等，发展金属制品及非金属矿物制品的产业区。重点发展装备制造和矿产精深加工，主要包括非金属矿物制品业、金属制品业、通用设备制造业、专用设备制造业、汽车制造业等。</w:t>
            </w:r>
          </w:p>
          <w:p w14:paraId="3E097B70">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符合性分析：</w:t>
            </w:r>
          </w:p>
          <w:p w14:paraId="73E35F6B">
            <w:pPr>
              <w:keepNext w:val="0"/>
              <w:keepLines w:val="0"/>
              <w:widowControl w:val="0"/>
              <w:numPr>
                <w:ilvl w:val="0"/>
                <w:numId w:val="2"/>
              </w:numPr>
              <w:suppressLineNumbers w:val="0"/>
              <w:autoSpaceDE w:val="0"/>
              <w:autoSpaceDN/>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与开发区用地规划的符合性</w:t>
            </w:r>
          </w:p>
          <w:p w14:paraId="56B9BB9E">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根据《黑龙江铁力经济开发区总体规划（2021-2030年）》，本项目用地类型为工业用地，本项</w:t>
            </w:r>
            <w:r>
              <w:rPr>
                <w:rFonts w:hint="eastAsia" w:ascii="Times New Roman" w:hAnsi="Times New Roman" w:cs="Times New Roman"/>
                <w:color w:val="auto"/>
                <w:kern w:val="2"/>
                <w:sz w:val="24"/>
                <w:szCs w:val="24"/>
                <w:lang w:val="en-US" w:eastAsia="zh-CN" w:bidi="ar"/>
              </w:rPr>
              <w:t>目是工业</w:t>
            </w:r>
            <w:r>
              <w:rPr>
                <w:rFonts w:hint="default" w:ascii="Times New Roman" w:hAnsi="Times New Roman" w:eastAsia="宋体" w:cs="Times New Roman"/>
                <w:color w:val="auto"/>
                <w:kern w:val="2"/>
                <w:sz w:val="24"/>
                <w:szCs w:val="24"/>
                <w:lang w:val="en-US" w:eastAsia="zh-CN" w:bidi="ar"/>
              </w:rPr>
              <w:t>项目，因此本项目符合开发区用地规划。</w:t>
            </w:r>
          </w:p>
          <w:p w14:paraId="2B0A0592">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（2）与开发区产业定位及布局符合性</w:t>
            </w:r>
          </w:p>
          <w:p w14:paraId="4C47B528">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
              </w:rPr>
            </w:pPr>
            <w:r>
              <w:rPr>
                <w:rFonts w:hint="default" w:ascii="Times New Roman" w:hAnsi="Times New Roman" w:eastAsia="宋体" w:cs="Times New Roman"/>
                <w:color w:val="auto"/>
                <w:kern w:val="2"/>
                <w:sz w:val="24"/>
                <w:szCs w:val="24"/>
                <w:lang w:val="en-US" w:eastAsia="zh-CN" w:bidi="ar"/>
              </w:rPr>
              <w:t>根据《黑龙江铁力经济开发区总体规划（2021-2030年）》，重点发展装备制造和矿产精深加工，主要包括非金属矿物制品业、金属制品业、通用设备制造业、专用设备制造业、汽车制造业等。本项目</w:t>
            </w:r>
            <w:r>
              <w:rPr>
                <w:rFonts w:hint="eastAsia" w:ascii="Times New Roman" w:hAnsi="Times New Roman" w:cs="Times New Roman"/>
                <w:color w:val="auto"/>
                <w:kern w:val="2"/>
                <w:sz w:val="24"/>
                <w:szCs w:val="24"/>
                <w:lang w:val="en-US" w:eastAsia="zh-CN" w:bidi="ar"/>
              </w:rPr>
              <w:t>行业类别</w:t>
            </w:r>
            <w:r>
              <w:rPr>
                <w:rFonts w:hint="default" w:ascii="Times New Roman" w:hAnsi="Times New Roman" w:eastAsia="宋体" w:cs="Times New Roman"/>
                <w:color w:val="auto"/>
                <w:kern w:val="2"/>
                <w:sz w:val="24"/>
                <w:szCs w:val="24"/>
                <w:lang w:val="en-US" w:eastAsia="zh-CN" w:bidi="ar"/>
              </w:rPr>
              <w:t>属于金属制品业，位于装备制造及矿产精深加工区内，</w:t>
            </w:r>
            <w:r>
              <w:rPr>
                <w:rFonts w:hint="eastAsia" w:ascii="Times New Roman" w:hAnsi="Times New Roman" w:cs="Times New Roman"/>
                <w:color w:val="auto"/>
                <w:kern w:val="2"/>
                <w:sz w:val="24"/>
                <w:szCs w:val="24"/>
                <w:lang w:val="en-US" w:eastAsia="zh-CN" w:bidi="ar"/>
              </w:rPr>
              <w:t>企业</w:t>
            </w:r>
            <w:r>
              <w:rPr>
                <w:rFonts w:hint="default" w:ascii="Times New Roman" w:hAnsi="Times New Roman" w:cs="Times New Roman"/>
                <w:color w:val="auto"/>
                <w:kern w:val="2"/>
                <w:sz w:val="24"/>
                <w:szCs w:val="24"/>
                <w:lang w:val="en-US" w:eastAsia="zh-CN" w:bidi="ar"/>
              </w:rPr>
              <w:t>属于现有企业，</w:t>
            </w:r>
            <w:r>
              <w:rPr>
                <w:rFonts w:hint="default" w:ascii="Times New Roman" w:hAnsi="Times New Roman" w:eastAsia="宋体" w:cs="Times New Roman"/>
                <w:color w:val="auto"/>
                <w:kern w:val="2"/>
                <w:sz w:val="24"/>
                <w:szCs w:val="24"/>
                <w:lang w:val="en-US" w:eastAsia="zh-CN" w:bidi="ar"/>
              </w:rPr>
              <w:t>符合开发区规划产业定位及布局要求。</w:t>
            </w:r>
          </w:p>
          <w:p w14:paraId="366269DE">
            <w:pPr>
              <w:keepNext w:val="0"/>
              <w:keepLines w:val="0"/>
              <w:widowControl w:val="0"/>
              <w:suppressLineNumbers w:val="0"/>
              <w:autoSpaceDE w:val="0"/>
              <w:autoSpaceDN/>
              <w:spacing w:before="0" w:beforeAutospacing="0" w:after="0" w:afterAutospacing="0" w:line="360" w:lineRule="auto"/>
              <w:ind w:left="0" w:right="0"/>
              <w:jc w:val="both"/>
              <w:rPr>
                <w:rFonts w:hint="default" w:ascii="Times New Roman" w:hAnsi="Times New Roman" w:eastAsia="宋体" w:cs="Times New Roman"/>
                <w:b w:val="0"/>
                <w:bCs w:val="0"/>
                <w:color w:val="auto"/>
                <w:kern w:val="2"/>
                <w:sz w:val="24"/>
                <w:szCs w:val="24"/>
                <w:lang w:val="en-US" w:eastAsia="zh-CN" w:bidi="ar"/>
              </w:rPr>
            </w:pPr>
            <w:r>
              <w:rPr>
                <w:rFonts w:hint="default" w:ascii="Times New Roman" w:hAnsi="Times New Roman" w:cs="Times New Roman"/>
                <w:color w:val="auto"/>
                <w:sz w:val="24"/>
              </w:rPr>
              <mc:AlternateContent>
                <mc:Choice Requires="wps">
                  <w:drawing>
                    <wp:anchor distT="0" distB="0" distL="114300" distR="114300" simplePos="0" relativeHeight="251675648" behindDoc="0" locked="0" layoutInCell="1" allowOverlap="1">
                      <wp:simplePos x="0" y="0"/>
                      <wp:positionH relativeFrom="column">
                        <wp:posOffset>2258695</wp:posOffset>
                      </wp:positionH>
                      <wp:positionV relativeFrom="paragraph">
                        <wp:posOffset>2146935</wp:posOffset>
                      </wp:positionV>
                      <wp:extent cx="789305" cy="235585"/>
                      <wp:effectExtent l="6350" t="6350" r="594995" b="43815"/>
                      <wp:wrapNone/>
                      <wp:docPr id="52" name="矩形标注 52"/>
                      <wp:cNvGraphicFramePr/>
                      <a:graphic xmlns:a="http://schemas.openxmlformats.org/drawingml/2006/main">
                        <a:graphicData uri="http://schemas.microsoft.com/office/word/2010/wordprocessingShape">
                          <wps:wsp>
                            <wps:cNvSpPr/>
                            <wps:spPr>
                              <a:xfrm>
                                <a:off x="4267835" y="3464560"/>
                                <a:ext cx="789305" cy="235585"/>
                              </a:xfrm>
                              <a:prstGeom prst="wedgeRectCallout">
                                <a:avLst>
                                  <a:gd name="adj1" fmla="val 123027"/>
                                  <a:gd name="adj2" fmla="val 64824"/>
                                </a:avLst>
                              </a:prstGeom>
                              <a:noFill/>
                              <a:ln w="12700">
                                <a:solidFill>
                                  <a:schemeClr val="tx1">
                                    <a:lumMod val="85000"/>
                                    <a:lumOff val="15000"/>
                                  </a:schemeClr>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311C5C2">
                                  <w:pPr>
                                    <w:jc w:val="center"/>
                                    <w:rPr>
                                      <w:rFonts w:hint="default" w:eastAsia="宋体"/>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77.85pt;margin-top:169.05pt;height:18.55pt;width:62.15pt;z-index:251675648;v-text-anchor:middle;mso-width-relative:page;mso-height-relative:page;" filled="f" stroked="t" coordsize="21600,21600" o:gfxdata="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O+YWd9sAAAAL&#10;AQAADwAAAAAAAAABACAAAAAiAAAAZHJzL2Rvd25yZXYueG1sUEsBAhQAFAAAAAgAh07iQAb0vY7E&#10;AgAAaQUAAA4AAAAAAAAAAQAgAAAAKgEAAGRycy9lMm9Eb2MueG1sUEsFBgAAAAAGAAYAWQEAAGAG&#10;AAAAAA==&#10;" adj="37374,24802">
                      <v:fill on="f" focussize="0,0"/>
                      <v:stroke weight="1pt" color="#262626 [2749]" joinstyle="round"/>
                      <v:imagedata o:title=""/>
                      <o:lock v:ext="edit" aspectratio="f"/>
                      <v:textbox>
                        <w:txbxContent>
                          <w:p w14:paraId="7311C5C2">
                            <w:pPr>
                              <w:jc w:val="center"/>
                              <w:rPr>
                                <w:rFonts w:hint="default" w:eastAsia="宋体"/>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本项目位置</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74624" behindDoc="0" locked="0" layoutInCell="1" allowOverlap="1">
                      <wp:simplePos x="0" y="0"/>
                      <wp:positionH relativeFrom="column">
                        <wp:posOffset>3456305</wp:posOffset>
                      </wp:positionH>
                      <wp:positionV relativeFrom="paragraph">
                        <wp:posOffset>2404745</wp:posOffset>
                      </wp:positionV>
                      <wp:extent cx="76200" cy="193675"/>
                      <wp:effectExtent l="0" t="57150" r="12065" b="57150"/>
                      <wp:wrapNone/>
                      <wp:docPr id="50" name="直角三角形 50"/>
                      <wp:cNvGraphicFramePr/>
                      <a:graphic xmlns:a="http://schemas.openxmlformats.org/drawingml/2006/main">
                        <a:graphicData uri="http://schemas.microsoft.com/office/word/2010/wordprocessingShape">
                          <wps:wsp>
                            <wps:cNvSpPr/>
                            <wps:spPr>
                              <a:xfrm rot="18840000" flipH="1">
                                <a:off x="4895850" y="3750310"/>
                                <a:ext cx="76200" cy="193675"/>
                              </a:xfrm>
                              <a:prstGeom prst="rtTriangle">
                                <a:avLst/>
                              </a:prstGeom>
                              <a:solidFill>
                                <a:srgbClr val="EAD922">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 type="#_x0000_t6" style="position:absolute;left:0pt;flip:x;margin-left:272.15pt;margin-top:189.35pt;height:15.25pt;width:6pt;rotation:3014656f;z-index:251674624;v-text-anchor:middle;mso-width-relative:page;mso-height-relative:page;" fillcolor="#EAD922" filled="t" stroked="f" coordsize="21600,21600" o:gfxdata="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RGDl1doAAAALAQAADwAAAAAAAAABACAAAAAiAAAAZHJzL2Rvd25yZXYueG1sUEsBAhQA&#10;FAAAAAgAh07iQKXzT4ebAgAACQUAAA4AAAAAAAAAAQAgAAAAKQEAAGRycy9lMm9Eb2MueG1sUEsF&#10;BgAAAAAGAAYAWQEAADYGAAAAAA==&#10;">
                      <v:fill on="t" opacity="32768f" focussize="0,0"/>
                      <v:stroke on="f" weight="2pt"/>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73600" behindDoc="0" locked="0" layoutInCell="1" allowOverlap="1">
                      <wp:simplePos x="0" y="0"/>
                      <wp:positionH relativeFrom="column">
                        <wp:posOffset>3484245</wp:posOffset>
                      </wp:positionH>
                      <wp:positionV relativeFrom="paragraph">
                        <wp:posOffset>2287270</wp:posOffset>
                      </wp:positionV>
                      <wp:extent cx="215265" cy="229235"/>
                      <wp:effectExtent l="17145" t="49530" r="58420" b="59055"/>
                      <wp:wrapNone/>
                      <wp:docPr id="48" name="剪去单角的矩形 48"/>
                      <wp:cNvGraphicFramePr/>
                      <a:graphic xmlns:a="http://schemas.openxmlformats.org/drawingml/2006/main">
                        <a:graphicData uri="http://schemas.microsoft.com/office/word/2010/wordprocessingShape">
                          <wps:wsp>
                            <wps:cNvSpPr/>
                            <wps:spPr>
                              <a:xfrm rot="13500000">
                                <a:off x="5416550" y="3615690"/>
                                <a:ext cx="215265" cy="229235"/>
                              </a:xfrm>
                              <a:prstGeom prst="snip1Rect">
                                <a:avLst/>
                              </a:prstGeom>
                              <a:solidFill>
                                <a:srgbClr val="FFFF00">
                                  <a:alpha val="47000"/>
                                </a:srgbClr>
                              </a:solidFill>
                              <a:ln w="3175">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74.35pt;margin-top:180.1pt;height:18.05pt;width:16.95pt;rotation:-8847360f;z-index:251673600;v-text-anchor:middle;mso-width-relative:page;mso-height-relative:page;" fillcolor="#FFFF00" filled="t" stroked="f" coordsize="215265,229235" o:gfxdata="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OIuSo9wAAAALAQAADwAAAAAAAAABACAAAAAiAAAAZHJzL2Rvd25yZXYueG1s&#10;UEsBAhQAFAAAAAgAh07iQPikOUSfAgAABAUAAA4AAAAAAAAAAQAgAAAAKwEAAGRycy9lMm9Eb2Mu&#10;eG1sUEsFBgAAAAAGAAYAWQEAADwGAAAAAA==&#10;" path="m0,0l179386,0,215265,35878,215265,229235,0,229235xe">
                      <v:path o:connectlocs="215265,114617;107632,229235;0,114617;107632,0" o:connectangles="0,82,164,247"/>
                      <v:fill on="t" opacity="30801f" focussize="0,0"/>
                      <v:stroke on="f" weight="0.25pt"/>
                      <v:imagedata o:title=""/>
                      <o:lock v:ext="edit" aspectratio="f"/>
                    </v:shape>
                  </w:pict>
                </mc:Fallback>
              </mc:AlternateContent>
            </w:r>
            <w:r>
              <w:rPr>
                <w:rFonts w:hint="default" w:ascii="Times New Roman" w:hAnsi="Times New Roman" w:eastAsia="宋体" w:cs="Times New Roman"/>
                <w:b w:val="0"/>
                <w:bCs w:val="0"/>
                <w:color w:val="auto"/>
                <w:kern w:val="2"/>
                <w:sz w:val="24"/>
                <w:szCs w:val="24"/>
                <w:lang w:val="en-US" w:eastAsia="zh-CN" w:bidi="ar"/>
              </w:rPr>
              <w:drawing>
                <wp:inline distT="0" distB="0" distL="114300" distR="114300">
                  <wp:extent cx="4741545" cy="3349625"/>
                  <wp:effectExtent l="0" t="0" r="1905" b="3175"/>
                  <wp:docPr id="38"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6"/>
                          <pic:cNvPicPr>
                            <a:picLocks noChangeAspect="1"/>
                          </pic:cNvPicPr>
                        </pic:nvPicPr>
                        <pic:blipFill>
                          <a:blip r:embed="rId19"/>
                          <a:stretch>
                            <a:fillRect/>
                          </a:stretch>
                        </pic:blipFill>
                        <pic:spPr>
                          <a:xfrm>
                            <a:off x="0" y="0"/>
                            <a:ext cx="4741545" cy="3349625"/>
                          </a:xfrm>
                          <a:prstGeom prst="rect">
                            <a:avLst/>
                          </a:prstGeom>
                          <a:noFill/>
                          <a:ln>
                            <a:noFill/>
                          </a:ln>
                        </pic:spPr>
                      </pic:pic>
                    </a:graphicData>
                  </a:graphic>
                </wp:inline>
              </w:drawing>
            </w:r>
          </w:p>
          <w:p w14:paraId="50956B7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color w:val="auto"/>
                <w:kern w:val="2"/>
                <w:sz w:val="21"/>
                <w:szCs w:val="21"/>
                <w:lang w:val="en-US" w:eastAsia="zh-CN" w:bidi="ar"/>
              </w:rPr>
              <w:t>图1-1 本项目在黑龙江铁力经济开发区中位置图</w:t>
            </w:r>
          </w:p>
          <w:p w14:paraId="3439D682">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kern w:val="2"/>
                <w:sz w:val="24"/>
                <w:szCs w:val="24"/>
              </w:rPr>
            </w:pPr>
            <w:r>
              <w:rPr>
                <w:rFonts w:hint="default" w:ascii="Times New Roman" w:hAnsi="Times New Roman" w:eastAsia="宋体" w:cs="Times New Roman"/>
                <w:b w:val="0"/>
                <w:bCs w:val="0"/>
                <w:color w:val="auto"/>
                <w:kern w:val="2"/>
                <w:sz w:val="24"/>
                <w:szCs w:val="24"/>
                <w:lang w:val="en-US" w:eastAsia="zh-CN" w:bidi="ar"/>
              </w:rPr>
              <w:t>（3）与基础设施规划的符合性</w:t>
            </w:r>
          </w:p>
          <w:p w14:paraId="176ED19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kern w:val="2"/>
                <w:sz w:val="21"/>
                <w:szCs w:val="21"/>
                <w:lang w:val="en-US" w:eastAsia="zh-CN" w:bidi="ar"/>
              </w:rPr>
            </w:pPr>
            <w:r>
              <w:rPr>
                <w:rFonts w:hint="default" w:ascii="Times New Roman" w:hAnsi="Times New Roman" w:eastAsia="宋体" w:cs="Times New Roman"/>
                <w:b/>
                <w:color w:val="auto"/>
                <w:kern w:val="2"/>
                <w:sz w:val="21"/>
                <w:szCs w:val="21"/>
                <w:lang w:val="en-US" w:eastAsia="zh-CN" w:bidi="ar"/>
              </w:rPr>
              <w:t>表1-2 与基础设施规划相符性分析</w:t>
            </w:r>
          </w:p>
          <w:tbl>
            <w:tblPr>
              <w:tblStyle w:val="384"/>
              <w:tblW w:w="4949" w:type="pct"/>
              <w:jc w:val="center"/>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shd w:val="clear" w:color="auto" w:fill="auto"/>
              <w:tblLayout w:type="fixed"/>
              <w:tblCellMar>
                <w:top w:w="0" w:type="dxa"/>
                <w:left w:w="0" w:type="dxa"/>
                <w:bottom w:w="0" w:type="dxa"/>
                <w:right w:w="0" w:type="dxa"/>
              </w:tblCellMar>
            </w:tblPr>
            <w:tblGrid>
              <w:gridCol w:w="536"/>
              <w:gridCol w:w="4209"/>
              <w:gridCol w:w="2136"/>
              <w:gridCol w:w="661"/>
            </w:tblGrid>
            <w:tr w14:paraId="6CA7C838">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shd w:val="clear" w:color="auto" w:fill="auto"/>
                <w:tblCellMar>
                  <w:top w:w="0" w:type="dxa"/>
                  <w:left w:w="0" w:type="dxa"/>
                  <w:bottom w:w="0" w:type="dxa"/>
                  <w:right w:w="0" w:type="dxa"/>
                </w:tblCellMar>
              </w:tblPrEx>
              <w:trPr>
                <w:trHeight w:val="340" w:hRule="atLeast"/>
                <w:jc w:val="center"/>
              </w:trPr>
              <w:tc>
                <w:tcPr>
                  <w:tcW w:w="356" w:type="pct"/>
                  <w:tcBorders>
                    <w:tl2br w:val="nil"/>
                    <w:tr2bl w:val="nil"/>
                  </w:tcBorders>
                  <w:shd w:val="clear" w:color="auto" w:fill="auto"/>
                  <w:vAlign w:val="center"/>
                </w:tcPr>
                <w:p w14:paraId="116258AC">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项目</w:t>
                  </w:r>
                </w:p>
              </w:tc>
              <w:tc>
                <w:tcPr>
                  <w:tcW w:w="2789" w:type="pct"/>
                  <w:tcBorders>
                    <w:tl2br w:val="nil"/>
                    <w:tr2bl w:val="nil"/>
                  </w:tcBorders>
                  <w:shd w:val="clear" w:color="auto" w:fill="auto"/>
                  <w:vAlign w:val="center"/>
                </w:tcPr>
                <w:p w14:paraId="0E5F7109">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《黑龙江铁力经济开发区总体规划（2021-2030年）》中规划内容</w:t>
                  </w:r>
                </w:p>
              </w:tc>
              <w:tc>
                <w:tcPr>
                  <w:tcW w:w="1415" w:type="pct"/>
                  <w:tcBorders>
                    <w:tl2br w:val="nil"/>
                    <w:tr2bl w:val="nil"/>
                  </w:tcBorders>
                  <w:shd w:val="clear" w:color="auto" w:fill="auto"/>
                  <w:vAlign w:val="center"/>
                </w:tcPr>
                <w:p w14:paraId="79F46047">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本项目情况</w:t>
                  </w:r>
                </w:p>
              </w:tc>
              <w:tc>
                <w:tcPr>
                  <w:tcW w:w="438" w:type="pct"/>
                  <w:tcBorders>
                    <w:tl2br w:val="nil"/>
                    <w:tr2bl w:val="nil"/>
                  </w:tcBorders>
                  <w:shd w:val="clear" w:color="auto" w:fill="auto"/>
                  <w:vAlign w:val="center"/>
                </w:tcPr>
                <w:p w14:paraId="652E18E1">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相符性</w:t>
                  </w:r>
                </w:p>
              </w:tc>
            </w:tr>
            <w:tr w14:paraId="367672A9">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shd w:val="clear" w:color="auto" w:fill="auto"/>
                <w:tblCellMar>
                  <w:top w:w="0" w:type="dxa"/>
                  <w:left w:w="0" w:type="dxa"/>
                  <w:bottom w:w="0" w:type="dxa"/>
                  <w:right w:w="0" w:type="dxa"/>
                </w:tblCellMar>
              </w:tblPrEx>
              <w:trPr>
                <w:trHeight w:val="340" w:hRule="atLeast"/>
                <w:jc w:val="center"/>
              </w:trPr>
              <w:tc>
                <w:tcPr>
                  <w:tcW w:w="356" w:type="pct"/>
                  <w:tcBorders>
                    <w:tl2br w:val="nil"/>
                    <w:tr2bl w:val="nil"/>
                  </w:tcBorders>
                  <w:shd w:val="clear" w:color="auto" w:fill="auto"/>
                  <w:vAlign w:val="center"/>
                </w:tcPr>
                <w:p w14:paraId="3378F037">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给水工程规划</w:t>
                  </w:r>
                </w:p>
              </w:tc>
              <w:tc>
                <w:tcPr>
                  <w:tcW w:w="2789" w:type="pct"/>
                  <w:tcBorders>
                    <w:tl2br w:val="nil"/>
                    <w:tr2bl w:val="nil"/>
                  </w:tcBorders>
                  <w:shd w:val="clear" w:color="auto" w:fill="auto"/>
                  <w:vAlign w:val="center"/>
                </w:tcPr>
                <w:p w14:paraId="40458718">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规划近期2025年园区生活用水水源为铁力市市政自来水（地下水），生产用水水源为市政自来水（地下水）和市政污水处理厂处理后再生水，景观环境用水水源为铁力经济开发区污水处理厂再生水和市政污水处理厂处理后再生水。</w:t>
                  </w:r>
                </w:p>
                <w:p w14:paraId="37031E45">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规划远期2030年园区生活用水水源为铁力市市政自来水（小白河水库地表水），生产用水水源为市政自来水（小白河水库地表水）和市政污水处理厂处理后再生水，景观环境用水水源为铁力经济开发区污水处理厂再生水和市政污水处理厂处理后再生水。</w:t>
                  </w:r>
                </w:p>
              </w:tc>
              <w:tc>
                <w:tcPr>
                  <w:tcW w:w="1415" w:type="pct"/>
                  <w:tcBorders>
                    <w:tl2br w:val="nil"/>
                    <w:tr2bl w:val="nil"/>
                  </w:tcBorders>
                  <w:shd w:val="clear" w:color="auto" w:fill="auto"/>
                  <w:vAlign w:val="center"/>
                </w:tcPr>
                <w:p w14:paraId="44BF59AC">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eastAsia" w:ascii="Times New Roman" w:hAnsi="Times New Roman" w:cs="Times New Roman"/>
                      <w:color w:val="auto"/>
                      <w:kern w:val="2"/>
                      <w:sz w:val="21"/>
                      <w:szCs w:val="21"/>
                      <w:lang w:val="en-US" w:eastAsia="zh-CN" w:bidi="ar"/>
                    </w:rPr>
                    <w:t>本</w:t>
                  </w:r>
                  <w:r>
                    <w:rPr>
                      <w:rFonts w:hint="default" w:ascii="Times New Roman" w:hAnsi="Times New Roman" w:eastAsia="宋体" w:cs="Times New Roman"/>
                      <w:color w:val="auto"/>
                      <w:kern w:val="2"/>
                      <w:sz w:val="21"/>
                      <w:szCs w:val="21"/>
                      <w:lang w:val="en-US" w:eastAsia="zh-CN" w:bidi="ar"/>
                    </w:rPr>
                    <w:t>项目用水由开发区供水管网提供。</w:t>
                  </w:r>
                </w:p>
              </w:tc>
              <w:tc>
                <w:tcPr>
                  <w:tcW w:w="438" w:type="pct"/>
                  <w:tcBorders>
                    <w:tl2br w:val="nil"/>
                    <w:tr2bl w:val="nil"/>
                  </w:tcBorders>
                  <w:shd w:val="clear" w:color="auto" w:fill="auto"/>
                  <w:vAlign w:val="center"/>
                </w:tcPr>
                <w:p w14:paraId="5AA5F5F6">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符合</w:t>
                  </w:r>
                </w:p>
              </w:tc>
            </w:tr>
            <w:tr w14:paraId="30915567">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shd w:val="clear" w:color="auto" w:fill="auto"/>
                <w:tblCellMar>
                  <w:top w:w="0" w:type="dxa"/>
                  <w:left w:w="0" w:type="dxa"/>
                  <w:bottom w:w="0" w:type="dxa"/>
                  <w:right w:w="0" w:type="dxa"/>
                </w:tblCellMar>
              </w:tblPrEx>
              <w:trPr>
                <w:trHeight w:val="340" w:hRule="atLeast"/>
                <w:jc w:val="center"/>
              </w:trPr>
              <w:tc>
                <w:tcPr>
                  <w:tcW w:w="356" w:type="pct"/>
                  <w:tcBorders>
                    <w:tl2br w:val="nil"/>
                    <w:tr2bl w:val="nil"/>
                  </w:tcBorders>
                  <w:shd w:val="clear" w:color="auto" w:fill="auto"/>
                  <w:vAlign w:val="center"/>
                </w:tcPr>
                <w:p w14:paraId="4F672504">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排水工程规划</w:t>
                  </w:r>
                </w:p>
              </w:tc>
              <w:tc>
                <w:tcPr>
                  <w:tcW w:w="2789" w:type="pct"/>
                  <w:tcBorders>
                    <w:tl2br w:val="nil"/>
                    <w:tr2bl w:val="nil"/>
                  </w:tcBorders>
                  <w:shd w:val="clear" w:color="auto" w:fill="auto"/>
                  <w:vAlign w:val="center"/>
                </w:tcPr>
                <w:p w14:paraId="570D3252">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规划排水体制采用雨、污分流制。经开区东部污水由污水排放系统收集送入园区污水处理厂，污水经处理达标后部分回用，剩余排</w:t>
                  </w:r>
                </w:p>
                <w:p w14:paraId="321E3E0B">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入铁甲河，最终汇入呼兰河；经开区西部污水依据地势送入铁力市依吉污水处理有限公司（铁力市城市污水处理厂），污水经处理达标后部分回用，剩余排入呼兰河；雨水由雨水排放系统就近排入排水沟渠内。</w:t>
                  </w:r>
                </w:p>
              </w:tc>
              <w:tc>
                <w:tcPr>
                  <w:tcW w:w="1415" w:type="pct"/>
                  <w:tcBorders>
                    <w:tl2br w:val="nil"/>
                    <w:tr2bl w:val="nil"/>
                  </w:tcBorders>
                  <w:shd w:val="clear" w:color="auto" w:fill="auto"/>
                  <w:vAlign w:val="center"/>
                </w:tcPr>
                <w:p w14:paraId="3DC17F5D">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排水采用雨污分流制，雨水排入开发区雨水管网，全厂废水排入开发区污水管网</w:t>
                  </w:r>
                  <w:r>
                    <w:rPr>
                      <w:rFonts w:hint="eastAsia" w:ascii="Times New Roman" w:hAnsi="Times New Roman" w:cs="Times New Roman"/>
                      <w:color w:val="auto"/>
                      <w:kern w:val="2"/>
                      <w:sz w:val="21"/>
                      <w:szCs w:val="21"/>
                      <w:lang w:val="en-US" w:eastAsia="zh-CN" w:bidi="ar"/>
                    </w:rPr>
                    <w:t>，进入</w:t>
                  </w:r>
                  <w:r>
                    <w:rPr>
                      <w:rFonts w:hint="default" w:ascii="Times New Roman" w:hAnsi="Times New Roman" w:eastAsia="宋体" w:cs="Times New Roman"/>
                      <w:color w:val="auto"/>
                      <w:kern w:val="2"/>
                      <w:sz w:val="21"/>
                      <w:szCs w:val="21"/>
                      <w:lang w:val="en-US" w:eastAsia="zh-CN" w:bidi="ar"/>
                    </w:rPr>
                    <w:t>铁力市城市污水处理厂（铁力市伊吉污水处理厂）进一步处理</w:t>
                  </w:r>
                  <w:r>
                    <w:rPr>
                      <w:rFonts w:hint="eastAsia" w:ascii="Times New Roman" w:hAnsi="Times New Roman" w:cs="Times New Roman"/>
                      <w:color w:val="auto"/>
                      <w:kern w:val="2"/>
                      <w:sz w:val="21"/>
                      <w:szCs w:val="21"/>
                      <w:lang w:val="en-US" w:eastAsia="zh-CN" w:bidi="ar"/>
                    </w:rPr>
                    <w:t>。待铁力经济开发区污水处理厂运营后，污水由铁力经济开发区污水处理厂接管</w:t>
                  </w:r>
                  <w:r>
                    <w:rPr>
                      <w:rFonts w:hint="default" w:ascii="Times New Roman" w:hAnsi="Times New Roman" w:eastAsia="宋体" w:cs="Times New Roman"/>
                      <w:color w:val="auto"/>
                      <w:kern w:val="2"/>
                      <w:sz w:val="21"/>
                      <w:szCs w:val="21"/>
                      <w:lang w:val="en-US" w:eastAsia="zh-CN" w:bidi="ar"/>
                    </w:rPr>
                    <w:t>。</w:t>
                  </w:r>
                </w:p>
              </w:tc>
              <w:tc>
                <w:tcPr>
                  <w:tcW w:w="438" w:type="pct"/>
                  <w:tcBorders>
                    <w:tl2br w:val="nil"/>
                    <w:tr2bl w:val="nil"/>
                  </w:tcBorders>
                  <w:shd w:val="clear" w:color="auto" w:fill="auto"/>
                  <w:vAlign w:val="center"/>
                </w:tcPr>
                <w:p w14:paraId="48CDC75E">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符合</w:t>
                  </w:r>
                </w:p>
              </w:tc>
            </w:tr>
            <w:tr w14:paraId="1690E312">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shd w:val="clear" w:color="auto" w:fill="auto"/>
                <w:tblCellMar>
                  <w:top w:w="0" w:type="dxa"/>
                  <w:left w:w="0" w:type="dxa"/>
                  <w:bottom w:w="0" w:type="dxa"/>
                  <w:right w:w="0" w:type="dxa"/>
                </w:tblCellMar>
              </w:tblPrEx>
              <w:trPr>
                <w:trHeight w:val="340" w:hRule="atLeast"/>
                <w:jc w:val="center"/>
              </w:trPr>
              <w:tc>
                <w:tcPr>
                  <w:tcW w:w="356" w:type="pct"/>
                  <w:tcBorders>
                    <w:tl2br w:val="nil"/>
                    <w:tr2bl w:val="nil"/>
                  </w:tcBorders>
                  <w:shd w:val="clear" w:color="auto" w:fill="auto"/>
                  <w:vAlign w:val="center"/>
                </w:tcPr>
                <w:p w14:paraId="18CD1F8F">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电力工程规划</w:t>
                  </w:r>
                </w:p>
              </w:tc>
              <w:tc>
                <w:tcPr>
                  <w:tcW w:w="2789" w:type="pct"/>
                  <w:tcBorders>
                    <w:tl2br w:val="nil"/>
                    <w:tr2bl w:val="nil"/>
                  </w:tcBorders>
                  <w:shd w:val="clear" w:color="auto" w:fill="auto"/>
                  <w:vAlign w:val="center"/>
                </w:tcPr>
                <w:p w14:paraId="1DEBBB89">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铁力经济开发区位于铁力市东南部，电力供应由铁力市东北郊的66kV变电所供电，变电所电源引自市区东北郊的220kV铁一变，铁一变变电所主变容量为9万kVA×2。</w:t>
                  </w:r>
                </w:p>
              </w:tc>
              <w:tc>
                <w:tcPr>
                  <w:tcW w:w="1415" w:type="pct"/>
                  <w:tcBorders>
                    <w:tl2br w:val="nil"/>
                    <w:tr2bl w:val="nil"/>
                  </w:tcBorders>
                  <w:shd w:val="clear" w:color="auto" w:fill="auto"/>
                  <w:vAlign w:val="center"/>
                </w:tcPr>
                <w:p w14:paraId="3E35932C">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本项目供电由开发区电网引至厂区经厂区内变压器调压后接入各车间厂房及生活办公用房，供电电压 10KV/0.4KV，可满足项目生产需求。</w:t>
                  </w:r>
                </w:p>
              </w:tc>
              <w:tc>
                <w:tcPr>
                  <w:tcW w:w="438" w:type="pct"/>
                  <w:tcBorders>
                    <w:tl2br w:val="nil"/>
                    <w:tr2bl w:val="nil"/>
                  </w:tcBorders>
                  <w:shd w:val="clear" w:color="auto" w:fill="auto"/>
                  <w:vAlign w:val="center"/>
                </w:tcPr>
                <w:p w14:paraId="3F8FB9C3">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符合</w:t>
                  </w:r>
                </w:p>
              </w:tc>
            </w:tr>
            <w:tr w14:paraId="6E884D8A">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shd w:val="clear" w:color="auto" w:fill="auto"/>
                <w:tblCellMar>
                  <w:top w:w="0" w:type="dxa"/>
                  <w:left w:w="0" w:type="dxa"/>
                  <w:bottom w:w="0" w:type="dxa"/>
                  <w:right w:w="0" w:type="dxa"/>
                </w:tblCellMar>
              </w:tblPrEx>
              <w:trPr>
                <w:trHeight w:val="340" w:hRule="atLeast"/>
                <w:jc w:val="center"/>
              </w:trPr>
              <w:tc>
                <w:tcPr>
                  <w:tcW w:w="356" w:type="pct"/>
                  <w:tcBorders>
                    <w:tl2br w:val="nil"/>
                    <w:tr2bl w:val="nil"/>
                  </w:tcBorders>
                  <w:shd w:val="clear" w:color="auto" w:fill="auto"/>
                  <w:vAlign w:val="center"/>
                </w:tcPr>
                <w:p w14:paraId="2C3817D5">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供热工程规划</w:t>
                  </w:r>
                </w:p>
              </w:tc>
              <w:tc>
                <w:tcPr>
                  <w:tcW w:w="2789" w:type="pct"/>
                  <w:tcBorders>
                    <w:tl2br w:val="nil"/>
                    <w:tr2bl w:val="nil"/>
                  </w:tcBorders>
                  <w:shd w:val="clear" w:color="auto" w:fill="auto"/>
                  <w:vAlign w:val="center"/>
                </w:tcPr>
                <w:p w14:paraId="253F36E5">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铁力经济开发区采用铁力宇祥热电有限责任公司一热源对园区进行供热（仅包含采暖），可以满足铁力经济开发区集中供热的供热需求。集中供汽工程开发区蒸汽锅炉房无法满足全部企业用热需求，规划开发区内企业生产供热采用自建燃用清洁能源（电、天然气等）锅炉/工业窑炉方式。</w:t>
                  </w:r>
                </w:p>
              </w:tc>
              <w:tc>
                <w:tcPr>
                  <w:tcW w:w="1415" w:type="pct"/>
                  <w:tcBorders>
                    <w:tl2br w:val="nil"/>
                    <w:tr2bl w:val="nil"/>
                  </w:tcBorders>
                  <w:shd w:val="clear" w:color="auto" w:fill="auto"/>
                  <w:vAlign w:val="center"/>
                </w:tcPr>
                <w:p w14:paraId="7DE8BEC1">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本项目建筑采暖</w:t>
                  </w:r>
                  <w:r>
                    <w:rPr>
                      <w:rFonts w:hint="eastAsia" w:ascii="Times New Roman" w:hAnsi="Times New Roman" w:cs="Times New Roman"/>
                      <w:color w:val="auto"/>
                      <w:kern w:val="2"/>
                      <w:sz w:val="21"/>
                      <w:szCs w:val="21"/>
                      <w:lang w:val="en-US" w:eastAsia="zh-CN" w:bidi="ar"/>
                    </w:rPr>
                    <w:t>由</w:t>
                  </w:r>
                  <w:r>
                    <w:rPr>
                      <w:rFonts w:hint="default" w:ascii="Times New Roman" w:hAnsi="Times New Roman" w:eastAsia="宋体" w:cs="Times New Roman"/>
                      <w:color w:val="auto"/>
                      <w:kern w:val="2"/>
                      <w:sz w:val="21"/>
                      <w:szCs w:val="21"/>
                      <w:lang w:val="en-US" w:eastAsia="zh-CN" w:bidi="ar"/>
                    </w:rPr>
                    <w:t>铁力宇祥热电有限责任公司集中供</w:t>
                  </w:r>
                  <w:r>
                    <w:rPr>
                      <w:rFonts w:hint="default" w:ascii="Times New Roman" w:hAnsi="Times New Roman" w:cs="Times New Roman"/>
                      <w:color w:val="auto"/>
                      <w:kern w:val="2"/>
                      <w:sz w:val="21"/>
                      <w:szCs w:val="21"/>
                      <w:lang w:val="en-US" w:eastAsia="zh-CN" w:bidi="ar"/>
                    </w:rPr>
                    <w:t>给</w:t>
                  </w:r>
                  <w:r>
                    <w:rPr>
                      <w:rFonts w:hint="default" w:ascii="Times New Roman" w:hAnsi="Times New Roman" w:eastAsia="宋体" w:cs="Times New Roman"/>
                      <w:color w:val="auto"/>
                      <w:kern w:val="2"/>
                      <w:sz w:val="21"/>
                      <w:szCs w:val="21"/>
                      <w:lang w:val="en-US" w:eastAsia="zh-CN" w:bidi="ar"/>
                    </w:rPr>
                    <w:t>，生产用热采用电能。</w:t>
                  </w:r>
                </w:p>
              </w:tc>
              <w:tc>
                <w:tcPr>
                  <w:tcW w:w="438" w:type="pct"/>
                  <w:tcBorders>
                    <w:tl2br w:val="nil"/>
                    <w:tr2bl w:val="nil"/>
                  </w:tcBorders>
                  <w:shd w:val="clear" w:color="auto" w:fill="auto"/>
                  <w:vAlign w:val="center"/>
                </w:tcPr>
                <w:p w14:paraId="75F1A5BB">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符合</w:t>
                  </w:r>
                </w:p>
              </w:tc>
            </w:tr>
          </w:tbl>
          <w:p w14:paraId="72C79D9A">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综上，本项目符合《黑龙江铁力经济开发区总体规划（2021-2030年）》。</w:t>
            </w:r>
          </w:p>
          <w:p w14:paraId="1CE853AE">
            <w:pPr>
              <w:keepNext/>
              <w:keepLines w:val="0"/>
              <w:pageBreakBefore w:val="0"/>
              <w:widowControl w:val="0"/>
              <w:suppressLineNumbers w:val="0"/>
              <w:spacing w:before="0" w:beforeAutospacing="0" w:after="0" w:afterAutospacing="0" w:line="360" w:lineRule="auto"/>
              <w:ind w:left="0" w:right="0" w:firstLine="482" w:firstLineChars="200"/>
              <w:jc w:val="both"/>
              <w:rPr>
                <w:rFonts w:hint="default" w:ascii="Times New Roman" w:hAnsi="Times New Roman" w:eastAsia="宋体" w:cs="Times New Roman"/>
                <w:b/>
                <w:bCs/>
                <w:color w:val="auto"/>
                <w:sz w:val="24"/>
                <w:szCs w:val="24"/>
                <w:highlight w:val="none"/>
                <w:lang w:val="en-US" w:eastAsia="zh-CN" w:bidi="ar-SA"/>
              </w:rPr>
            </w:pPr>
            <w:r>
              <w:rPr>
                <w:rFonts w:hint="eastAsia" w:ascii="Times New Roman" w:hAnsi="Times New Roman" w:cs="Times New Roman"/>
                <w:b/>
                <w:bCs/>
                <w:color w:val="auto"/>
                <w:sz w:val="24"/>
                <w:szCs w:val="24"/>
                <w:highlight w:val="none"/>
                <w:lang w:val="en-US" w:eastAsia="zh-CN" w:bidi="ar-SA"/>
              </w:rPr>
              <w:t>2.</w:t>
            </w:r>
            <w:r>
              <w:rPr>
                <w:rFonts w:hint="default" w:ascii="Times New Roman" w:hAnsi="Times New Roman" w:eastAsia="宋体" w:cs="Times New Roman"/>
                <w:b/>
                <w:bCs/>
                <w:color w:val="auto"/>
                <w:sz w:val="24"/>
                <w:szCs w:val="24"/>
                <w:highlight w:val="none"/>
                <w:lang w:val="en-US" w:eastAsia="zh-CN" w:bidi="ar-SA"/>
              </w:rPr>
              <w:t>与</w:t>
            </w:r>
            <w:r>
              <w:rPr>
                <w:rFonts w:hint="default" w:ascii="Times New Roman" w:hAnsi="Times New Roman" w:eastAsia="宋体" w:cs="Times New Roman"/>
                <w:b/>
                <w:bCs/>
                <w:color w:val="auto"/>
                <w:sz w:val="24"/>
                <w:szCs w:val="24"/>
                <w:highlight w:val="none"/>
                <w:vertAlign w:val="baseline"/>
                <w:lang w:val="en-US" w:eastAsia="zh-CN"/>
              </w:rPr>
              <w:t>《黑龙江铁力经济开发区总体规划（2021—2030年）环境影响报告书》及其审查意见</w:t>
            </w:r>
            <w:r>
              <w:rPr>
                <w:rFonts w:hint="default" w:ascii="Times New Roman" w:hAnsi="Times New Roman" w:eastAsia="宋体" w:cs="Times New Roman"/>
                <w:b/>
                <w:bCs/>
                <w:color w:val="auto"/>
                <w:sz w:val="24"/>
                <w:szCs w:val="24"/>
                <w:highlight w:val="none"/>
                <w:lang w:val="en-US" w:eastAsia="zh-CN" w:bidi="ar-SA"/>
              </w:rPr>
              <w:t>中环保对策与减缓措施、生态环境准入清单的符合性</w:t>
            </w:r>
          </w:p>
          <w:p w14:paraId="6F360EA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kern w:val="2"/>
                <w:sz w:val="21"/>
                <w:szCs w:val="21"/>
                <w:lang w:bidi="ar"/>
              </w:rPr>
            </w:pPr>
            <w:r>
              <w:rPr>
                <w:rFonts w:hint="default" w:ascii="Times New Roman" w:hAnsi="Times New Roman" w:eastAsia="宋体" w:cs="Times New Roman"/>
                <w:b/>
                <w:color w:val="auto"/>
                <w:kern w:val="2"/>
                <w:sz w:val="21"/>
                <w:szCs w:val="21"/>
                <w:lang w:val="en-US" w:eastAsia="zh-CN" w:bidi="ar"/>
              </w:rPr>
              <w:t>表1-3 与《黑龙江铁力经济开发区总体规划（2021—2030年）环境影响报告书》中环保对策与减缓措施的符合性</w:t>
            </w:r>
          </w:p>
          <w:tbl>
            <w:tblPr>
              <w:tblStyle w:val="384"/>
              <w:tblW w:w="4945"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6" w:space="0"/>
              </w:tblBorders>
              <w:shd w:val="clear" w:color="auto" w:fill="auto"/>
              <w:tblLayout w:type="fixed"/>
              <w:tblCellMar>
                <w:top w:w="0" w:type="dxa"/>
                <w:left w:w="0" w:type="dxa"/>
                <w:bottom w:w="0" w:type="dxa"/>
                <w:right w:w="0" w:type="dxa"/>
              </w:tblCellMar>
            </w:tblPr>
            <w:tblGrid>
              <w:gridCol w:w="534"/>
              <w:gridCol w:w="3616"/>
              <w:gridCol w:w="2727"/>
              <w:gridCol w:w="659"/>
            </w:tblGrid>
            <w:tr w14:paraId="21AD6C25">
              <w:tblPrEx>
                <w:tblBorders>
                  <w:top w:val="single" w:color="000000" w:sz="8" w:space="0"/>
                  <w:left w:val="single" w:color="000000" w:sz="8" w:space="0"/>
                  <w:bottom w:val="single" w:color="000000" w:sz="8" w:space="0"/>
                  <w:right w:val="single" w:color="000000" w:sz="8" w:space="0"/>
                  <w:insideH w:val="single" w:color="000000" w:sz="8" w:space="0"/>
                  <w:insideV w:val="single" w:color="000000" w:sz="6" w:space="0"/>
                </w:tblBorders>
                <w:shd w:val="clear" w:color="auto" w:fill="auto"/>
                <w:tblCellMar>
                  <w:top w:w="0" w:type="dxa"/>
                  <w:left w:w="0" w:type="dxa"/>
                  <w:bottom w:w="0" w:type="dxa"/>
                  <w:right w:w="0" w:type="dxa"/>
                </w:tblCellMar>
              </w:tblPrEx>
              <w:trPr>
                <w:trHeight w:val="340" w:hRule="atLeast"/>
                <w:jc w:val="center"/>
              </w:trPr>
              <w:tc>
                <w:tcPr>
                  <w:tcW w:w="354" w:type="pct"/>
                  <w:tcBorders>
                    <w:tl2br w:val="nil"/>
                    <w:tr2bl w:val="nil"/>
                  </w:tcBorders>
                  <w:shd w:val="clear" w:color="auto" w:fill="auto"/>
                  <w:vAlign w:val="center"/>
                </w:tcPr>
                <w:p w14:paraId="16029B19">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项目</w:t>
                  </w:r>
                </w:p>
              </w:tc>
              <w:tc>
                <w:tcPr>
                  <w:tcW w:w="2399" w:type="pct"/>
                  <w:tcBorders>
                    <w:tl2br w:val="nil"/>
                    <w:tr2bl w:val="nil"/>
                  </w:tcBorders>
                  <w:shd w:val="clear" w:color="auto" w:fill="auto"/>
                  <w:vAlign w:val="center"/>
                </w:tcPr>
                <w:p w14:paraId="38F38AE7">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《黑龙江铁力经济开发区总体规划（2021—2030年）环境影响报告书》及其审查意见中内容</w:t>
                  </w:r>
                </w:p>
              </w:tc>
              <w:tc>
                <w:tcPr>
                  <w:tcW w:w="1809" w:type="pct"/>
                  <w:tcBorders>
                    <w:tl2br w:val="nil"/>
                    <w:tr2bl w:val="nil"/>
                  </w:tcBorders>
                  <w:shd w:val="clear" w:color="auto" w:fill="auto"/>
                  <w:vAlign w:val="center"/>
                </w:tcPr>
                <w:p w14:paraId="2B188502">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本项目情况</w:t>
                  </w:r>
                </w:p>
              </w:tc>
              <w:tc>
                <w:tcPr>
                  <w:tcW w:w="436" w:type="pct"/>
                  <w:tcBorders>
                    <w:tl2br w:val="nil"/>
                    <w:tr2bl w:val="nil"/>
                  </w:tcBorders>
                  <w:shd w:val="clear" w:color="auto" w:fill="auto"/>
                  <w:vAlign w:val="center"/>
                </w:tcPr>
                <w:p w14:paraId="04B2EC7A">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相符性</w:t>
                  </w:r>
                </w:p>
              </w:tc>
            </w:tr>
            <w:tr w14:paraId="4D5549A6">
              <w:tblPrEx>
                <w:tblBorders>
                  <w:top w:val="single" w:color="000000" w:sz="8" w:space="0"/>
                  <w:left w:val="single" w:color="000000" w:sz="8" w:space="0"/>
                  <w:bottom w:val="single" w:color="000000" w:sz="8" w:space="0"/>
                  <w:right w:val="single" w:color="000000" w:sz="8" w:space="0"/>
                  <w:insideH w:val="single" w:color="000000" w:sz="8" w:space="0"/>
                  <w:insideV w:val="single" w:color="000000" w:sz="6" w:space="0"/>
                </w:tblBorders>
                <w:shd w:val="clear" w:color="auto" w:fill="auto"/>
                <w:tblCellMar>
                  <w:top w:w="0" w:type="dxa"/>
                  <w:left w:w="0" w:type="dxa"/>
                  <w:bottom w:w="0" w:type="dxa"/>
                  <w:right w:w="0" w:type="dxa"/>
                </w:tblCellMar>
              </w:tblPrEx>
              <w:trPr>
                <w:trHeight w:val="340" w:hRule="atLeast"/>
                <w:jc w:val="center"/>
              </w:trPr>
              <w:tc>
                <w:tcPr>
                  <w:tcW w:w="354" w:type="pct"/>
                  <w:tcBorders>
                    <w:tl2br w:val="nil"/>
                    <w:tr2bl w:val="nil"/>
                  </w:tcBorders>
                  <w:shd w:val="clear" w:color="auto" w:fill="auto"/>
                  <w:vAlign w:val="center"/>
                </w:tcPr>
                <w:p w14:paraId="4D7ECD8E">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地表水环境保护对策与减缓措施</w:t>
                  </w:r>
                </w:p>
              </w:tc>
              <w:tc>
                <w:tcPr>
                  <w:tcW w:w="2399" w:type="pct"/>
                  <w:tcBorders>
                    <w:tl2br w:val="nil"/>
                    <w:tr2bl w:val="nil"/>
                  </w:tcBorders>
                  <w:shd w:val="clear" w:color="auto" w:fill="auto"/>
                  <w:vAlign w:val="center"/>
                </w:tcPr>
                <w:p w14:paraId="56BC0B55">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强化对污废水排放企业的监管。铁力经济开发区应加强区内废水排放的监督管理，区内企业应做到“清污分流、雨污分流”，实现废水分类收集、分质处理，确保污染源的达标排放；同时鼓励企业内部综合水循环利用，逐步建立中水回用系统，减少废水排放量，降低对区域水生生态环境的影响，要求电镀废水单独收集车间内循环使用</w:t>
                  </w:r>
                  <w:r>
                    <w:rPr>
                      <w:rFonts w:hint="eastAsia" w:ascii="Times New Roman" w:hAnsi="Times New Roman" w:cs="Times New Roman"/>
                      <w:color w:val="auto"/>
                      <w:kern w:val="2"/>
                      <w:sz w:val="21"/>
                      <w:szCs w:val="21"/>
                      <w:lang w:val="en-US" w:eastAsia="zh-CN" w:bidi="ar"/>
                    </w:rPr>
                    <w:t>，不</w:t>
                  </w:r>
                  <w:r>
                    <w:rPr>
                      <w:rFonts w:hint="default" w:ascii="Times New Roman" w:hAnsi="Times New Roman" w:eastAsia="宋体" w:cs="Times New Roman"/>
                      <w:color w:val="auto"/>
                      <w:kern w:val="2"/>
                      <w:sz w:val="21"/>
                      <w:szCs w:val="21"/>
                      <w:lang w:val="en-US" w:eastAsia="zh-CN" w:bidi="ar"/>
                    </w:rPr>
                    <w:t>外排；可能对铁力经济开发区污水处理厂处理设施正常运行产生影响的企业，应当建设独立的废水处理设施或预处理设施，在满足达标排放且不影响集中处理设施运行的要求后才能进入废水集中处理设施。</w:t>
                  </w:r>
                </w:p>
              </w:tc>
              <w:tc>
                <w:tcPr>
                  <w:tcW w:w="1809" w:type="pct"/>
                  <w:tcBorders>
                    <w:tl2br w:val="nil"/>
                    <w:tr2bl w:val="nil"/>
                  </w:tcBorders>
                  <w:shd w:val="clear" w:color="auto" w:fill="auto"/>
                  <w:vAlign w:val="center"/>
                </w:tcPr>
                <w:p w14:paraId="4123A25C">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lang w:val="en-US"/>
                    </w:rPr>
                  </w:pPr>
                  <w:r>
                    <w:rPr>
                      <w:rFonts w:hint="default" w:ascii="Times New Roman" w:hAnsi="Times New Roman" w:cs="Times New Roman"/>
                      <w:color w:val="auto"/>
                      <w:kern w:val="2"/>
                      <w:sz w:val="21"/>
                      <w:szCs w:val="21"/>
                      <w:lang w:val="en-US" w:eastAsia="zh-CN" w:bidi="ar"/>
                    </w:rPr>
                    <w:t>本项目</w:t>
                  </w:r>
                  <w:r>
                    <w:rPr>
                      <w:rFonts w:hint="default" w:ascii="Times New Roman" w:hAnsi="Times New Roman" w:eastAsia="宋体" w:cs="Times New Roman"/>
                      <w:color w:val="auto"/>
                      <w:kern w:val="2"/>
                      <w:sz w:val="21"/>
                      <w:szCs w:val="21"/>
                      <w:lang w:val="en-US" w:eastAsia="zh-CN" w:bidi="ar"/>
                    </w:rPr>
                    <w:t>排水实行雨污分流，雨水经雨水管网外排。</w:t>
                  </w:r>
                  <w:r>
                    <w:rPr>
                      <w:rFonts w:hint="eastAsia" w:ascii="Times New Roman" w:hAnsi="Times New Roman" w:cs="Times New Roman"/>
                      <w:color w:val="auto"/>
                      <w:kern w:val="2"/>
                      <w:sz w:val="21"/>
                      <w:szCs w:val="21"/>
                      <w:lang w:val="en-US" w:eastAsia="zh-CN" w:bidi="ar"/>
                    </w:rPr>
                    <w:t>本项目产生的废水仅为生活污水。工件清洗水经油水分离装置分离后循环使用，只需定期补充，无废水外排；间接冷却水经循环水池自然冷却后循环利用，不外排。</w:t>
                  </w:r>
                </w:p>
              </w:tc>
              <w:tc>
                <w:tcPr>
                  <w:tcW w:w="436" w:type="pct"/>
                  <w:tcBorders>
                    <w:tl2br w:val="nil"/>
                    <w:tr2bl w:val="nil"/>
                  </w:tcBorders>
                  <w:shd w:val="clear" w:color="auto" w:fill="auto"/>
                  <w:vAlign w:val="center"/>
                </w:tcPr>
                <w:p w14:paraId="4F99C9E2">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符合</w:t>
                  </w:r>
                </w:p>
              </w:tc>
            </w:tr>
            <w:tr w14:paraId="46419C58">
              <w:tblPrEx>
                <w:tblBorders>
                  <w:top w:val="single" w:color="000000" w:sz="8" w:space="0"/>
                  <w:left w:val="single" w:color="000000" w:sz="8" w:space="0"/>
                  <w:bottom w:val="single" w:color="000000" w:sz="8" w:space="0"/>
                  <w:right w:val="single" w:color="000000" w:sz="8" w:space="0"/>
                  <w:insideH w:val="single" w:color="000000" w:sz="8" w:space="0"/>
                  <w:insideV w:val="single" w:color="000000" w:sz="6" w:space="0"/>
                </w:tblBorders>
                <w:shd w:val="clear" w:color="auto" w:fill="auto"/>
                <w:tblCellMar>
                  <w:top w:w="0" w:type="dxa"/>
                  <w:left w:w="0" w:type="dxa"/>
                  <w:bottom w:w="0" w:type="dxa"/>
                  <w:right w:w="0" w:type="dxa"/>
                </w:tblCellMar>
              </w:tblPrEx>
              <w:trPr>
                <w:trHeight w:val="340" w:hRule="atLeast"/>
                <w:jc w:val="center"/>
              </w:trPr>
              <w:tc>
                <w:tcPr>
                  <w:tcW w:w="354" w:type="pct"/>
                  <w:tcBorders>
                    <w:tl2br w:val="nil"/>
                    <w:tr2bl w:val="nil"/>
                  </w:tcBorders>
                  <w:shd w:val="clear" w:color="auto" w:fill="auto"/>
                  <w:vAlign w:val="center"/>
                </w:tcPr>
                <w:p w14:paraId="6B95CF75">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大气环境保护对策与减缓措施</w:t>
                  </w:r>
                </w:p>
              </w:tc>
              <w:tc>
                <w:tcPr>
                  <w:tcW w:w="2399" w:type="pct"/>
                  <w:tcBorders>
                    <w:tl2br w:val="nil"/>
                    <w:tr2bl w:val="nil"/>
                  </w:tcBorders>
                  <w:shd w:val="clear" w:color="auto" w:fill="auto"/>
                  <w:vAlign w:val="center"/>
                </w:tcPr>
                <w:p w14:paraId="766A2876">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rPr>
                    <w:t xml:space="preserve">（1）进驻企业因生产工艺需要，必须使用清洁的燃料，提倡用电和天然气等清洁能源。提高优质能源比重，推广使用太阳能等可再生能源。 </w:t>
                  </w:r>
                </w:p>
                <w:p w14:paraId="4B356466">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rPr>
                    <w:t xml:space="preserve">（2）对于拟进驻项目应根据建设项目分类管理名录，分别进行环境影响评价，合理布局进驻企业的厂址或总平面布置，从大气环境角度提出具体有效的环境保护治理措施及环境监测管理计划，减少污染物排放量，并且须在环境保护验收合格后方能运营。 </w:t>
                  </w:r>
                </w:p>
                <w:p w14:paraId="5B202A2A">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rPr>
                    <w:t xml:space="preserve">（3）优化产业结构，严格控制入区项目的引入条件，不得引进不符合产业定位的企业。 </w:t>
                  </w:r>
                </w:p>
                <w:p w14:paraId="6ED1C2B3">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rPr>
                    <w:t xml:space="preserve">（4）根据车间排放的污染物种类及浓度，除采用不同的防治措施外，还应保持车间良好通风。加强园区内道路管理工作，坚持道路定期卫生清扫和洒水等，以减少道路扬尘污染。工业生产企业应当采取密闭、围挡、遮盖、清扫、洒水等措施，减少内部物料的堆存、传输、装卸等环节产生的粉尘和气态污染物的排放。 </w:t>
                  </w:r>
                </w:p>
                <w:p w14:paraId="7A8F0921">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rPr>
                    <w:t xml:space="preserve">（5）不同功能区之间、企业之间要求有一定的缓冲地带和绿化隔离带，以降低大气的异味。加强保护园区周边的生态形态。 </w:t>
                  </w:r>
                </w:p>
                <w:p w14:paraId="094B287D">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rPr>
                    <w:t>（6）产生异味的项目</w:t>
                  </w:r>
                  <w:r>
                    <w:rPr>
                      <w:rFonts w:hint="eastAsia" w:ascii="Times New Roman" w:hAnsi="Times New Roman" w:cs="Times New Roman"/>
                      <w:color w:val="auto"/>
                      <w:kern w:val="2"/>
                      <w:sz w:val="21"/>
                      <w:szCs w:val="21"/>
                      <w:lang w:val="en-US" w:eastAsia="zh-CN"/>
                    </w:rPr>
                    <w:t>在环评</w:t>
                  </w:r>
                  <w:r>
                    <w:rPr>
                      <w:rFonts w:hint="default" w:ascii="Times New Roman" w:hAnsi="Times New Roman" w:eastAsia="宋体" w:cs="Times New Roman"/>
                      <w:color w:val="auto"/>
                      <w:kern w:val="2"/>
                      <w:sz w:val="21"/>
                      <w:szCs w:val="21"/>
                      <w:lang w:val="en-US" w:eastAsia="zh-CN"/>
                    </w:rPr>
                    <w:t>时应确保大气环境防护距离。</w:t>
                  </w:r>
                </w:p>
                <w:p w14:paraId="0F85A6AF">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rPr>
                    <w:t>（7）企业应采用清洁生产工艺，选取环保部门发布的可行性技术对大气污染物进行治理，加强大气污染防治措施运行维护，确保大气污染物达标排放。</w:t>
                  </w:r>
                </w:p>
              </w:tc>
              <w:tc>
                <w:tcPr>
                  <w:tcW w:w="1809" w:type="pct"/>
                  <w:tcBorders>
                    <w:tl2br w:val="nil"/>
                    <w:tr2bl w:val="nil"/>
                  </w:tcBorders>
                  <w:shd w:val="clear" w:color="auto" w:fill="auto"/>
                  <w:vAlign w:val="center"/>
                </w:tcPr>
                <w:p w14:paraId="4B47559B">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（1）</w:t>
                  </w:r>
                  <w:r>
                    <w:rPr>
                      <w:rFonts w:hint="default" w:ascii="Times New Roman" w:hAnsi="Times New Roman" w:eastAsia="宋体" w:cs="Times New Roman"/>
                      <w:color w:val="auto"/>
                      <w:kern w:val="2"/>
                      <w:sz w:val="21"/>
                      <w:szCs w:val="21"/>
                      <w:lang w:val="en-US" w:eastAsia="zh-CN" w:bidi="ar"/>
                    </w:rPr>
                    <w:t>本项目建筑采暖由铁力宇祥热电有限责任公司集中供给，生产用热采用电能。</w:t>
                  </w:r>
                </w:p>
                <w:p w14:paraId="4A9AA64D">
                  <w:pPr>
                    <w:keepNext w:val="0"/>
                    <w:keepLines w:val="0"/>
                    <w:widowControl w:val="0"/>
                    <w:suppressLineNumbers w:val="0"/>
                    <w:autoSpaceDE w:val="0"/>
                    <w:autoSpaceDN/>
                    <w:spacing w:before="0" w:beforeAutospacing="0" w:after="0" w:afterAutospacing="0" w:line="240" w:lineRule="auto"/>
                    <w:ind w:left="0" w:right="0"/>
                    <w:jc w:val="both"/>
                    <w:rPr>
                      <w:rFonts w:hint="eastAsia" w:ascii="Times New Roman" w:hAnsi="Times New Roman"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（2）本项目布局合理，从大气环境角度提出具体有效的环境保护治理措施及环境监测管理计划，减少污染物排放量。</w:t>
                  </w:r>
                </w:p>
                <w:p w14:paraId="3935FA1F">
                  <w:pPr>
                    <w:keepNext w:val="0"/>
                    <w:keepLines w:val="0"/>
                    <w:widowControl w:val="0"/>
                    <w:suppressLineNumbers w:val="0"/>
                    <w:autoSpaceDE w:val="0"/>
                    <w:autoSpaceDN/>
                    <w:spacing w:before="0" w:beforeAutospacing="0" w:after="0" w:afterAutospacing="0" w:line="240" w:lineRule="auto"/>
                    <w:ind w:left="0" w:right="0"/>
                    <w:jc w:val="both"/>
                    <w:rPr>
                      <w:rFonts w:hint="eastAsia" w:ascii="Times New Roman" w:hAnsi="Times New Roman"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（3）本项目与经开区产业定位相符。</w:t>
                  </w:r>
                </w:p>
                <w:p w14:paraId="403A2760">
                  <w:pPr>
                    <w:keepNext w:val="0"/>
                    <w:keepLines w:val="0"/>
                    <w:widowControl w:val="0"/>
                    <w:suppressLineNumbers w:val="0"/>
                    <w:autoSpaceDE w:val="0"/>
                    <w:autoSpaceDN/>
                    <w:spacing w:before="0" w:beforeAutospacing="0" w:after="0" w:afterAutospacing="0" w:line="240" w:lineRule="auto"/>
                    <w:ind w:left="0" w:right="0"/>
                    <w:jc w:val="both"/>
                    <w:rPr>
                      <w:rFonts w:hint="eastAsia" w:ascii="Times New Roman" w:hAnsi="Times New Roman"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4）本项目熔炼废气经炉盖一体化装置收集、造型废气经集气罩收集、打磨清理废气经密闭管道收集、砂处理废气经密闭管道收集后，经一台脉冲布袋除尘器处理后通过15m高DA001排气筒排放；浇注废气、模具清理废气、球冒分离废气经集气罩收集后，经1台脉冲布袋除尘器处理后通过1根15m高DA002排气筒排放；热处理废气经高压静电油烟净化处理后通过15m排气筒（高DA003）排放。同时，本项目保持车间封闭，定期洒水抑尘。加强道路管理工作，坚持道路定期卫生清扫和洒水等，以减少道路扬尘污染。采取封闭、洒水等措施，减少内部物料的堆存、传输、装卸等环节产生的粉尘和气态污染物的排放。</w:t>
                  </w:r>
                </w:p>
                <w:p w14:paraId="030D1423">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（5）本项目采用的治理措施均属于可行性技术。</w:t>
                  </w:r>
                </w:p>
              </w:tc>
              <w:tc>
                <w:tcPr>
                  <w:tcW w:w="436" w:type="pct"/>
                  <w:tcBorders>
                    <w:tl2br w:val="nil"/>
                    <w:tr2bl w:val="nil"/>
                  </w:tcBorders>
                  <w:shd w:val="clear" w:color="auto" w:fill="auto"/>
                  <w:vAlign w:val="center"/>
                </w:tcPr>
                <w:p w14:paraId="476A7BBC">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符合</w:t>
                  </w:r>
                </w:p>
              </w:tc>
            </w:tr>
            <w:tr w14:paraId="29EBFC6B">
              <w:tblPrEx>
                <w:tblBorders>
                  <w:top w:val="single" w:color="000000" w:sz="8" w:space="0"/>
                  <w:left w:val="single" w:color="000000" w:sz="8" w:space="0"/>
                  <w:bottom w:val="single" w:color="000000" w:sz="8" w:space="0"/>
                  <w:right w:val="single" w:color="000000" w:sz="8" w:space="0"/>
                  <w:insideH w:val="single" w:color="000000" w:sz="8" w:space="0"/>
                  <w:insideV w:val="single" w:color="000000" w:sz="6" w:space="0"/>
                </w:tblBorders>
                <w:shd w:val="clear" w:color="auto" w:fill="auto"/>
                <w:tblCellMar>
                  <w:top w:w="0" w:type="dxa"/>
                  <w:left w:w="0" w:type="dxa"/>
                  <w:bottom w:w="0" w:type="dxa"/>
                  <w:right w:w="0" w:type="dxa"/>
                </w:tblCellMar>
              </w:tblPrEx>
              <w:trPr>
                <w:trHeight w:val="340" w:hRule="atLeast"/>
                <w:jc w:val="center"/>
              </w:trPr>
              <w:tc>
                <w:tcPr>
                  <w:tcW w:w="354" w:type="pct"/>
                  <w:tcBorders>
                    <w:tl2br w:val="nil"/>
                    <w:tr2bl w:val="nil"/>
                  </w:tcBorders>
                  <w:shd w:val="clear" w:color="auto" w:fill="auto"/>
                  <w:vAlign w:val="center"/>
                </w:tcPr>
                <w:p w14:paraId="7D63C629">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声环境保护对策与减缓</w:t>
                  </w:r>
                  <w:r>
                    <w:rPr>
                      <w:rFonts w:hint="eastAsia" w:ascii="Times New Roman" w:hAnsi="Times New Roman" w:cs="Times New Roman"/>
                      <w:color w:val="auto"/>
                      <w:kern w:val="2"/>
                      <w:sz w:val="21"/>
                      <w:szCs w:val="21"/>
                      <w:lang w:val="en-US" w:eastAsia="zh-CN" w:bidi="ar"/>
                    </w:rPr>
                    <w:t>措施。</w:t>
                  </w:r>
                </w:p>
              </w:tc>
              <w:tc>
                <w:tcPr>
                  <w:tcW w:w="2399" w:type="pct"/>
                  <w:tcBorders>
                    <w:tl2br w:val="nil"/>
                    <w:tr2bl w:val="nil"/>
                  </w:tcBorders>
                  <w:shd w:val="clear" w:color="auto" w:fill="auto"/>
                  <w:vAlign w:val="center"/>
                </w:tcPr>
                <w:p w14:paraId="167D8C41">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cs="Times New Roman"/>
                      <w:color w:val="auto"/>
                      <w:kern w:val="2"/>
                      <w:sz w:val="21"/>
                      <w:szCs w:val="21"/>
                      <w:lang w:eastAsia="zh-CN"/>
                    </w:rPr>
                    <w:t>（</w:t>
                  </w:r>
                  <w:r>
                    <w:rPr>
                      <w:rFonts w:hint="default" w:ascii="Times New Roman" w:hAnsi="Times New Roman" w:cs="Times New Roman"/>
                      <w:color w:val="auto"/>
                      <w:kern w:val="2"/>
                      <w:sz w:val="21"/>
                      <w:szCs w:val="21"/>
                      <w:lang w:val="en-US" w:eastAsia="zh-CN"/>
                    </w:rPr>
                    <w:t>1</w:t>
                  </w:r>
                  <w:r>
                    <w:rPr>
                      <w:rFonts w:hint="default" w:ascii="Times New Roman" w:hAnsi="Times New Roman" w:cs="Times New Roman"/>
                      <w:color w:val="auto"/>
                      <w:kern w:val="2"/>
                      <w:sz w:val="21"/>
                      <w:szCs w:val="21"/>
                      <w:lang w:eastAsia="zh-CN"/>
                    </w:rPr>
                    <w:t>）</w:t>
                  </w:r>
                  <w:r>
                    <w:rPr>
                      <w:rFonts w:hint="default" w:ascii="Times New Roman" w:hAnsi="Times New Roman" w:eastAsia="宋体" w:cs="Times New Roman"/>
                      <w:color w:val="auto"/>
                      <w:kern w:val="2"/>
                      <w:sz w:val="21"/>
                      <w:szCs w:val="21"/>
                    </w:rPr>
                    <w:t>合理布局。产生高噪声的工业企业选址应布置于区内距离居民区较远的位置，厂内高噪声设备或高噪声车间远离厂界，并充分利用厂房、建构筑物遮挡隔声，厂区内外道路植树绿化，以减轻噪声影响。</w:t>
                  </w:r>
                </w:p>
                <w:p w14:paraId="0D1B668B">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cs="Times New Roman"/>
                      <w:color w:val="auto"/>
                      <w:kern w:val="2"/>
                      <w:sz w:val="21"/>
                      <w:szCs w:val="21"/>
                      <w:lang w:eastAsia="zh-CN"/>
                    </w:rPr>
                    <w:t>（</w:t>
                  </w:r>
                  <w:r>
                    <w:rPr>
                      <w:rFonts w:hint="default" w:ascii="Times New Roman" w:hAnsi="Times New Roman" w:cs="Times New Roman"/>
                      <w:color w:val="auto"/>
                      <w:kern w:val="2"/>
                      <w:sz w:val="21"/>
                      <w:szCs w:val="21"/>
                      <w:lang w:val="en-US" w:eastAsia="zh-CN"/>
                    </w:rPr>
                    <w:t>2</w:t>
                  </w:r>
                  <w:r>
                    <w:rPr>
                      <w:rFonts w:hint="default" w:ascii="Times New Roman" w:hAnsi="Times New Roman" w:cs="Times New Roman"/>
                      <w:color w:val="auto"/>
                      <w:kern w:val="2"/>
                      <w:sz w:val="21"/>
                      <w:szCs w:val="21"/>
                      <w:lang w:eastAsia="zh-CN"/>
                    </w:rPr>
                    <w:t>）</w:t>
                  </w:r>
                  <w:r>
                    <w:rPr>
                      <w:rFonts w:hint="default" w:ascii="Times New Roman" w:hAnsi="Times New Roman" w:eastAsia="宋体" w:cs="Times New Roman"/>
                      <w:color w:val="auto"/>
                      <w:kern w:val="2"/>
                      <w:sz w:val="21"/>
                      <w:szCs w:val="21"/>
                    </w:rPr>
                    <w:t>控制噪声源。严格控制企业厂界噪声，新设备选择低噪声先进设备，因地制宜，采取安装消声器、隔声罩、减震底座，建隔声间、隔声门窗，车间装设吸声材料等多种措施。</w:t>
                  </w:r>
                </w:p>
                <w:p w14:paraId="6C3E197C">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cs="Times New Roman"/>
                      <w:color w:val="auto"/>
                      <w:kern w:val="2"/>
                      <w:sz w:val="21"/>
                      <w:szCs w:val="21"/>
                      <w:lang w:eastAsia="zh-CN"/>
                    </w:rPr>
                    <w:t>（</w:t>
                  </w:r>
                  <w:r>
                    <w:rPr>
                      <w:rFonts w:hint="default" w:ascii="Times New Roman" w:hAnsi="Times New Roman" w:cs="Times New Roman"/>
                      <w:color w:val="auto"/>
                      <w:kern w:val="2"/>
                      <w:sz w:val="21"/>
                      <w:szCs w:val="21"/>
                      <w:lang w:val="en-US" w:eastAsia="zh-CN"/>
                    </w:rPr>
                    <w:t>3</w:t>
                  </w:r>
                  <w:r>
                    <w:rPr>
                      <w:rFonts w:hint="default" w:ascii="Times New Roman" w:hAnsi="Times New Roman" w:cs="Times New Roman"/>
                      <w:color w:val="auto"/>
                      <w:kern w:val="2"/>
                      <w:sz w:val="21"/>
                      <w:szCs w:val="21"/>
                      <w:lang w:eastAsia="zh-CN"/>
                    </w:rPr>
                    <w:t>）</w:t>
                  </w:r>
                  <w:r>
                    <w:rPr>
                      <w:rFonts w:hint="default" w:ascii="Times New Roman" w:hAnsi="Times New Roman" w:eastAsia="宋体" w:cs="Times New Roman"/>
                      <w:color w:val="auto"/>
                      <w:kern w:val="2"/>
                      <w:sz w:val="21"/>
                      <w:szCs w:val="21"/>
                    </w:rPr>
                    <w:t>加强管理。要求企业加强高噪声设备及其隔声降噪设施的运行管理，及时维护，使其经常处于正常运行状态。</w:t>
                  </w:r>
                </w:p>
              </w:tc>
              <w:tc>
                <w:tcPr>
                  <w:tcW w:w="1809" w:type="pct"/>
                  <w:tcBorders>
                    <w:tl2br w:val="nil"/>
                    <w:tr2bl w:val="nil"/>
                  </w:tcBorders>
                  <w:shd w:val="clear" w:color="auto" w:fill="auto"/>
                  <w:vAlign w:val="center"/>
                </w:tcPr>
                <w:p w14:paraId="177C69F0">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本项目对高噪声设备，采取相应的隔声、消声、减振等有效的噪声防治措施，确保厂界噪声满足《工业企业厂界环境噪声排放标准》（GB12348-2008）表1中3类标准要求。</w:t>
                  </w:r>
                </w:p>
              </w:tc>
              <w:tc>
                <w:tcPr>
                  <w:tcW w:w="436" w:type="pct"/>
                  <w:tcBorders>
                    <w:tl2br w:val="nil"/>
                    <w:tr2bl w:val="nil"/>
                  </w:tcBorders>
                  <w:shd w:val="clear" w:color="auto" w:fill="auto"/>
                  <w:vAlign w:val="center"/>
                </w:tcPr>
                <w:p w14:paraId="1615151B">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符合</w:t>
                  </w:r>
                </w:p>
              </w:tc>
            </w:tr>
            <w:tr w14:paraId="58902ABD">
              <w:tblPrEx>
                <w:tblBorders>
                  <w:top w:val="single" w:color="000000" w:sz="8" w:space="0"/>
                  <w:left w:val="single" w:color="000000" w:sz="8" w:space="0"/>
                  <w:bottom w:val="single" w:color="000000" w:sz="8" w:space="0"/>
                  <w:right w:val="single" w:color="000000" w:sz="8" w:space="0"/>
                  <w:insideH w:val="single" w:color="000000" w:sz="8" w:space="0"/>
                  <w:insideV w:val="single" w:color="000000" w:sz="6" w:space="0"/>
                </w:tblBorders>
                <w:shd w:val="clear" w:color="auto" w:fill="auto"/>
                <w:tblCellMar>
                  <w:top w:w="0" w:type="dxa"/>
                  <w:left w:w="0" w:type="dxa"/>
                  <w:bottom w:w="0" w:type="dxa"/>
                  <w:right w:w="0" w:type="dxa"/>
                </w:tblCellMar>
              </w:tblPrEx>
              <w:trPr>
                <w:trHeight w:val="340" w:hRule="atLeast"/>
                <w:jc w:val="center"/>
              </w:trPr>
              <w:tc>
                <w:tcPr>
                  <w:tcW w:w="354" w:type="pct"/>
                  <w:tcBorders>
                    <w:tl2br w:val="nil"/>
                    <w:tr2bl w:val="nil"/>
                  </w:tcBorders>
                  <w:shd w:val="clear" w:color="auto" w:fill="auto"/>
                  <w:vAlign w:val="center"/>
                </w:tcPr>
                <w:p w14:paraId="73755279">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固废污染物防治对策与减缓</w:t>
                  </w:r>
                  <w:r>
                    <w:rPr>
                      <w:rFonts w:hint="eastAsia" w:ascii="Times New Roman" w:hAnsi="Times New Roman" w:cs="Times New Roman"/>
                      <w:color w:val="auto"/>
                      <w:kern w:val="2"/>
                      <w:sz w:val="21"/>
                      <w:szCs w:val="21"/>
                      <w:lang w:val="en-US" w:eastAsia="zh-CN" w:bidi="ar"/>
                    </w:rPr>
                    <w:t>措施。</w:t>
                  </w:r>
                </w:p>
              </w:tc>
              <w:tc>
                <w:tcPr>
                  <w:tcW w:w="2399" w:type="pct"/>
                  <w:tcBorders>
                    <w:tl2br w:val="nil"/>
                    <w:tr2bl w:val="nil"/>
                  </w:tcBorders>
                  <w:shd w:val="clear" w:color="auto" w:fill="auto"/>
                  <w:vAlign w:val="center"/>
                </w:tcPr>
                <w:p w14:paraId="6C42B823">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cs="Times New Roman"/>
                      <w:color w:val="auto"/>
                      <w:kern w:val="2"/>
                      <w:sz w:val="21"/>
                      <w:szCs w:val="21"/>
                      <w:lang w:val="en-US" w:eastAsia="zh-CN" w:bidi="ar"/>
                    </w:rPr>
                    <w:t>（1）</w:t>
                  </w:r>
                  <w:r>
                    <w:rPr>
                      <w:rFonts w:hint="default" w:ascii="Times New Roman" w:hAnsi="Times New Roman" w:eastAsia="宋体" w:cs="Times New Roman"/>
                      <w:color w:val="auto"/>
                      <w:kern w:val="2"/>
                      <w:sz w:val="21"/>
                      <w:szCs w:val="21"/>
                      <w:lang w:val="en-US" w:eastAsia="zh-CN" w:bidi="ar"/>
                    </w:rPr>
                    <w:t>一般工业固废</w:t>
                  </w:r>
                </w:p>
                <w:p w14:paraId="25419697">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开发区产生的一般工业固体废物本着“谁产生、谁处理”的原则，其收集、贮运和处置均由产生固体废物的生产企业负责，由开发区环境管理机构进行监督。</w:t>
                  </w:r>
                </w:p>
                <w:p w14:paraId="4471EA66">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cs="Times New Roman"/>
                      <w:color w:val="auto"/>
                      <w:kern w:val="2"/>
                      <w:sz w:val="21"/>
                      <w:szCs w:val="21"/>
                      <w:lang w:val="en-US" w:eastAsia="zh-CN" w:bidi="ar"/>
                    </w:rPr>
                    <w:t>（2）</w:t>
                  </w:r>
                  <w:r>
                    <w:rPr>
                      <w:rFonts w:hint="default" w:ascii="Times New Roman" w:hAnsi="Times New Roman" w:eastAsia="宋体" w:cs="Times New Roman"/>
                      <w:color w:val="auto"/>
                      <w:kern w:val="2"/>
                      <w:sz w:val="21"/>
                      <w:szCs w:val="21"/>
                      <w:lang w:val="en-US" w:eastAsia="zh-CN" w:bidi="ar"/>
                    </w:rPr>
                    <w:t>危险废物</w:t>
                  </w:r>
                </w:p>
                <w:p w14:paraId="30A6FD90">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对所有进出开发区的车辆加强监管，杜绝危险废物非法转移。区内危险废物必须严格按照国家相关管理规定及规范进行安全处置，危险废物安全处置率达100%。</w:t>
                  </w:r>
                </w:p>
                <w:p w14:paraId="53F48BB5">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cs="Times New Roman"/>
                      <w:color w:val="auto"/>
                      <w:kern w:val="2"/>
                      <w:sz w:val="21"/>
                      <w:szCs w:val="21"/>
                      <w:lang w:val="en-US" w:eastAsia="zh-CN" w:bidi="ar"/>
                    </w:rPr>
                    <w:t>（3）</w:t>
                  </w:r>
                  <w:r>
                    <w:rPr>
                      <w:rFonts w:hint="default" w:ascii="Times New Roman" w:hAnsi="Times New Roman" w:eastAsia="宋体" w:cs="Times New Roman"/>
                      <w:color w:val="auto"/>
                      <w:kern w:val="2"/>
                      <w:sz w:val="21"/>
                      <w:szCs w:val="21"/>
                      <w:lang w:val="en-US" w:eastAsia="zh-CN" w:bidi="ar"/>
                    </w:rPr>
                    <w:t>生活垃圾</w:t>
                  </w:r>
                </w:p>
                <w:p w14:paraId="7DE15A14">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区内各企业、生活办公区、居民区等各单位均设置垃圾分类收集设施，由环卫部门统一进行收集后送生活垃圾处理厂处理。区内规划设置垃圾转运站需按照《生活垃圾转运站技术规范》（CJJ/T 47-2016）的要求建设，并和居住区保持一定的卫生防护距离。</w:t>
                  </w:r>
                </w:p>
                <w:p w14:paraId="49795912">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lang w:val="en-US" w:eastAsia="zh-CN" w:bidi="ar"/>
                    </w:rPr>
                  </w:pPr>
                  <w:r>
                    <w:rPr>
                      <w:rFonts w:hint="default" w:ascii="Times New Roman" w:hAnsi="Times New Roman" w:cs="Times New Roman"/>
                      <w:color w:val="auto"/>
                      <w:kern w:val="2"/>
                      <w:sz w:val="21"/>
                      <w:szCs w:val="21"/>
                      <w:lang w:val="en-US" w:eastAsia="zh-CN" w:bidi="ar"/>
                    </w:rPr>
                    <w:t>（4）</w:t>
                  </w:r>
                  <w:r>
                    <w:rPr>
                      <w:rFonts w:hint="default" w:ascii="Times New Roman" w:hAnsi="Times New Roman" w:eastAsia="宋体" w:cs="Times New Roman"/>
                      <w:color w:val="auto"/>
                      <w:kern w:val="2"/>
                      <w:sz w:val="21"/>
                      <w:szCs w:val="21"/>
                      <w:lang w:val="en-US" w:eastAsia="zh-CN" w:bidi="ar"/>
                    </w:rPr>
                    <w:t>施工废料及建筑垃圾</w:t>
                  </w:r>
                </w:p>
                <w:p w14:paraId="62DA3D2F">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对施工废料如钢筋、钢板、木材等下脚料应考虑回收利用；对建筑垃圾，如混凝土废料、废砖、含砖、石、砂的杂土应集中堆放，或用于低洼地带回填，或定时清运，以免影响施工和环境卫生。</w:t>
                  </w:r>
                </w:p>
              </w:tc>
              <w:tc>
                <w:tcPr>
                  <w:tcW w:w="1809" w:type="pct"/>
                  <w:tcBorders>
                    <w:tl2br w:val="nil"/>
                    <w:tr2bl w:val="nil"/>
                  </w:tcBorders>
                  <w:shd w:val="clear" w:color="auto" w:fill="auto"/>
                  <w:vAlign w:val="center"/>
                </w:tcPr>
                <w:p w14:paraId="445D0210">
                  <w:pPr>
                    <w:keepNext w:val="0"/>
                    <w:keepLines w:val="0"/>
                    <w:widowControl w:val="0"/>
                    <w:numPr>
                      <w:ilvl w:val="0"/>
                      <w:numId w:val="3"/>
                    </w:numPr>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一般工业固废</w:t>
                  </w:r>
                </w:p>
                <w:p w14:paraId="38DE3798">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分拣杂物、熔炼产生的废渣、清理过程产生的废铁屑、废铁水包、废砂、布袋除尘器收尘收集后暂存一般固废暂存间，定期作为废旧资源外售。金属边角料用于回炉重造。废布袋收集后交由厂家回收利用。</w:t>
                  </w:r>
                </w:p>
                <w:p w14:paraId="761A1EBC">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（2）危险废物</w:t>
                  </w:r>
                </w:p>
                <w:p w14:paraId="484CCB98">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废机油、废油桶、废淬火油和淬火废渣暂存于厂区内危险废物贮存库，定期交由有资质单位处置。</w:t>
                  </w:r>
                </w:p>
                <w:p w14:paraId="7EF6F78D">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（3）生活垃圾</w:t>
                  </w:r>
                </w:p>
                <w:p w14:paraId="0450FF07">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设置垃圾分类收集设施，由环卫部门统一进行收集后送生活垃圾处理厂处理。</w:t>
                  </w:r>
                </w:p>
                <w:p w14:paraId="0B19C037">
                  <w:pPr>
                    <w:keepNext w:val="0"/>
                    <w:keepLines w:val="0"/>
                    <w:widowControl w:val="0"/>
                    <w:numPr>
                      <w:ilvl w:val="0"/>
                      <w:numId w:val="4"/>
                    </w:numPr>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施工废料及建筑垃圾</w:t>
                  </w:r>
                </w:p>
                <w:p w14:paraId="2029FE8E">
                  <w:pPr>
                    <w:keepNext w:val="0"/>
                    <w:keepLines w:val="0"/>
                    <w:widowControl w:val="0"/>
                    <w:numPr>
                      <w:ilvl w:val="0"/>
                      <w:numId w:val="0"/>
                    </w:numPr>
                    <w:suppressLineNumbers w:val="0"/>
                    <w:autoSpaceDE w:val="0"/>
                    <w:autoSpaceDN/>
                    <w:spacing w:before="0" w:beforeAutospacing="0" w:after="0" w:afterAutospacing="0" w:line="240" w:lineRule="auto"/>
                    <w:ind w:left="0" w:right="0" w:rightChars="0"/>
                    <w:jc w:val="both"/>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本项目施工期不涉及土石方开挖，无多余土石方，设备拆除及安装的过程中会产生废设备、废包装材料，及时外售综合利用。此外，施工人员生活垃圾交由市政环卫部门处理，不得随意堆放，确保其不会影响周围环境。</w:t>
                  </w:r>
                </w:p>
                <w:p w14:paraId="33C8B5F6">
                  <w:pPr>
                    <w:keepNext w:val="0"/>
                    <w:keepLines w:val="0"/>
                    <w:widowControl w:val="0"/>
                    <w:suppressLineNumbers w:val="0"/>
                    <w:autoSpaceDE w:val="0"/>
                    <w:autoSpaceDN/>
                    <w:spacing w:before="0" w:beforeAutospacing="0" w:after="0" w:afterAutospacing="0" w:line="240" w:lineRule="auto"/>
                    <w:ind w:left="0" w:right="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本项目所产生的固体废物均得到合理处置，对区域环境造成的不利影响可被环境接受。</w:t>
                  </w:r>
                </w:p>
              </w:tc>
              <w:tc>
                <w:tcPr>
                  <w:tcW w:w="436" w:type="pct"/>
                  <w:tcBorders>
                    <w:tl2br w:val="nil"/>
                    <w:tr2bl w:val="nil"/>
                  </w:tcBorders>
                  <w:shd w:val="clear" w:color="auto" w:fill="auto"/>
                  <w:vAlign w:val="center"/>
                </w:tcPr>
                <w:p w14:paraId="5A548067">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符合</w:t>
                  </w:r>
                </w:p>
              </w:tc>
            </w:tr>
          </w:tbl>
          <w:p w14:paraId="1CC46892">
            <w:pPr>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综上，本项目符合</w:t>
            </w:r>
            <w:r>
              <w:rPr>
                <w:rFonts w:hint="default" w:ascii="Times New Roman" w:hAnsi="Times New Roman"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黑龙江铁力经济开发区总体规划（2021—2030年）环境影响报告书</w:t>
            </w:r>
            <w:r>
              <w:rPr>
                <w:rFonts w:hint="default" w:ascii="Times New Roman" w:hAnsi="Times New Roman"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及审查意见中的相关要求。</w:t>
            </w:r>
          </w:p>
          <w:p w14:paraId="4D7A7176">
            <w:pPr>
              <w:keepNext/>
              <w:keepLines w:val="0"/>
              <w:pageBreakBefore w:val="0"/>
              <w:widowControl w:val="0"/>
              <w:numPr>
                <w:ilvl w:val="0"/>
                <w:numId w:val="0"/>
              </w:numPr>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根据《黑龙江铁力经济开发区总体规划（2021—2030年）环境影响报告书》内容，本项目与黑龙江铁力经济开发区产业发展负面清单的对比分析如下表：</w:t>
            </w:r>
          </w:p>
          <w:p w14:paraId="4FE3077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kern w:val="2"/>
                <w:sz w:val="21"/>
                <w:szCs w:val="21"/>
                <w:lang w:val="en-US" w:eastAsia="zh-CN" w:bidi="ar"/>
              </w:rPr>
            </w:pPr>
            <w:r>
              <w:rPr>
                <w:rFonts w:hint="default" w:ascii="Times New Roman" w:hAnsi="Times New Roman" w:eastAsia="宋体" w:cs="Times New Roman"/>
                <w:b/>
                <w:color w:val="auto"/>
                <w:kern w:val="2"/>
                <w:sz w:val="21"/>
                <w:szCs w:val="21"/>
                <w:lang w:val="en-US" w:eastAsia="zh-CN" w:bidi="ar"/>
              </w:rPr>
              <w:t>表1-4 黑龙江铁力经济开发区产业发展负面清单一览表</w:t>
            </w:r>
          </w:p>
          <w:tbl>
            <w:tblPr>
              <w:tblStyle w:val="57"/>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0"/>
              <w:gridCol w:w="4471"/>
              <w:gridCol w:w="1505"/>
              <w:gridCol w:w="766"/>
            </w:tblGrid>
            <w:tr w14:paraId="48645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6" w:type="pct"/>
                  <w:noWrap w:val="0"/>
                  <w:vAlign w:val="center"/>
                </w:tcPr>
                <w:p w14:paraId="2E342BFD">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类别</w:t>
                  </w:r>
                </w:p>
              </w:tc>
              <w:tc>
                <w:tcPr>
                  <w:tcW w:w="2960" w:type="pct"/>
                  <w:noWrap w:val="0"/>
                  <w:vAlign w:val="center"/>
                </w:tcPr>
                <w:p w14:paraId="0000AEC0">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《黑龙江铁力经济开发区总体规划（2021—2030年）环境影响报告书》内容</w:t>
                  </w:r>
                </w:p>
              </w:tc>
              <w:tc>
                <w:tcPr>
                  <w:tcW w:w="996" w:type="pct"/>
                  <w:noWrap w:val="0"/>
                  <w:vAlign w:val="center"/>
                </w:tcPr>
                <w:p w14:paraId="78C46A6D">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本项目情况</w:t>
                  </w:r>
                </w:p>
              </w:tc>
              <w:tc>
                <w:tcPr>
                  <w:tcW w:w="507" w:type="pct"/>
                  <w:noWrap w:val="0"/>
                  <w:vAlign w:val="center"/>
                </w:tcPr>
                <w:p w14:paraId="04D4BDBF">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符合性</w:t>
                  </w:r>
                </w:p>
              </w:tc>
            </w:tr>
            <w:tr w14:paraId="43F87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6" w:type="pct"/>
                  <w:noWrap w:val="0"/>
                  <w:vAlign w:val="center"/>
                </w:tcPr>
                <w:p w14:paraId="1EC4A6A6">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空间布局约束</w:t>
                  </w:r>
                </w:p>
              </w:tc>
              <w:tc>
                <w:tcPr>
                  <w:tcW w:w="2960" w:type="pct"/>
                  <w:noWrap w:val="0"/>
                  <w:vAlign w:val="center"/>
                </w:tcPr>
                <w:p w14:paraId="43BBBAAB">
                  <w:pPr>
                    <w:keepNext/>
                    <w:keepLines w:val="0"/>
                    <w:pageBreakBefore w:val="0"/>
                    <w:widowControl w:val="0"/>
                    <w:suppressLineNumbers w:val="0"/>
                    <w:spacing w:before="0" w:beforeAutospacing="0" w:after="0" w:afterAutospacing="0" w:line="240" w:lineRule="auto"/>
                    <w:ind w:left="0" w:right="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①不得引入不符合《产业结构调整指导目录（2024 年本）》中限制类产业和淘汰类产业入园建设项目。②不得引入《黑龙江省重点生态功能区产业准入负面清单》（试行版）中限制类和禁止类产业入园建设项目。③不得引入不符合规划环评结论及审查意见的入园建设项目。④严格控制高耗水、高污染行业发展，以批复的《黑龙江铁力经济开发区规划水资源论证报告》中取水量作为开发区“水资源利用上限”判定入驻项目可行性；开发区不得增加水污染物排放，以开发区各类废水经开发区污水处理厂处理后外排量不超过3000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判定入驻项目可行性。⑤禁止引进国家现行产业政策明令禁止或淘汰的产业及工艺，以及排污量较大、污染控制难度大，不符合园区大气总量控制原则、园区规划的项目。⑥淘汰每小时10蒸吨及以下燃煤锅炉，单台出力小于20蒸吨/小时的锅炉不得燃用《伊春市人民政府关于划定高污染燃料禁燃区的通告》中的高污染燃料，黑龙江铁力经济开发区限期淘汰每小时10吨及以下燃煤锅炉，单台出力小于 20 蒸吨/小时的锅炉不得燃用《伊春市人民政府关于划定高污染燃料禁燃区的通告》中的高污染燃料，根据当地生态环境局意见淘汰固定炉排式生物质锅炉及每小时2蒸吨及以下生物质锅炉。⑦不得引入有色金属冶炼、焦化项目。⑧不得引入《环境保护综合名录（2021年版）》中涉及的“高污染、高环境风险”产品行业。⑨不得以机械加工、铸造、铁合金等名义新增钢铁产能。</w:t>
                  </w:r>
                </w:p>
              </w:tc>
              <w:tc>
                <w:tcPr>
                  <w:tcW w:w="996" w:type="pct"/>
                  <w:noWrap w:val="0"/>
                  <w:vAlign w:val="center"/>
                </w:tcPr>
                <w:p w14:paraId="48247D7A">
                  <w:pPr>
                    <w:keepNext/>
                    <w:keepLines w:val="0"/>
                    <w:pageBreakBefore w:val="0"/>
                    <w:widowControl w:val="0"/>
                    <w:suppressLineNumbers w:val="0"/>
                    <w:spacing w:before="0" w:beforeAutospacing="0" w:after="0" w:afterAutospacing="0" w:line="240" w:lineRule="auto"/>
                    <w:ind w:left="0" w:right="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本项目不属于</w:t>
                  </w:r>
                  <w:r>
                    <w:rPr>
                      <w:rFonts w:hint="eastAsia" w:ascii="Times New Roman" w:hAnsi="Times New Roman" w:cs="Times New Roman"/>
                      <w:color w:val="auto"/>
                      <w:sz w:val="21"/>
                      <w:szCs w:val="21"/>
                      <w:highlight w:val="none"/>
                      <w:lang w:val="en-US" w:eastAsia="zh-CN"/>
                    </w:rPr>
                    <w:t>上述不得引入情况</w:t>
                  </w:r>
                  <w:r>
                    <w:rPr>
                      <w:rFonts w:hint="default" w:ascii="Times New Roman" w:hAnsi="Times New Roman" w:eastAsia="宋体" w:cs="Times New Roman"/>
                      <w:color w:val="auto"/>
                      <w:sz w:val="21"/>
                      <w:szCs w:val="21"/>
                      <w:highlight w:val="none"/>
                      <w:lang w:val="en-US" w:eastAsia="zh-CN"/>
                    </w:rPr>
                    <w:t>。</w:t>
                  </w:r>
                </w:p>
              </w:tc>
              <w:tc>
                <w:tcPr>
                  <w:tcW w:w="507" w:type="pct"/>
                  <w:noWrap w:val="0"/>
                  <w:vAlign w:val="center"/>
                </w:tcPr>
                <w:p w14:paraId="0279DD55">
                  <w:pPr>
                    <w:keepNext/>
                    <w:keepLines w:val="0"/>
                    <w:pageBreakBefore w:val="0"/>
                    <w:widowControl w:val="0"/>
                    <w:suppressLineNumbers w:val="0"/>
                    <w:spacing w:before="0" w:beforeAutospacing="0" w:after="0" w:afterAutospacing="0" w:line="240" w:lineRule="auto"/>
                    <w:ind w:left="0" w:right="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14:paraId="3DAC4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6" w:type="pct"/>
                  <w:noWrap w:val="0"/>
                  <w:vAlign w:val="center"/>
                </w:tcPr>
                <w:p w14:paraId="5084F605">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污染物排放管控</w:t>
                  </w:r>
                </w:p>
              </w:tc>
              <w:tc>
                <w:tcPr>
                  <w:tcW w:w="2960" w:type="pct"/>
                  <w:noWrap w:val="0"/>
                  <w:vAlign w:val="center"/>
                </w:tcPr>
                <w:p w14:paraId="24AE2C47">
                  <w:pPr>
                    <w:keepNext/>
                    <w:keepLines w:val="0"/>
                    <w:pageBreakBefore w:val="0"/>
                    <w:widowControl w:val="0"/>
                    <w:suppressLineNumbers w:val="0"/>
                    <w:spacing w:before="0" w:beforeAutospacing="0" w:after="0" w:afterAutospacing="0" w:line="240" w:lineRule="auto"/>
                    <w:ind w:left="0" w:right="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①不得引入不能满足大气防护距离、卫生防护距离内无常住居民要求的项目。②开发区各类废水经开发区污水处理厂处理后排入纳污水体的量不得超过3000m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d，化学需氧量和氨氮排放量不得超过54.75t/a和5.475t/a。③新、改、扩建金属采选及加工、轻工、纺织品制造、废旧资源加工再生等行业的项目，其主要污染物及有毒有害污染物排放不能实施倍量或减量置换的项目。④不得引入排放的废水无法满足园区污水处理厂进水要求的项目，排放“三致”污染物和难降解的有机污染物的项目，工艺废气中含有难处理的、有毒有害物质的项目，环境影响不可接受、环境风险和安全风险不可控的项目。⑤新建、扩建“两高”项目应采用先进适用的工艺技术和装备，单位产品物耗、能耗、水耗等达到清洁生产先进水平，依法制定并严格落实防治土壤与地下水污染的措施。⑥对于含有毒有害水污染物的工业废水和生活污水混合处理的污水处理厂产生的污泥，不能采用土地利用方式。⑦加强消耗臭氧层物质和氢氟碳化物环境管理，加强泡沫、制冷、氟化工等行业治理，逐步淘汰氢氯氟烃使用。⑧电镀废水外排的项目。</w:t>
                  </w:r>
                </w:p>
              </w:tc>
              <w:tc>
                <w:tcPr>
                  <w:tcW w:w="996" w:type="pct"/>
                  <w:noWrap w:val="0"/>
                  <w:vAlign w:val="center"/>
                </w:tcPr>
                <w:p w14:paraId="4DD3E552">
                  <w:pPr>
                    <w:keepNext/>
                    <w:keepLines w:val="0"/>
                    <w:pageBreakBefore w:val="0"/>
                    <w:widowControl w:val="0"/>
                    <w:suppressLineNumbers w:val="0"/>
                    <w:spacing w:before="0" w:beforeAutospacing="0" w:after="0" w:afterAutospacing="0" w:line="240" w:lineRule="auto"/>
                    <w:ind w:left="0" w:right="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w:t>
                  </w:r>
                  <w:r>
                    <w:rPr>
                      <w:rFonts w:hint="eastAsia" w:ascii="Times New Roman" w:hAnsi="Times New Roman" w:cs="Times New Roman"/>
                      <w:color w:val="auto"/>
                      <w:sz w:val="21"/>
                      <w:szCs w:val="21"/>
                      <w:highlight w:val="none"/>
                      <w:lang w:val="en-US" w:eastAsia="zh-CN"/>
                    </w:rPr>
                    <w:t>不属于上述污染物排放管控的情况</w:t>
                  </w:r>
                  <w:r>
                    <w:rPr>
                      <w:rFonts w:hint="default" w:ascii="Times New Roman" w:hAnsi="Times New Roman" w:eastAsia="宋体" w:cs="Times New Roman"/>
                      <w:color w:val="auto"/>
                      <w:sz w:val="21"/>
                      <w:szCs w:val="21"/>
                      <w:highlight w:val="none"/>
                      <w:lang w:val="en-US" w:eastAsia="zh-CN"/>
                    </w:rPr>
                    <w:t>。</w:t>
                  </w:r>
                </w:p>
              </w:tc>
              <w:tc>
                <w:tcPr>
                  <w:tcW w:w="507" w:type="pct"/>
                  <w:noWrap w:val="0"/>
                  <w:vAlign w:val="center"/>
                </w:tcPr>
                <w:p w14:paraId="0B0CDDF1">
                  <w:pPr>
                    <w:keepNext/>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14:paraId="3979E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6" w:type="pct"/>
                  <w:noWrap w:val="0"/>
                  <w:vAlign w:val="center"/>
                </w:tcPr>
                <w:p w14:paraId="6C1E4C50">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环境风险防控</w:t>
                  </w:r>
                </w:p>
              </w:tc>
              <w:tc>
                <w:tcPr>
                  <w:tcW w:w="2960" w:type="pct"/>
                  <w:noWrap w:val="0"/>
                  <w:vAlign w:val="center"/>
                </w:tcPr>
                <w:p w14:paraId="631496B1">
                  <w:pPr>
                    <w:keepNext/>
                    <w:keepLines w:val="0"/>
                    <w:pageBreakBefore w:val="0"/>
                    <w:widowControl w:val="0"/>
                    <w:suppressLineNumbers w:val="0"/>
                    <w:spacing w:before="0" w:beforeAutospacing="0" w:after="0" w:afterAutospacing="0" w:line="240" w:lineRule="auto"/>
                    <w:ind w:left="0" w:right="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①加强环境应急预案管理和风险预警。园区及园区内企业应当结合经营性质、规模、组织体系，建立健全环境应急预案体系，并强化企业、园区以及上级政府环境应急预案之间的衔接。加强环境应急预案演练、评估与修订。园区管理机构应当组织建设有毒有害气体环境风险预警体系，建设园区环境风险防范设施。②园区应建立危险源数据库，并动态更新。建立园区、企业、装置三级应急联动方案，强化区域环境风险应急防范能力。建设突发环境事件应急物资储备库；强化环境风险防控工作，突出全防全控，完善各项环境风险防范制度，确保将风险防范融入日常环境管理制度体系，加强执法监督，逐步实现对重点工业园区、重点企业和主要环境风险类型的动态监控。③在居住和工业企业混杂区域，应加强环境风险防控体系建设。</w:t>
                  </w:r>
                </w:p>
              </w:tc>
              <w:tc>
                <w:tcPr>
                  <w:tcW w:w="996" w:type="pct"/>
                  <w:noWrap w:val="0"/>
                  <w:vAlign w:val="center"/>
                </w:tcPr>
                <w:p w14:paraId="2740CF41">
                  <w:pPr>
                    <w:keepNext/>
                    <w:keepLines w:val="0"/>
                    <w:pageBreakBefore w:val="0"/>
                    <w:widowControl w:val="0"/>
                    <w:suppressLineNumbers w:val="0"/>
                    <w:spacing w:before="0" w:beforeAutospacing="0" w:after="0" w:afterAutospacing="0" w:line="240" w:lineRule="auto"/>
                    <w:ind w:left="0" w:right="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本企业制定突发环境事件应急预案，并与园区应急预案联动</w:t>
                  </w:r>
                  <w:r>
                    <w:rPr>
                      <w:rFonts w:hint="default" w:ascii="Times New Roman" w:hAnsi="Times New Roman" w:eastAsia="宋体" w:cs="Times New Roman"/>
                      <w:color w:val="auto"/>
                      <w:sz w:val="21"/>
                      <w:szCs w:val="21"/>
                      <w:highlight w:val="none"/>
                      <w:lang w:val="en-US" w:eastAsia="zh-CN"/>
                    </w:rPr>
                    <w:t>。</w:t>
                  </w:r>
                </w:p>
              </w:tc>
              <w:tc>
                <w:tcPr>
                  <w:tcW w:w="507" w:type="pct"/>
                  <w:noWrap w:val="0"/>
                  <w:vAlign w:val="center"/>
                </w:tcPr>
                <w:p w14:paraId="6B63653F">
                  <w:pPr>
                    <w:keepNext/>
                    <w:keepLines w:val="0"/>
                    <w:pageBreakBefore w:val="0"/>
                    <w:widowControl w:val="0"/>
                    <w:suppressLineNumbers w:val="0"/>
                    <w:spacing w:before="0" w:beforeAutospacing="0" w:after="0" w:afterAutospacing="0" w:line="240" w:lineRule="auto"/>
                    <w:ind w:left="0" w:right="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14:paraId="2ECEC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6" w:type="pct"/>
                  <w:noWrap w:val="0"/>
                  <w:vAlign w:val="center"/>
                </w:tcPr>
                <w:p w14:paraId="02E549A1">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资源开发率要求</w:t>
                  </w:r>
                </w:p>
              </w:tc>
              <w:tc>
                <w:tcPr>
                  <w:tcW w:w="2960" w:type="pct"/>
                  <w:noWrap w:val="0"/>
                  <w:vAlign w:val="center"/>
                </w:tcPr>
                <w:p w14:paraId="289FB89D">
                  <w:pPr>
                    <w:keepNext/>
                    <w:keepLines w:val="0"/>
                    <w:pageBreakBefore w:val="0"/>
                    <w:widowControl w:val="0"/>
                    <w:suppressLineNumbers w:val="0"/>
                    <w:spacing w:before="0" w:beforeAutospacing="0" w:after="0" w:afterAutospacing="0" w:line="240" w:lineRule="auto"/>
                    <w:ind w:left="0" w:right="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①高污染燃料禁燃区禁止销售、燃用高污染燃料。②高污染燃料禁燃区禁止新建、改建、扩建任何燃用高污染燃料的项目和设备（城市集中供热应急、调峰锅炉除外）。③高污染燃料禁燃区已建成使用高污染燃料的各类设备应当拆除或者改用管道天然气、页岩气、液化石油气、电或者其他清洁能源。④高污染燃料禁燃区现有燃用高污染燃料设备在拆除或改造之前，应确保排放的大气污染物达到国家规定的大气污染物排放标准。⑤禁止地下水超采区工业建设项目和服务业新增取用地下水。⑥全面推行清洁生产，依法在“双超双有高耗能”行业实施强制性清洁生产审核。落实最严格的水资源管理制度，实行水资源消耗总量和强度双控。⑦全面推行清洁生产，依法在“双超双有高耗能”行业实施强制性清洁生产审核。</w:t>
                  </w:r>
                </w:p>
              </w:tc>
              <w:tc>
                <w:tcPr>
                  <w:tcW w:w="996" w:type="pct"/>
                  <w:noWrap w:val="0"/>
                  <w:vAlign w:val="center"/>
                </w:tcPr>
                <w:p w14:paraId="5819168C">
                  <w:pPr>
                    <w:keepNext/>
                    <w:keepLines w:val="0"/>
                    <w:pageBreakBefore w:val="0"/>
                    <w:widowControl w:val="0"/>
                    <w:suppressLineNumbers w:val="0"/>
                    <w:spacing w:before="0" w:beforeAutospacing="0" w:after="0" w:afterAutospacing="0" w:line="240" w:lineRule="auto"/>
                    <w:ind w:left="0" w:right="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w:t>
                  </w:r>
                  <w:r>
                    <w:rPr>
                      <w:rFonts w:hint="eastAsia" w:ascii="Times New Roman" w:hAnsi="Times New Roman" w:cs="Times New Roman"/>
                      <w:color w:val="auto"/>
                      <w:sz w:val="21"/>
                      <w:szCs w:val="21"/>
                      <w:highlight w:val="none"/>
                      <w:lang w:val="en-US" w:eastAsia="zh-CN"/>
                    </w:rPr>
                    <w:t>不属于上述资源开发率要求项目</w:t>
                  </w:r>
                  <w:r>
                    <w:rPr>
                      <w:rFonts w:hint="default" w:ascii="Times New Roman" w:hAnsi="Times New Roman" w:eastAsia="宋体" w:cs="Times New Roman"/>
                      <w:color w:val="auto"/>
                      <w:sz w:val="21"/>
                      <w:szCs w:val="21"/>
                      <w:highlight w:val="none"/>
                      <w:lang w:val="en-US" w:eastAsia="zh-CN"/>
                    </w:rPr>
                    <w:t>。</w:t>
                  </w:r>
                </w:p>
              </w:tc>
              <w:tc>
                <w:tcPr>
                  <w:tcW w:w="507" w:type="pct"/>
                  <w:noWrap w:val="0"/>
                  <w:vAlign w:val="center"/>
                </w:tcPr>
                <w:p w14:paraId="12F0D937">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14:paraId="37F76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6" w:type="pct"/>
                  <w:noWrap w:val="0"/>
                  <w:vAlign w:val="center"/>
                </w:tcPr>
                <w:p w14:paraId="2F4592D0">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装备制造及矿产精深加工区</w:t>
                  </w:r>
                </w:p>
                <w:p w14:paraId="0D259688">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金属制品业 C33</w:t>
                  </w:r>
                </w:p>
              </w:tc>
              <w:tc>
                <w:tcPr>
                  <w:tcW w:w="2960" w:type="pct"/>
                  <w:noWrap w:val="0"/>
                  <w:vAlign w:val="center"/>
                </w:tcPr>
                <w:p w14:paraId="575802C0">
                  <w:pPr>
                    <w:keepNext/>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left"/>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不允许新建电镀项目。</w:t>
                  </w:r>
                </w:p>
                <w:p w14:paraId="2BA85F11">
                  <w:pPr>
                    <w:keepNext/>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left"/>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 xml:space="preserve">新建项目仅限布局在点状开发城镇产业园区。 </w:t>
                  </w:r>
                </w:p>
                <w:p w14:paraId="2AB8699F">
                  <w:pPr>
                    <w:keepNext/>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left"/>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新建项目要采用国内先进的生产工艺和环保措施。</w:t>
                  </w:r>
                </w:p>
              </w:tc>
              <w:tc>
                <w:tcPr>
                  <w:tcW w:w="996" w:type="pct"/>
                  <w:noWrap w:val="0"/>
                  <w:vAlign w:val="center"/>
                </w:tcPr>
                <w:p w14:paraId="5A0AD64B">
                  <w:pPr>
                    <w:keepNext/>
                    <w:keepLines w:val="0"/>
                    <w:pageBreakBefore w:val="0"/>
                    <w:widowControl w:val="0"/>
                    <w:suppressLineNumbers w:val="0"/>
                    <w:spacing w:before="0" w:beforeAutospacing="0" w:after="0" w:afterAutospacing="0" w:line="240" w:lineRule="auto"/>
                    <w:ind w:left="0" w:right="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项目采用铁模覆砂（水玻璃砂）工艺属于先进铸造工艺，是金属型与砂型结合的复合工艺，在精度、效率、环保与性能上显著优于传统粘土砂/树脂砂，被行业认定为绿色高效的先进技术。本项目采用的环保措施均属于可行性技术。</w:t>
                  </w:r>
                </w:p>
              </w:tc>
              <w:tc>
                <w:tcPr>
                  <w:tcW w:w="507" w:type="pct"/>
                  <w:noWrap w:val="0"/>
                  <w:vAlign w:val="center"/>
                </w:tcPr>
                <w:p w14:paraId="33934BAB">
                  <w:pPr>
                    <w:keepNext/>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bl>
          <w:p w14:paraId="6C63A2FA">
            <w:pPr>
              <w:pStyle w:val="19"/>
              <w:keepNext/>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4"/>
                <w:szCs w:val="24"/>
                <w:highlight w:val="none"/>
                <w:u w:val="none"/>
                <w:lang w:eastAsia="zh-CN"/>
              </w:rPr>
              <w:t>综上</w:t>
            </w:r>
            <w:r>
              <w:rPr>
                <w:rFonts w:hint="default" w:ascii="Times New Roman" w:hAnsi="Times New Roman" w:eastAsia="宋体" w:cs="Times New Roman"/>
                <w:color w:val="auto"/>
                <w:sz w:val="24"/>
                <w:szCs w:val="24"/>
                <w:highlight w:val="none"/>
                <w:u w:val="none"/>
                <w:lang w:val="en-US" w:eastAsia="zh-CN"/>
              </w:rPr>
              <w:t>所述</w:t>
            </w:r>
            <w:r>
              <w:rPr>
                <w:rFonts w:hint="default" w:ascii="Times New Roman" w:hAnsi="Times New Roman" w:eastAsia="宋体" w:cs="Times New Roman"/>
                <w:color w:val="auto"/>
                <w:sz w:val="24"/>
                <w:szCs w:val="24"/>
                <w:highlight w:val="none"/>
                <w:u w:val="none"/>
                <w:lang w:eastAsia="zh-CN"/>
              </w:rPr>
              <w:t>，本项目</w:t>
            </w:r>
            <w:r>
              <w:rPr>
                <w:rFonts w:hint="default" w:ascii="Times New Roman" w:hAnsi="Times New Roman" w:eastAsia="宋体" w:cs="Times New Roman"/>
                <w:color w:val="auto"/>
                <w:sz w:val="24"/>
                <w:szCs w:val="24"/>
                <w:highlight w:val="none"/>
                <w:u w:val="none"/>
                <w:lang w:val="en-US" w:eastAsia="zh-CN"/>
              </w:rPr>
              <w:t>符合《黑龙江铁力经济开发区总体规划（2021—2030年）环境影响报告书》中产业发展负面清单相关要求</w:t>
            </w:r>
            <w:r>
              <w:rPr>
                <w:rFonts w:hint="default" w:ascii="Times New Roman" w:hAnsi="Times New Roman" w:eastAsia="宋体" w:cs="Times New Roman"/>
                <w:color w:val="auto"/>
                <w:sz w:val="24"/>
                <w:szCs w:val="24"/>
                <w:highlight w:val="none"/>
                <w:u w:val="none"/>
                <w:lang w:eastAsia="zh-CN"/>
              </w:rPr>
              <w:t>。</w:t>
            </w:r>
          </w:p>
        </w:tc>
      </w:tr>
      <w:tr w14:paraId="23EBBF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739" w:type="pct"/>
            <w:noWrap w:val="0"/>
            <w:vAlign w:val="center"/>
          </w:tcPr>
          <w:p w14:paraId="662EFCA4">
            <w:pPr>
              <w:keepNext/>
              <w:keepLines w:val="0"/>
              <w:pageBreakBefore w:val="0"/>
              <w:widowControl w:val="0"/>
              <w:suppressLineNumbers w:val="0"/>
              <w:spacing w:before="0" w:beforeAutospacing="0" w:after="0" w:afterAutospacing="0"/>
              <w:ind w:left="-72" w:right="-72"/>
              <w:jc w:val="center"/>
              <w:rPr>
                <w:rFonts w:hint="default" w:ascii="Times New Roman" w:hAnsi="Times New Roman" w:eastAsia="宋体" w:cs="Times New Roman"/>
                <w:b/>
                <w:bCs/>
                <w:color w:val="auto"/>
                <w:sz w:val="24"/>
                <w:highlight w:val="none"/>
                <w:u w:val="none"/>
              </w:rPr>
            </w:pPr>
            <w:r>
              <w:rPr>
                <w:rFonts w:hint="default" w:ascii="Times New Roman" w:hAnsi="Times New Roman" w:eastAsia="宋体" w:cs="Times New Roman"/>
                <w:b/>
                <w:bCs/>
                <w:color w:val="auto"/>
                <w:sz w:val="24"/>
                <w:highlight w:val="none"/>
                <w:u w:val="none"/>
                <w:lang w:eastAsia="zh-CN"/>
              </w:rPr>
              <w:t>其他符合性分析</w:t>
            </w:r>
          </w:p>
        </w:tc>
        <w:tc>
          <w:tcPr>
            <w:tcW w:w="4260" w:type="pct"/>
            <w:gridSpan w:val="4"/>
            <w:noWrap w:val="0"/>
            <w:vAlign w:val="top"/>
          </w:tcPr>
          <w:p w14:paraId="273FFAB3">
            <w:pPr>
              <w:keepNext/>
              <w:keepLines w:val="0"/>
              <w:pageBreakBefore w:val="0"/>
              <w:widowControl w:val="0"/>
              <w:suppressLineNumbers w:val="0"/>
              <w:spacing w:before="0" w:beforeAutospacing="0" w:after="0" w:afterAutospacing="0"/>
              <w:ind w:left="0" w:right="0" w:firstLine="482" w:firstLineChars="200"/>
              <w:jc w:val="both"/>
              <w:rPr>
                <w:rFonts w:hint="default" w:ascii="Times New Roman" w:hAnsi="Times New Roman" w:eastAsia="宋体" w:cs="Times New Roman"/>
                <w:b/>
                <w:bCs/>
                <w:color w:val="auto"/>
                <w:sz w:val="24"/>
                <w:szCs w:val="24"/>
                <w:highlight w:val="none"/>
              </w:rPr>
            </w:pPr>
            <w:r>
              <w:rPr>
                <w:rFonts w:hint="eastAsia" w:ascii="Times New Roman" w:hAnsi="Times New Roman"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rPr>
              <w:t>产业政策分析</w:t>
            </w:r>
          </w:p>
          <w:p w14:paraId="2EFC0F79">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spacing w:val="0"/>
                <w:kern w:val="2"/>
                <w:sz w:val="24"/>
                <w:szCs w:val="24"/>
                <w:lang w:val="en-US" w:eastAsia="zh-CN" w:bidi="ar"/>
              </w:rPr>
              <w:t>本项目行业类别为“C3391黑色金属铸造”</w:t>
            </w:r>
            <w:r>
              <w:rPr>
                <w:rFonts w:hint="default" w:ascii="Times New Roman" w:hAnsi="Times New Roman" w:cs="Times New Roman"/>
                <w:color w:val="auto"/>
                <w:spacing w:val="0"/>
                <w:kern w:val="2"/>
                <w:sz w:val="24"/>
                <w:szCs w:val="24"/>
                <w:lang w:val="en-US" w:eastAsia="zh-CN" w:bidi="ar"/>
              </w:rPr>
              <w:t>，本项目采用铁模覆砂（水玻璃砂）</w:t>
            </w:r>
            <w:r>
              <w:rPr>
                <w:rFonts w:hint="eastAsia" w:ascii="Times New Roman" w:hAnsi="Times New Roman" w:cs="Times New Roman"/>
                <w:color w:val="auto"/>
                <w:spacing w:val="0"/>
                <w:kern w:val="2"/>
                <w:sz w:val="24"/>
                <w:szCs w:val="24"/>
                <w:lang w:val="en-US" w:eastAsia="zh-CN" w:bidi="ar"/>
              </w:rPr>
              <w:t>铸造工艺</w:t>
            </w:r>
            <w:r>
              <w:rPr>
                <w:rFonts w:hint="default" w:ascii="Times New Roman" w:hAnsi="Times New Roman" w:cs="Times New Roman"/>
                <w:color w:val="auto"/>
                <w:spacing w:val="0"/>
                <w:kern w:val="2"/>
                <w:sz w:val="24"/>
                <w:szCs w:val="24"/>
                <w:lang w:val="en-US" w:eastAsia="zh-CN" w:bidi="ar"/>
              </w:rPr>
              <w:t>，本项目属于《产业结构调整指导目录（2024 年本）》鼓励类第十四条“机械”中第4款中“无机粘结剂造型和制芯技术及设备”，配套带磁轭有芯中频感应电炉</w:t>
            </w:r>
            <w:r>
              <w:rPr>
                <w:rFonts w:hint="default" w:ascii="Times New Roman" w:hAnsi="Times New Roman" w:eastAsia="宋体" w:cs="Times New Roman"/>
                <w:b w:val="0"/>
                <w:bCs w:val="0"/>
                <w:color w:val="auto"/>
                <w:kern w:val="2"/>
                <w:sz w:val="24"/>
                <w:szCs w:val="24"/>
                <w:lang w:val="en-US" w:eastAsia="zh-CN" w:bidi="ar"/>
              </w:rPr>
              <w:t>，因此本项目符合国家产业政策要求。</w:t>
            </w:r>
          </w:p>
          <w:p w14:paraId="7ADCE04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kern w:val="2"/>
                <w:sz w:val="21"/>
                <w:szCs w:val="21"/>
                <w:lang w:val="en-US" w:eastAsia="zh-CN" w:bidi="ar"/>
              </w:rPr>
            </w:pPr>
            <w:r>
              <w:rPr>
                <w:rFonts w:hint="default" w:ascii="Times New Roman" w:hAnsi="Times New Roman" w:eastAsia="宋体" w:cs="Times New Roman"/>
                <w:b/>
                <w:color w:val="auto"/>
                <w:kern w:val="2"/>
                <w:sz w:val="21"/>
                <w:szCs w:val="21"/>
                <w:lang w:val="en-US" w:eastAsia="zh-CN" w:bidi="ar"/>
              </w:rPr>
              <w:t>表1-5 产业政策相符性分析</w:t>
            </w:r>
          </w:p>
          <w:tbl>
            <w:tblPr>
              <w:tblStyle w:val="57"/>
              <w:tblW w:w="495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11"/>
              <w:gridCol w:w="3598"/>
              <w:gridCol w:w="2513"/>
              <w:gridCol w:w="812"/>
            </w:tblGrid>
            <w:tr w14:paraId="222545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14" w:type="dxa"/>
                  <w:tcBorders>
                    <w:top w:val="single" w:color="auto" w:sz="12" w:space="0"/>
                    <w:left w:val="single" w:color="auto" w:sz="12" w:space="0"/>
                    <w:bottom w:val="single" w:color="auto" w:sz="4" w:space="0"/>
                    <w:right w:val="single" w:color="auto" w:sz="4" w:space="0"/>
                  </w:tcBorders>
                  <w:shd w:val="clear" w:color="auto" w:fill="auto"/>
                  <w:vAlign w:val="center"/>
                </w:tcPr>
                <w:p w14:paraId="47512F04">
                  <w:pPr>
                    <w:pStyle w:val="391"/>
                    <w:widowControl/>
                    <w:spacing w:line="240" w:lineRule="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类别</w:t>
                  </w:r>
                </w:p>
              </w:tc>
              <w:tc>
                <w:tcPr>
                  <w:tcW w:w="3617" w:type="dxa"/>
                  <w:tcBorders>
                    <w:top w:val="single" w:color="auto" w:sz="12" w:space="0"/>
                    <w:left w:val="single" w:color="auto" w:sz="4" w:space="0"/>
                    <w:bottom w:val="single" w:color="auto" w:sz="4" w:space="0"/>
                    <w:right w:val="single" w:color="auto" w:sz="4" w:space="0"/>
                  </w:tcBorders>
                  <w:shd w:val="clear" w:color="auto" w:fill="auto"/>
                  <w:vAlign w:val="center"/>
                </w:tcPr>
                <w:p w14:paraId="36CD2592">
                  <w:pPr>
                    <w:pStyle w:val="391"/>
                    <w:widowControl/>
                    <w:spacing w:line="240" w:lineRule="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内容</w:t>
                  </w:r>
                </w:p>
              </w:tc>
              <w:tc>
                <w:tcPr>
                  <w:tcW w:w="2526" w:type="dxa"/>
                  <w:tcBorders>
                    <w:top w:val="single" w:color="auto" w:sz="12" w:space="0"/>
                    <w:left w:val="single" w:color="auto" w:sz="4" w:space="0"/>
                    <w:bottom w:val="single" w:color="auto" w:sz="4" w:space="0"/>
                    <w:right w:val="single" w:color="auto" w:sz="4" w:space="0"/>
                  </w:tcBorders>
                  <w:shd w:val="clear" w:color="auto" w:fill="auto"/>
                  <w:vAlign w:val="center"/>
                </w:tcPr>
                <w:p w14:paraId="200AC470">
                  <w:pPr>
                    <w:pStyle w:val="391"/>
                    <w:widowControl/>
                    <w:spacing w:line="240" w:lineRule="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本项目情况</w:t>
                  </w:r>
                </w:p>
              </w:tc>
              <w:tc>
                <w:tcPr>
                  <w:tcW w:w="816" w:type="dxa"/>
                  <w:tcBorders>
                    <w:top w:val="single" w:color="auto" w:sz="12" w:space="0"/>
                    <w:left w:val="single" w:color="auto" w:sz="4" w:space="0"/>
                    <w:bottom w:val="single" w:color="auto" w:sz="4" w:space="0"/>
                    <w:right w:val="single" w:color="auto" w:sz="12" w:space="0"/>
                  </w:tcBorders>
                  <w:shd w:val="clear" w:color="auto" w:fill="auto"/>
                  <w:vAlign w:val="center"/>
                </w:tcPr>
                <w:p w14:paraId="27F6E8C2">
                  <w:pPr>
                    <w:pStyle w:val="391"/>
                    <w:widowControl/>
                    <w:spacing w:line="240" w:lineRule="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结论</w:t>
                  </w:r>
                </w:p>
              </w:tc>
            </w:tr>
            <w:tr w14:paraId="492445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14" w:type="dxa"/>
                  <w:tcBorders>
                    <w:top w:val="single" w:color="auto" w:sz="4" w:space="0"/>
                    <w:left w:val="single" w:color="auto" w:sz="12" w:space="0"/>
                    <w:bottom w:val="single" w:color="auto" w:sz="4" w:space="0"/>
                    <w:right w:val="single" w:color="auto" w:sz="4" w:space="0"/>
                  </w:tcBorders>
                  <w:shd w:val="clear" w:color="auto" w:fill="auto"/>
                  <w:vAlign w:val="center"/>
                </w:tcPr>
                <w:p w14:paraId="5339428C">
                  <w:pPr>
                    <w:pStyle w:val="391"/>
                    <w:widowControl/>
                    <w:spacing w:line="240" w:lineRule="auto"/>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鼓励类</w:t>
                  </w:r>
                </w:p>
              </w:tc>
              <w:tc>
                <w:tcPr>
                  <w:tcW w:w="3617" w:type="dxa"/>
                  <w:tcBorders>
                    <w:top w:val="single" w:color="auto" w:sz="4" w:space="0"/>
                    <w:left w:val="single" w:color="auto" w:sz="4" w:space="0"/>
                    <w:bottom w:val="single" w:color="auto" w:sz="4" w:space="0"/>
                    <w:right w:val="single" w:color="auto" w:sz="4" w:space="0"/>
                  </w:tcBorders>
                  <w:shd w:val="clear" w:color="auto" w:fill="auto"/>
                  <w:vAlign w:val="center"/>
                </w:tcPr>
                <w:p w14:paraId="06728FE2">
                  <w:pPr>
                    <w:pStyle w:val="391"/>
                    <w:widowControl/>
                    <w:spacing w:line="240" w:lineRule="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铸造装备</w:t>
                  </w:r>
                  <w:r>
                    <w:rPr>
                      <w:rFonts w:hint="eastAsia"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en-US" w:eastAsia="zh-CN"/>
                    </w:rPr>
                    <w:t>高紧实度粘土砂铸造成套装备，高效自硬砂铸造成套设备，消失模V法/实型铸造工艺及装备，壳型铸造、精密组芯造型、硅溶胶熔模精密铸造工艺及装备，砂型3D打印/切削快速成型工艺与装备，轻合金高压/低压/挤压/差压/半固态等铸造工艺与装备，自动化智能制芯设备，外热风水冷长炉龄大吨位</w:t>
                  </w:r>
                  <w:r>
                    <w:rPr>
                      <w:rFonts w:hint="eastAsia"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en-US" w:eastAsia="zh-CN"/>
                    </w:rPr>
                    <w:t>10吨/小时以上</w:t>
                  </w:r>
                  <w:r>
                    <w:rPr>
                      <w:rFonts w:hint="eastAsia"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en-US" w:eastAsia="zh-CN"/>
                    </w:rPr>
                    <w:t>冲天炉，高温合金真空熔炼定向凝固设备，钛合金真空感应熔化设备，金属液自动化转运及定量浇注设备，金属液</w:t>
                  </w:r>
                  <w:r>
                    <w:rPr>
                      <w:rFonts w:hint="eastAsia"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en-US" w:eastAsia="zh-CN"/>
                    </w:rPr>
                    <w:t>铸铁、铸铝</w:t>
                  </w:r>
                  <w:r>
                    <w:rPr>
                      <w:rFonts w:hint="eastAsia"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en-US" w:eastAsia="zh-CN"/>
                    </w:rPr>
                    <w:t>短流程铸造工艺与设备，铸件高效自动化清理成套设备，铸造专用机器人</w:t>
                  </w:r>
                  <w:r>
                    <w:rPr>
                      <w:rFonts w:hint="eastAsia"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en-US" w:eastAsia="zh-CN"/>
                    </w:rPr>
                    <w:t>铸造用树脂砂、粘土砂等再生循环利用技术及设备，环保树脂、无机粘结剂造型和制芯技术及设备</w:t>
                  </w:r>
                  <w:r>
                    <w:rPr>
                      <w:rFonts w:hint="eastAsia" w:cs="Times New Roman"/>
                      <w:color w:val="auto"/>
                      <w:kern w:val="0"/>
                      <w:sz w:val="21"/>
                      <w:szCs w:val="21"/>
                      <w:lang w:val="en-US" w:eastAsia="zh-CN"/>
                    </w:rPr>
                    <w:t>。</w:t>
                  </w:r>
                </w:p>
              </w:tc>
              <w:tc>
                <w:tcPr>
                  <w:tcW w:w="2526" w:type="dxa"/>
                  <w:tcBorders>
                    <w:top w:val="single" w:color="auto" w:sz="4" w:space="0"/>
                    <w:left w:val="single" w:color="auto" w:sz="4" w:space="0"/>
                    <w:bottom w:val="single" w:color="auto" w:sz="4" w:space="0"/>
                    <w:right w:val="single" w:color="auto" w:sz="4" w:space="0"/>
                  </w:tcBorders>
                  <w:shd w:val="clear" w:color="auto" w:fill="auto"/>
                  <w:vAlign w:val="center"/>
                </w:tcPr>
                <w:p w14:paraId="59561AC0">
                  <w:pPr>
                    <w:pStyle w:val="391"/>
                    <w:widowControl/>
                    <w:spacing w:line="240" w:lineRule="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铁模覆砂（水玻璃砂）工艺未在《产业结构调整指导目录（2024 年本）》中单列，但采用无机粘结剂，具备旧砂再生回用能力，符合“鼓励类—机械—铸造装备—无机粘结剂造型和制芯技术及设备”条款，属于国家鼓励的先进、绿色铸造工艺</w:t>
                  </w:r>
                  <w:r>
                    <w:rPr>
                      <w:rFonts w:hint="eastAsia" w:cs="Times New Roman"/>
                      <w:color w:val="auto"/>
                      <w:kern w:val="0"/>
                      <w:sz w:val="21"/>
                      <w:szCs w:val="21"/>
                      <w:lang w:val="en-US" w:eastAsia="zh-CN"/>
                    </w:rPr>
                    <w:t>。</w:t>
                  </w:r>
                </w:p>
              </w:tc>
              <w:tc>
                <w:tcPr>
                  <w:tcW w:w="816" w:type="dxa"/>
                  <w:tcBorders>
                    <w:top w:val="single" w:color="auto" w:sz="4" w:space="0"/>
                    <w:left w:val="single" w:color="auto" w:sz="4" w:space="0"/>
                    <w:bottom w:val="single" w:color="auto" w:sz="4" w:space="0"/>
                    <w:right w:val="single" w:color="auto" w:sz="12" w:space="0"/>
                  </w:tcBorders>
                  <w:shd w:val="clear" w:color="auto" w:fill="auto"/>
                  <w:vAlign w:val="center"/>
                </w:tcPr>
                <w:p w14:paraId="0A3F71C8">
                  <w:pPr>
                    <w:pStyle w:val="391"/>
                    <w:widowControl/>
                    <w:spacing w:line="240" w:lineRule="auto"/>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属于鼓励类</w:t>
                  </w:r>
                </w:p>
              </w:tc>
            </w:tr>
            <w:tr w14:paraId="58DDEB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14" w:type="dxa"/>
                  <w:tcBorders>
                    <w:top w:val="single" w:color="auto" w:sz="4" w:space="0"/>
                    <w:left w:val="single" w:color="auto" w:sz="12" w:space="0"/>
                    <w:bottom w:val="single" w:color="auto" w:sz="4" w:space="0"/>
                    <w:right w:val="single" w:color="auto" w:sz="4" w:space="0"/>
                  </w:tcBorders>
                  <w:shd w:val="clear" w:color="auto" w:fill="auto"/>
                  <w:vAlign w:val="center"/>
                </w:tcPr>
                <w:p w14:paraId="4E862E87">
                  <w:pPr>
                    <w:pStyle w:val="391"/>
                    <w:widowControl/>
                    <w:spacing w:line="240" w:lineRule="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限制类</w:t>
                  </w:r>
                </w:p>
              </w:tc>
              <w:tc>
                <w:tcPr>
                  <w:tcW w:w="3617" w:type="dxa"/>
                  <w:tcBorders>
                    <w:top w:val="single" w:color="auto" w:sz="4" w:space="0"/>
                    <w:left w:val="single" w:color="auto" w:sz="4" w:space="0"/>
                    <w:bottom w:val="single" w:color="auto" w:sz="4" w:space="0"/>
                    <w:right w:val="single" w:color="auto" w:sz="4" w:space="0"/>
                  </w:tcBorders>
                  <w:shd w:val="clear" w:color="auto" w:fill="auto"/>
                  <w:vAlign w:val="center"/>
                </w:tcPr>
                <w:p w14:paraId="592BB929">
                  <w:pPr>
                    <w:pStyle w:val="391"/>
                    <w:widowControl/>
                    <w:spacing w:line="240" w:lineRule="auto"/>
                    <w:rPr>
                      <w:rFonts w:hint="eastAsia" w:cs="Times New Roman"/>
                      <w:color w:val="auto"/>
                      <w:kern w:val="0"/>
                      <w:sz w:val="21"/>
                      <w:szCs w:val="21"/>
                      <w:lang w:val="en-US" w:eastAsia="zh-CN"/>
                    </w:rPr>
                  </w:pPr>
                  <w:r>
                    <w:rPr>
                      <w:rFonts w:hint="eastAsia" w:cs="Times New Roman"/>
                      <w:color w:val="auto"/>
                      <w:kern w:val="0"/>
                      <w:sz w:val="21"/>
                      <w:szCs w:val="21"/>
                      <w:lang w:val="en-US" w:eastAsia="zh-CN"/>
                    </w:rPr>
                    <w:t>无旧砂再生的水玻璃砂造型制芯工艺。</w:t>
                  </w:r>
                </w:p>
                <w:p w14:paraId="565E021D">
                  <w:pPr>
                    <w:pStyle w:val="391"/>
                    <w:widowControl/>
                    <w:spacing w:line="240" w:lineRule="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不采用自动化造型设备的粘土砂型铸造项目、水玻璃熔模精密铸造项目、规模小于20万吨/年的离心球墨铸铁管项目、规模小于3万吨/年的离心灰铸铁管项目</w:t>
                  </w:r>
                  <w:r>
                    <w:rPr>
                      <w:rFonts w:hint="eastAsia" w:cs="Times New Roman"/>
                      <w:color w:val="auto"/>
                      <w:kern w:val="0"/>
                      <w:sz w:val="21"/>
                      <w:szCs w:val="21"/>
                      <w:lang w:val="en-US" w:eastAsia="zh-CN"/>
                    </w:rPr>
                    <w:t>。</w:t>
                  </w:r>
                </w:p>
              </w:tc>
              <w:tc>
                <w:tcPr>
                  <w:tcW w:w="2526" w:type="dxa"/>
                  <w:tcBorders>
                    <w:top w:val="single" w:color="auto" w:sz="4" w:space="0"/>
                    <w:left w:val="single" w:color="auto" w:sz="4" w:space="0"/>
                    <w:bottom w:val="single" w:color="auto" w:sz="4" w:space="0"/>
                    <w:right w:val="single" w:color="auto" w:sz="4" w:space="0"/>
                  </w:tcBorders>
                  <w:shd w:val="clear" w:color="auto" w:fill="auto"/>
                  <w:vAlign w:val="center"/>
                </w:tcPr>
                <w:p w14:paraId="73369E1B">
                  <w:pPr>
                    <w:pStyle w:val="391"/>
                    <w:widowControl/>
                    <w:spacing w:line="240" w:lineRule="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不属于，该工艺不属于限制类（限制类为无再生的水玻璃砂工艺）。</w:t>
                  </w:r>
                </w:p>
              </w:tc>
              <w:tc>
                <w:tcPr>
                  <w:tcW w:w="816" w:type="dxa"/>
                  <w:tcBorders>
                    <w:top w:val="single" w:color="auto" w:sz="4" w:space="0"/>
                    <w:left w:val="single" w:color="auto" w:sz="4" w:space="0"/>
                    <w:bottom w:val="single" w:color="auto" w:sz="4" w:space="0"/>
                    <w:right w:val="single" w:color="auto" w:sz="12" w:space="0"/>
                  </w:tcBorders>
                  <w:shd w:val="clear" w:color="auto" w:fill="auto"/>
                  <w:vAlign w:val="center"/>
                </w:tcPr>
                <w:p w14:paraId="49239B05">
                  <w:pPr>
                    <w:pStyle w:val="391"/>
                    <w:widowControl/>
                    <w:spacing w:line="240" w:lineRule="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不属于限制类</w:t>
                  </w:r>
                </w:p>
              </w:tc>
            </w:tr>
            <w:tr w14:paraId="4305B0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614" w:type="dxa"/>
                  <w:vMerge w:val="restart"/>
                  <w:tcBorders>
                    <w:top w:val="single" w:color="auto" w:sz="4" w:space="0"/>
                    <w:left w:val="single" w:color="auto" w:sz="12" w:space="0"/>
                    <w:bottom w:val="single" w:color="auto" w:sz="4" w:space="0"/>
                    <w:right w:val="single" w:color="auto" w:sz="4" w:space="0"/>
                  </w:tcBorders>
                  <w:shd w:val="clear" w:color="auto" w:fill="auto"/>
                  <w:vAlign w:val="center"/>
                </w:tcPr>
                <w:p w14:paraId="0FDBC34A">
                  <w:pPr>
                    <w:pStyle w:val="391"/>
                    <w:widowControl/>
                    <w:spacing w:line="240" w:lineRule="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禁止类</w:t>
                  </w:r>
                </w:p>
              </w:tc>
              <w:tc>
                <w:tcPr>
                  <w:tcW w:w="3617" w:type="dxa"/>
                  <w:tcBorders>
                    <w:top w:val="single" w:color="auto" w:sz="4" w:space="0"/>
                    <w:left w:val="single" w:color="auto" w:sz="4" w:space="0"/>
                    <w:bottom w:val="single" w:color="auto" w:sz="4" w:space="0"/>
                    <w:right w:val="single" w:color="auto" w:sz="4" w:space="0"/>
                  </w:tcBorders>
                  <w:shd w:val="clear" w:color="auto" w:fill="auto"/>
                  <w:vAlign w:val="center"/>
                </w:tcPr>
                <w:p w14:paraId="727C8019">
                  <w:pPr>
                    <w:pStyle w:val="391"/>
                    <w:widowControl/>
                    <w:spacing w:line="240" w:lineRule="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无磁轭</w:t>
                  </w:r>
                  <w:r>
                    <w:rPr>
                      <w:rFonts w:hint="eastAsia"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en-US" w:eastAsia="zh-CN"/>
                    </w:rPr>
                    <w:t>≥0.25吨</w:t>
                  </w:r>
                  <w:r>
                    <w:rPr>
                      <w:rFonts w:hint="eastAsia"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en-US" w:eastAsia="zh-CN"/>
                    </w:rPr>
                    <w:t>铝壳中频感应电炉</w:t>
                  </w:r>
                </w:p>
              </w:tc>
              <w:tc>
                <w:tcPr>
                  <w:tcW w:w="252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43B3C6C">
                  <w:pPr>
                    <w:pStyle w:val="391"/>
                    <w:widowControl/>
                    <w:spacing w:line="240" w:lineRule="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不属于，本项目使用</w:t>
                  </w:r>
                  <w:r>
                    <w:rPr>
                      <w:rFonts w:hint="eastAsia" w:cs="Times New Roman"/>
                      <w:color w:val="auto"/>
                      <w:kern w:val="0"/>
                      <w:sz w:val="21"/>
                      <w:szCs w:val="21"/>
                      <w:lang w:val="en-US" w:eastAsia="zh-CN"/>
                    </w:rPr>
                    <w:t>2</w:t>
                  </w:r>
                  <w:r>
                    <w:rPr>
                      <w:rFonts w:hint="default" w:ascii="Times New Roman" w:hAnsi="Times New Roman" w:cs="Times New Roman"/>
                      <w:color w:val="auto"/>
                      <w:kern w:val="0"/>
                      <w:sz w:val="21"/>
                      <w:szCs w:val="21"/>
                      <w:lang w:val="en-US" w:eastAsia="zh-CN"/>
                    </w:rPr>
                    <w:t>台</w:t>
                  </w:r>
                  <w:r>
                    <w:rPr>
                      <w:rFonts w:hint="default" w:ascii="Times New Roman" w:hAnsi="Times New Roman" w:eastAsia="宋体" w:cs="Times New Roman"/>
                      <w:color w:val="auto"/>
                      <w:kern w:val="0"/>
                      <w:sz w:val="21"/>
                      <w:szCs w:val="21"/>
                      <w:lang w:val="en-US" w:eastAsia="zh-CN"/>
                    </w:rPr>
                    <w:t>1.0t/h中频感应电炉</w:t>
                  </w:r>
                  <w:r>
                    <w:rPr>
                      <w:rFonts w:hint="eastAsia" w:cs="Times New Roman"/>
                      <w:color w:val="auto"/>
                      <w:kern w:val="0"/>
                      <w:sz w:val="21"/>
                      <w:szCs w:val="21"/>
                      <w:lang w:val="en-US" w:eastAsia="zh-CN"/>
                    </w:rPr>
                    <w:t>，其属于</w:t>
                  </w:r>
                  <w:r>
                    <w:rPr>
                      <w:rFonts w:hint="default" w:ascii="Times New Roman" w:hAnsi="Times New Roman" w:eastAsia="宋体" w:cs="Times New Roman"/>
                      <w:b w:val="0"/>
                      <w:bCs/>
                      <w:color w:val="auto"/>
                      <w:kern w:val="0"/>
                      <w:sz w:val="21"/>
                      <w:szCs w:val="21"/>
                      <w:lang w:val="en-US" w:eastAsia="zh-CN"/>
                    </w:rPr>
                    <w:t>有芯感应电炉</w:t>
                  </w:r>
                  <w:r>
                    <w:rPr>
                      <w:rFonts w:hint="eastAsia" w:cs="Times New Roman"/>
                      <w:b w:val="0"/>
                      <w:bCs/>
                      <w:color w:val="auto"/>
                      <w:kern w:val="0"/>
                      <w:sz w:val="21"/>
                      <w:szCs w:val="21"/>
                      <w:lang w:val="en-US" w:eastAsia="zh-CN"/>
                    </w:rPr>
                    <w:t>，不属于无磁轭（≥0.25吨）铝壳中频感应电炉。</w:t>
                  </w:r>
                </w:p>
              </w:tc>
              <w:tc>
                <w:tcPr>
                  <w:tcW w:w="816" w:type="dxa"/>
                  <w:vMerge w:val="restart"/>
                  <w:tcBorders>
                    <w:top w:val="single" w:color="auto" w:sz="4" w:space="0"/>
                    <w:left w:val="single" w:color="auto" w:sz="4" w:space="0"/>
                    <w:bottom w:val="single" w:color="auto" w:sz="4" w:space="0"/>
                    <w:right w:val="single" w:color="auto" w:sz="12" w:space="0"/>
                  </w:tcBorders>
                  <w:shd w:val="clear" w:color="auto" w:fill="auto"/>
                  <w:vAlign w:val="center"/>
                </w:tcPr>
                <w:p w14:paraId="5F682957">
                  <w:pPr>
                    <w:pStyle w:val="391"/>
                    <w:widowControl/>
                    <w:spacing w:line="240" w:lineRule="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不属于禁止类</w:t>
                  </w:r>
                </w:p>
              </w:tc>
            </w:tr>
            <w:tr w14:paraId="78A43E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1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68961378">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3617" w:type="dxa"/>
                  <w:tcBorders>
                    <w:top w:val="single" w:color="auto" w:sz="4" w:space="0"/>
                    <w:left w:val="single" w:color="auto" w:sz="4" w:space="0"/>
                    <w:bottom w:val="single" w:color="auto" w:sz="12" w:space="0"/>
                    <w:right w:val="single" w:color="auto" w:sz="4" w:space="0"/>
                  </w:tcBorders>
                  <w:shd w:val="clear" w:color="auto" w:fill="auto"/>
                  <w:vAlign w:val="center"/>
                </w:tcPr>
                <w:p w14:paraId="208BD4F6">
                  <w:pPr>
                    <w:pStyle w:val="391"/>
                    <w:widowControl/>
                    <w:spacing w:line="240" w:lineRule="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无芯工频感应电炉</w:t>
                  </w:r>
                </w:p>
              </w:tc>
              <w:tc>
                <w:tcPr>
                  <w:tcW w:w="252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503E751">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816" w:type="dxa"/>
                  <w:vMerge w:val="continue"/>
                  <w:tcBorders>
                    <w:top w:val="single" w:color="auto" w:sz="4" w:space="0"/>
                    <w:left w:val="single" w:color="auto" w:sz="4" w:space="0"/>
                    <w:bottom w:val="single" w:color="auto" w:sz="4" w:space="0"/>
                    <w:right w:val="single" w:color="auto" w:sz="12" w:space="0"/>
                  </w:tcBorders>
                  <w:shd w:val="clear" w:color="auto" w:fill="auto"/>
                  <w:vAlign w:val="center"/>
                </w:tcPr>
                <w:p w14:paraId="21BE8F0B">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r>
          </w:tbl>
          <w:p w14:paraId="68B02BCA">
            <w:pPr>
              <w:keepNext w:val="0"/>
              <w:keepLines w:val="0"/>
              <w:widowControl w:val="0"/>
              <w:suppressLineNumbers w:val="0"/>
              <w:wordWrap w:val="0"/>
              <w:autoSpaceDE w:val="0"/>
              <w:autoSpaceDN/>
              <w:spacing w:before="0" w:beforeAutospacing="0" w:after="0" w:afterAutospacing="0" w:line="360" w:lineRule="auto"/>
              <w:ind w:left="0" w:right="0" w:firstLine="480" w:firstLineChars="200"/>
              <w:jc w:val="left"/>
              <w:rPr>
                <w:rFonts w:hint="default" w:ascii="Times New Roman" w:hAnsi="Times New Roman" w:eastAsia="宋体" w:cs="Times New Roman"/>
                <w:color w:val="auto"/>
                <w:spacing w:val="0"/>
                <w:kern w:val="2"/>
                <w:sz w:val="24"/>
                <w:szCs w:val="24"/>
              </w:rPr>
            </w:pPr>
            <w:r>
              <w:rPr>
                <w:rFonts w:hint="default" w:ascii="Times New Roman" w:hAnsi="Times New Roman" w:eastAsia="宋体" w:cs="Times New Roman"/>
                <w:color w:val="auto"/>
                <w:spacing w:val="0"/>
                <w:kern w:val="2"/>
                <w:sz w:val="24"/>
                <w:szCs w:val="24"/>
                <w:lang w:val="en-US" w:eastAsia="zh-CN" w:bidi="ar"/>
              </w:rPr>
              <w:t>本项目与《工业和信息化部国家发展和改革委员会生态环境部关于推动铸造和锻压行业高质量发展的指导意见》（工信部联通装</w:t>
            </w:r>
            <w:r>
              <w:rPr>
                <w:rFonts w:hint="eastAsia" w:ascii="Times New Roman" w:hAnsi="Times New Roman" w:cs="Times New Roman"/>
                <w:color w:val="auto"/>
                <w:spacing w:val="0"/>
                <w:kern w:val="2"/>
                <w:sz w:val="24"/>
                <w:szCs w:val="24"/>
                <w:lang w:val="en-US" w:eastAsia="zh-CN" w:bidi="ar"/>
              </w:rPr>
              <w:t>〔2023〕40号）</w:t>
            </w:r>
            <w:r>
              <w:rPr>
                <w:rFonts w:hint="default" w:ascii="Times New Roman" w:hAnsi="Times New Roman" w:eastAsia="宋体" w:cs="Times New Roman"/>
                <w:color w:val="auto"/>
                <w:spacing w:val="0"/>
                <w:kern w:val="2"/>
                <w:sz w:val="24"/>
                <w:szCs w:val="24"/>
                <w:lang w:val="en-US" w:eastAsia="zh-CN" w:bidi="ar"/>
              </w:rPr>
              <w:t>符合性分析。</w:t>
            </w:r>
          </w:p>
          <w:p w14:paraId="3B47271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kern w:val="2"/>
                <w:sz w:val="21"/>
                <w:szCs w:val="21"/>
                <w:lang w:val="en-US" w:eastAsia="zh-CN" w:bidi="ar"/>
              </w:rPr>
            </w:pPr>
            <w:r>
              <w:rPr>
                <w:rFonts w:hint="default" w:ascii="Times New Roman" w:hAnsi="Times New Roman" w:eastAsia="宋体" w:cs="Times New Roman"/>
                <w:b/>
                <w:color w:val="auto"/>
                <w:kern w:val="2"/>
                <w:sz w:val="21"/>
                <w:szCs w:val="21"/>
                <w:lang w:val="en-US" w:eastAsia="zh-CN" w:bidi="ar"/>
              </w:rPr>
              <w:t>表1-6 本项目与工信部联通装</w:t>
            </w:r>
            <w:r>
              <w:rPr>
                <w:rFonts w:hint="eastAsia" w:ascii="Times New Roman" w:hAnsi="Times New Roman" w:cs="Times New Roman"/>
                <w:b/>
                <w:color w:val="auto"/>
                <w:kern w:val="2"/>
                <w:sz w:val="21"/>
                <w:szCs w:val="21"/>
                <w:lang w:val="en-US" w:eastAsia="zh-CN" w:bidi="ar"/>
              </w:rPr>
              <w:t>〔2023〕40号</w:t>
            </w:r>
            <w:r>
              <w:rPr>
                <w:rFonts w:hint="default" w:ascii="Times New Roman" w:hAnsi="Times New Roman" w:eastAsia="宋体" w:cs="Times New Roman"/>
                <w:b/>
                <w:color w:val="auto"/>
                <w:kern w:val="2"/>
                <w:sz w:val="21"/>
                <w:szCs w:val="21"/>
                <w:lang w:val="en-US" w:eastAsia="zh-CN" w:bidi="ar"/>
              </w:rPr>
              <w:t>符合性分析结果一览表</w:t>
            </w:r>
          </w:p>
          <w:tbl>
            <w:tblPr>
              <w:tblStyle w:val="57"/>
              <w:tblW w:w="4950"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shd w:val="clear" w:color="auto" w:fill="auto"/>
              <w:tblLayout w:type="fixed"/>
              <w:tblCellMar>
                <w:top w:w="0" w:type="dxa"/>
                <w:left w:w="108" w:type="dxa"/>
                <w:bottom w:w="0" w:type="dxa"/>
                <w:right w:w="108" w:type="dxa"/>
              </w:tblCellMar>
            </w:tblPr>
            <w:tblGrid>
              <w:gridCol w:w="685"/>
              <w:gridCol w:w="812"/>
              <w:gridCol w:w="3000"/>
              <w:gridCol w:w="2356"/>
              <w:gridCol w:w="680"/>
            </w:tblGrid>
            <w:tr w14:paraId="39C8B71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shd w:val="clear" w:color="auto" w:fill="auto"/>
                <w:tblCellMar>
                  <w:top w:w="0" w:type="dxa"/>
                  <w:left w:w="108" w:type="dxa"/>
                  <w:bottom w:w="0" w:type="dxa"/>
                  <w:right w:w="108" w:type="dxa"/>
                </w:tblCellMar>
              </w:tblPrEx>
              <w:trPr>
                <w:jc w:val="center"/>
              </w:trPr>
              <w:tc>
                <w:tcPr>
                  <w:tcW w:w="689" w:type="dxa"/>
                  <w:tcBorders>
                    <w:top w:val="single" w:color="auto" w:sz="12" w:space="0"/>
                    <w:left w:val="single" w:color="auto" w:sz="12" w:space="0"/>
                    <w:bottom w:val="single" w:color="auto" w:sz="2" w:space="0"/>
                    <w:right w:val="single" w:color="auto" w:sz="2" w:space="0"/>
                  </w:tcBorders>
                  <w:shd w:val="clear" w:color="auto" w:fill="auto"/>
                  <w:vAlign w:val="center"/>
                </w:tcPr>
                <w:p w14:paraId="318A8040">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bCs/>
                      <w:color w:val="auto"/>
                      <w:kern w:val="2"/>
                      <w:sz w:val="21"/>
                      <w:szCs w:val="21"/>
                      <w:lang w:val="en-US" w:eastAsia="zh-CN" w:bidi="ar"/>
                    </w:rPr>
                    <w:t>序号</w:t>
                  </w:r>
                </w:p>
              </w:tc>
              <w:tc>
                <w:tcPr>
                  <w:tcW w:w="816" w:type="dxa"/>
                  <w:tcBorders>
                    <w:top w:val="single" w:color="auto" w:sz="12" w:space="0"/>
                    <w:left w:val="single" w:color="auto" w:sz="2" w:space="0"/>
                    <w:bottom w:val="single" w:color="auto" w:sz="2" w:space="0"/>
                    <w:right w:val="single" w:color="auto" w:sz="2" w:space="0"/>
                  </w:tcBorders>
                  <w:shd w:val="clear" w:color="auto" w:fill="auto"/>
                  <w:vAlign w:val="center"/>
                </w:tcPr>
                <w:p w14:paraId="6019885F">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bCs/>
                      <w:color w:val="auto"/>
                      <w:kern w:val="2"/>
                      <w:sz w:val="21"/>
                      <w:szCs w:val="21"/>
                      <w:lang w:val="en-US" w:eastAsia="zh-CN" w:bidi="ar"/>
                    </w:rPr>
                    <w:t>分类</w:t>
                  </w:r>
                </w:p>
              </w:tc>
              <w:tc>
                <w:tcPr>
                  <w:tcW w:w="3016" w:type="dxa"/>
                  <w:tcBorders>
                    <w:top w:val="single" w:color="auto" w:sz="12" w:space="0"/>
                    <w:left w:val="single" w:color="auto" w:sz="2" w:space="0"/>
                    <w:bottom w:val="single" w:color="auto" w:sz="2" w:space="0"/>
                    <w:right w:val="single" w:color="auto" w:sz="2" w:space="0"/>
                  </w:tcBorders>
                  <w:shd w:val="clear" w:color="auto" w:fill="auto"/>
                  <w:vAlign w:val="center"/>
                </w:tcPr>
                <w:p w14:paraId="159916C3">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bCs/>
                      <w:color w:val="auto"/>
                      <w:kern w:val="2"/>
                      <w:sz w:val="21"/>
                      <w:szCs w:val="21"/>
                      <w:lang w:val="en-US" w:eastAsia="zh-CN" w:bidi="ar"/>
                    </w:rPr>
                    <w:t>相关要求</w:t>
                  </w:r>
                </w:p>
              </w:tc>
              <w:tc>
                <w:tcPr>
                  <w:tcW w:w="2368" w:type="dxa"/>
                  <w:tcBorders>
                    <w:top w:val="single" w:color="auto" w:sz="12" w:space="0"/>
                    <w:left w:val="single" w:color="auto" w:sz="2" w:space="0"/>
                    <w:bottom w:val="single" w:color="auto" w:sz="2" w:space="0"/>
                    <w:right w:val="single" w:color="auto" w:sz="2" w:space="0"/>
                  </w:tcBorders>
                  <w:shd w:val="clear" w:color="auto" w:fill="auto"/>
                  <w:vAlign w:val="center"/>
                </w:tcPr>
                <w:p w14:paraId="6A6C803F">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bCs/>
                      <w:color w:val="auto"/>
                      <w:kern w:val="2"/>
                      <w:sz w:val="21"/>
                      <w:szCs w:val="21"/>
                      <w:lang w:val="en-US" w:eastAsia="zh-CN" w:bidi="ar"/>
                    </w:rPr>
                    <w:t>本项目对应内容</w:t>
                  </w:r>
                </w:p>
              </w:tc>
              <w:tc>
                <w:tcPr>
                  <w:tcW w:w="684" w:type="dxa"/>
                  <w:tcBorders>
                    <w:top w:val="single" w:color="auto" w:sz="12" w:space="0"/>
                    <w:left w:val="single" w:color="auto" w:sz="2" w:space="0"/>
                    <w:bottom w:val="single" w:color="auto" w:sz="2" w:space="0"/>
                    <w:right w:val="single" w:color="auto" w:sz="12" w:space="0"/>
                  </w:tcBorders>
                  <w:shd w:val="clear" w:color="auto" w:fill="auto"/>
                  <w:vAlign w:val="center"/>
                </w:tcPr>
                <w:p w14:paraId="02C266B8">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bCs/>
                      <w:color w:val="auto"/>
                      <w:kern w:val="2"/>
                      <w:sz w:val="21"/>
                      <w:szCs w:val="21"/>
                      <w:lang w:val="en-US" w:eastAsia="zh-CN" w:bidi="ar"/>
                    </w:rPr>
                    <w:t>结论</w:t>
                  </w:r>
                </w:p>
              </w:tc>
            </w:tr>
            <w:tr w14:paraId="6E0CFA3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shd w:val="clear" w:color="auto" w:fill="auto"/>
                <w:tblCellMar>
                  <w:top w:w="0" w:type="dxa"/>
                  <w:left w:w="108" w:type="dxa"/>
                  <w:bottom w:w="0" w:type="dxa"/>
                  <w:right w:w="108" w:type="dxa"/>
                </w:tblCellMar>
              </w:tblPrEx>
              <w:trPr>
                <w:jc w:val="center"/>
              </w:trPr>
              <w:tc>
                <w:tcPr>
                  <w:tcW w:w="689" w:type="dxa"/>
                  <w:tcBorders>
                    <w:top w:val="single" w:color="auto" w:sz="2" w:space="0"/>
                    <w:left w:val="single" w:color="auto" w:sz="12" w:space="0"/>
                    <w:bottom w:val="single" w:color="auto" w:sz="2" w:space="0"/>
                    <w:right w:val="single" w:color="auto" w:sz="2" w:space="0"/>
                  </w:tcBorders>
                  <w:shd w:val="clear" w:color="auto" w:fill="auto"/>
                  <w:vAlign w:val="center"/>
                </w:tcPr>
                <w:p w14:paraId="3BBFF7C9">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bidi="ar"/>
                    </w:rPr>
                    <w:t>1</w:t>
                  </w:r>
                </w:p>
              </w:tc>
              <w:tc>
                <w:tcPr>
                  <w:tcW w:w="816" w:type="dxa"/>
                  <w:tcBorders>
                    <w:top w:val="single" w:color="auto" w:sz="2" w:space="0"/>
                    <w:left w:val="single" w:color="auto" w:sz="2" w:space="0"/>
                    <w:bottom w:val="single" w:color="auto" w:sz="2" w:space="0"/>
                    <w:right w:val="single" w:color="auto" w:sz="2" w:space="0"/>
                  </w:tcBorders>
                  <w:shd w:val="clear" w:color="auto" w:fill="auto"/>
                  <w:vAlign w:val="center"/>
                </w:tcPr>
                <w:p w14:paraId="1A88A4DC">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bidi="ar"/>
                    </w:rPr>
                    <w:t>发展先进铸造工艺与装备</w:t>
                  </w:r>
                </w:p>
              </w:tc>
              <w:tc>
                <w:tcPr>
                  <w:tcW w:w="3016" w:type="dxa"/>
                  <w:tcBorders>
                    <w:top w:val="single" w:color="auto" w:sz="2" w:space="0"/>
                    <w:left w:val="single" w:color="auto" w:sz="2" w:space="0"/>
                    <w:bottom w:val="single" w:color="auto" w:sz="2" w:space="0"/>
                    <w:right w:val="single" w:color="auto" w:sz="2" w:space="0"/>
                  </w:tcBorders>
                  <w:shd w:val="clear" w:color="auto" w:fill="auto"/>
                  <w:vAlign w:val="center"/>
                </w:tcPr>
                <w:p w14:paraId="4121E694">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bidi="ar"/>
                    </w:rPr>
                    <w:t>重点发展高紧实度粘土砂自动化造型、高效自硬砂铸造、精密组芯造型、壳型铸造、离心铸造、金属型铸造、铁模覆砂、消失模/V法/实型铸造、轻合金高压/挤压/差压/低压/半固态/调压铸造、硅溶胶熔模铸造、短流程铸造、砂型3D打印等先进铸造工艺与装备</w:t>
                  </w:r>
                </w:p>
              </w:tc>
              <w:tc>
                <w:tcPr>
                  <w:tcW w:w="2368" w:type="dxa"/>
                  <w:tcBorders>
                    <w:top w:val="single" w:color="auto" w:sz="2" w:space="0"/>
                    <w:left w:val="single" w:color="auto" w:sz="2" w:space="0"/>
                    <w:bottom w:val="single" w:color="auto" w:sz="2" w:space="0"/>
                    <w:right w:val="single" w:color="auto" w:sz="2" w:space="0"/>
                  </w:tcBorders>
                  <w:shd w:val="clear" w:color="auto" w:fill="auto"/>
                  <w:vAlign w:val="center"/>
                </w:tcPr>
                <w:p w14:paraId="20D34D9A">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bidi="ar"/>
                    </w:rPr>
                    <w:t>本项目采用铁模覆砂铸造</w:t>
                  </w:r>
                  <w:r>
                    <w:rPr>
                      <w:rFonts w:hint="eastAsia" w:ascii="Times New Roman" w:hAnsi="Times New Roman" w:cs="Times New Roman"/>
                      <w:b w:val="0"/>
                      <w:bCs w:val="0"/>
                      <w:color w:val="auto"/>
                      <w:kern w:val="2"/>
                      <w:sz w:val="21"/>
                      <w:szCs w:val="21"/>
                      <w:lang w:val="en-US" w:eastAsia="zh-CN" w:bidi="ar"/>
                    </w:rPr>
                    <w:t>工艺</w:t>
                  </w:r>
                  <w:r>
                    <w:rPr>
                      <w:rFonts w:hint="default" w:ascii="Times New Roman" w:hAnsi="Times New Roman" w:eastAsia="宋体" w:cs="Times New Roman"/>
                      <w:b w:val="0"/>
                      <w:bCs w:val="0"/>
                      <w:color w:val="auto"/>
                      <w:kern w:val="2"/>
                      <w:sz w:val="21"/>
                      <w:szCs w:val="21"/>
                      <w:lang w:val="en-US" w:eastAsia="zh-CN" w:bidi="ar"/>
                    </w:rPr>
                    <w:t>，属于先进工艺及设备</w:t>
                  </w:r>
                  <w:r>
                    <w:rPr>
                      <w:rFonts w:hint="eastAsia" w:ascii="Times New Roman" w:hAnsi="Times New Roman" w:cs="Times New Roman"/>
                      <w:b w:val="0"/>
                      <w:bCs w:val="0"/>
                      <w:color w:val="auto"/>
                      <w:kern w:val="2"/>
                      <w:sz w:val="21"/>
                      <w:szCs w:val="21"/>
                      <w:lang w:val="en-US" w:eastAsia="zh-CN" w:bidi="ar"/>
                    </w:rPr>
                    <w:t>。</w:t>
                  </w:r>
                </w:p>
              </w:tc>
              <w:tc>
                <w:tcPr>
                  <w:tcW w:w="684" w:type="dxa"/>
                  <w:tcBorders>
                    <w:top w:val="single" w:color="auto" w:sz="2" w:space="0"/>
                    <w:left w:val="single" w:color="auto" w:sz="2" w:space="0"/>
                    <w:bottom w:val="single" w:color="auto" w:sz="2" w:space="0"/>
                    <w:right w:val="single" w:color="auto" w:sz="12" w:space="0"/>
                  </w:tcBorders>
                  <w:shd w:val="clear" w:color="auto" w:fill="auto"/>
                  <w:vAlign w:val="center"/>
                </w:tcPr>
                <w:p w14:paraId="49BB17FB">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bidi="ar"/>
                    </w:rPr>
                    <w:t>符合要求</w:t>
                  </w:r>
                </w:p>
              </w:tc>
            </w:tr>
            <w:tr w14:paraId="65AB8E6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shd w:val="clear" w:color="auto" w:fill="auto"/>
                <w:tblCellMar>
                  <w:top w:w="0" w:type="dxa"/>
                  <w:left w:w="108" w:type="dxa"/>
                  <w:bottom w:w="0" w:type="dxa"/>
                  <w:right w:w="108" w:type="dxa"/>
                </w:tblCellMar>
              </w:tblPrEx>
              <w:trPr>
                <w:jc w:val="center"/>
              </w:trPr>
              <w:tc>
                <w:tcPr>
                  <w:tcW w:w="689" w:type="dxa"/>
                  <w:tcBorders>
                    <w:top w:val="single" w:color="auto" w:sz="2" w:space="0"/>
                    <w:left w:val="single" w:color="auto" w:sz="12" w:space="0"/>
                    <w:bottom w:val="single" w:color="auto" w:sz="2" w:space="0"/>
                    <w:right w:val="single" w:color="auto" w:sz="2" w:space="0"/>
                  </w:tcBorders>
                  <w:shd w:val="clear" w:color="auto" w:fill="auto"/>
                  <w:vAlign w:val="center"/>
                </w:tcPr>
                <w:p w14:paraId="6F0FCECA">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bidi="ar"/>
                    </w:rPr>
                    <w:t>2</w:t>
                  </w:r>
                </w:p>
              </w:tc>
              <w:tc>
                <w:tcPr>
                  <w:tcW w:w="816" w:type="dxa"/>
                  <w:tcBorders>
                    <w:top w:val="single" w:color="auto" w:sz="2" w:space="0"/>
                    <w:left w:val="single" w:color="auto" w:sz="2" w:space="0"/>
                    <w:bottom w:val="single" w:color="auto" w:sz="2" w:space="0"/>
                    <w:right w:val="single" w:color="auto" w:sz="2" w:space="0"/>
                  </w:tcBorders>
                  <w:shd w:val="clear" w:color="auto" w:fill="auto"/>
                  <w:vAlign w:val="center"/>
                </w:tcPr>
                <w:p w14:paraId="3962EC28">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bidi="ar"/>
                    </w:rPr>
                    <w:t>推进产业结构优化</w:t>
                  </w:r>
                </w:p>
              </w:tc>
              <w:tc>
                <w:tcPr>
                  <w:tcW w:w="3016" w:type="dxa"/>
                  <w:tcBorders>
                    <w:top w:val="single" w:color="auto" w:sz="2" w:space="0"/>
                    <w:left w:val="single" w:color="auto" w:sz="2" w:space="0"/>
                    <w:bottom w:val="single" w:color="auto" w:sz="2" w:space="0"/>
                    <w:right w:val="single" w:color="auto" w:sz="2" w:space="0"/>
                  </w:tcBorders>
                  <w:shd w:val="clear" w:color="auto" w:fill="auto"/>
                  <w:vAlign w:val="center"/>
                </w:tcPr>
                <w:p w14:paraId="5416B856">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bidi="ar"/>
                    </w:rPr>
                    <w:t>严格执行节能、环保、质量、安全技术等相关法律法规标准和《产业结构调整指导目录》等政策，依法依规淘汰工艺装备落后、污染物排放不达标、生产安全无保障的落后产能。鼓励大气污染防治重点区域加大淘汰落后力度。铸造企业不得采用无芯工频感应电炉、无磁</w:t>
                  </w:r>
                  <w:r>
                    <w:rPr>
                      <w:rFonts w:hint="eastAsia" w:ascii="Times New Roman" w:hAnsi="Times New Roman" w:cs="Times New Roman"/>
                      <w:b w:val="0"/>
                      <w:bCs w:val="0"/>
                      <w:color w:val="auto"/>
                      <w:kern w:val="2"/>
                      <w:sz w:val="21"/>
                      <w:szCs w:val="21"/>
                      <w:lang w:val="en-US" w:eastAsia="zh-CN" w:bidi="ar"/>
                    </w:rPr>
                    <w:t>轭（</w:t>
                  </w:r>
                  <w:r>
                    <w:rPr>
                      <w:rFonts w:hint="default" w:ascii="Times New Roman" w:hAnsi="Times New Roman" w:eastAsia="宋体" w:cs="Times New Roman"/>
                      <w:b w:val="0"/>
                      <w:bCs w:val="0"/>
                      <w:color w:val="auto"/>
                      <w:kern w:val="2"/>
                      <w:sz w:val="21"/>
                      <w:szCs w:val="21"/>
                      <w:lang w:val="en-US" w:eastAsia="zh-CN" w:bidi="ar"/>
                    </w:rPr>
                    <w:t>0.25吨</w:t>
                  </w:r>
                  <w:r>
                    <w:rPr>
                      <w:rFonts w:hint="eastAsia" w:ascii="Times New Roman" w:hAnsi="Times New Roman" w:cs="Times New Roman"/>
                      <w:b w:val="0"/>
                      <w:bCs w:val="0"/>
                      <w:color w:val="auto"/>
                      <w:kern w:val="2"/>
                      <w:sz w:val="21"/>
                      <w:szCs w:val="21"/>
                      <w:lang w:val="en-US" w:eastAsia="zh-CN" w:bidi="ar"/>
                    </w:rPr>
                    <w:t>）</w:t>
                  </w:r>
                  <w:r>
                    <w:rPr>
                      <w:rFonts w:hint="default" w:ascii="Times New Roman" w:hAnsi="Times New Roman" w:eastAsia="宋体" w:cs="Times New Roman"/>
                      <w:b w:val="0"/>
                      <w:bCs w:val="0"/>
                      <w:color w:val="auto"/>
                      <w:kern w:val="2"/>
                      <w:sz w:val="21"/>
                      <w:szCs w:val="21"/>
                      <w:lang w:val="en-US" w:eastAsia="zh-CN" w:bidi="ar"/>
                    </w:rPr>
                    <w:t>铝壳中频感应电炉、水玻璃熔模精密铸造氯化铵硬化模壳、铝合金六氯乙烷精炼等淘汰类工艺和装备。加快存量项目升级改造，推进企业合理选择低污染、低能耗、经济高效的先进工艺技术，提升行业竞争能力</w:t>
                  </w:r>
                  <w:r>
                    <w:rPr>
                      <w:rFonts w:hint="default" w:ascii="Times New Roman" w:hAnsi="Times New Roman" w:eastAsia="宋体" w:cs="Times New Roman"/>
                      <w:b/>
                      <w:bCs/>
                      <w:color w:val="auto"/>
                      <w:kern w:val="2"/>
                      <w:sz w:val="21"/>
                      <w:szCs w:val="21"/>
                      <w:lang w:val="en-US" w:eastAsia="zh-CN" w:bidi="ar"/>
                    </w:rPr>
                    <w:t>。</w:t>
                  </w:r>
                </w:p>
              </w:tc>
              <w:tc>
                <w:tcPr>
                  <w:tcW w:w="2368" w:type="dxa"/>
                  <w:tcBorders>
                    <w:top w:val="single" w:color="auto" w:sz="2" w:space="0"/>
                    <w:left w:val="single" w:color="auto" w:sz="2" w:space="0"/>
                    <w:bottom w:val="single" w:color="auto" w:sz="2" w:space="0"/>
                    <w:right w:val="single" w:color="auto" w:sz="2" w:space="0"/>
                  </w:tcBorders>
                  <w:shd w:val="clear" w:color="auto" w:fill="auto"/>
                  <w:vAlign w:val="center"/>
                </w:tcPr>
                <w:p w14:paraId="1E436813">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bidi="ar"/>
                    </w:rPr>
                    <w:t>本项目采用铁模覆砂铸造工艺，</w:t>
                  </w:r>
                  <w:r>
                    <w:rPr>
                      <w:rFonts w:hint="eastAsia" w:ascii="Times New Roman" w:hAnsi="Times New Roman" w:cs="Times New Roman"/>
                      <w:b w:val="0"/>
                      <w:bCs w:val="0"/>
                      <w:color w:val="auto"/>
                      <w:kern w:val="2"/>
                      <w:sz w:val="21"/>
                      <w:szCs w:val="21"/>
                      <w:lang w:val="en-US" w:eastAsia="zh-CN" w:bidi="ar"/>
                    </w:rPr>
                    <w:t>因此，本</w:t>
                  </w:r>
                  <w:r>
                    <w:rPr>
                      <w:rFonts w:hint="default" w:ascii="Times New Roman" w:hAnsi="Times New Roman" w:eastAsia="宋体" w:cs="Times New Roman"/>
                      <w:b w:val="0"/>
                      <w:bCs w:val="0"/>
                      <w:color w:val="auto"/>
                      <w:kern w:val="2"/>
                      <w:sz w:val="21"/>
                      <w:szCs w:val="21"/>
                      <w:lang w:val="en-US" w:eastAsia="zh-CN" w:bidi="ar"/>
                    </w:rPr>
                    <w:t>项目符合国家产业政策要求。本项目使用带磁轭的</w:t>
                  </w:r>
                  <w:r>
                    <w:rPr>
                      <w:rFonts w:hint="eastAsia" w:ascii="Times New Roman" w:hAnsi="Times New Roman" w:cs="Times New Roman"/>
                      <w:b w:val="0"/>
                      <w:bCs w:val="0"/>
                      <w:color w:val="auto"/>
                      <w:kern w:val="2"/>
                      <w:sz w:val="21"/>
                      <w:szCs w:val="21"/>
                      <w:lang w:val="en-US" w:eastAsia="zh-CN" w:bidi="ar"/>
                    </w:rPr>
                    <w:t>有芯</w:t>
                  </w:r>
                  <w:r>
                    <w:rPr>
                      <w:rFonts w:hint="default" w:ascii="Times New Roman" w:hAnsi="Times New Roman" w:eastAsia="宋体" w:cs="Times New Roman"/>
                      <w:b w:val="0"/>
                      <w:bCs w:val="0"/>
                      <w:color w:val="auto"/>
                      <w:kern w:val="2"/>
                      <w:sz w:val="21"/>
                      <w:szCs w:val="21"/>
                      <w:lang w:val="en-US" w:eastAsia="zh-CN" w:bidi="ar"/>
                    </w:rPr>
                    <w:t>中频感应电炉，不属于国家明令淘汰的生产装备；本项目采用铁模覆砂等低污染、低排放、低能耗、经济高效的铸造工艺</w:t>
                  </w:r>
                  <w:r>
                    <w:rPr>
                      <w:rFonts w:hint="eastAsia" w:ascii="Times New Roman" w:hAnsi="Times New Roman" w:cs="Times New Roman"/>
                      <w:b w:val="0"/>
                      <w:bCs w:val="0"/>
                      <w:color w:val="auto"/>
                      <w:kern w:val="2"/>
                      <w:sz w:val="21"/>
                      <w:szCs w:val="21"/>
                      <w:lang w:val="en-US" w:eastAsia="zh-CN" w:bidi="ar"/>
                    </w:rPr>
                    <w:t>。</w:t>
                  </w:r>
                </w:p>
              </w:tc>
              <w:tc>
                <w:tcPr>
                  <w:tcW w:w="684" w:type="dxa"/>
                  <w:tcBorders>
                    <w:top w:val="single" w:color="auto" w:sz="2" w:space="0"/>
                    <w:left w:val="single" w:color="auto" w:sz="2" w:space="0"/>
                    <w:bottom w:val="single" w:color="auto" w:sz="2" w:space="0"/>
                    <w:right w:val="single" w:color="auto" w:sz="12" w:space="0"/>
                  </w:tcBorders>
                  <w:shd w:val="clear" w:color="auto" w:fill="auto"/>
                  <w:vAlign w:val="center"/>
                </w:tcPr>
                <w:p w14:paraId="53BD8F3D">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bidi="ar"/>
                    </w:rPr>
                    <w:t>符合要求</w:t>
                  </w:r>
                </w:p>
              </w:tc>
            </w:tr>
            <w:tr w14:paraId="726CFF45">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shd w:val="clear" w:color="auto" w:fill="auto"/>
                <w:tblCellMar>
                  <w:top w:w="0" w:type="dxa"/>
                  <w:left w:w="108" w:type="dxa"/>
                  <w:bottom w:w="0" w:type="dxa"/>
                  <w:right w:w="108" w:type="dxa"/>
                </w:tblCellMar>
              </w:tblPrEx>
              <w:trPr>
                <w:jc w:val="center"/>
              </w:trPr>
              <w:tc>
                <w:tcPr>
                  <w:tcW w:w="689" w:type="dxa"/>
                  <w:tcBorders>
                    <w:top w:val="single" w:color="auto" w:sz="2" w:space="0"/>
                    <w:left w:val="single" w:color="auto" w:sz="12" w:space="0"/>
                    <w:bottom w:val="single" w:color="auto" w:sz="2" w:space="0"/>
                    <w:right w:val="single" w:color="auto" w:sz="2" w:space="0"/>
                  </w:tcBorders>
                  <w:shd w:val="clear" w:color="auto" w:fill="auto"/>
                  <w:vAlign w:val="center"/>
                </w:tcPr>
                <w:p w14:paraId="3FFD96A7">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bidi="ar"/>
                    </w:rPr>
                    <w:t>3</w:t>
                  </w:r>
                </w:p>
              </w:tc>
              <w:tc>
                <w:tcPr>
                  <w:tcW w:w="816" w:type="dxa"/>
                  <w:tcBorders>
                    <w:top w:val="single" w:color="auto" w:sz="2" w:space="0"/>
                    <w:left w:val="single" w:color="auto" w:sz="2" w:space="0"/>
                    <w:bottom w:val="single" w:color="auto" w:sz="2" w:space="0"/>
                    <w:right w:val="single" w:color="auto" w:sz="2" w:space="0"/>
                  </w:tcBorders>
                  <w:shd w:val="clear" w:color="auto" w:fill="auto"/>
                  <w:vAlign w:val="center"/>
                </w:tcPr>
                <w:p w14:paraId="6A8667C8">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bidi="ar"/>
                    </w:rPr>
                    <w:t>加快绿色低碳转型</w:t>
                  </w:r>
                </w:p>
              </w:tc>
              <w:tc>
                <w:tcPr>
                  <w:tcW w:w="3016" w:type="dxa"/>
                  <w:tcBorders>
                    <w:top w:val="single" w:color="auto" w:sz="2" w:space="0"/>
                    <w:left w:val="single" w:color="auto" w:sz="2" w:space="0"/>
                    <w:bottom w:val="single" w:color="auto" w:sz="2" w:space="0"/>
                    <w:right w:val="single" w:color="auto" w:sz="2" w:space="0"/>
                  </w:tcBorders>
                  <w:shd w:val="clear" w:color="auto" w:fill="auto"/>
                  <w:vAlign w:val="center"/>
                </w:tcPr>
                <w:p w14:paraId="35270285">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bidi="ar"/>
                    </w:rPr>
                    <w:t>鼓励企业采用高效节能熔炼、热处理等设备，提高余热利用水平。推广短流程铸造，鼓励铸造行业冲天炉</w:t>
                  </w:r>
                  <w:r>
                    <w:rPr>
                      <w:rFonts w:hint="eastAsia" w:ascii="Times New Roman" w:hAnsi="Times New Roman" w:cs="Times New Roman"/>
                      <w:b w:val="0"/>
                      <w:bCs w:val="0"/>
                      <w:color w:val="auto"/>
                      <w:kern w:val="2"/>
                      <w:sz w:val="21"/>
                      <w:szCs w:val="21"/>
                      <w:lang w:val="en-US" w:eastAsia="zh-CN" w:bidi="ar"/>
                    </w:rPr>
                    <w:t>（</w:t>
                  </w:r>
                  <w:r>
                    <w:rPr>
                      <w:rFonts w:hint="default" w:ascii="Times New Roman" w:hAnsi="Times New Roman" w:eastAsia="宋体" w:cs="Times New Roman"/>
                      <w:b w:val="0"/>
                      <w:bCs w:val="0"/>
                      <w:color w:val="auto"/>
                      <w:kern w:val="2"/>
                      <w:sz w:val="21"/>
                      <w:szCs w:val="21"/>
                      <w:lang w:val="en-US" w:eastAsia="zh-CN" w:bidi="ar"/>
                    </w:rPr>
                    <w:t>10吨/小时及以下</w:t>
                  </w:r>
                  <w:r>
                    <w:rPr>
                      <w:rFonts w:hint="eastAsia" w:ascii="Times New Roman" w:hAnsi="Times New Roman" w:cs="Times New Roman"/>
                      <w:b w:val="0"/>
                      <w:bCs w:val="0"/>
                      <w:color w:val="auto"/>
                      <w:kern w:val="2"/>
                      <w:sz w:val="21"/>
                      <w:szCs w:val="21"/>
                      <w:lang w:val="en-US" w:eastAsia="zh-CN" w:bidi="ar"/>
                    </w:rPr>
                    <w:t>）</w:t>
                  </w:r>
                  <w:r>
                    <w:rPr>
                      <w:rFonts w:hint="default" w:ascii="Times New Roman" w:hAnsi="Times New Roman" w:eastAsia="宋体" w:cs="Times New Roman"/>
                      <w:b w:val="0"/>
                      <w:bCs w:val="0"/>
                      <w:color w:val="auto"/>
                      <w:kern w:val="2"/>
                      <w:sz w:val="21"/>
                      <w:szCs w:val="21"/>
                      <w:lang w:val="en-US" w:eastAsia="zh-CN" w:bidi="ar"/>
                    </w:rPr>
                    <w:t>改为电炉。推进铸造废砂再生处理技术应用、废旧金属循环再生与利用。</w:t>
                  </w:r>
                </w:p>
              </w:tc>
              <w:tc>
                <w:tcPr>
                  <w:tcW w:w="2368" w:type="dxa"/>
                  <w:tcBorders>
                    <w:top w:val="single" w:color="auto" w:sz="2" w:space="0"/>
                    <w:left w:val="single" w:color="auto" w:sz="2" w:space="0"/>
                    <w:bottom w:val="single" w:color="auto" w:sz="2" w:space="0"/>
                    <w:right w:val="single" w:color="auto" w:sz="2" w:space="0"/>
                  </w:tcBorders>
                  <w:shd w:val="clear" w:color="auto" w:fill="auto"/>
                  <w:vAlign w:val="center"/>
                </w:tcPr>
                <w:p w14:paraId="05DC79C8">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bidi="ar"/>
                    </w:rPr>
                    <w:t>本项目中频感应电炉</w:t>
                  </w:r>
                  <w:r>
                    <w:rPr>
                      <w:rFonts w:hint="eastAsia" w:ascii="Times New Roman" w:hAnsi="Times New Roman" w:cs="Times New Roman"/>
                      <w:b w:val="0"/>
                      <w:bCs w:val="0"/>
                      <w:color w:val="auto"/>
                      <w:kern w:val="2"/>
                      <w:sz w:val="21"/>
                      <w:szCs w:val="21"/>
                      <w:lang w:val="en-US" w:eastAsia="zh-CN" w:bidi="ar"/>
                    </w:rPr>
                    <w:t>采用</w:t>
                  </w:r>
                  <w:r>
                    <w:rPr>
                      <w:rFonts w:hint="default" w:ascii="Times New Roman" w:hAnsi="Times New Roman" w:eastAsia="宋体" w:cs="Times New Roman"/>
                      <w:b w:val="0"/>
                      <w:bCs w:val="0"/>
                      <w:color w:val="auto"/>
                      <w:kern w:val="2"/>
                      <w:sz w:val="21"/>
                      <w:szCs w:val="21"/>
                      <w:lang w:val="en-US" w:eastAsia="zh-CN" w:bidi="ar"/>
                    </w:rPr>
                    <w:t>电加热</w:t>
                  </w:r>
                  <w:r>
                    <w:rPr>
                      <w:rFonts w:hint="eastAsia" w:ascii="Times New Roman" w:hAnsi="Times New Roman" w:cs="Times New Roman"/>
                      <w:b w:val="0"/>
                      <w:bCs w:val="0"/>
                      <w:color w:val="auto"/>
                      <w:kern w:val="2"/>
                      <w:sz w:val="21"/>
                      <w:szCs w:val="21"/>
                      <w:lang w:val="en-US" w:eastAsia="zh-CN" w:bidi="ar"/>
                    </w:rPr>
                    <w:t>方式，</w:t>
                  </w:r>
                  <w:r>
                    <w:rPr>
                      <w:rFonts w:hint="default" w:ascii="Times New Roman" w:hAnsi="Times New Roman" w:eastAsia="宋体" w:cs="Times New Roman"/>
                      <w:b w:val="0"/>
                      <w:bCs w:val="0"/>
                      <w:color w:val="auto"/>
                      <w:kern w:val="2"/>
                      <w:sz w:val="21"/>
                      <w:szCs w:val="21"/>
                      <w:lang w:val="en-US" w:eastAsia="zh-CN" w:bidi="ar"/>
                    </w:rPr>
                    <w:t>配备砂处理设备。</w:t>
                  </w:r>
                </w:p>
              </w:tc>
              <w:tc>
                <w:tcPr>
                  <w:tcW w:w="684" w:type="dxa"/>
                  <w:tcBorders>
                    <w:top w:val="single" w:color="auto" w:sz="2" w:space="0"/>
                    <w:left w:val="single" w:color="auto" w:sz="2" w:space="0"/>
                    <w:bottom w:val="single" w:color="auto" w:sz="2" w:space="0"/>
                    <w:right w:val="single" w:color="auto" w:sz="12" w:space="0"/>
                  </w:tcBorders>
                  <w:shd w:val="clear" w:color="auto" w:fill="auto"/>
                  <w:vAlign w:val="center"/>
                </w:tcPr>
                <w:p w14:paraId="2C36D135">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bidi="ar"/>
                    </w:rPr>
                    <w:t>符合要求</w:t>
                  </w:r>
                </w:p>
              </w:tc>
            </w:tr>
            <w:tr w14:paraId="09595CC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shd w:val="clear" w:color="auto" w:fill="auto"/>
                <w:tblCellMar>
                  <w:top w:w="0" w:type="dxa"/>
                  <w:left w:w="108" w:type="dxa"/>
                  <w:bottom w:w="0" w:type="dxa"/>
                  <w:right w:w="108" w:type="dxa"/>
                </w:tblCellMar>
              </w:tblPrEx>
              <w:trPr>
                <w:jc w:val="center"/>
              </w:trPr>
              <w:tc>
                <w:tcPr>
                  <w:tcW w:w="689" w:type="dxa"/>
                  <w:tcBorders>
                    <w:top w:val="single" w:color="auto" w:sz="2" w:space="0"/>
                    <w:left w:val="single" w:color="auto" w:sz="12" w:space="0"/>
                    <w:bottom w:val="single" w:color="auto" w:sz="12" w:space="0"/>
                    <w:right w:val="single" w:color="auto" w:sz="2" w:space="0"/>
                  </w:tcBorders>
                  <w:shd w:val="clear" w:color="auto" w:fill="auto"/>
                  <w:vAlign w:val="center"/>
                </w:tcPr>
                <w:p w14:paraId="554B250C">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bidi="ar"/>
                    </w:rPr>
                    <w:t>4</w:t>
                  </w:r>
                </w:p>
              </w:tc>
              <w:tc>
                <w:tcPr>
                  <w:tcW w:w="816" w:type="dxa"/>
                  <w:tcBorders>
                    <w:top w:val="single" w:color="auto" w:sz="2" w:space="0"/>
                    <w:left w:val="single" w:color="auto" w:sz="2" w:space="0"/>
                    <w:bottom w:val="single" w:color="auto" w:sz="12" w:space="0"/>
                    <w:right w:val="single" w:color="auto" w:sz="2" w:space="0"/>
                  </w:tcBorders>
                  <w:shd w:val="clear" w:color="auto" w:fill="auto"/>
                  <w:vAlign w:val="center"/>
                </w:tcPr>
                <w:p w14:paraId="07B5EBAA">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bidi="ar"/>
                    </w:rPr>
                    <w:t>提升环保治理水平</w:t>
                  </w:r>
                </w:p>
              </w:tc>
              <w:tc>
                <w:tcPr>
                  <w:tcW w:w="3016" w:type="dxa"/>
                  <w:tcBorders>
                    <w:top w:val="single" w:color="auto" w:sz="2" w:space="0"/>
                    <w:left w:val="single" w:color="auto" w:sz="2" w:space="0"/>
                    <w:bottom w:val="single" w:color="auto" w:sz="12" w:space="0"/>
                    <w:right w:val="single" w:color="auto" w:sz="2" w:space="0"/>
                  </w:tcBorders>
                  <w:shd w:val="clear" w:color="auto" w:fill="auto"/>
                  <w:vAlign w:val="center"/>
                </w:tcPr>
                <w:p w14:paraId="116482CB">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bidi="ar"/>
                    </w:rPr>
                    <w:t>依法申领排污许可证，严格持证排污、按证排污并按排污许可证规定落实自行监测、台账记录、执行报告、信息公开等要求。铸造企业严格执行《铸造工业大气污染物排放标准》</w:t>
                  </w:r>
                  <w:r>
                    <w:rPr>
                      <w:rFonts w:hint="eastAsia" w:ascii="Times New Roman" w:hAnsi="Times New Roman" w:cs="Times New Roman"/>
                      <w:b w:val="0"/>
                      <w:bCs w:val="0"/>
                      <w:color w:val="auto"/>
                      <w:kern w:val="2"/>
                      <w:sz w:val="21"/>
                      <w:szCs w:val="21"/>
                      <w:lang w:val="en-US" w:eastAsia="zh-CN" w:bidi="ar"/>
                    </w:rPr>
                    <w:t>（</w:t>
                  </w:r>
                  <w:r>
                    <w:rPr>
                      <w:rFonts w:hint="default" w:ascii="Times New Roman" w:hAnsi="Times New Roman" w:eastAsia="宋体" w:cs="Times New Roman"/>
                      <w:b w:val="0"/>
                      <w:bCs w:val="0"/>
                      <w:color w:val="auto"/>
                      <w:kern w:val="2"/>
                      <w:sz w:val="21"/>
                      <w:szCs w:val="21"/>
                      <w:lang w:val="en-US" w:eastAsia="zh-CN" w:bidi="ar"/>
                    </w:rPr>
                    <w:t>GB39726</w:t>
                  </w:r>
                  <w:r>
                    <w:rPr>
                      <w:rFonts w:hint="eastAsia" w:ascii="Times New Roman" w:hAnsi="Times New Roman" w:cs="Times New Roman"/>
                      <w:b w:val="0"/>
                      <w:bCs w:val="0"/>
                      <w:color w:val="auto"/>
                      <w:kern w:val="2"/>
                      <w:sz w:val="21"/>
                      <w:szCs w:val="21"/>
                      <w:lang w:val="en-US" w:eastAsia="zh-CN" w:bidi="ar"/>
                    </w:rPr>
                    <w:t>）</w:t>
                  </w:r>
                  <w:r>
                    <w:rPr>
                      <w:rFonts w:hint="default" w:ascii="Times New Roman" w:hAnsi="Times New Roman" w:eastAsia="宋体" w:cs="Times New Roman"/>
                      <w:b w:val="0"/>
                      <w:bCs w:val="0"/>
                      <w:color w:val="auto"/>
                      <w:kern w:val="2"/>
                      <w:sz w:val="21"/>
                      <w:szCs w:val="21"/>
                      <w:lang w:val="en-US" w:eastAsia="zh-CN" w:bidi="ar"/>
                    </w:rPr>
                    <w:t>及地方排放标准，加强无组织排放控制，不能稳定达标排放的，限期完成设施升级改造，不具备改造条件及改造后仍不能达标的，依法依规进行淘汰。鼓励铸造用生铁企业参照钢铁行业超低排放改造要求开展有组织、无组织和清洁运输超低排放改造，支持行业协会公示进展情况。</w:t>
                  </w:r>
                </w:p>
              </w:tc>
              <w:tc>
                <w:tcPr>
                  <w:tcW w:w="2368" w:type="dxa"/>
                  <w:tcBorders>
                    <w:top w:val="single" w:color="auto" w:sz="2" w:space="0"/>
                    <w:left w:val="single" w:color="auto" w:sz="2" w:space="0"/>
                    <w:bottom w:val="single" w:color="auto" w:sz="12" w:space="0"/>
                    <w:right w:val="single" w:color="auto" w:sz="2" w:space="0"/>
                  </w:tcBorders>
                  <w:shd w:val="clear" w:color="auto" w:fill="auto"/>
                  <w:vAlign w:val="center"/>
                </w:tcPr>
                <w:p w14:paraId="5A5800D0">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bidi="ar"/>
                    </w:rPr>
                    <w:t>本项目建设完成后，企业依法申领排污许可证，并严格落实持证排污、按证排污</w:t>
                  </w:r>
                  <w:r>
                    <w:rPr>
                      <w:rFonts w:hint="eastAsia" w:ascii="Times New Roman" w:hAnsi="Times New Roman" w:cs="Times New Roman"/>
                      <w:b w:val="0"/>
                      <w:bCs w:val="0"/>
                      <w:color w:val="auto"/>
                      <w:kern w:val="2"/>
                      <w:sz w:val="21"/>
                      <w:szCs w:val="21"/>
                      <w:lang w:val="en-US" w:eastAsia="zh-CN" w:bidi="ar"/>
                    </w:rPr>
                    <w:t>，</w:t>
                  </w:r>
                  <w:r>
                    <w:rPr>
                      <w:rFonts w:hint="default" w:ascii="Times New Roman" w:hAnsi="Times New Roman" w:eastAsia="宋体" w:cs="Times New Roman"/>
                      <w:b w:val="0"/>
                      <w:bCs w:val="0"/>
                      <w:color w:val="auto"/>
                      <w:kern w:val="2"/>
                      <w:sz w:val="21"/>
                      <w:szCs w:val="21"/>
                      <w:lang w:val="en-US" w:eastAsia="zh-CN" w:bidi="ar"/>
                    </w:rPr>
                    <w:t>按</w:t>
                  </w:r>
                </w:p>
                <w:p w14:paraId="5496EB91">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bidi="ar"/>
                    </w:rPr>
                    <w:t>排污许可证规定落实自行监测、台账记录、执行报告、信息公开等要求。项目建成后，污染物排放满足《铸造工业大气污染物排放标准》</w:t>
                  </w:r>
                  <w:r>
                    <w:rPr>
                      <w:rFonts w:hint="eastAsia" w:ascii="Times New Roman" w:hAnsi="Times New Roman" w:cs="Times New Roman"/>
                      <w:b w:val="0"/>
                      <w:bCs w:val="0"/>
                      <w:color w:val="auto"/>
                      <w:kern w:val="2"/>
                      <w:sz w:val="21"/>
                      <w:szCs w:val="21"/>
                      <w:lang w:val="en-US" w:eastAsia="zh-CN" w:bidi="ar"/>
                    </w:rPr>
                    <w:t>（</w:t>
                  </w:r>
                  <w:r>
                    <w:rPr>
                      <w:rFonts w:hint="default" w:ascii="Times New Roman" w:hAnsi="Times New Roman" w:eastAsia="宋体" w:cs="Times New Roman"/>
                      <w:b w:val="0"/>
                      <w:bCs w:val="0"/>
                      <w:color w:val="auto"/>
                      <w:kern w:val="2"/>
                      <w:sz w:val="21"/>
                      <w:szCs w:val="21"/>
                      <w:lang w:val="en-US" w:eastAsia="zh-CN" w:bidi="ar"/>
                    </w:rPr>
                    <w:t>GB39726--2020</w:t>
                  </w:r>
                  <w:r>
                    <w:rPr>
                      <w:rFonts w:hint="eastAsia" w:ascii="Times New Roman" w:hAnsi="Times New Roman" w:cs="Times New Roman"/>
                      <w:b w:val="0"/>
                      <w:bCs w:val="0"/>
                      <w:color w:val="auto"/>
                      <w:kern w:val="2"/>
                      <w:sz w:val="21"/>
                      <w:szCs w:val="21"/>
                      <w:lang w:val="en-US" w:eastAsia="zh-CN" w:bidi="ar"/>
                    </w:rPr>
                    <w:t>）</w:t>
                  </w:r>
                  <w:r>
                    <w:rPr>
                      <w:rFonts w:hint="default" w:ascii="Times New Roman" w:hAnsi="Times New Roman" w:eastAsia="宋体" w:cs="Times New Roman"/>
                      <w:b w:val="0"/>
                      <w:bCs w:val="0"/>
                      <w:color w:val="auto"/>
                      <w:kern w:val="2"/>
                      <w:sz w:val="21"/>
                      <w:szCs w:val="21"/>
                      <w:lang w:val="en-US" w:eastAsia="zh-CN" w:bidi="ar"/>
                    </w:rPr>
                    <w:t>表1相关限值要求。</w:t>
                  </w:r>
                </w:p>
              </w:tc>
              <w:tc>
                <w:tcPr>
                  <w:tcW w:w="684" w:type="dxa"/>
                  <w:tcBorders>
                    <w:top w:val="single" w:color="auto" w:sz="2" w:space="0"/>
                    <w:left w:val="single" w:color="auto" w:sz="2" w:space="0"/>
                    <w:bottom w:val="single" w:color="auto" w:sz="12" w:space="0"/>
                    <w:right w:val="single" w:color="auto" w:sz="12" w:space="0"/>
                  </w:tcBorders>
                  <w:shd w:val="clear" w:color="auto" w:fill="auto"/>
                  <w:vAlign w:val="center"/>
                </w:tcPr>
                <w:p w14:paraId="6035A723">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bidi="ar"/>
                    </w:rPr>
                    <w:t>符合要求</w:t>
                  </w:r>
                </w:p>
              </w:tc>
            </w:tr>
          </w:tbl>
          <w:p w14:paraId="4618767B">
            <w:pPr>
              <w:keepNext/>
              <w:keepLines w:val="0"/>
              <w:pageBreakBefore w:val="0"/>
              <w:widowControl w:val="0"/>
              <w:suppressLineNumbers w:val="0"/>
              <w:spacing w:before="0" w:beforeAutospacing="0" w:after="0" w:afterAutospacing="0"/>
              <w:ind w:left="0" w:right="0" w:firstLine="482" w:firstLineChars="200"/>
              <w:jc w:val="both"/>
              <w:rPr>
                <w:rFonts w:hint="default" w:ascii="Times New Roman" w:hAnsi="Times New Roman" w:eastAsia="宋体" w:cs="Times New Roman"/>
                <w:b/>
                <w:bCs/>
                <w:color w:val="auto"/>
                <w:sz w:val="24"/>
                <w:szCs w:val="24"/>
                <w:highlight w:val="none"/>
              </w:rPr>
            </w:pPr>
            <w:r>
              <w:rPr>
                <w:rFonts w:hint="eastAsia" w:ascii="Times New Roman" w:hAnsi="Times New Roman" w:cs="Times New Roman"/>
                <w:b/>
                <w:bCs/>
                <w:color w:val="auto"/>
                <w:sz w:val="24"/>
                <w:szCs w:val="24"/>
                <w:highlight w:val="none"/>
                <w:lang w:val="en-US" w:eastAsia="zh-CN"/>
              </w:rPr>
              <w:t>2.生态环境分区管控符合性</w:t>
            </w:r>
            <w:r>
              <w:rPr>
                <w:rFonts w:hint="default" w:ascii="Times New Roman" w:hAnsi="Times New Roman" w:eastAsia="宋体" w:cs="Times New Roman"/>
                <w:b/>
                <w:bCs/>
                <w:color w:val="auto"/>
                <w:sz w:val="24"/>
                <w:szCs w:val="24"/>
                <w:highlight w:val="none"/>
              </w:rPr>
              <w:t>分析</w:t>
            </w:r>
          </w:p>
          <w:p w14:paraId="414CBA3D">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default" w:ascii="Times New Roman" w:hAnsi="Times New Roman" w:eastAsia="宋体" w:cs="Times New Roman"/>
                <w:color w:val="auto"/>
                <w:spacing w:val="0"/>
                <w:kern w:val="2"/>
                <w:sz w:val="24"/>
                <w:szCs w:val="24"/>
                <w:lang w:val="en-US" w:eastAsia="zh-CN" w:bidi="ar"/>
              </w:rPr>
            </w:pPr>
            <w:r>
              <w:rPr>
                <w:rFonts w:hint="default" w:ascii="Times New Roman" w:hAnsi="Times New Roman" w:eastAsia="宋体" w:cs="Times New Roman"/>
                <w:color w:val="auto"/>
                <w:spacing w:val="0"/>
                <w:kern w:val="2"/>
                <w:sz w:val="24"/>
                <w:szCs w:val="24"/>
                <w:lang w:val="en-US" w:eastAsia="zh-CN" w:bidi="ar"/>
              </w:rPr>
              <w:t>本项目位于铁力市经济开发区，根据《黑龙江省人民政府关于实施“三线一单”生态环境分区管控的意见》（黑政发〔2020〕14号）、《伊春市人民政府关于实施“三线一单”生态环境分区管控的意见》（伊政规〔2022〕5号）、《伊春市生态环境准入清单》（2023年版）、《铁力市春福记生物科技有限公司建设项目生态环境分区管控分析报告》，项目与</w:t>
            </w:r>
            <w:r>
              <w:rPr>
                <w:rFonts w:hint="eastAsia" w:ascii="Times New Roman" w:hAnsi="Times New Roman" w:cs="Times New Roman"/>
                <w:color w:val="auto"/>
                <w:spacing w:val="0"/>
                <w:kern w:val="2"/>
                <w:sz w:val="24"/>
                <w:szCs w:val="24"/>
                <w:lang w:val="en-US" w:eastAsia="zh-CN" w:bidi="ar"/>
              </w:rPr>
              <w:t>生态环境分区管控</w:t>
            </w:r>
            <w:r>
              <w:rPr>
                <w:rFonts w:hint="default" w:ascii="Times New Roman" w:hAnsi="Times New Roman" w:eastAsia="宋体" w:cs="Times New Roman"/>
                <w:color w:val="auto"/>
                <w:spacing w:val="0"/>
                <w:kern w:val="2"/>
                <w:sz w:val="24"/>
                <w:szCs w:val="24"/>
                <w:lang w:val="en-US" w:eastAsia="zh-CN" w:bidi="ar"/>
              </w:rPr>
              <w:t>符合性情况如下：</w:t>
            </w:r>
          </w:p>
          <w:p w14:paraId="5AAC468F">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default" w:ascii="Times New Roman" w:hAnsi="Times New Roman" w:eastAsia="宋体" w:cs="Times New Roman"/>
                <w:color w:val="auto"/>
                <w:spacing w:val="0"/>
                <w:kern w:val="2"/>
                <w:sz w:val="24"/>
                <w:szCs w:val="24"/>
                <w:lang w:val="en-US" w:eastAsia="zh-CN" w:bidi="ar"/>
              </w:rPr>
            </w:pPr>
            <w:r>
              <w:rPr>
                <w:rFonts w:hint="default" w:ascii="Times New Roman" w:hAnsi="Times New Roman" w:eastAsia="宋体" w:cs="Times New Roman"/>
                <w:color w:val="auto"/>
                <w:spacing w:val="0"/>
                <w:kern w:val="2"/>
                <w:sz w:val="24"/>
                <w:szCs w:val="24"/>
                <w:lang w:val="en-US" w:eastAsia="zh-CN" w:bidi="ar"/>
              </w:rPr>
              <w:t>（1）一图</w:t>
            </w:r>
          </w:p>
          <w:p w14:paraId="0577B597">
            <w:pPr>
              <w:pStyle w:val="53"/>
              <w:keepNext w:val="0"/>
              <w:keepLines w:val="0"/>
              <w:widowControl w:val="0"/>
              <w:suppressLineNumbers w:val="0"/>
              <w:autoSpaceDE w:val="0"/>
              <w:autoSpaceDN/>
              <w:spacing w:before="0" w:beforeAutospacing="0" w:after="0" w:afterAutospacing="0" w:line="360" w:lineRule="auto"/>
              <w:ind w:left="0" w:right="0"/>
              <w:jc w:val="center"/>
              <w:rPr>
                <w:rFonts w:hint="default" w:ascii="Times New Roman" w:hAnsi="Times New Roman" w:eastAsia="宋体" w:cs="Times New Roman"/>
                <w:color w:val="auto"/>
                <w:spacing w:val="0"/>
                <w:kern w:val="2"/>
                <w:sz w:val="21"/>
                <w:szCs w:val="21"/>
              </w:rPr>
            </w:pPr>
            <w:r>
              <w:rPr>
                <w:rFonts w:hint="default" w:ascii="Times New Roman" w:hAnsi="Times New Roman" w:eastAsia="宋体" w:cs="Times New Roman"/>
                <w:color w:val="auto"/>
                <w:spacing w:val="0"/>
                <w:kern w:val="2"/>
                <w:sz w:val="21"/>
                <w:szCs w:val="21"/>
                <w:lang w:val="en-US" w:eastAsia="zh-CN" w:bidi="ar"/>
              </w:rPr>
              <w:drawing>
                <wp:inline distT="0" distB="0" distL="114300" distR="114300">
                  <wp:extent cx="4438015" cy="2270125"/>
                  <wp:effectExtent l="0" t="0" r="635" b="15875"/>
                  <wp:docPr id="54"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41"/>
                          <pic:cNvPicPr>
                            <a:picLocks noChangeAspect="1"/>
                          </pic:cNvPicPr>
                        </pic:nvPicPr>
                        <pic:blipFill>
                          <a:blip r:embed="rId20"/>
                          <a:stretch>
                            <a:fillRect/>
                          </a:stretch>
                        </pic:blipFill>
                        <pic:spPr>
                          <a:xfrm>
                            <a:off x="0" y="0"/>
                            <a:ext cx="4438015" cy="2270125"/>
                          </a:xfrm>
                          <a:prstGeom prst="rect">
                            <a:avLst/>
                          </a:prstGeom>
                          <a:noFill/>
                          <a:ln>
                            <a:noFill/>
                          </a:ln>
                        </pic:spPr>
                      </pic:pic>
                    </a:graphicData>
                  </a:graphic>
                </wp:inline>
              </w:drawing>
            </w:r>
            <w:r>
              <w:rPr>
                <w:rFonts w:hint="default" w:ascii="Times New Roman" w:hAnsi="Times New Roman" w:eastAsia="宋体" w:cs="Times New Roman"/>
                <w:color w:val="auto"/>
                <w:spacing w:val="0"/>
                <w:kern w:val="2"/>
                <w:sz w:val="21"/>
                <w:szCs w:val="21"/>
                <w:lang w:val="en-US" w:eastAsia="zh-CN" w:bidi="ar"/>
              </w:rPr>
              <w:t xml:space="preserve"> </w:t>
            </w:r>
          </w:p>
          <w:p w14:paraId="27E8890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kern w:val="2"/>
                <w:sz w:val="21"/>
                <w:szCs w:val="21"/>
                <w:lang w:val="en-US" w:eastAsia="zh-CN" w:bidi="ar"/>
              </w:rPr>
            </w:pPr>
            <w:r>
              <w:rPr>
                <w:rFonts w:hint="default" w:ascii="Times New Roman" w:hAnsi="Times New Roman" w:eastAsia="宋体" w:cs="Times New Roman"/>
                <w:b/>
                <w:color w:val="auto"/>
                <w:kern w:val="2"/>
                <w:sz w:val="21"/>
                <w:szCs w:val="21"/>
                <w:lang w:val="en-US" w:eastAsia="zh-CN" w:bidi="ar"/>
              </w:rPr>
              <w:t>图1-2  本项目与环境管控单元叠加图</w:t>
            </w:r>
          </w:p>
          <w:p w14:paraId="64141D82">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default" w:ascii="Times New Roman" w:hAnsi="Times New Roman" w:eastAsia="宋体" w:cs="Times New Roman"/>
                <w:color w:val="auto"/>
                <w:spacing w:val="0"/>
                <w:kern w:val="2"/>
                <w:sz w:val="24"/>
                <w:szCs w:val="24"/>
                <w:lang w:val="en-US" w:eastAsia="zh-CN" w:bidi="ar"/>
              </w:rPr>
            </w:pPr>
            <w:r>
              <w:rPr>
                <w:rFonts w:hint="default" w:ascii="Times New Roman" w:hAnsi="Times New Roman" w:eastAsia="宋体" w:cs="Times New Roman"/>
                <w:color w:val="auto"/>
                <w:spacing w:val="0"/>
                <w:kern w:val="2"/>
                <w:sz w:val="24"/>
                <w:szCs w:val="24"/>
                <w:lang w:val="en-US" w:eastAsia="zh-CN" w:bidi="ar"/>
              </w:rPr>
              <w:t>（2）一表</w:t>
            </w:r>
          </w:p>
          <w:p w14:paraId="02319C9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kern w:val="2"/>
                <w:sz w:val="21"/>
                <w:szCs w:val="21"/>
                <w:lang w:val="en-US" w:eastAsia="zh-CN" w:bidi="ar"/>
              </w:rPr>
            </w:pPr>
            <w:r>
              <w:rPr>
                <w:rFonts w:hint="default" w:ascii="Times New Roman" w:hAnsi="Times New Roman" w:eastAsia="宋体" w:cs="Times New Roman"/>
                <w:b/>
                <w:color w:val="auto"/>
                <w:kern w:val="2"/>
                <w:sz w:val="21"/>
                <w:szCs w:val="21"/>
                <w:lang w:val="en-US" w:eastAsia="zh-CN" w:bidi="ar"/>
              </w:rPr>
              <w:t>表1-7 本项目与生态环境分区管控符合性分析</w:t>
            </w:r>
          </w:p>
          <w:tbl>
            <w:tblPr>
              <w:tblStyle w:val="56"/>
              <w:tblW w:w="494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13"/>
              <w:gridCol w:w="4534"/>
              <w:gridCol w:w="1895"/>
            </w:tblGrid>
            <w:tr w14:paraId="202B7F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81" w:type="dxa"/>
                  <w:gridSpan w:val="3"/>
                  <w:tcBorders>
                    <w:tl2br w:val="nil"/>
                    <w:tr2bl w:val="nil"/>
                  </w:tcBorders>
                  <w:shd w:val="clear" w:color="auto" w:fill="auto"/>
                  <w:vAlign w:val="center"/>
                </w:tcPr>
                <w:p w14:paraId="2350E876">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一、生态保护红线</w:t>
                  </w:r>
                </w:p>
              </w:tc>
            </w:tr>
            <w:tr w14:paraId="3472DD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119" w:type="dxa"/>
                  <w:tcBorders>
                    <w:tl2br w:val="nil"/>
                    <w:tr2bl w:val="nil"/>
                  </w:tcBorders>
                  <w:shd w:val="clear" w:color="auto" w:fill="auto"/>
                  <w:vAlign w:val="center"/>
                </w:tcPr>
                <w:p w14:paraId="13720233">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管控单元类别</w:t>
                  </w:r>
                </w:p>
              </w:tc>
              <w:tc>
                <w:tcPr>
                  <w:tcW w:w="6462" w:type="dxa"/>
                  <w:gridSpan w:val="2"/>
                  <w:tcBorders>
                    <w:tl2br w:val="nil"/>
                    <w:tr2bl w:val="nil"/>
                  </w:tcBorders>
                  <w:shd w:val="clear" w:color="auto" w:fill="auto"/>
                  <w:vAlign w:val="center"/>
                </w:tcPr>
                <w:p w14:paraId="5F13A8BE">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一般管控区</w:t>
                  </w:r>
                </w:p>
              </w:tc>
            </w:tr>
            <w:tr w14:paraId="6856F9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119" w:type="dxa"/>
                  <w:tcBorders>
                    <w:tl2br w:val="nil"/>
                    <w:tr2bl w:val="nil"/>
                  </w:tcBorders>
                  <w:shd w:val="clear" w:color="auto" w:fill="auto"/>
                  <w:vAlign w:val="center"/>
                </w:tcPr>
                <w:p w14:paraId="347E6B69">
                  <w:pPr>
                    <w:keepNext w:val="0"/>
                    <w:keepLines w:val="0"/>
                    <w:widowControl w:val="0"/>
                    <w:suppressLineNumbers w:val="0"/>
                    <w:adjustRightInd w:val="0"/>
                    <w:spacing w:before="0" w:beforeAutospacing="0" w:after="0" w:afterAutospacing="0" w:line="240" w:lineRule="auto"/>
                    <w:ind w:left="0" w:right="0"/>
                    <w:jc w:val="left"/>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管控要求</w:t>
                  </w:r>
                </w:p>
              </w:tc>
              <w:tc>
                <w:tcPr>
                  <w:tcW w:w="6462" w:type="dxa"/>
                  <w:gridSpan w:val="2"/>
                  <w:tcBorders>
                    <w:tl2br w:val="nil"/>
                    <w:tr2bl w:val="nil"/>
                  </w:tcBorders>
                  <w:shd w:val="clear" w:color="auto" w:fill="auto"/>
                  <w:vAlign w:val="center"/>
                </w:tcPr>
                <w:p w14:paraId="3F443557">
                  <w:pPr>
                    <w:keepNext w:val="0"/>
                    <w:keepLines w:val="0"/>
                    <w:widowControl w:val="0"/>
                    <w:suppressLineNumbers w:val="0"/>
                    <w:adjustRightInd w:val="0"/>
                    <w:spacing w:before="0" w:beforeAutospacing="0" w:after="0" w:afterAutospacing="0" w:line="240" w:lineRule="auto"/>
                    <w:ind w:left="0" w:right="0"/>
                    <w:jc w:val="left"/>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生态空间包括生态保护红线和一般生态空间，生态保护红线及一般生态空间均属于优先保护区，其余区域属于一般管控区。</w:t>
                  </w:r>
                </w:p>
              </w:tc>
            </w:tr>
            <w:tr w14:paraId="4721DE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119" w:type="dxa"/>
                  <w:tcBorders>
                    <w:tl2br w:val="nil"/>
                    <w:tr2bl w:val="nil"/>
                  </w:tcBorders>
                  <w:shd w:val="clear" w:color="auto" w:fill="auto"/>
                  <w:vAlign w:val="center"/>
                </w:tcPr>
                <w:p w14:paraId="7DB0A5C4">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符合性</w:t>
                  </w:r>
                </w:p>
                <w:p w14:paraId="0623E373">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分析</w:t>
                  </w:r>
                </w:p>
              </w:tc>
              <w:tc>
                <w:tcPr>
                  <w:tcW w:w="6462" w:type="dxa"/>
                  <w:gridSpan w:val="2"/>
                  <w:tcBorders>
                    <w:tl2br w:val="nil"/>
                    <w:tr2bl w:val="nil"/>
                  </w:tcBorders>
                  <w:shd w:val="clear" w:color="auto" w:fill="auto"/>
                  <w:vAlign w:val="center"/>
                </w:tcPr>
                <w:p w14:paraId="21E40170">
                  <w:pPr>
                    <w:keepNext w:val="0"/>
                    <w:keepLines w:val="0"/>
                    <w:widowControl w:val="0"/>
                    <w:suppressLineNumbers w:val="0"/>
                    <w:adjustRightInd w:val="0"/>
                    <w:spacing w:before="0" w:beforeAutospacing="0" w:after="0" w:afterAutospacing="0" w:line="240" w:lineRule="auto"/>
                    <w:ind w:left="0" w:right="0"/>
                    <w:jc w:val="left"/>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本项目选址不在生态保护红线范围内，不在一般生态空间及各类保护地内，不涉及国家、省、市级自然保护区、自然文化遗产、风景名胜区、文物古迹、生态红线、饮用水水源保护区、重要湿地等区域；不在优先保护单元内，所在区域属于重点管控单元，符合生态保护红线要求。</w:t>
                  </w:r>
                </w:p>
              </w:tc>
            </w:tr>
            <w:tr w14:paraId="65BA86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7581" w:type="dxa"/>
                  <w:gridSpan w:val="3"/>
                  <w:tcBorders>
                    <w:tl2br w:val="nil"/>
                    <w:tr2bl w:val="nil"/>
                  </w:tcBorders>
                  <w:shd w:val="clear" w:color="auto" w:fill="auto"/>
                  <w:vAlign w:val="center"/>
                </w:tcPr>
                <w:p w14:paraId="77DCA93F">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lang w:val="en-US"/>
                    </w:rPr>
                  </w:pPr>
                  <w:r>
                    <w:rPr>
                      <w:rFonts w:hint="default" w:ascii="Times New Roman" w:hAnsi="Times New Roman" w:eastAsia="宋体" w:cs="Times New Roman"/>
                      <w:b w:val="0"/>
                      <w:bCs w:val="0"/>
                      <w:color w:val="auto"/>
                      <w:kern w:val="2"/>
                      <w:sz w:val="21"/>
                      <w:szCs w:val="21"/>
                      <w:vertAlign w:val="baseline"/>
                      <w:lang w:val="en-US" w:eastAsia="zh-CN" w:bidi="ar"/>
                    </w:rPr>
                    <w:t>二、环境质量底线</w:t>
                  </w:r>
                </w:p>
              </w:tc>
            </w:tr>
            <w:tr w14:paraId="2D7E59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7581" w:type="dxa"/>
                  <w:gridSpan w:val="3"/>
                  <w:tcBorders>
                    <w:tl2br w:val="nil"/>
                    <w:tr2bl w:val="nil"/>
                  </w:tcBorders>
                  <w:shd w:val="clear" w:color="auto" w:fill="auto"/>
                  <w:vAlign w:val="center"/>
                </w:tcPr>
                <w:p w14:paraId="7F37CB6C">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大气环境</w:t>
                  </w:r>
                </w:p>
              </w:tc>
            </w:tr>
            <w:tr w14:paraId="7D3573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119" w:type="dxa"/>
                  <w:tcBorders>
                    <w:tl2br w:val="nil"/>
                    <w:tr2bl w:val="nil"/>
                  </w:tcBorders>
                  <w:shd w:val="clear" w:color="auto" w:fill="auto"/>
                  <w:vAlign w:val="center"/>
                </w:tcPr>
                <w:p w14:paraId="05E21267">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管控单元类别</w:t>
                  </w:r>
                </w:p>
              </w:tc>
              <w:tc>
                <w:tcPr>
                  <w:tcW w:w="6462" w:type="dxa"/>
                  <w:gridSpan w:val="2"/>
                  <w:tcBorders>
                    <w:tl2br w:val="nil"/>
                    <w:tr2bl w:val="nil"/>
                  </w:tcBorders>
                  <w:shd w:val="clear" w:color="auto" w:fill="auto"/>
                  <w:vAlign w:val="center"/>
                </w:tcPr>
                <w:p w14:paraId="65341675">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lang w:val="en-US"/>
                    </w:rPr>
                  </w:pPr>
                  <w:r>
                    <w:rPr>
                      <w:rFonts w:hint="default" w:ascii="Times New Roman" w:hAnsi="Times New Roman" w:eastAsia="宋体" w:cs="Times New Roman"/>
                      <w:b w:val="0"/>
                      <w:bCs w:val="0"/>
                      <w:color w:val="auto"/>
                      <w:kern w:val="2"/>
                      <w:sz w:val="21"/>
                      <w:szCs w:val="21"/>
                      <w:vertAlign w:val="baseline"/>
                      <w:lang w:val="en-US" w:eastAsia="zh-CN" w:bidi="ar"/>
                    </w:rPr>
                    <w:t>大气环境受体敏感重点管控区、大气环境高排放重点管控区</w:t>
                  </w:r>
                </w:p>
              </w:tc>
            </w:tr>
            <w:tr w14:paraId="1C164B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7581" w:type="dxa"/>
                  <w:gridSpan w:val="3"/>
                  <w:tcBorders>
                    <w:tl2br w:val="nil"/>
                    <w:tr2bl w:val="nil"/>
                  </w:tcBorders>
                  <w:shd w:val="clear" w:color="auto" w:fill="auto"/>
                  <w:vAlign w:val="center"/>
                </w:tcPr>
                <w:p w14:paraId="59ACD23A">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符合性分析</w:t>
                  </w:r>
                </w:p>
              </w:tc>
            </w:tr>
            <w:tr w14:paraId="7765EA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7581" w:type="dxa"/>
                  <w:gridSpan w:val="3"/>
                  <w:tcBorders>
                    <w:tl2br w:val="nil"/>
                    <w:tr2bl w:val="nil"/>
                  </w:tcBorders>
                  <w:shd w:val="clear" w:color="auto" w:fill="auto"/>
                  <w:vAlign w:val="center"/>
                </w:tcPr>
                <w:p w14:paraId="00852359">
                  <w:pPr>
                    <w:keepNext w:val="0"/>
                    <w:keepLines w:val="0"/>
                    <w:widowControl w:val="0"/>
                    <w:suppressLineNumbers w:val="0"/>
                    <w:adjustRightInd w:val="0"/>
                    <w:spacing w:before="0" w:beforeAutospacing="0" w:after="0" w:afterAutospacing="0" w:line="240" w:lineRule="auto"/>
                    <w:ind w:left="0" w:right="0"/>
                    <w:jc w:val="both"/>
                    <w:textAlignment w:val="baseline"/>
                    <w:rPr>
                      <w:rFonts w:hint="default"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b w:val="0"/>
                      <w:bCs w:val="0"/>
                      <w:color w:val="auto"/>
                      <w:kern w:val="2"/>
                      <w:sz w:val="21"/>
                      <w:szCs w:val="21"/>
                      <w:vertAlign w:val="baseline"/>
                      <w:lang w:val="en-US" w:eastAsia="zh-CN"/>
                    </w:rPr>
                    <w:t>本项目所在地环境空气质量控制要求为《环境空气质量标准》（</w:t>
                  </w:r>
                  <w:r>
                    <w:rPr>
                      <w:rFonts w:hint="eastAsia" w:ascii="Times New Roman" w:hAnsi="Times New Roman" w:cs="Times New Roman"/>
                      <w:b w:val="0"/>
                      <w:bCs w:val="0"/>
                      <w:color w:val="auto"/>
                      <w:kern w:val="2"/>
                      <w:sz w:val="21"/>
                      <w:szCs w:val="21"/>
                      <w:vertAlign w:val="baseline"/>
                      <w:lang w:val="en-US" w:eastAsia="zh-CN"/>
                    </w:rPr>
                    <w:t>GB 3095-2026</w:t>
                  </w:r>
                  <w:r>
                    <w:rPr>
                      <w:rFonts w:hint="default" w:ascii="Times New Roman" w:hAnsi="Times New Roman" w:eastAsia="宋体" w:cs="Times New Roman"/>
                      <w:b w:val="0"/>
                      <w:bCs w:val="0"/>
                      <w:color w:val="auto"/>
                      <w:kern w:val="2"/>
                      <w:sz w:val="21"/>
                      <w:szCs w:val="21"/>
                      <w:vertAlign w:val="baseline"/>
                      <w:lang w:val="en-US" w:eastAsia="zh-CN"/>
                    </w:rPr>
                    <w:t>）二级标准。地表水环境质量控制要求为《地表水环境质量标准》（GB3838-2002）Ⅲ类标准。声环境质量控制要求为《声环境质量标准》</w:t>
                  </w:r>
                  <w:r>
                    <w:rPr>
                      <w:rFonts w:hint="eastAsia" w:ascii="Times New Roman" w:hAnsi="Times New Roman" w:cs="Times New Roman"/>
                      <w:b w:val="0"/>
                      <w:bCs w:val="0"/>
                      <w:color w:val="auto"/>
                      <w:kern w:val="2"/>
                      <w:sz w:val="21"/>
                      <w:szCs w:val="21"/>
                      <w:vertAlign w:val="baseline"/>
                      <w:lang w:val="en-US" w:eastAsia="zh-CN"/>
                    </w:rPr>
                    <w:t>（</w:t>
                  </w:r>
                  <w:r>
                    <w:rPr>
                      <w:rFonts w:hint="default" w:ascii="Times New Roman" w:hAnsi="Times New Roman" w:eastAsia="宋体" w:cs="Times New Roman"/>
                      <w:b w:val="0"/>
                      <w:bCs w:val="0"/>
                      <w:color w:val="auto"/>
                      <w:kern w:val="2"/>
                      <w:sz w:val="21"/>
                      <w:szCs w:val="21"/>
                      <w:vertAlign w:val="baseline"/>
                      <w:lang w:val="en-US" w:eastAsia="zh-CN"/>
                    </w:rPr>
                    <w:t>GB3096-2008</w:t>
                  </w:r>
                  <w:r>
                    <w:rPr>
                      <w:rFonts w:hint="eastAsia" w:ascii="Times New Roman" w:hAnsi="Times New Roman" w:cs="Times New Roman"/>
                      <w:b w:val="0"/>
                      <w:bCs w:val="0"/>
                      <w:color w:val="auto"/>
                      <w:kern w:val="2"/>
                      <w:sz w:val="21"/>
                      <w:szCs w:val="21"/>
                      <w:vertAlign w:val="baseline"/>
                      <w:lang w:val="en-US" w:eastAsia="zh-CN"/>
                    </w:rPr>
                    <w:t>）</w:t>
                  </w:r>
                  <w:r>
                    <w:rPr>
                      <w:rFonts w:hint="default" w:ascii="Times New Roman" w:hAnsi="Times New Roman" w:eastAsia="宋体" w:cs="Times New Roman"/>
                      <w:b w:val="0"/>
                      <w:bCs w:val="0"/>
                      <w:color w:val="auto"/>
                      <w:kern w:val="2"/>
                      <w:sz w:val="21"/>
                      <w:szCs w:val="21"/>
                      <w:vertAlign w:val="baseline"/>
                      <w:lang w:val="en-US" w:eastAsia="zh-CN"/>
                    </w:rPr>
                    <w:t>3类标准。根据区域环境质量现状以及现状监测可知，项目所在区域环境空气质量均达到《环境空气质量标准》（</w:t>
                  </w:r>
                  <w:r>
                    <w:rPr>
                      <w:rFonts w:hint="eastAsia" w:ascii="Times New Roman" w:hAnsi="Times New Roman" w:cs="Times New Roman"/>
                      <w:b w:val="0"/>
                      <w:bCs w:val="0"/>
                      <w:color w:val="auto"/>
                      <w:kern w:val="2"/>
                      <w:sz w:val="21"/>
                      <w:szCs w:val="21"/>
                      <w:vertAlign w:val="baseline"/>
                      <w:lang w:val="en-US" w:eastAsia="zh-CN"/>
                    </w:rPr>
                    <w:t>GB 3095-2026</w:t>
                  </w:r>
                  <w:r>
                    <w:rPr>
                      <w:rFonts w:hint="default" w:ascii="Times New Roman" w:hAnsi="Times New Roman" w:eastAsia="宋体" w:cs="Times New Roman"/>
                      <w:b w:val="0"/>
                      <w:bCs w:val="0"/>
                      <w:color w:val="auto"/>
                      <w:kern w:val="2"/>
                      <w:sz w:val="21"/>
                      <w:szCs w:val="21"/>
                      <w:vertAlign w:val="baseline"/>
                      <w:lang w:val="en-US" w:eastAsia="zh-CN"/>
                    </w:rPr>
                    <w:t>）二级标准要求；项目区域地表水满足《地表水环境质量标准》（GB3838-2002）Ⅲ类水质标准要求。由上述可知，项目区域的环境质量较好。建设单位依照本环评要求的措施合理处置各项污染物后，不会改变项目所在区域环境质量等级，因此本项目的建设符合环境质量底线要求。</w:t>
                  </w:r>
                </w:p>
              </w:tc>
            </w:tr>
            <w:tr w14:paraId="30CF7D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7581" w:type="dxa"/>
                  <w:gridSpan w:val="3"/>
                  <w:tcBorders>
                    <w:tl2br w:val="nil"/>
                    <w:tr2bl w:val="nil"/>
                  </w:tcBorders>
                  <w:shd w:val="clear" w:color="auto" w:fill="auto"/>
                  <w:vAlign w:val="center"/>
                </w:tcPr>
                <w:p w14:paraId="19C8611C">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水环境</w:t>
                  </w:r>
                </w:p>
              </w:tc>
            </w:tr>
            <w:tr w14:paraId="6AF0ED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81" w:type="dxa"/>
                  <w:gridSpan w:val="3"/>
                  <w:tcBorders>
                    <w:tl2br w:val="nil"/>
                    <w:tr2bl w:val="nil"/>
                  </w:tcBorders>
                  <w:shd w:val="clear" w:color="auto" w:fill="auto"/>
                  <w:vAlign w:val="center"/>
                </w:tcPr>
                <w:p w14:paraId="44774F49">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eastAsia" w:ascii="Times New Roman" w:hAnsi="Times New Roman" w:cs="Times New Roman"/>
                      <w:b w:val="0"/>
                      <w:bCs w:val="0"/>
                      <w:color w:val="auto"/>
                      <w:kern w:val="2"/>
                      <w:sz w:val="21"/>
                      <w:szCs w:val="21"/>
                      <w:vertAlign w:val="baseline"/>
                      <w:lang w:val="en-US" w:eastAsia="zh-CN" w:bidi="ar"/>
                    </w:rPr>
                    <w:t>地下水</w:t>
                  </w:r>
                  <w:r>
                    <w:rPr>
                      <w:rFonts w:hint="default" w:ascii="Times New Roman" w:hAnsi="Times New Roman" w:eastAsia="宋体" w:cs="Times New Roman"/>
                      <w:b w:val="0"/>
                      <w:bCs w:val="0"/>
                      <w:color w:val="auto"/>
                      <w:kern w:val="2"/>
                      <w:sz w:val="21"/>
                      <w:szCs w:val="21"/>
                      <w:vertAlign w:val="baseline"/>
                      <w:lang w:val="en-US" w:eastAsia="zh-CN" w:bidi="ar"/>
                    </w:rPr>
                    <w:t>环境</w:t>
                  </w:r>
                </w:p>
              </w:tc>
            </w:tr>
            <w:tr w14:paraId="3F9459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119" w:type="dxa"/>
                  <w:tcBorders>
                    <w:tl2br w:val="nil"/>
                    <w:tr2bl w:val="nil"/>
                  </w:tcBorders>
                  <w:shd w:val="clear" w:color="auto" w:fill="auto"/>
                  <w:vAlign w:val="center"/>
                </w:tcPr>
                <w:p w14:paraId="78973922">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管控单元类别</w:t>
                  </w:r>
                </w:p>
              </w:tc>
              <w:tc>
                <w:tcPr>
                  <w:tcW w:w="6462" w:type="dxa"/>
                  <w:gridSpan w:val="2"/>
                  <w:tcBorders>
                    <w:tl2br w:val="nil"/>
                    <w:tr2bl w:val="nil"/>
                  </w:tcBorders>
                  <w:shd w:val="clear" w:color="auto" w:fill="auto"/>
                  <w:vAlign w:val="center"/>
                </w:tcPr>
                <w:p w14:paraId="22BEE057">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铁力市地下水环境一般管控区</w:t>
                  </w:r>
                </w:p>
              </w:tc>
            </w:tr>
            <w:tr w14:paraId="25C3D6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5676" w:type="dxa"/>
                  <w:gridSpan w:val="2"/>
                  <w:tcBorders>
                    <w:tl2br w:val="nil"/>
                    <w:tr2bl w:val="nil"/>
                  </w:tcBorders>
                  <w:shd w:val="clear" w:color="auto" w:fill="auto"/>
                  <w:vAlign w:val="center"/>
                </w:tcPr>
                <w:p w14:paraId="1176DA29">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管控要求</w:t>
                  </w:r>
                </w:p>
              </w:tc>
              <w:tc>
                <w:tcPr>
                  <w:tcW w:w="1905" w:type="dxa"/>
                  <w:tcBorders>
                    <w:tl2br w:val="nil"/>
                    <w:tr2bl w:val="nil"/>
                  </w:tcBorders>
                  <w:shd w:val="clear" w:color="auto" w:fill="auto"/>
                  <w:vAlign w:val="center"/>
                </w:tcPr>
                <w:p w14:paraId="42E9B5E4">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符合性分析</w:t>
                  </w:r>
                </w:p>
              </w:tc>
            </w:tr>
            <w:tr w14:paraId="4FABE3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119" w:type="dxa"/>
                  <w:tcBorders>
                    <w:tl2br w:val="nil"/>
                    <w:tr2bl w:val="nil"/>
                  </w:tcBorders>
                  <w:shd w:val="clear" w:color="auto" w:fill="auto"/>
                  <w:vAlign w:val="center"/>
                </w:tcPr>
                <w:p w14:paraId="0020CD63">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环境风险防控</w:t>
                  </w:r>
                </w:p>
              </w:tc>
              <w:tc>
                <w:tcPr>
                  <w:tcW w:w="4557" w:type="dxa"/>
                  <w:tcBorders>
                    <w:tl2br w:val="nil"/>
                    <w:tr2bl w:val="nil"/>
                  </w:tcBorders>
                  <w:shd w:val="clear" w:color="auto" w:fill="auto"/>
                  <w:vAlign w:val="center"/>
                </w:tcPr>
                <w:p w14:paraId="51250CE5">
                  <w:pPr>
                    <w:keepNext w:val="0"/>
                    <w:keepLines w:val="0"/>
                    <w:widowControl w:val="0"/>
                    <w:suppressLineNumbers w:val="0"/>
                    <w:autoSpaceDE w:val="0"/>
                    <w:autoSpaceDN/>
                    <w:adjustRightInd w:val="0"/>
                    <w:spacing w:before="0" w:beforeAutospacing="0" w:after="0" w:afterAutospacing="0" w:line="240" w:lineRule="auto"/>
                    <w:ind w:left="0" w:leftChars="0" w:right="0" w:firstLine="0" w:firstLineChars="0"/>
                    <w:jc w:val="both"/>
                    <w:textAlignment w:val="baseline"/>
                    <w:rPr>
                      <w:rFonts w:hint="default" w:ascii="Times New Roman" w:hAnsi="Times New Roman" w:eastAsia="宋体" w:cs="Times New Roman"/>
                      <w:b w:val="0"/>
                      <w:bCs w:val="0"/>
                      <w:color w:val="auto"/>
                      <w:spacing w:val="0"/>
                      <w:kern w:val="2"/>
                      <w:sz w:val="21"/>
                      <w:szCs w:val="21"/>
                      <w:vertAlign w:val="baseline"/>
                      <w:lang w:val="en-US" w:eastAsia="zh-CN" w:bidi="ar"/>
                    </w:rPr>
                  </w:pPr>
                  <w:r>
                    <w:rPr>
                      <w:rFonts w:hint="default" w:ascii="Times New Roman" w:hAnsi="Times New Roman" w:eastAsia="宋体" w:cs="Times New Roman"/>
                      <w:b w:val="0"/>
                      <w:bCs w:val="0"/>
                      <w:color w:val="auto"/>
                      <w:spacing w:val="0"/>
                      <w:kern w:val="2"/>
                      <w:sz w:val="21"/>
                      <w:szCs w:val="21"/>
                      <w:vertAlign w:val="baseline"/>
                      <w:lang w:val="en-US" w:eastAsia="zh-CN" w:bidi="ar"/>
                    </w:rPr>
                    <w:t>环境风险管控</w:t>
                  </w:r>
                </w:p>
                <w:p w14:paraId="1F6E55D9">
                  <w:pPr>
                    <w:keepNext w:val="0"/>
                    <w:keepLines w:val="0"/>
                    <w:widowControl w:val="0"/>
                    <w:suppressLineNumbers w:val="0"/>
                    <w:autoSpaceDE w:val="0"/>
                    <w:autoSpaceDN/>
                    <w:adjustRightInd w:val="0"/>
                    <w:spacing w:before="0" w:beforeAutospacing="0" w:after="0" w:afterAutospacing="0" w:line="240" w:lineRule="auto"/>
                    <w:ind w:left="0" w:leftChars="0" w:right="0" w:firstLine="0" w:firstLineChars="0"/>
                    <w:jc w:val="both"/>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spacing w:val="0"/>
                      <w:kern w:val="2"/>
                      <w:sz w:val="21"/>
                      <w:szCs w:val="21"/>
                      <w:vertAlign w:val="baseline"/>
                      <w:lang w:val="en-US" w:eastAsia="zh-CN" w:bidi="ar"/>
                    </w:rPr>
                    <w:t>1.土壤污染重点监管单位应当履行下列义务</w:t>
                  </w:r>
                  <w:r>
                    <w:rPr>
                      <w:rFonts w:hint="eastAsia" w:ascii="Times New Roman" w:hAnsi="Times New Roman" w:cs="Times New Roman"/>
                      <w:b w:val="0"/>
                      <w:bCs w:val="0"/>
                      <w:color w:val="auto"/>
                      <w:spacing w:val="0"/>
                      <w:kern w:val="2"/>
                      <w:sz w:val="21"/>
                      <w:szCs w:val="21"/>
                      <w:vertAlign w:val="baseline"/>
                      <w:lang w:val="en-US" w:eastAsia="zh-CN" w:bidi="ar"/>
                    </w:rPr>
                    <w:t>：（</w:t>
                  </w:r>
                  <w:r>
                    <w:rPr>
                      <w:rFonts w:hint="default" w:ascii="Times New Roman" w:hAnsi="Times New Roman" w:eastAsia="宋体" w:cs="Times New Roman"/>
                      <w:b w:val="0"/>
                      <w:bCs w:val="0"/>
                      <w:color w:val="auto"/>
                      <w:spacing w:val="0"/>
                      <w:kern w:val="2"/>
                      <w:sz w:val="21"/>
                      <w:szCs w:val="21"/>
                      <w:vertAlign w:val="baseline"/>
                      <w:lang w:val="en-US" w:eastAsia="zh-CN" w:bidi="ar"/>
                    </w:rPr>
                    <w:t>一</w:t>
                  </w:r>
                  <w:r>
                    <w:rPr>
                      <w:rFonts w:hint="eastAsia" w:ascii="Times New Roman" w:hAnsi="Times New Roman" w:cs="Times New Roman"/>
                      <w:b w:val="0"/>
                      <w:bCs w:val="0"/>
                      <w:color w:val="auto"/>
                      <w:spacing w:val="0"/>
                      <w:kern w:val="2"/>
                      <w:sz w:val="21"/>
                      <w:szCs w:val="21"/>
                      <w:vertAlign w:val="baseline"/>
                      <w:lang w:val="en-US" w:eastAsia="zh-CN" w:bidi="ar"/>
                    </w:rPr>
                    <w:t>）</w:t>
                  </w:r>
                  <w:r>
                    <w:rPr>
                      <w:rFonts w:hint="default" w:ascii="Times New Roman" w:hAnsi="Times New Roman" w:eastAsia="宋体" w:cs="Times New Roman"/>
                      <w:b w:val="0"/>
                      <w:bCs w:val="0"/>
                      <w:color w:val="auto"/>
                      <w:spacing w:val="0"/>
                      <w:kern w:val="2"/>
                      <w:sz w:val="21"/>
                      <w:szCs w:val="21"/>
                      <w:vertAlign w:val="baseline"/>
                      <w:lang w:val="en-US" w:eastAsia="zh-CN" w:bidi="ar"/>
                    </w:rPr>
                    <w:t>严格控制有毒有害物质排放，并按年度向生态环境主管部门报告排放情况；</w:t>
                  </w:r>
                  <w:r>
                    <w:rPr>
                      <w:rFonts w:hint="eastAsia" w:ascii="Times New Roman" w:hAnsi="Times New Roman" w:cs="Times New Roman"/>
                      <w:b w:val="0"/>
                      <w:bCs w:val="0"/>
                      <w:color w:val="auto"/>
                      <w:spacing w:val="0"/>
                      <w:kern w:val="2"/>
                      <w:sz w:val="21"/>
                      <w:szCs w:val="21"/>
                      <w:vertAlign w:val="baseline"/>
                      <w:lang w:val="en-US" w:eastAsia="zh-CN" w:bidi="ar"/>
                    </w:rPr>
                    <w:t>（</w:t>
                  </w:r>
                  <w:r>
                    <w:rPr>
                      <w:rFonts w:hint="default" w:ascii="Times New Roman" w:hAnsi="Times New Roman" w:eastAsia="宋体" w:cs="Times New Roman"/>
                      <w:b w:val="0"/>
                      <w:bCs w:val="0"/>
                      <w:color w:val="auto"/>
                      <w:spacing w:val="0"/>
                      <w:kern w:val="2"/>
                      <w:sz w:val="21"/>
                      <w:szCs w:val="21"/>
                      <w:vertAlign w:val="baseline"/>
                      <w:lang w:val="en-US" w:eastAsia="zh-CN" w:bidi="ar"/>
                    </w:rPr>
                    <w:t>二</w:t>
                  </w:r>
                  <w:r>
                    <w:rPr>
                      <w:rFonts w:hint="eastAsia" w:ascii="Times New Roman" w:hAnsi="Times New Roman" w:cs="Times New Roman"/>
                      <w:b w:val="0"/>
                      <w:bCs w:val="0"/>
                      <w:color w:val="auto"/>
                      <w:spacing w:val="0"/>
                      <w:kern w:val="2"/>
                      <w:sz w:val="21"/>
                      <w:szCs w:val="21"/>
                      <w:vertAlign w:val="baseline"/>
                      <w:lang w:val="en-US" w:eastAsia="zh-CN" w:bidi="ar"/>
                    </w:rPr>
                    <w:t>）</w:t>
                  </w:r>
                  <w:r>
                    <w:rPr>
                      <w:rFonts w:hint="default" w:ascii="Times New Roman" w:hAnsi="Times New Roman" w:eastAsia="宋体" w:cs="Times New Roman"/>
                      <w:b w:val="0"/>
                      <w:bCs w:val="0"/>
                      <w:color w:val="auto"/>
                      <w:spacing w:val="0"/>
                      <w:kern w:val="2"/>
                      <w:sz w:val="21"/>
                      <w:szCs w:val="21"/>
                      <w:vertAlign w:val="baseline"/>
                      <w:lang w:val="en-US" w:eastAsia="zh-CN" w:bidi="ar"/>
                    </w:rPr>
                    <w:t>建立土壤污染隐患排查制度，保证持续有效防止有毒有害物质渗漏、流失、扬散；</w:t>
                  </w:r>
                  <w:r>
                    <w:rPr>
                      <w:rFonts w:hint="eastAsia" w:ascii="Times New Roman" w:hAnsi="Times New Roman" w:cs="Times New Roman"/>
                      <w:b w:val="0"/>
                      <w:bCs w:val="0"/>
                      <w:color w:val="auto"/>
                      <w:spacing w:val="0"/>
                      <w:kern w:val="2"/>
                      <w:sz w:val="21"/>
                      <w:szCs w:val="21"/>
                      <w:vertAlign w:val="baseline"/>
                      <w:lang w:val="en-US" w:eastAsia="zh-CN" w:bidi="ar"/>
                    </w:rPr>
                    <w:t>（</w:t>
                  </w:r>
                  <w:r>
                    <w:rPr>
                      <w:rFonts w:hint="default" w:ascii="Times New Roman" w:hAnsi="Times New Roman" w:eastAsia="宋体" w:cs="Times New Roman"/>
                      <w:b w:val="0"/>
                      <w:bCs w:val="0"/>
                      <w:color w:val="auto"/>
                      <w:spacing w:val="0"/>
                      <w:kern w:val="2"/>
                      <w:sz w:val="21"/>
                      <w:szCs w:val="21"/>
                      <w:vertAlign w:val="baseline"/>
                      <w:lang w:val="en-US" w:eastAsia="zh-CN" w:bidi="ar"/>
                    </w:rPr>
                    <w:t>三</w:t>
                  </w:r>
                  <w:r>
                    <w:rPr>
                      <w:rFonts w:hint="eastAsia" w:ascii="Times New Roman" w:hAnsi="Times New Roman" w:cs="Times New Roman"/>
                      <w:b w:val="0"/>
                      <w:bCs w:val="0"/>
                      <w:color w:val="auto"/>
                      <w:spacing w:val="0"/>
                      <w:kern w:val="2"/>
                      <w:sz w:val="21"/>
                      <w:szCs w:val="21"/>
                      <w:vertAlign w:val="baseline"/>
                      <w:lang w:val="en-US" w:eastAsia="zh-CN" w:bidi="ar"/>
                    </w:rPr>
                    <w:t>）</w:t>
                  </w:r>
                  <w:r>
                    <w:rPr>
                      <w:rFonts w:hint="default" w:ascii="Times New Roman" w:hAnsi="Times New Roman" w:eastAsia="宋体" w:cs="Times New Roman"/>
                      <w:b w:val="0"/>
                      <w:bCs w:val="0"/>
                      <w:color w:val="auto"/>
                      <w:spacing w:val="0"/>
                      <w:kern w:val="2"/>
                      <w:sz w:val="21"/>
                      <w:szCs w:val="21"/>
                      <w:vertAlign w:val="baseline"/>
                      <w:lang w:val="en-US" w:eastAsia="zh-CN" w:bidi="ar"/>
                    </w:rPr>
                    <w:t>制定、实施自行监测方案，并将监测数据报生态环境主管部门。2.重点单位新、改、扩建项目地下储罐储存有毒有害物质的，应当在项目投入生产或者使用之前，将地下储罐的信息报所在地设区的市级生态环境主管部门备案。3.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w:t>
                  </w:r>
                  <w:r>
                    <w:rPr>
                      <w:rFonts w:hint="eastAsia" w:ascii="Times New Roman" w:hAnsi="Times New Roman" w:cs="Times New Roman"/>
                      <w:b w:val="0"/>
                      <w:bCs w:val="0"/>
                      <w:color w:val="auto"/>
                      <w:spacing w:val="0"/>
                      <w:kern w:val="2"/>
                      <w:sz w:val="21"/>
                      <w:szCs w:val="21"/>
                      <w:vertAlign w:val="baseline"/>
                      <w:lang w:val="en-US" w:eastAsia="zh-CN" w:bidi="ar"/>
                    </w:rPr>
                    <w:t>：</w:t>
                  </w:r>
                  <w:r>
                    <w:rPr>
                      <w:rFonts w:hint="default" w:ascii="Times New Roman" w:hAnsi="Times New Roman" w:eastAsia="宋体" w:cs="Times New Roman"/>
                      <w:b w:val="0"/>
                      <w:bCs w:val="0"/>
                      <w:color w:val="auto"/>
                      <w:spacing w:val="0"/>
                      <w:kern w:val="2"/>
                      <w:sz w:val="21"/>
                      <w:szCs w:val="21"/>
                      <w:vertAlign w:val="baseline"/>
                      <w:lang w:val="en-US" w:eastAsia="zh-CN" w:bidi="ar"/>
                    </w:rPr>
                    <w:t>重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905" w:type="dxa"/>
                  <w:tcBorders>
                    <w:tl2br w:val="nil"/>
                    <w:tr2bl w:val="nil"/>
                  </w:tcBorders>
                  <w:shd w:val="clear" w:color="auto" w:fill="auto"/>
                  <w:vAlign w:val="center"/>
                </w:tcPr>
                <w:p w14:paraId="268F5059">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本项目不涉及。</w:t>
                  </w:r>
                </w:p>
              </w:tc>
            </w:tr>
            <w:tr w14:paraId="227E5F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81" w:type="dxa"/>
                  <w:gridSpan w:val="3"/>
                  <w:tcBorders>
                    <w:tl2br w:val="nil"/>
                    <w:tr2bl w:val="nil"/>
                  </w:tcBorders>
                  <w:shd w:val="clear" w:color="auto" w:fill="auto"/>
                  <w:vAlign w:val="center"/>
                </w:tcPr>
                <w:p w14:paraId="03F25CE2">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三、资源利用上线</w:t>
                  </w:r>
                </w:p>
              </w:tc>
            </w:tr>
            <w:tr w14:paraId="52B60A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19" w:type="dxa"/>
                  <w:tcBorders>
                    <w:tl2br w:val="nil"/>
                    <w:tr2bl w:val="nil"/>
                  </w:tcBorders>
                  <w:shd w:val="clear" w:color="auto" w:fill="auto"/>
                  <w:vAlign w:val="center"/>
                </w:tcPr>
                <w:p w14:paraId="353A6459">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管控要求</w:t>
                  </w:r>
                </w:p>
              </w:tc>
              <w:tc>
                <w:tcPr>
                  <w:tcW w:w="6462" w:type="dxa"/>
                  <w:gridSpan w:val="2"/>
                  <w:tcBorders>
                    <w:tl2br w:val="nil"/>
                    <w:tr2bl w:val="nil"/>
                  </w:tcBorders>
                  <w:shd w:val="clear" w:color="auto" w:fill="auto"/>
                  <w:vAlign w:val="center"/>
                </w:tcPr>
                <w:p w14:paraId="3FDF9C08">
                  <w:pPr>
                    <w:keepNext w:val="0"/>
                    <w:keepLines w:val="0"/>
                    <w:widowControl w:val="0"/>
                    <w:suppressLineNumbers w:val="0"/>
                    <w:adjustRightInd w:val="0"/>
                    <w:spacing w:before="0" w:beforeAutospacing="0" w:after="0" w:afterAutospacing="0" w:line="240" w:lineRule="auto"/>
                    <w:ind w:left="0" w:right="0"/>
                    <w:jc w:val="both"/>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伊春市2025年煤炭消费上线为278.94万吨标准煤。</w:t>
                  </w:r>
                </w:p>
              </w:tc>
            </w:tr>
            <w:tr w14:paraId="218AEB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119" w:type="dxa"/>
                  <w:tcBorders>
                    <w:tl2br w:val="nil"/>
                    <w:tr2bl w:val="nil"/>
                  </w:tcBorders>
                  <w:shd w:val="clear" w:color="auto" w:fill="auto"/>
                  <w:vAlign w:val="center"/>
                </w:tcPr>
                <w:p w14:paraId="360AC673">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项目符合性分析</w:t>
                  </w:r>
                </w:p>
              </w:tc>
              <w:tc>
                <w:tcPr>
                  <w:tcW w:w="6462" w:type="dxa"/>
                  <w:gridSpan w:val="2"/>
                  <w:tcBorders>
                    <w:tl2br w:val="nil"/>
                    <w:tr2bl w:val="nil"/>
                  </w:tcBorders>
                  <w:shd w:val="clear" w:color="auto" w:fill="auto"/>
                  <w:vAlign w:val="center"/>
                </w:tcPr>
                <w:p w14:paraId="1312AE28">
                  <w:pPr>
                    <w:keepNext w:val="0"/>
                    <w:keepLines w:val="0"/>
                    <w:widowControl w:val="0"/>
                    <w:suppressLineNumbers w:val="0"/>
                    <w:adjustRightInd w:val="0"/>
                    <w:spacing w:before="0" w:beforeAutospacing="0" w:after="0" w:afterAutospacing="0" w:line="240" w:lineRule="auto"/>
                    <w:ind w:left="0" w:right="0"/>
                    <w:jc w:val="both"/>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本项目建筑采暖采用铁力宇祥热电有限责任公司集中供给，生产用热采用电能。本项目营运过程中不可避免会消耗一定量的</w:t>
                  </w:r>
                  <w:r>
                    <w:rPr>
                      <w:rFonts w:hint="eastAsia" w:ascii="Times New Roman" w:hAnsi="Times New Roman" w:cs="Times New Roman"/>
                      <w:b w:val="0"/>
                      <w:bCs w:val="0"/>
                      <w:color w:val="auto"/>
                      <w:kern w:val="2"/>
                      <w:sz w:val="21"/>
                      <w:szCs w:val="21"/>
                      <w:vertAlign w:val="baseline"/>
                      <w:lang w:val="en-US" w:eastAsia="zh-CN" w:bidi="ar"/>
                    </w:rPr>
                    <w:t>电力</w:t>
                  </w:r>
                  <w:r>
                    <w:rPr>
                      <w:rFonts w:hint="default" w:ascii="Times New Roman" w:hAnsi="Times New Roman" w:eastAsia="宋体" w:cs="Times New Roman"/>
                      <w:b w:val="0"/>
                      <w:bCs w:val="0"/>
                      <w:color w:val="auto"/>
                      <w:kern w:val="2"/>
                      <w:sz w:val="21"/>
                      <w:szCs w:val="21"/>
                      <w:vertAlign w:val="baseline"/>
                      <w:lang w:val="en-US" w:eastAsia="zh-CN" w:bidi="ar"/>
                    </w:rPr>
                    <w:t>、水资源，但本项目资源能源消耗量相对区域资源利用总量较少，符合资源利用上限要求。</w:t>
                  </w:r>
                </w:p>
              </w:tc>
            </w:tr>
            <w:tr w14:paraId="339A71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81" w:type="dxa"/>
                  <w:gridSpan w:val="3"/>
                  <w:tcBorders>
                    <w:tl2br w:val="nil"/>
                    <w:tr2bl w:val="nil"/>
                  </w:tcBorders>
                  <w:shd w:val="clear" w:color="auto" w:fill="auto"/>
                  <w:vAlign w:val="center"/>
                </w:tcPr>
                <w:p w14:paraId="3A151327">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四、环境准入清单</w:t>
                  </w:r>
                </w:p>
              </w:tc>
            </w:tr>
            <w:tr w14:paraId="0BAB0D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119" w:type="dxa"/>
                  <w:tcBorders>
                    <w:tl2br w:val="nil"/>
                    <w:tr2bl w:val="nil"/>
                  </w:tcBorders>
                  <w:shd w:val="clear" w:color="auto" w:fill="auto"/>
                  <w:vAlign w:val="center"/>
                </w:tcPr>
                <w:p w14:paraId="375131D5">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环境管控单元名称</w:t>
                  </w:r>
                </w:p>
              </w:tc>
              <w:tc>
                <w:tcPr>
                  <w:tcW w:w="6462" w:type="dxa"/>
                  <w:gridSpan w:val="2"/>
                  <w:tcBorders>
                    <w:tl2br w:val="nil"/>
                    <w:tr2bl w:val="nil"/>
                  </w:tcBorders>
                  <w:shd w:val="clear" w:color="auto" w:fill="auto"/>
                  <w:vAlign w:val="center"/>
                </w:tcPr>
                <w:p w14:paraId="5B3CA0F9">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lang w:val="en-US"/>
                    </w:rPr>
                  </w:pPr>
                  <w:r>
                    <w:rPr>
                      <w:rFonts w:hint="default" w:ascii="Times New Roman" w:hAnsi="Times New Roman" w:eastAsia="宋体" w:cs="Times New Roman"/>
                      <w:b w:val="0"/>
                      <w:bCs w:val="0"/>
                      <w:color w:val="auto"/>
                      <w:spacing w:val="0"/>
                      <w:kern w:val="0"/>
                      <w:sz w:val="21"/>
                      <w:szCs w:val="21"/>
                      <w:vertAlign w:val="baseline"/>
                      <w:lang w:val="en-US" w:eastAsia="zh-CN" w:bidi="ar"/>
                    </w:rPr>
                    <w:t>黑龙江铁力经济开发区</w:t>
                  </w:r>
                </w:p>
              </w:tc>
            </w:tr>
            <w:tr w14:paraId="008D62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119" w:type="dxa"/>
                  <w:tcBorders>
                    <w:tl2br w:val="nil"/>
                    <w:tr2bl w:val="nil"/>
                  </w:tcBorders>
                  <w:shd w:val="clear" w:color="auto" w:fill="auto"/>
                  <w:vAlign w:val="center"/>
                </w:tcPr>
                <w:p w14:paraId="6038FB98">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环境管控单元编码</w:t>
                  </w:r>
                </w:p>
              </w:tc>
              <w:tc>
                <w:tcPr>
                  <w:tcW w:w="6462" w:type="dxa"/>
                  <w:gridSpan w:val="2"/>
                  <w:tcBorders>
                    <w:tl2br w:val="nil"/>
                    <w:tr2bl w:val="nil"/>
                  </w:tcBorders>
                  <w:shd w:val="clear" w:color="auto" w:fill="auto"/>
                  <w:vAlign w:val="center"/>
                </w:tcPr>
                <w:p w14:paraId="43A73192">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spacing w:val="0"/>
                      <w:kern w:val="0"/>
                      <w:sz w:val="21"/>
                      <w:szCs w:val="21"/>
                      <w:vertAlign w:val="baseline"/>
                      <w:lang w:val="en-US" w:eastAsia="zh-CN" w:bidi="ar"/>
                    </w:rPr>
                    <w:t>ZH23078120001</w:t>
                  </w:r>
                </w:p>
              </w:tc>
            </w:tr>
            <w:tr w14:paraId="6739E7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119" w:type="dxa"/>
                  <w:tcBorders>
                    <w:tl2br w:val="nil"/>
                    <w:tr2bl w:val="nil"/>
                  </w:tcBorders>
                  <w:shd w:val="clear" w:color="auto" w:fill="auto"/>
                  <w:vAlign w:val="center"/>
                </w:tcPr>
                <w:p w14:paraId="2F89F4EE">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管控单元类别</w:t>
                  </w:r>
                </w:p>
              </w:tc>
              <w:tc>
                <w:tcPr>
                  <w:tcW w:w="6462" w:type="dxa"/>
                  <w:gridSpan w:val="2"/>
                  <w:tcBorders>
                    <w:tl2br w:val="nil"/>
                    <w:tr2bl w:val="nil"/>
                  </w:tcBorders>
                  <w:shd w:val="clear" w:color="auto" w:fill="auto"/>
                  <w:vAlign w:val="center"/>
                </w:tcPr>
                <w:p w14:paraId="0B2A25BE">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重点管控单元</w:t>
                  </w:r>
                </w:p>
              </w:tc>
            </w:tr>
            <w:tr w14:paraId="609B38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5676" w:type="dxa"/>
                  <w:gridSpan w:val="2"/>
                  <w:tcBorders>
                    <w:tl2br w:val="nil"/>
                    <w:tr2bl w:val="nil"/>
                  </w:tcBorders>
                  <w:shd w:val="clear" w:color="auto" w:fill="auto"/>
                  <w:vAlign w:val="center"/>
                </w:tcPr>
                <w:p w14:paraId="0D58D01F">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管控要求</w:t>
                  </w:r>
                </w:p>
              </w:tc>
              <w:tc>
                <w:tcPr>
                  <w:tcW w:w="1905" w:type="dxa"/>
                  <w:tcBorders>
                    <w:tl2br w:val="nil"/>
                    <w:tr2bl w:val="nil"/>
                  </w:tcBorders>
                  <w:shd w:val="clear" w:color="auto" w:fill="auto"/>
                  <w:vAlign w:val="center"/>
                </w:tcPr>
                <w:p w14:paraId="09DD94B5">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符合性分析</w:t>
                  </w:r>
                </w:p>
              </w:tc>
            </w:tr>
            <w:tr w14:paraId="116704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119" w:type="dxa"/>
                  <w:tcBorders>
                    <w:tl2br w:val="nil"/>
                    <w:tr2bl w:val="nil"/>
                  </w:tcBorders>
                  <w:shd w:val="clear" w:color="auto" w:fill="auto"/>
                  <w:vAlign w:val="center"/>
                </w:tcPr>
                <w:p w14:paraId="06321C49">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空间布局约束</w:t>
                  </w:r>
                </w:p>
              </w:tc>
              <w:tc>
                <w:tcPr>
                  <w:tcW w:w="4557" w:type="dxa"/>
                  <w:tcBorders>
                    <w:tl2br w:val="nil"/>
                    <w:tr2bl w:val="nil"/>
                  </w:tcBorders>
                  <w:shd w:val="clear" w:color="auto" w:fill="auto"/>
                  <w:vAlign w:val="center"/>
                </w:tcPr>
                <w:p w14:paraId="76F16236">
                  <w:pPr>
                    <w:keepNext w:val="0"/>
                    <w:keepLines w:val="0"/>
                    <w:widowControl w:val="0"/>
                    <w:suppressLineNumbers w:val="0"/>
                    <w:autoSpaceDE w:val="0"/>
                    <w:autoSpaceDN/>
                    <w:adjustRightInd w:val="0"/>
                    <w:spacing w:before="0" w:beforeAutospacing="0" w:after="0" w:afterAutospacing="0" w:line="240" w:lineRule="auto"/>
                    <w:ind w:left="0" w:right="0"/>
                    <w:jc w:val="both"/>
                    <w:textAlignment w:val="baseline"/>
                    <w:rPr>
                      <w:rFonts w:hint="default" w:ascii="Times New Roman" w:hAnsi="Times New Roman" w:eastAsia="宋体" w:cs="Times New Roman"/>
                      <w:b w:val="0"/>
                      <w:bCs w:val="0"/>
                      <w:color w:val="auto"/>
                      <w:kern w:val="2"/>
                      <w:sz w:val="21"/>
                      <w:szCs w:val="21"/>
                      <w:vertAlign w:val="baseline"/>
                      <w:lang w:val="en-US" w:eastAsia="zh-CN" w:bidi="ar"/>
                    </w:rPr>
                  </w:pPr>
                  <w:r>
                    <w:rPr>
                      <w:rFonts w:hint="default" w:ascii="Times New Roman" w:hAnsi="Times New Roman" w:eastAsia="宋体" w:cs="Times New Roman"/>
                      <w:b w:val="0"/>
                      <w:bCs w:val="0"/>
                      <w:color w:val="auto"/>
                      <w:kern w:val="2"/>
                      <w:sz w:val="21"/>
                      <w:szCs w:val="21"/>
                      <w:vertAlign w:val="baseline"/>
                      <w:lang w:val="en-US" w:eastAsia="zh-CN" w:bidi="ar"/>
                    </w:rPr>
                    <w:t>1.执行本清单全市准入要求中“5.1产业集聚类重点管控单元”准入要求。</w:t>
                  </w:r>
                </w:p>
                <w:p w14:paraId="5977E9E6">
                  <w:pPr>
                    <w:keepNext w:val="0"/>
                    <w:keepLines w:val="0"/>
                    <w:widowControl w:val="0"/>
                    <w:suppressLineNumbers w:val="0"/>
                    <w:autoSpaceDE w:val="0"/>
                    <w:autoSpaceDN/>
                    <w:adjustRightInd w:val="0"/>
                    <w:spacing w:before="0" w:beforeAutospacing="0" w:after="0" w:afterAutospacing="0" w:line="240" w:lineRule="auto"/>
                    <w:ind w:left="0" w:right="0"/>
                    <w:jc w:val="both"/>
                    <w:textAlignment w:val="baseline"/>
                    <w:rPr>
                      <w:rFonts w:hint="default" w:ascii="Times New Roman" w:hAnsi="Times New Roman" w:eastAsia="宋体" w:cs="Times New Roman"/>
                      <w:b w:val="0"/>
                      <w:bCs w:val="0"/>
                      <w:color w:val="auto"/>
                      <w:kern w:val="2"/>
                      <w:sz w:val="21"/>
                      <w:szCs w:val="21"/>
                      <w:vertAlign w:val="baseline"/>
                      <w:lang w:val="en-US" w:eastAsia="zh-CN" w:bidi="ar"/>
                    </w:rPr>
                  </w:pPr>
                  <w:r>
                    <w:rPr>
                      <w:rFonts w:hint="default" w:ascii="Times New Roman" w:hAnsi="Times New Roman" w:eastAsia="宋体" w:cs="Times New Roman"/>
                      <w:b w:val="0"/>
                      <w:bCs w:val="0"/>
                      <w:color w:val="auto"/>
                      <w:kern w:val="2"/>
                      <w:sz w:val="21"/>
                      <w:szCs w:val="21"/>
                      <w:vertAlign w:val="baseline"/>
                      <w:lang w:val="en-US" w:eastAsia="zh-CN" w:bidi="ar"/>
                    </w:rPr>
                    <w:t>2.完善重点行业环境准入条件，优化产业园区布局。</w:t>
                  </w:r>
                </w:p>
                <w:p w14:paraId="7E12621B">
                  <w:pPr>
                    <w:keepNext w:val="0"/>
                    <w:keepLines w:val="0"/>
                    <w:widowControl w:val="0"/>
                    <w:suppressLineNumbers w:val="0"/>
                    <w:autoSpaceDE w:val="0"/>
                    <w:autoSpaceDN/>
                    <w:adjustRightInd w:val="0"/>
                    <w:spacing w:before="0" w:beforeAutospacing="0" w:after="0" w:afterAutospacing="0" w:line="240" w:lineRule="auto"/>
                    <w:ind w:left="0" w:right="0"/>
                    <w:jc w:val="both"/>
                    <w:textAlignment w:val="baseline"/>
                    <w:rPr>
                      <w:rFonts w:hint="default" w:ascii="Times New Roman" w:hAnsi="Times New Roman" w:eastAsia="宋体" w:cs="Times New Roman"/>
                      <w:b w:val="0"/>
                      <w:bCs w:val="0"/>
                      <w:color w:val="auto"/>
                      <w:kern w:val="2"/>
                      <w:sz w:val="21"/>
                      <w:szCs w:val="21"/>
                      <w:vertAlign w:val="baseline"/>
                      <w:lang w:val="en-US" w:eastAsia="zh-CN" w:bidi="ar"/>
                    </w:rPr>
                  </w:pPr>
                  <w:r>
                    <w:rPr>
                      <w:rFonts w:hint="default" w:ascii="Times New Roman" w:hAnsi="Times New Roman" w:eastAsia="宋体" w:cs="Times New Roman"/>
                      <w:b w:val="0"/>
                      <w:bCs w:val="0"/>
                      <w:color w:val="auto"/>
                      <w:kern w:val="2"/>
                      <w:sz w:val="21"/>
                      <w:szCs w:val="21"/>
                      <w:vertAlign w:val="baseline"/>
                      <w:lang w:val="en-US" w:eastAsia="zh-CN" w:bidi="ar"/>
                    </w:rPr>
                    <w:t>3.严格控制高耗水、高污染行业发展，加速淘汰落后产能，加强重点行业源头控制。</w:t>
                  </w:r>
                </w:p>
                <w:p w14:paraId="7594B34E">
                  <w:pPr>
                    <w:keepNext w:val="0"/>
                    <w:keepLines w:val="0"/>
                    <w:widowControl w:val="0"/>
                    <w:suppressLineNumbers w:val="0"/>
                    <w:autoSpaceDE w:val="0"/>
                    <w:autoSpaceDN/>
                    <w:adjustRightInd w:val="0"/>
                    <w:spacing w:before="0" w:beforeAutospacing="0" w:after="0" w:afterAutospacing="0" w:line="240" w:lineRule="auto"/>
                    <w:ind w:left="0" w:right="0"/>
                    <w:jc w:val="both"/>
                    <w:textAlignment w:val="baseline"/>
                    <w:rPr>
                      <w:rFonts w:hint="default" w:ascii="Times New Roman" w:hAnsi="Times New Roman" w:eastAsia="宋体" w:cs="Times New Roman"/>
                      <w:b w:val="0"/>
                      <w:bCs w:val="0"/>
                      <w:color w:val="auto"/>
                      <w:kern w:val="2"/>
                      <w:sz w:val="21"/>
                      <w:szCs w:val="21"/>
                      <w:vertAlign w:val="baseline"/>
                      <w:lang w:val="en-US" w:eastAsia="zh-CN" w:bidi="ar"/>
                    </w:rPr>
                  </w:pPr>
                  <w:r>
                    <w:rPr>
                      <w:rFonts w:hint="default" w:ascii="Times New Roman" w:hAnsi="Times New Roman" w:eastAsia="宋体" w:cs="Times New Roman"/>
                      <w:b w:val="0"/>
                      <w:bCs w:val="0"/>
                      <w:color w:val="auto"/>
                      <w:kern w:val="2"/>
                      <w:sz w:val="21"/>
                      <w:szCs w:val="21"/>
                      <w:vertAlign w:val="baseline"/>
                      <w:lang w:val="en-US" w:eastAsia="zh-CN" w:bidi="ar"/>
                    </w:rPr>
                    <w:t>4.禁止引进国家现行产业政策明令禁止或淘汰的产业及工艺，以及排污量较大、污染控制难度大，不符合园区大气总量控制原则、园区规划的项目；完善重点行业环境准入条件，优化产业园区布局。</w:t>
                  </w:r>
                </w:p>
                <w:p w14:paraId="3AAEFB93">
                  <w:pPr>
                    <w:keepNext w:val="0"/>
                    <w:keepLines w:val="0"/>
                    <w:widowControl w:val="0"/>
                    <w:suppressLineNumbers w:val="0"/>
                    <w:autoSpaceDE w:val="0"/>
                    <w:autoSpaceDN/>
                    <w:adjustRightInd w:val="0"/>
                    <w:spacing w:before="0" w:beforeAutospacing="0" w:after="0" w:afterAutospacing="0" w:line="240" w:lineRule="auto"/>
                    <w:ind w:left="0" w:leftChars="0" w:right="0" w:rightChars="0"/>
                    <w:jc w:val="both"/>
                    <w:textAlignment w:val="baseline"/>
                    <w:rPr>
                      <w:rFonts w:hint="default" w:ascii="Times New Roman" w:hAnsi="Times New Roman" w:eastAsia="宋体" w:cs="Times New Roman"/>
                      <w:b w:val="0"/>
                      <w:bCs w:val="0"/>
                      <w:color w:val="auto"/>
                      <w:kern w:val="2"/>
                      <w:sz w:val="21"/>
                      <w:szCs w:val="21"/>
                    </w:rPr>
                  </w:pPr>
                  <w:r>
                    <w:rPr>
                      <w:rFonts w:hint="default" w:ascii="Times New Roman" w:hAnsi="Times New Roman" w:eastAsia="宋体" w:cs="Times New Roman"/>
                      <w:b w:val="0"/>
                      <w:bCs w:val="0"/>
                      <w:color w:val="auto"/>
                      <w:kern w:val="2"/>
                      <w:sz w:val="21"/>
                      <w:szCs w:val="21"/>
                      <w:vertAlign w:val="baseline"/>
                      <w:lang w:val="en-US" w:eastAsia="zh-CN" w:bidi="ar"/>
                    </w:rPr>
                    <w:t>5.农林绿色食品、粮食加工等企业项目仅允许布局在规范的范围内。</w:t>
                  </w:r>
                </w:p>
              </w:tc>
              <w:tc>
                <w:tcPr>
                  <w:tcW w:w="1905" w:type="dxa"/>
                  <w:tcBorders>
                    <w:tl2br w:val="nil"/>
                    <w:tr2bl w:val="nil"/>
                  </w:tcBorders>
                  <w:shd w:val="clear" w:color="auto" w:fill="auto"/>
                  <w:vAlign w:val="center"/>
                </w:tcPr>
                <w:p w14:paraId="4C3A090D">
                  <w:pPr>
                    <w:keepNext w:val="0"/>
                    <w:keepLines w:val="0"/>
                    <w:widowControl w:val="0"/>
                    <w:suppressLineNumbers w:val="0"/>
                    <w:adjustRightInd w:val="0"/>
                    <w:spacing w:before="0" w:beforeAutospacing="0" w:after="0" w:afterAutospacing="0" w:line="240" w:lineRule="auto"/>
                    <w:ind w:left="0" w:leftChars="0" w:right="0" w:rightChars="0"/>
                    <w:jc w:val="both"/>
                    <w:textAlignment w:val="baseline"/>
                    <w:rPr>
                      <w:rFonts w:hint="default" w:ascii="Times New Roman" w:hAnsi="Times New Roman" w:eastAsia="宋体" w:cs="Times New Roman"/>
                      <w:b w:val="0"/>
                      <w:bCs w:val="0"/>
                      <w:color w:val="auto"/>
                      <w:kern w:val="2"/>
                      <w:sz w:val="21"/>
                      <w:szCs w:val="21"/>
                    </w:rPr>
                  </w:pPr>
                  <w:r>
                    <w:rPr>
                      <w:rFonts w:hint="default" w:ascii="Times New Roman" w:hAnsi="Times New Roman" w:eastAsia="宋体" w:cs="Times New Roman"/>
                      <w:b w:val="0"/>
                      <w:bCs w:val="0"/>
                      <w:color w:val="auto"/>
                      <w:kern w:val="2"/>
                      <w:sz w:val="21"/>
                      <w:szCs w:val="21"/>
                      <w:vertAlign w:val="baseline"/>
                      <w:lang w:val="en-US" w:eastAsia="zh-CN"/>
                    </w:rPr>
                    <w:t>本项目位于黑龙江省铁力经济开发区内，本项目符合规划环评结论及审查意见要求，本项目不属于高耗水、高污染行业，本项目不属于国家现行产业政策明令禁止或淘汰的产业及工艺。</w:t>
                  </w:r>
                </w:p>
              </w:tc>
            </w:tr>
            <w:tr w14:paraId="3766F5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119" w:type="dxa"/>
                  <w:tcBorders>
                    <w:tl2br w:val="nil"/>
                    <w:tr2bl w:val="nil"/>
                  </w:tcBorders>
                  <w:shd w:val="clear" w:color="auto" w:fill="auto"/>
                  <w:vAlign w:val="center"/>
                </w:tcPr>
                <w:p w14:paraId="1AA4AD57">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污染物</w:t>
                  </w:r>
                </w:p>
                <w:p w14:paraId="56AA9AF7">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eastAsia="zh-CN" w:bidi="ar"/>
                    </w:rPr>
                    <w:t>排放管控</w:t>
                  </w:r>
                </w:p>
              </w:tc>
              <w:tc>
                <w:tcPr>
                  <w:tcW w:w="4557" w:type="dxa"/>
                  <w:tcBorders>
                    <w:tl2br w:val="nil"/>
                    <w:tr2bl w:val="nil"/>
                  </w:tcBorders>
                  <w:shd w:val="clear" w:color="auto" w:fill="auto"/>
                  <w:vAlign w:val="center"/>
                </w:tcPr>
                <w:p w14:paraId="59BCE094">
                  <w:pPr>
                    <w:keepNext w:val="0"/>
                    <w:keepLines w:val="0"/>
                    <w:widowControl w:val="0"/>
                    <w:suppressLineNumbers w:val="0"/>
                    <w:adjustRightInd w:val="0"/>
                    <w:spacing w:before="0" w:beforeAutospacing="0" w:after="0" w:afterAutospacing="0" w:line="240" w:lineRule="auto"/>
                    <w:ind w:left="0" w:right="0"/>
                    <w:jc w:val="both"/>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rPr>
                    <w:t>1.执行本清单全市准入要求中“5.1产业集聚类重点管控单元”准入要求。</w:t>
                  </w:r>
                </w:p>
                <w:p w14:paraId="2FD550C8">
                  <w:pPr>
                    <w:keepNext w:val="0"/>
                    <w:keepLines w:val="0"/>
                    <w:widowControl w:val="0"/>
                    <w:suppressLineNumbers w:val="0"/>
                    <w:adjustRightInd w:val="0"/>
                    <w:spacing w:before="0" w:beforeAutospacing="0" w:after="0" w:afterAutospacing="0" w:line="240" w:lineRule="auto"/>
                    <w:ind w:left="0" w:right="0"/>
                    <w:jc w:val="both"/>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rPr>
                    <w:t>2.</w:t>
                  </w:r>
                  <w:r>
                    <w:rPr>
                      <w:rFonts w:hint="default" w:ascii="Times New Roman" w:hAnsi="Times New Roman" w:eastAsia="宋体" w:cs="Times New Roman"/>
                      <w:b w:val="0"/>
                      <w:bCs w:val="0"/>
                      <w:color w:val="auto"/>
                      <w:kern w:val="2"/>
                      <w:sz w:val="21"/>
                      <w:szCs w:val="21"/>
                      <w:vertAlign w:val="baseline"/>
                    </w:rPr>
                    <w:t>大力推进企业清洁生产，使用电、天然气等清洁能源。加强环境管理水平，减少污染物排放。开展挥发性有机物污染综合治理。强化无组织排放控制管理。</w:t>
                  </w:r>
                </w:p>
                <w:p w14:paraId="54B72F95">
                  <w:pPr>
                    <w:keepNext w:val="0"/>
                    <w:keepLines w:val="0"/>
                    <w:widowControl w:val="0"/>
                    <w:suppressLineNumbers w:val="0"/>
                    <w:adjustRightInd w:val="0"/>
                    <w:spacing w:before="0" w:beforeAutospacing="0" w:after="0" w:afterAutospacing="0" w:line="240" w:lineRule="auto"/>
                    <w:ind w:left="0" w:right="0"/>
                    <w:jc w:val="both"/>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rPr>
                    <w:t>3.</w:t>
                  </w:r>
                  <w:r>
                    <w:rPr>
                      <w:rFonts w:hint="default" w:ascii="Times New Roman" w:hAnsi="Times New Roman" w:eastAsia="宋体" w:cs="Times New Roman"/>
                      <w:b w:val="0"/>
                      <w:bCs w:val="0"/>
                      <w:color w:val="auto"/>
                      <w:kern w:val="2"/>
                      <w:sz w:val="21"/>
                      <w:szCs w:val="21"/>
                      <w:vertAlign w:val="baseline"/>
                    </w:rPr>
                    <w:t>加强重点行业源头控制，落实企业排污许可证制度，排污企业应确保稳定达标排放。</w:t>
                  </w:r>
                </w:p>
                <w:p w14:paraId="3B3D77E5">
                  <w:pPr>
                    <w:keepNext w:val="0"/>
                    <w:keepLines w:val="0"/>
                    <w:widowControl w:val="0"/>
                    <w:suppressLineNumbers w:val="0"/>
                    <w:adjustRightInd w:val="0"/>
                    <w:spacing w:before="0" w:beforeAutospacing="0" w:after="0" w:afterAutospacing="0" w:line="240" w:lineRule="auto"/>
                    <w:ind w:left="0" w:leftChars="0" w:right="0" w:rightChars="0"/>
                    <w:jc w:val="both"/>
                    <w:textAlignment w:val="baseline"/>
                    <w:rPr>
                      <w:rFonts w:hint="default" w:ascii="Times New Roman" w:hAnsi="Times New Roman" w:eastAsia="宋体" w:cs="Times New Roman"/>
                      <w:b w:val="0"/>
                      <w:bCs w:val="0"/>
                      <w:color w:val="auto"/>
                      <w:kern w:val="2"/>
                      <w:sz w:val="21"/>
                      <w:szCs w:val="21"/>
                    </w:rPr>
                  </w:pPr>
                  <w:r>
                    <w:rPr>
                      <w:rFonts w:hint="default" w:ascii="Times New Roman" w:hAnsi="Times New Roman" w:eastAsia="宋体" w:cs="Times New Roman"/>
                      <w:b w:val="0"/>
                      <w:bCs w:val="0"/>
                      <w:color w:val="auto"/>
                      <w:kern w:val="2"/>
                      <w:sz w:val="21"/>
                      <w:szCs w:val="21"/>
                      <w:vertAlign w:val="baseline"/>
                      <w:lang w:val="en-US"/>
                    </w:rPr>
                    <w:t>4.</w:t>
                  </w:r>
                  <w:r>
                    <w:rPr>
                      <w:rFonts w:hint="default" w:ascii="Times New Roman" w:hAnsi="Times New Roman" w:eastAsia="宋体" w:cs="Times New Roman"/>
                      <w:b w:val="0"/>
                      <w:bCs w:val="0"/>
                      <w:color w:val="auto"/>
                      <w:kern w:val="2"/>
                      <w:sz w:val="21"/>
                      <w:szCs w:val="21"/>
                      <w:vertAlign w:val="baseline"/>
                    </w:rPr>
                    <w:t>加强重点行业源头控制，落实企业排污许可证制度，排污企业应确保稳定达标排放。</w:t>
                  </w:r>
                </w:p>
              </w:tc>
              <w:tc>
                <w:tcPr>
                  <w:tcW w:w="1905" w:type="dxa"/>
                  <w:tcBorders>
                    <w:tl2br w:val="nil"/>
                    <w:tr2bl w:val="nil"/>
                  </w:tcBorders>
                  <w:shd w:val="clear" w:color="auto" w:fill="auto"/>
                  <w:vAlign w:val="center"/>
                </w:tcPr>
                <w:p w14:paraId="17DC83CE">
                  <w:pPr>
                    <w:keepNext w:val="0"/>
                    <w:keepLines w:val="0"/>
                    <w:widowControl w:val="0"/>
                    <w:suppressLineNumbers w:val="0"/>
                    <w:adjustRightInd w:val="0"/>
                    <w:spacing w:before="0" w:beforeAutospacing="0" w:after="0" w:afterAutospacing="0" w:line="240" w:lineRule="auto"/>
                    <w:ind w:left="0" w:leftChars="0" w:right="0" w:rightChars="0"/>
                    <w:jc w:val="both"/>
                    <w:textAlignment w:val="baseline"/>
                    <w:rPr>
                      <w:rFonts w:hint="default" w:ascii="Times New Roman" w:hAnsi="Times New Roman" w:eastAsia="宋体" w:cs="Times New Roman"/>
                      <w:b w:val="0"/>
                      <w:bCs w:val="0"/>
                      <w:color w:val="auto"/>
                      <w:kern w:val="2"/>
                      <w:sz w:val="21"/>
                      <w:szCs w:val="21"/>
                    </w:rPr>
                  </w:pPr>
                  <w:r>
                    <w:rPr>
                      <w:rFonts w:hint="default" w:ascii="Times New Roman" w:hAnsi="Times New Roman" w:eastAsia="宋体" w:cs="Times New Roman"/>
                      <w:b w:val="0"/>
                      <w:bCs w:val="0"/>
                      <w:color w:val="auto"/>
                      <w:kern w:val="2"/>
                      <w:sz w:val="21"/>
                      <w:szCs w:val="21"/>
                      <w:vertAlign w:val="baseline"/>
                      <w:lang w:val="en-US" w:eastAsia="zh-CN" w:bidi="ar"/>
                    </w:rPr>
                    <w:t>本项目建筑采暖采用铁力宇祥热电有限责任公司集中供给，生产用热采用电能。本项目生产过程产生的各废气污染物经环保措施治理后可达标排放。</w:t>
                  </w:r>
                </w:p>
              </w:tc>
            </w:tr>
            <w:tr w14:paraId="493B3C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119" w:type="dxa"/>
                  <w:tcBorders>
                    <w:tl2br w:val="nil"/>
                    <w:tr2bl w:val="nil"/>
                  </w:tcBorders>
                  <w:shd w:val="clear" w:color="auto" w:fill="auto"/>
                  <w:vAlign w:val="center"/>
                </w:tcPr>
                <w:p w14:paraId="591F1CF9">
                  <w:pPr>
                    <w:pStyle w:val="53"/>
                    <w:keepNext w:val="0"/>
                    <w:keepLines w:val="0"/>
                    <w:widowControl w:val="0"/>
                    <w:suppressLineNumbers w:val="0"/>
                    <w:spacing w:before="0" w:beforeAutospacing="0" w:after="0" w:afterAutospacing="0" w:line="240" w:lineRule="auto"/>
                    <w:ind w:left="0" w:right="0" w:rightChars="0"/>
                    <w:jc w:val="center"/>
                    <w:rPr>
                      <w:rFonts w:hint="default" w:ascii="Times New Roman" w:hAnsi="Times New Roman" w:eastAsia="宋体" w:cs="Times New Roman"/>
                      <w:b w:val="0"/>
                      <w:bCs w:val="0"/>
                      <w:color w:val="auto"/>
                      <w:kern w:val="2"/>
                      <w:sz w:val="21"/>
                      <w:szCs w:val="21"/>
                    </w:rPr>
                  </w:pPr>
                  <w:r>
                    <w:rPr>
                      <w:rFonts w:hint="default" w:ascii="Times New Roman" w:hAnsi="Times New Roman" w:eastAsia="宋体" w:cs="Times New Roman"/>
                      <w:b w:val="0"/>
                      <w:bCs w:val="0"/>
                      <w:color w:val="auto"/>
                      <w:spacing w:val="0"/>
                      <w:kern w:val="2"/>
                      <w:sz w:val="21"/>
                      <w:szCs w:val="21"/>
                      <w:lang w:val="en-US" w:eastAsia="zh-CN" w:bidi="ar"/>
                    </w:rPr>
                    <w:t>环境风险防控</w:t>
                  </w:r>
                </w:p>
              </w:tc>
              <w:tc>
                <w:tcPr>
                  <w:tcW w:w="4557" w:type="dxa"/>
                  <w:tcBorders>
                    <w:tl2br w:val="nil"/>
                    <w:tr2bl w:val="nil"/>
                  </w:tcBorders>
                  <w:shd w:val="clear" w:color="auto" w:fill="auto"/>
                  <w:vAlign w:val="center"/>
                </w:tcPr>
                <w:p w14:paraId="75FC6A12">
                  <w:pPr>
                    <w:keepNext w:val="0"/>
                    <w:keepLines w:val="0"/>
                    <w:widowControl w:val="0"/>
                    <w:suppressLineNumbers w:val="0"/>
                    <w:autoSpaceDE w:val="0"/>
                    <w:autoSpaceDN/>
                    <w:adjustRightInd w:val="0"/>
                    <w:spacing w:before="0" w:beforeAutospacing="0" w:after="0" w:afterAutospacing="0" w:line="240" w:lineRule="auto"/>
                    <w:ind w:left="0" w:leftChars="0" w:right="0" w:rightChars="0"/>
                    <w:jc w:val="both"/>
                    <w:textAlignment w:val="baseline"/>
                    <w:rPr>
                      <w:rFonts w:hint="default" w:ascii="Times New Roman" w:hAnsi="Times New Roman" w:eastAsia="宋体" w:cs="Times New Roman"/>
                      <w:b w:val="0"/>
                      <w:bCs w:val="0"/>
                      <w:color w:val="auto"/>
                      <w:kern w:val="2"/>
                      <w:sz w:val="21"/>
                      <w:szCs w:val="21"/>
                      <w:vertAlign w:val="baseline"/>
                      <w:lang w:val="en-US" w:eastAsia="zh-CN" w:bidi="ar"/>
                    </w:rPr>
                  </w:pPr>
                  <w:r>
                    <w:rPr>
                      <w:rFonts w:hint="default" w:ascii="Times New Roman" w:hAnsi="Times New Roman" w:eastAsia="宋体" w:cs="Times New Roman"/>
                      <w:b w:val="0"/>
                      <w:bCs w:val="0"/>
                      <w:color w:val="auto"/>
                      <w:kern w:val="2"/>
                      <w:sz w:val="21"/>
                      <w:szCs w:val="21"/>
                      <w:vertAlign w:val="baseline"/>
                      <w:lang w:val="en-US" w:eastAsia="zh-CN" w:bidi="ar"/>
                    </w:rPr>
                    <w:t>1.执行本清单全市准入要求中“5.1产业集聚类重点管控单元”准入要求。</w:t>
                  </w:r>
                </w:p>
                <w:p w14:paraId="19D6DE82">
                  <w:pPr>
                    <w:keepNext w:val="0"/>
                    <w:keepLines w:val="0"/>
                    <w:widowControl w:val="0"/>
                    <w:suppressLineNumbers w:val="0"/>
                    <w:autoSpaceDE w:val="0"/>
                    <w:autoSpaceDN/>
                    <w:adjustRightInd w:val="0"/>
                    <w:spacing w:before="0" w:beforeAutospacing="0" w:after="0" w:afterAutospacing="0" w:line="240" w:lineRule="auto"/>
                    <w:ind w:left="0" w:leftChars="0" w:right="0" w:rightChars="0"/>
                    <w:jc w:val="both"/>
                    <w:textAlignment w:val="baseline"/>
                    <w:rPr>
                      <w:rFonts w:hint="default" w:ascii="Times New Roman" w:hAnsi="Times New Roman" w:eastAsia="宋体" w:cs="Times New Roman"/>
                      <w:b w:val="0"/>
                      <w:bCs w:val="0"/>
                      <w:color w:val="auto"/>
                      <w:kern w:val="2"/>
                      <w:sz w:val="21"/>
                      <w:szCs w:val="21"/>
                      <w:vertAlign w:val="baseline"/>
                      <w:lang w:val="en-US" w:eastAsia="zh-CN" w:bidi="ar"/>
                    </w:rPr>
                  </w:pPr>
                  <w:r>
                    <w:rPr>
                      <w:rFonts w:hint="default" w:ascii="Times New Roman" w:hAnsi="Times New Roman" w:eastAsia="宋体" w:cs="Times New Roman"/>
                      <w:b w:val="0"/>
                      <w:bCs w:val="0"/>
                      <w:color w:val="auto"/>
                      <w:kern w:val="2"/>
                      <w:sz w:val="21"/>
                      <w:szCs w:val="21"/>
                      <w:vertAlign w:val="baseline"/>
                      <w:lang w:val="en-US" w:eastAsia="zh-CN" w:bidi="ar"/>
                    </w:rPr>
                    <w:t>2.园区应建立危险源数据库，并动态更新。建立园区、企业、装置三级应急联动方案，强化区域环境风险应急防范能力。建设突发环境事件应急物资储备库；强化环境风险防控工作，突出全防全控，完善各项环境风险防范制度，确保将风险防范融入日常环境管理制度体系，加强执法监督，逐步实现对重点工业园区、重点企业和主要环境风险类型的动态监控。</w:t>
                  </w:r>
                </w:p>
                <w:p w14:paraId="6ADD00D7">
                  <w:pPr>
                    <w:keepNext w:val="0"/>
                    <w:keepLines w:val="0"/>
                    <w:widowControl w:val="0"/>
                    <w:suppressLineNumbers w:val="0"/>
                    <w:autoSpaceDE w:val="0"/>
                    <w:autoSpaceDN/>
                    <w:adjustRightInd w:val="0"/>
                    <w:spacing w:before="0" w:beforeAutospacing="0" w:after="0" w:afterAutospacing="0" w:line="240" w:lineRule="auto"/>
                    <w:ind w:left="0" w:leftChars="0" w:right="0" w:rightChars="0"/>
                    <w:jc w:val="both"/>
                    <w:textAlignment w:val="baseline"/>
                    <w:rPr>
                      <w:rFonts w:hint="default" w:ascii="Times New Roman" w:hAnsi="Times New Roman" w:eastAsia="宋体" w:cs="Times New Roman"/>
                      <w:b w:val="0"/>
                      <w:bCs w:val="0"/>
                      <w:color w:val="auto"/>
                      <w:kern w:val="2"/>
                      <w:sz w:val="21"/>
                      <w:szCs w:val="21"/>
                    </w:rPr>
                  </w:pPr>
                  <w:r>
                    <w:rPr>
                      <w:rFonts w:hint="default" w:ascii="Times New Roman" w:hAnsi="Times New Roman" w:eastAsia="宋体" w:cs="Times New Roman"/>
                      <w:b w:val="0"/>
                      <w:bCs w:val="0"/>
                      <w:color w:val="auto"/>
                      <w:kern w:val="2"/>
                      <w:sz w:val="21"/>
                      <w:szCs w:val="21"/>
                      <w:vertAlign w:val="baseline"/>
                      <w:lang w:val="en-US" w:eastAsia="zh-CN" w:bidi="ar"/>
                    </w:rPr>
                    <w:t>3.在居住和工业企业混杂区域，应加强环境风险防控体系建设。</w:t>
                  </w:r>
                </w:p>
              </w:tc>
              <w:tc>
                <w:tcPr>
                  <w:tcW w:w="1905" w:type="dxa"/>
                  <w:tcBorders>
                    <w:tl2br w:val="nil"/>
                    <w:tr2bl w:val="nil"/>
                  </w:tcBorders>
                  <w:shd w:val="clear" w:color="auto" w:fill="auto"/>
                  <w:vAlign w:val="center"/>
                </w:tcPr>
                <w:p w14:paraId="2FEF1663">
                  <w:pPr>
                    <w:keepNext w:val="0"/>
                    <w:keepLines w:val="0"/>
                    <w:widowControl w:val="0"/>
                    <w:suppressLineNumbers w:val="0"/>
                    <w:adjustRightInd w:val="0"/>
                    <w:spacing w:before="0" w:beforeAutospacing="0" w:after="0" w:afterAutospacing="0" w:line="240" w:lineRule="auto"/>
                    <w:ind w:left="0" w:leftChars="0" w:right="0" w:rightChars="0"/>
                    <w:jc w:val="both"/>
                    <w:textAlignment w:val="baseline"/>
                    <w:rPr>
                      <w:rFonts w:hint="default" w:ascii="Times New Roman" w:hAnsi="Times New Roman" w:eastAsia="宋体" w:cs="Times New Roman"/>
                      <w:b w:val="0"/>
                      <w:bCs w:val="0"/>
                      <w:color w:val="auto"/>
                      <w:kern w:val="2"/>
                      <w:sz w:val="21"/>
                      <w:szCs w:val="21"/>
                    </w:rPr>
                  </w:pPr>
                  <w:r>
                    <w:rPr>
                      <w:rFonts w:hint="default" w:ascii="Times New Roman" w:hAnsi="Times New Roman" w:eastAsia="宋体" w:cs="Times New Roman"/>
                      <w:b w:val="0"/>
                      <w:bCs w:val="0"/>
                      <w:color w:val="auto"/>
                      <w:kern w:val="2"/>
                      <w:sz w:val="21"/>
                      <w:szCs w:val="21"/>
                      <w:vertAlign w:val="baseline"/>
                      <w:lang w:val="en-US" w:eastAsia="zh-CN" w:bidi="ar"/>
                    </w:rPr>
                    <w:t>本项目对原辅材料严格管控。强化应急物资储备和救援队伍建设，完善应急预案制度，加强风险防控体系建设。</w:t>
                  </w:r>
                </w:p>
              </w:tc>
            </w:tr>
            <w:tr w14:paraId="3BB320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119" w:type="dxa"/>
                  <w:tcBorders>
                    <w:tl2br w:val="nil"/>
                    <w:tr2bl w:val="nil"/>
                  </w:tcBorders>
                  <w:shd w:val="clear" w:color="auto" w:fill="auto"/>
                  <w:vAlign w:val="center"/>
                </w:tcPr>
                <w:p w14:paraId="07D2E0BD">
                  <w:pPr>
                    <w:pStyle w:val="53"/>
                    <w:keepNext w:val="0"/>
                    <w:keepLines w:val="0"/>
                    <w:widowControl w:val="0"/>
                    <w:suppressLineNumbers w:val="0"/>
                    <w:spacing w:before="0" w:beforeAutospacing="0" w:after="0" w:afterAutospacing="0" w:line="240" w:lineRule="auto"/>
                    <w:ind w:left="0" w:right="0" w:rightChars="0"/>
                    <w:jc w:val="center"/>
                    <w:rPr>
                      <w:rFonts w:hint="default" w:ascii="Times New Roman" w:hAnsi="Times New Roman" w:eastAsia="宋体" w:cs="Times New Roman"/>
                      <w:b w:val="0"/>
                      <w:bCs w:val="0"/>
                      <w:color w:val="auto"/>
                      <w:kern w:val="2"/>
                      <w:sz w:val="21"/>
                      <w:szCs w:val="21"/>
                    </w:rPr>
                  </w:pPr>
                  <w:r>
                    <w:rPr>
                      <w:rFonts w:hint="default" w:ascii="Times New Roman" w:hAnsi="Times New Roman" w:eastAsia="宋体" w:cs="Times New Roman"/>
                      <w:b w:val="0"/>
                      <w:bCs w:val="0"/>
                      <w:color w:val="auto"/>
                      <w:spacing w:val="0"/>
                      <w:kern w:val="2"/>
                      <w:sz w:val="21"/>
                      <w:szCs w:val="21"/>
                      <w:lang w:val="en-US" w:eastAsia="zh-CN" w:bidi="ar"/>
                    </w:rPr>
                    <w:t>资源利用效率</w:t>
                  </w:r>
                </w:p>
              </w:tc>
              <w:tc>
                <w:tcPr>
                  <w:tcW w:w="4557" w:type="dxa"/>
                  <w:tcBorders>
                    <w:tl2br w:val="nil"/>
                    <w:tr2bl w:val="nil"/>
                  </w:tcBorders>
                  <w:shd w:val="clear" w:color="auto" w:fill="auto"/>
                  <w:vAlign w:val="center"/>
                </w:tcPr>
                <w:p w14:paraId="7CC95A8B">
                  <w:pPr>
                    <w:keepNext w:val="0"/>
                    <w:keepLines w:val="0"/>
                    <w:widowControl w:val="0"/>
                    <w:suppressLineNumbers w:val="0"/>
                    <w:autoSpaceDE w:val="0"/>
                    <w:autoSpaceDN/>
                    <w:adjustRightInd w:val="0"/>
                    <w:spacing w:before="0" w:beforeAutospacing="0" w:after="0" w:afterAutospacing="0" w:line="240" w:lineRule="auto"/>
                    <w:ind w:left="0" w:right="0"/>
                    <w:jc w:val="both"/>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rPr>
                    <w:t>1.执行本清单全市准入要求中“5.1产业集聚类重点管控单元”准入要求。</w:t>
                  </w:r>
                </w:p>
                <w:p w14:paraId="1BAF5AC9">
                  <w:pPr>
                    <w:keepNext w:val="0"/>
                    <w:keepLines w:val="0"/>
                    <w:widowControl w:val="0"/>
                    <w:suppressLineNumbers w:val="0"/>
                    <w:autoSpaceDE w:val="0"/>
                    <w:autoSpaceDN/>
                    <w:adjustRightInd w:val="0"/>
                    <w:spacing w:before="0" w:beforeAutospacing="0" w:after="0" w:afterAutospacing="0" w:line="240" w:lineRule="auto"/>
                    <w:ind w:left="0" w:right="0"/>
                    <w:jc w:val="both"/>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rPr>
                    <w:t>2.</w:t>
                  </w:r>
                  <w:r>
                    <w:rPr>
                      <w:rFonts w:hint="default" w:ascii="Times New Roman" w:hAnsi="Times New Roman" w:eastAsia="宋体" w:cs="Times New Roman"/>
                      <w:b w:val="0"/>
                      <w:bCs w:val="0"/>
                      <w:color w:val="auto"/>
                      <w:kern w:val="2"/>
                      <w:sz w:val="21"/>
                      <w:szCs w:val="21"/>
                      <w:vertAlign w:val="baseline"/>
                    </w:rPr>
                    <w:t>实施清洁化改造，加强节水管理，提高中水回用率</w:t>
                  </w:r>
                  <w:r>
                    <w:rPr>
                      <w:rFonts w:hint="eastAsia" w:ascii="Times New Roman" w:hAnsi="Times New Roman" w:cs="Times New Roman"/>
                      <w:b w:val="0"/>
                      <w:bCs w:val="0"/>
                      <w:color w:val="auto"/>
                      <w:kern w:val="2"/>
                      <w:sz w:val="21"/>
                      <w:szCs w:val="21"/>
                      <w:vertAlign w:val="baseline"/>
                      <w:lang w:eastAsia="zh-CN"/>
                    </w:rPr>
                    <w:t>，</w:t>
                  </w:r>
                  <w:r>
                    <w:rPr>
                      <w:rFonts w:hint="default" w:ascii="Times New Roman" w:hAnsi="Times New Roman" w:eastAsia="宋体" w:cs="Times New Roman"/>
                      <w:b w:val="0"/>
                      <w:bCs w:val="0"/>
                      <w:color w:val="auto"/>
                      <w:kern w:val="2"/>
                      <w:sz w:val="21"/>
                      <w:szCs w:val="21"/>
                      <w:vertAlign w:val="baseline"/>
                    </w:rPr>
                    <w:t>延长加工产业链，优化布局。</w:t>
                  </w:r>
                </w:p>
                <w:p w14:paraId="165EE323">
                  <w:pPr>
                    <w:keepNext w:val="0"/>
                    <w:keepLines w:val="0"/>
                    <w:widowControl w:val="0"/>
                    <w:suppressLineNumbers w:val="0"/>
                    <w:autoSpaceDE w:val="0"/>
                    <w:autoSpaceDN/>
                    <w:adjustRightInd w:val="0"/>
                    <w:spacing w:before="0" w:beforeAutospacing="0" w:after="0" w:afterAutospacing="0" w:line="240" w:lineRule="auto"/>
                    <w:ind w:left="0" w:right="0"/>
                    <w:jc w:val="both"/>
                    <w:textAlignment w:val="baseline"/>
                    <w:rPr>
                      <w:rFonts w:hint="default" w:ascii="Times New Roman" w:hAnsi="Times New Roman" w:eastAsia="宋体" w:cs="Times New Roman"/>
                      <w:b w:val="0"/>
                      <w:bCs w:val="0"/>
                      <w:color w:val="auto"/>
                      <w:kern w:val="2"/>
                      <w:sz w:val="21"/>
                      <w:szCs w:val="21"/>
                      <w:vertAlign w:val="baseline"/>
                    </w:rPr>
                  </w:pPr>
                  <w:r>
                    <w:rPr>
                      <w:rFonts w:hint="default" w:ascii="Times New Roman" w:hAnsi="Times New Roman" w:eastAsia="宋体" w:cs="Times New Roman"/>
                      <w:b w:val="0"/>
                      <w:bCs w:val="0"/>
                      <w:color w:val="auto"/>
                      <w:kern w:val="2"/>
                      <w:sz w:val="21"/>
                      <w:szCs w:val="21"/>
                      <w:vertAlign w:val="baseline"/>
                      <w:lang w:val="en-US"/>
                    </w:rPr>
                    <w:t>3.</w:t>
                  </w:r>
                  <w:r>
                    <w:rPr>
                      <w:rFonts w:hint="default" w:ascii="Times New Roman" w:hAnsi="Times New Roman" w:eastAsia="宋体" w:cs="Times New Roman"/>
                      <w:b w:val="0"/>
                      <w:bCs w:val="0"/>
                      <w:color w:val="auto"/>
                      <w:kern w:val="2"/>
                      <w:sz w:val="21"/>
                      <w:szCs w:val="21"/>
                      <w:vertAlign w:val="baseline"/>
                    </w:rPr>
                    <w:t>新上耗煤项目实施煤炭减量替代，单位产品（产值）能耗要达到国内先进水平。</w:t>
                  </w:r>
                </w:p>
                <w:p w14:paraId="4B1F0A7A">
                  <w:pPr>
                    <w:keepNext w:val="0"/>
                    <w:keepLines w:val="0"/>
                    <w:widowControl w:val="0"/>
                    <w:suppressLineNumbers w:val="0"/>
                    <w:autoSpaceDE w:val="0"/>
                    <w:autoSpaceDN/>
                    <w:adjustRightInd w:val="0"/>
                    <w:spacing w:before="0" w:beforeAutospacing="0" w:after="0" w:afterAutospacing="0" w:line="240" w:lineRule="auto"/>
                    <w:ind w:left="0" w:leftChars="0" w:right="0" w:rightChars="0"/>
                    <w:jc w:val="both"/>
                    <w:textAlignment w:val="baseline"/>
                    <w:rPr>
                      <w:rFonts w:hint="default" w:ascii="Times New Roman" w:hAnsi="Times New Roman" w:eastAsia="宋体" w:cs="Times New Roman"/>
                      <w:b w:val="0"/>
                      <w:bCs w:val="0"/>
                      <w:color w:val="auto"/>
                      <w:kern w:val="2"/>
                      <w:sz w:val="21"/>
                      <w:szCs w:val="21"/>
                    </w:rPr>
                  </w:pPr>
                  <w:r>
                    <w:rPr>
                      <w:rFonts w:hint="default" w:ascii="Times New Roman" w:hAnsi="Times New Roman" w:eastAsia="宋体" w:cs="Times New Roman"/>
                      <w:b w:val="0"/>
                      <w:bCs w:val="0"/>
                      <w:color w:val="auto"/>
                      <w:kern w:val="2"/>
                      <w:sz w:val="21"/>
                      <w:szCs w:val="21"/>
                      <w:vertAlign w:val="baseline"/>
                    </w:rPr>
                    <w:t>4.高污染燃料禁燃区同时执行本清单全市准入要求中“5.8高污染燃料禁燃”准入要求。</w:t>
                  </w:r>
                </w:p>
              </w:tc>
              <w:tc>
                <w:tcPr>
                  <w:tcW w:w="1905" w:type="dxa"/>
                  <w:tcBorders>
                    <w:tl2br w:val="nil"/>
                    <w:tr2bl w:val="nil"/>
                  </w:tcBorders>
                  <w:shd w:val="clear" w:color="auto" w:fill="auto"/>
                  <w:vAlign w:val="center"/>
                </w:tcPr>
                <w:p w14:paraId="69304022">
                  <w:pPr>
                    <w:keepNext w:val="0"/>
                    <w:keepLines w:val="0"/>
                    <w:widowControl w:val="0"/>
                    <w:suppressLineNumbers w:val="0"/>
                    <w:adjustRightInd w:val="0"/>
                    <w:spacing w:before="0" w:beforeAutospacing="0" w:after="0" w:afterAutospacing="0" w:line="240" w:lineRule="auto"/>
                    <w:ind w:left="0" w:leftChars="0" w:right="0" w:rightChars="0"/>
                    <w:jc w:val="both"/>
                    <w:textAlignment w:val="baseline"/>
                    <w:rPr>
                      <w:rFonts w:hint="default" w:ascii="Times New Roman" w:hAnsi="Times New Roman" w:eastAsia="宋体" w:cs="Times New Roman"/>
                      <w:b w:val="0"/>
                      <w:bCs w:val="0"/>
                      <w:color w:val="auto"/>
                      <w:kern w:val="2"/>
                      <w:sz w:val="21"/>
                      <w:szCs w:val="21"/>
                    </w:rPr>
                  </w:pPr>
                  <w:r>
                    <w:rPr>
                      <w:rFonts w:hint="default" w:ascii="Times New Roman" w:hAnsi="Times New Roman" w:eastAsia="宋体" w:cs="Times New Roman"/>
                      <w:b w:val="0"/>
                      <w:bCs w:val="0"/>
                      <w:color w:val="auto"/>
                      <w:kern w:val="2"/>
                      <w:sz w:val="21"/>
                      <w:szCs w:val="21"/>
                      <w:vertAlign w:val="baseline"/>
                      <w:lang w:val="en-US" w:eastAsia="zh-CN"/>
                    </w:rPr>
                    <w:t>本项目建筑采暖采用铁力宇祥热电有限责任公司集中供给，生产用热采用电能。运营后消耗能源较少，不会突破能源消耗上线。</w:t>
                  </w:r>
                </w:p>
              </w:tc>
            </w:tr>
          </w:tbl>
          <w:p w14:paraId="0CA84273">
            <w:pPr>
              <w:pStyle w:val="53"/>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pacing w:val="0"/>
                <w:kern w:val="2"/>
                <w:sz w:val="24"/>
                <w:szCs w:val="24"/>
              </w:rPr>
            </w:pPr>
            <w:r>
              <w:rPr>
                <w:rFonts w:hint="default" w:ascii="Times New Roman" w:hAnsi="Times New Roman" w:eastAsia="宋体" w:cs="Times New Roman"/>
                <w:b w:val="0"/>
                <w:bCs w:val="0"/>
                <w:color w:val="auto"/>
                <w:spacing w:val="0"/>
                <w:kern w:val="2"/>
                <w:sz w:val="24"/>
                <w:szCs w:val="24"/>
                <w:lang w:val="en-US" w:eastAsia="zh-CN" w:bidi="ar"/>
              </w:rPr>
              <w:t>（3）一说明</w:t>
            </w:r>
          </w:p>
          <w:p w14:paraId="08B790F8">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rPr>
            </w:pPr>
            <w:r>
              <w:rPr>
                <w:rFonts w:hint="default" w:ascii="Times New Roman" w:hAnsi="Times New Roman" w:eastAsia="宋体" w:cs="Times New Roman"/>
                <w:b w:val="0"/>
                <w:bCs w:val="0"/>
                <w:color w:val="auto"/>
                <w:kern w:val="2"/>
                <w:sz w:val="24"/>
                <w:szCs w:val="24"/>
                <w:lang w:val="en-US" w:eastAsia="zh-CN" w:bidi="ar"/>
              </w:rPr>
              <w:t>本</w:t>
            </w:r>
            <w:r>
              <w:rPr>
                <w:rFonts w:hint="eastAsia" w:ascii="Times New Roman" w:hAnsi="Times New Roman" w:cs="Times New Roman"/>
                <w:b w:val="0"/>
                <w:bCs w:val="0"/>
                <w:color w:val="auto"/>
                <w:kern w:val="2"/>
                <w:sz w:val="24"/>
                <w:szCs w:val="24"/>
                <w:lang w:val="en-US" w:eastAsia="zh-CN" w:bidi="ar"/>
              </w:rPr>
              <w:t>项目位于</w:t>
            </w:r>
            <w:r>
              <w:rPr>
                <w:rFonts w:hint="default" w:ascii="Times New Roman" w:hAnsi="Times New Roman" w:eastAsia="宋体" w:cs="Times New Roman"/>
                <w:b w:val="0"/>
                <w:bCs w:val="0"/>
                <w:color w:val="auto"/>
                <w:kern w:val="2"/>
                <w:sz w:val="24"/>
                <w:szCs w:val="24"/>
                <w:lang w:val="en-US" w:eastAsia="zh-CN" w:bidi="ar"/>
              </w:rPr>
              <w:t>伊春市铁力市；项目占地总面积小于0.10平方公里。</w:t>
            </w:r>
          </w:p>
          <w:p w14:paraId="28FE8B1A">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rPr>
            </w:pPr>
            <w:r>
              <w:rPr>
                <w:rFonts w:hint="default" w:ascii="Times New Roman" w:hAnsi="Times New Roman" w:eastAsia="宋体" w:cs="Times New Roman"/>
                <w:b w:val="0"/>
                <w:bCs w:val="0"/>
                <w:color w:val="auto"/>
                <w:kern w:val="2"/>
                <w:sz w:val="24"/>
                <w:szCs w:val="24"/>
                <w:lang w:val="en-US" w:eastAsia="zh-CN" w:bidi="ar"/>
              </w:rPr>
              <w:t>与生态保护红线、自然保护地整合优化方案数据、自然保护地、饮用水水源保护区无交集。</w:t>
            </w:r>
          </w:p>
          <w:p w14:paraId="130E2679">
            <w:pPr>
              <w:keepNext w:val="0"/>
              <w:keepLines w:val="0"/>
              <w:pageBreakBefore w:val="0"/>
              <w:widowControl/>
              <w:suppressLineNumbers w:val="0"/>
              <w:kinsoku/>
              <w:wordWrap/>
              <w:overflowPunct/>
              <w:topLinePunct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0"/>
                <w:sz w:val="24"/>
                <w:szCs w:val="24"/>
                <w:lang w:val="en-US" w:eastAsia="zh-CN" w:bidi="ar"/>
              </w:rPr>
              <w:t>综上所述，本项目符合</w:t>
            </w:r>
            <w:r>
              <w:rPr>
                <w:rFonts w:hint="default" w:ascii="Times New Roman" w:hAnsi="Times New Roman" w:eastAsia="宋体" w:cs="Times New Roman"/>
                <w:color w:val="auto"/>
                <w:kern w:val="2"/>
                <w:sz w:val="24"/>
                <w:szCs w:val="24"/>
                <w:lang w:val="en-US" w:eastAsia="zh-CN" w:bidi="ar"/>
              </w:rPr>
              <w:t>《黑龙江省人民政府关于实施“三线一单”生态环境分区管控的意见》（黑政发〔2020〕14号）、《伊春市人民政府关于实施“三线一单”生态环境分区管控的意见》（伊政规〔2022〕5号）、</w:t>
            </w:r>
            <w:r>
              <w:rPr>
                <w:rFonts w:hint="default" w:ascii="Times New Roman" w:hAnsi="Times New Roman" w:eastAsia="宋体" w:cs="Times New Roman"/>
                <w:color w:val="auto"/>
                <w:kern w:val="0"/>
                <w:sz w:val="24"/>
                <w:szCs w:val="24"/>
                <w:lang w:val="en-US" w:eastAsia="zh-CN" w:bidi="ar"/>
              </w:rPr>
              <w:t>《伊春市生态环境准入清单》（2023年版）</w:t>
            </w:r>
            <w:r>
              <w:rPr>
                <w:rFonts w:hint="default" w:ascii="Times New Roman" w:hAnsi="Times New Roman" w:eastAsia="宋体" w:cs="Times New Roman"/>
                <w:color w:val="auto"/>
                <w:kern w:val="2"/>
                <w:sz w:val="24"/>
                <w:szCs w:val="24"/>
                <w:lang w:val="en-US" w:eastAsia="zh-CN" w:bidi="ar"/>
              </w:rPr>
              <w:t>中</w:t>
            </w:r>
            <w:r>
              <w:rPr>
                <w:rFonts w:hint="default" w:ascii="Times New Roman" w:hAnsi="Times New Roman" w:eastAsia="宋体" w:cs="Times New Roman"/>
                <w:color w:val="auto"/>
                <w:kern w:val="0"/>
                <w:sz w:val="24"/>
                <w:szCs w:val="24"/>
                <w:lang w:val="en-US" w:eastAsia="zh-CN" w:bidi="ar"/>
              </w:rPr>
              <w:t>相关要求</w:t>
            </w:r>
            <w:r>
              <w:rPr>
                <w:rFonts w:hint="default" w:ascii="Times New Roman" w:hAnsi="Times New Roman" w:eastAsia="宋体" w:cs="Times New Roman"/>
                <w:color w:val="auto"/>
                <w:kern w:val="2"/>
                <w:sz w:val="24"/>
                <w:szCs w:val="24"/>
                <w:lang w:val="en-US" w:eastAsia="zh-CN" w:bidi="ar"/>
              </w:rPr>
              <w:t>。</w:t>
            </w:r>
          </w:p>
          <w:p w14:paraId="54AE0D2F">
            <w:pPr>
              <w:keepNext/>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lang w:val="en-US" w:eastAsia="zh-CN"/>
              </w:rPr>
              <w:t>与《铸造企业规范条件》（T/CFA 0310021-2023）相符性分析</w:t>
            </w:r>
          </w:p>
          <w:p w14:paraId="3CD0B55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kern w:val="2"/>
                <w:sz w:val="21"/>
                <w:szCs w:val="21"/>
                <w:lang w:bidi="ar"/>
              </w:rPr>
            </w:pPr>
            <w:r>
              <w:rPr>
                <w:rFonts w:hint="default" w:ascii="Times New Roman" w:hAnsi="Times New Roman" w:eastAsia="宋体" w:cs="Times New Roman"/>
                <w:b/>
                <w:color w:val="auto"/>
                <w:kern w:val="2"/>
                <w:sz w:val="21"/>
                <w:szCs w:val="21"/>
                <w:lang w:bidi="ar"/>
              </w:rPr>
              <w:t>表1-</w:t>
            </w:r>
            <w:r>
              <w:rPr>
                <w:rFonts w:hint="default" w:ascii="Times New Roman" w:hAnsi="Times New Roman" w:eastAsia="宋体" w:cs="Times New Roman"/>
                <w:b/>
                <w:color w:val="auto"/>
                <w:kern w:val="2"/>
                <w:sz w:val="21"/>
                <w:szCs w:val="21"/>
                <w:lang w:val="en-US" w:eastAsia="zh-CN" w:bidi="ar"/>
              </w:rPr>
              <w:t>8</w:t>
            </w:r>
            <w:r>
              <w:rPr>
                <w:rFonts w:hint="default" w:ascii="Times New Roman" w:hAnsi="Times New Roman" w:eastAsia="宋体" w:cs="Times New Roman"/>
                <w:b/>
                <w:color w:val="auto"/>
                <w:kern w:val="2"/>
                <w:sz w:val="21"/>
                <w:szCs w:val="21"/>
                <w:lang w:bidi="ar"/>
              </w:rPr>
              <w:t xml:space="preserve"> </w:t>
            </w:r>
            <w:r>
              <w:rPr>
                <w:rFonts w:hint="default" w:ascii="Times New Roman" w:hAnsi="Times New Roman" w:eastAsia="宋体" w:cs="Times New Roman"/>
                <w:b/>
                <w:color w:val="auto"/>
                <w:kern w:val="2"/>
                <w:sz w:val="21"/>
                <w:szCs w:val="21"/>
                <w:lang w:eastAsia="zh-CN" w:bidi="ar"/>
              </w:rPr>
              <w:t>与</w:t>
            </w:r>
            <w:r>
              <w:rPr>
                <w:rFonts w:hint="default" w:ascii="Times New Roman" w:hAnsi="Times New Roman" w:eastAsia="宋体" w:cs="Times New Roman"/>
                <w:b/>
                <w:color w:val="auto"/>
                <w:kern w:val="2"/>
                <w:sz w:val="21"/>
                <w:szCs w:val="21"/>
                <w:lang w:val="en-US" w:eastAsia="zh-CN" w:bidi="ar"/>
              </w:rPr>
              <w:t>《铸造企业规范条件》相符性分析一览表</w:t>
            </w:r>
          </w:p>
          <w:tbl>
            <w:tblPr>
              <w:tblStyle w:val="384"/>
              <w:tblW w:w="495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08"/>
              <w:gridCol w:w="3429"/>
              <w:gridCol w:w="2846"/>
              <w:gridCol w:w="675"/>
            </w:tblGrid>
            <w:tr w14:paraId="5B87BC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5" w:hRule="atLeast"/>
                <w:jc w:val="center"/>
              </w:trPr>
              <w:tc>
                <w:tcPr>
                  <w:tcW w:w="4092" w:type="dxa"/>
                  <w:gridSpan w:val="2"/>
                  <w:noWrap w:val="0"/>
                  <w:vAlign w:val="center"/>
                </w:tcPr>
                <w:p w14:paraId="4FA1DA4A">
                  <w:pPr>
                    <w:keepNext w:val="0"/>
                    <w:keepLines/>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b/>
                      <w:bCs/>
                      <w:color w:val="auto"/>
                      <w:sz w:val="21"/>
                      <w:szCs w:val="21"/>
                      <w:highlight w:val="none"/>
                      <w:lang w:val="en-US" w:eastAsia="zh-CN" w:bidi="ar-SA"/>
                    </w:rPr>
                  </w:pPr>
                  <w:r>
                    <w:rPr>
                      <w:rFonts w:hint="default" w:ascii="Times New Roman" w:hAnsi="Times New Roman" w:eastAsia="宋体" w:cs="Times New Roman"/>
                      <w:b/>
                      <w:bCs/>
                      <w:color w:val="auto"/>
                      <w:sz w:val="21"/>
                      <w:szCs w:val="21"/>
                      <w:highlight w:val="none"/>
                      <w:lang w:eastAsia="zh-CN"/>
                    </w:rPr>
                    <w:t>规范条件</w:t>
                  </w:r>
                </w:p>
              </w:tc>
              <w:tc>
                <w:tcPr>
                  <w:tcW w:w="2884" w:type="dxa"/>
                  <w:noWrap w:val="0"/>
                  <w:vAlign w:val="center"/>
                </w:tcPr>
                <w:p w14:paraId="662FBE69">
                  <w:pPr>
                    <w:keepNext w:val="0"/>
                    <w:keepLines/>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b/>
                      <w:bCs/>
                      <w:color w:val="auto"/>
                      <w:sz w:val="21"/>
                      <w:szCs w:val="21"/>
                      <w:highlight w:val="none"/>
                      <w:lang w:val="en-US" w:eastAsia="zh-CN" w:bidi="ar-SA"/>
                    </w:rPr>
                  </w:pPr>
                  <w:r>
                    <w:rPr>
                      <w:rFonts w:hint="default" w:ascii="Times New Roman" w:hAnsi="Times New Roman" w:cs="Times New Roman"/>
                      <w:b/>
                      <w:bCs/>
                      <w:color w:val="auto"/>
                      <w:sz w:val="21"/>
                      <w:szCs w:val="21"/>
                      <w:highlight w:val="none"/>
                      <w:lang w:eastAsia="zh-CN"/>
                    </w:rPr>
                    <w:t>符合性分析</w:t>
                  </w:r>
                </w:p>
              </w:tc>
              <w:tc>
                <w:tcPr>
                  <w:tcW w:w="683" w:type="dxa"/>
                  <w:noWrap w:val="0"/>
                  <w:vAlign w:val="center"/>
                </w:tcPr>
                <w:p w14:paraId="0E17CEC8">
                  <w:pPr>
                    <w:keepNext w:val="0"/>
                    <w:keepLines/>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b/>
                      <w:bCs/>
                      <w:color w:val="auto"/>
                      <w:sz w:val="21"/>
                      <w:szCs w:val="21"/>
                      <w:highlight w:val="none"/>
                      <w:lang w:val="en-US" w:eastAsia="zh-CN" w:bidi="ar-SA"/>
                    </w:rPr>
                  </w:pPr>
                  <w:r>
                    <w:rPr>
                      <w:rFonts w:hint="default" w:ascii="Times New Roman" w:hAnsi="Times New Roman" w:cs="Times New Roman"/>
                      <w:b/>
                      <w:bCs/>
                      <w:color w:val="auto"/>
                      <w:sz w:val="21"/>
                      <w:szCs w:val="21"/>
                      <w:highlight w:val="none"/>
                    </w:rPr>
                    <w:t>相符性</w:t>
                  </w:r>
                </w:p>
              </w:tc>
            </w:tr>
            <w:tr w14:paraId="41B4B5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17" w:type="dxa"/>
                  <w:vMerge w:val="restart"/>
                  <w:noWrap w:val="0"/>
                  <w:vAlign w:val="center"/>
                </w:tcPr>
                <w:p w14:paraId="42F11D78">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建设条件与布局</w:t>
                  </w:r>
                </w:p>
              </w:tc>
              <w:tc>
                <w:tcPr>
                  <w:tcW w:w="3475" w:type="dxa"/>
                  <w:noWrap w:val="0"/>
                  <w:vAlign w:val="center"/>
                </w:tcPr>
                <w:p w14:paraId="4DA58D61">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eastAsia="zh-CN"/>
                    </w:rPr>
                    <w:t>企业的布局和厂址的确定应符合国家相关法律法规、产业政策以及各地方装备制造业和铸造行业的总体规划要求</w:t>
                  </w:r>
                </w:p>
              </w:tc>
              <w:tc>
                <w:tcPr>
                  <w:tcW w:w="2884" w:type="dxa"/>
                  <w:noWrap w:val="0"/>
                  <w:vAlign w:val="center"/>
                </w:tcPr>
                <w:p w14:paraId="1EB712DB">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本项目位于黑龙江铁力经济开发区内，企业的布局和</w:t>
                  </w:r>
                  <w:r>
                    <w:rPr>
                      <w:rFonts w:hint="default" w:ascii="Times New Roman" w:hAnsi="Times New Roman" w:eastAsia="宋体" w:cs="Times New Roman"/>
                      <w:color w:val="auto"/>
                      <w:sz w:val="21"/>
                      <w:szCs w:val="21"/>
                      <w:highlight w:val="none"/>
                      <w:lang w:eastAsia="zh-CN"/>
                    </w:rPr>
                    <w:t>厂址符合相关规划要求</w:t>
                  </w:r>
                  <w:r>
                    <w:rPr>
                      <w:rFonts w:hint="eastAsia" w:ascii="Times New Roman" w:hAnsi="Times New Roman" w:cs="Times New Roman"/>
                      <w:color w:val="auto"/>
                      <w:sz w:val="21"/>
                      <w:szCs w:val="21"/>
                      <w:highlight w:val="none"/>
                      <w:lang w:eastAsia="zh-CN"/>
                    </w:rPr>
                    <w:t>。</w:t>
                  </w:r>
                </w:p>
              </w:tc>
              <w:tc>
                <w:tcPr>
                  <w:tcW w:w="683" w:type="dxa"/>
                  <w:noWrap w:val="0"/>
                  <w:vAlign w:val="center"/>
                </w:tcPr>
                <w:p w14:paraId="2EC57F85">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eastAsia="zh-CN"/>
                    </w:rPr>
                    <w:t>符合</w:t>
                  </w:r>
                </w:p>
              </w:tc>
            </w:tr>
            <w:tr w14:paraId="047A96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17" w:type="dxa"/>
                  <w:vMerge w:val="continue"/>
                  <w:noWrap w:val="0"/>
                  <w:vAlign w:val="center"/>
                </w:tcPr>
                <w:p w14:paraId="42F39846">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3475" w:type="dxa"/>
                  <w:noWrap w:val="0"/>
                  <w:vAlign w:val="center"/>
                </w:tcPr>
                <w:p w14:paraId="7B813294">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eastAsia="zh-CN"/>
                    </w:rPr>
                    <w:t>企业生产场所应依法取得土地使用权并符合土地使用性质</w:t>
                  </w:r>
                </w:p>
              </w:tc>
              <w:tc>
                <w:tcPr>
                  <w:tcW w:w="2884" w:type="dxa"/>
                  <w:noWrap w:val="0"/>
                  <w:vAlign w:val="center"/>
                </w:tcPr>
                <w:p w14:paraId="3BF8075F">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bidi="ar-SA"/>
                    </w:rPr>
                    <w:t>本项目位于</w:t>
                  </w:r>
                  <w:r>
                    <w:rPr>
                      <w:rFonts w:hint="default" w:ascii="Times New Roman" w:hAnsi="Times New Roman" w:eastAsia="宋体" w:cs="Times New Roman"/>
                      <w:i w:val="0"/>
                      <w:iCs w:val="0"/>
                      <w:color w:val="auto"/>
                      <w:sz w:val="21"/>
                      <w:szCs w:val="21"/>
                      <w:highlight w:val="none"/>
                      <w:u w:val="none"/>
                      <w:lang w:val="en-US" w:eastAsia="zh-CN" w:bidi="ar"/>
                    </w:rPr>
                    <w:t>黑龙江铁力经济开发区内</w:t>
                  </w:r>
                  <w:r>
                    <w:rPr>
                      <w:rFonts w:hint="default" w:ascii="Times New Roman" w:hAnsi="Times New Roman" w:cs="Times New Roman"/>
                      <w:color w:val="auto"/>
                      <w:sz w:val="21"/>
                      <w:szCs w:val="21"/>
                      <w:highlight w:val="none"/>
                      <w:lang w:val="en-US" w:eastAsia="zh-CN" w:bidi="ar-SA"/>
                    </w:rPr>
                    <w:t>，根据土地证，项目用地属于工业用地</w:t>
                  </w:r>
                  <w:r>
                    <w:rPr>
                      <w:rFonts w:hint="eastAsia" w:ascii="Times New Roman" w:hAnsi="Times New Roman" w:cs="Times New Roman"/>
                      <w:color w:val="auto"/>
                      <w:sz w:val="21"/>
                      <w:szCs w:val="21"/>
                      <w:highlight w:val="none"/>
                      <w:lang w:val="en-US" w:eastAsia="zh-CN" w:bidi="ar-SA"/>
                    </w:rPr>
                    <w:t>。</w:t>
                  </w:r>
                </w:p>
              </w:tc>
              <w:tc>
                <w:tcPr>
                  <w:tcW w:w="683" w:type="dxa"/>
                  <w:noWrap w:val="0"/>
                  <w:vAlign w:val="center"/>
                </w:tcPr>
                <w:p w14:paraId="2F30C070">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02D81A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17" w:type="dxa"/>
                  <w:vMerge w:val="restart"/>
                  <w:noWrap w:val="0"/>
                  <w:vAlign w:val="center"/>
                </w:tcPr>
                <w:p w14:paraId="19EF8019">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生产工艺</w:t>
                  </w:r>
                </w:p>
              </w:tc>
              <w:tc>
                <w:tcPr>
                  <w:tcW w:w="3475" w:type="dxa"/>
                  <w:noWrap w:val="0"/>
                  <w:vAlign w:val="center"/>
                </w:tcPr>
                <w:p w14:paraId="2AA848B6">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eastAsia="zh-CN"/>
                    </w:rPr>
                    <w:t>企业应根据生产铸件的材质、品种、批量，合理选择低污染、低排放、低能耗、经济高效的铸造工艺</w:t>
                  </w:r>
                </w:p>
              </w:tc>
              <w:tc>
                <w:tcPr>
                  <w:tcW w:w="2884" w:type="dxa"/>
                  <w:noWrap w:val="0"/>
                  <w:vAlign w:val="center"/>
                </w:tcPr>
                <w:p w14:paraId="5393FB7A">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本项目熔炉选用国内先进的中频炉，属于</w:t>
                  </w:r>
                  <w:r>
                    <w:rPr>
                      <w:rFonts w:hint="default" w:ascii="Times New Roman" w:hAnsi="Times New Roman" w:eastAsia="宋体" w:cs="Times New Roman"/>
                      <w:color w:val="auto"/>
                      <w:sz w:val="21"/>
                      <w:szCs w:val="21"/>
                      <w:highlight w:val="none"/>
                      <w:lang w:eastAsia="zh-CN"/>
                    </w:rPr>
                    <w:t>低污染、低排放、低能耗、经济高效的铸造工艺</w:t>
                  </w:r>
                  <w:r>
                    <w:rPr>
                      <w:rFonts w:hint="eastAsia" w:ascii="Times New Roman" w:hAnsi="Times New Roman" w:cs="Times New Roman"/>
                      <w:color w:val="auto"/>
                      <w:sz w:val="21"/>
                      <w:szCs w:val="21"/>
                      <w:highlight w:val="none"/>
                      <w:lang w:eastAsia="zh-CN"/>
                    </w:rPr>
                    <w:t>。</w:t>
                  </w:r>
                </w:p>
              </w:tc>
              <w:tc>
                <w:tcPr>
                  <w:tcW w:w="683" w:type="dxa"/>
                  <w:noWrap w:val="0"/>
                  <w:vAlign w:val="center"/>
                </w:tcPr>
                <w:p w14:paraId="58224256">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67AB4A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17" w:type="dxa"/>
                  <w:vMerge w:val="continue"/>
                  <w:noWrap w:val="0"/>
                  <w:vAlign w:val="center"/>
                </w:tcPr>
                <w:p w14:paraId="5EC70124">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3475" w:type="dxa"/>
                  <w:noWrap w:val="0"/>
                  <w:vAlign w:val="center"/>
                </w:tcPr>
                <w:p w14:paraId="78731E17">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2.企业不应使用国家明令淘汰的生产工艺。</w:t>
                  </w:r>
                  <w:r>
                    <w:rPr>
                      <w:rFonts w:hint="default" w:ascii="Times New Roman" w:hAnsi="Times New Roman" w:eastAsia="宋体" w:cs="Times New Roman"/>
                      <w:color w:val="auto"/>
                      <w:sz w:val="21"/>
                      <w:szCs w:val="21"/>
                      <w:highlight w:val="none"/>
                      <w:lang w:eastAsia="zh-CN"/>
                    </w:rPr>
                    <w:t>不应采用粘土砂干型/芯、油砂制芯、七</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eastAsia="zh-CN"/>
                    </w:rPr>
                    <w:t>砂制型/芯等落后铸造工艺；粘土砂工艺批量生产铸件不应采用手工造型；水玻璃熔模精密铸造模壳硬化不应采用氯化铵硬化工艺；铝合金精炼不应采用六氯乙烷等有毒有害的精炼剂</w:t>
                  </w:r>
                </w:p>
              </w:tc>
              <w:tc>
                <w:tcPr>
                  <w:tcW w:w="2884" w:type="dxa"/>
                  <w:noWrap w:val="0"/>
                  <w:vAlign w:val="center"/>
                </w:tcPr>
                <w:p w14:paraId="0C82AED2">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本项目不采用</w:t>
                  </w:r>
                  <w:r>
                    <w:rPr>
                      <w:rFonts w:hint="default" w:ascii="Times New Roman" w:hAnsi="Times New Roman" w:eastAsia="宋体" w:cs="Times New Roman"/>
                      <w:color w:val="auto"/>
                      <w:sz w:val="21"/>
                      <w:szCs w:val="21"/>
                      <w:highlight w:val="none"/>
                      <w:lang w:val="en-US" w:eastAsia="zh-CN"/>
                    </w:rPr>
                    <w:t>国家明令淘汰的生产工艺；项目生产时无精炼工艺</w:t>
                  </w:r>
                  <w:r>
                    <w:rPr>
                      <w:rFonts w:hint="default" w:ascii="Times New Roman" w:hAnsi="Times New Roman" w:eastAsia="宋体" w:cs="Times New Roman"/>
                      <w:color w:val="auto"/>
                      <w:sz w:val="21"/>
                      <w:szCs w:val="21"/>
                      <w:highlight w:val="none"/>
                      <w:lang w:eastAsia="zh-CN"/>
                    </w:rPr>
                    <w:t>，采用</w:t>
                  </w:r>
                  <w:r>
                    <w:rPr>
                      <w:rFonts w:hint="eastAsia" w:ascii="Times New Roman" w:hAnsi="Times New Roman" w:cs="Times New Roman"/>
                      <w:color w:val="auto"/>
                      <w:sz w:val="21"/>
                      <w:szCs w:val="21"/>
                      <w:highlight w:val="none"/>
                      <w:lang w:val="en-US" w:eastAsia="zh-CN"/>
                    </w:rPr>
                    <w:t>铁模覆砂</w:t>
                  </w:r>
                  <w:r>
                    <w:rPr>
                      <w:rFonts w:hint="default" w:ascii="Times New Roman" w:hAnsi="Times New Roman" w:eastAsia="宋体" w:cs="Times New Roman"/>
                      <w:color w:val="auto"/>
                      <w:sz w:val="21"/>
                      <w:szCs w:val="21"/>
                      <w:highlight w:val="none"/>
                      <w:lang w:eastAsia="zh-CN"/>
                    </w:rPr>
                    <w:t>铸造工艺</w:t>
                  </w:r>
                  <w:r>
                    <w:rPr>
                      <w:rFonts w:hint="eastAsia" w:ascii="Times New Roman" w:hAnsi="Times New Roman" w:cs="Times New Roman"/>
                      <w:color w:val="auto"/>
                      <w:sz w:val="21"/>
                      <w:szCs w:val="21"/>
                      <w:highlight w:val="none"/>
                      <w:lang w:eastAsia="zh-CN"/>
                    </w:rPr>
                    <w:t>。</w:t>
                  </w:r>
                </w:p>
              </w:tc>
              <w:tc>
                <w:tcPr>
                  <w:tcW w:w="683" w:type="dxa"/>
                  <w:noWrap w:val="0"/>
                  <w:vAlign w:val="center"/>
                </w:tcPr>
                <w:p w14:paraId="2561F80F">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7002C5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17" w:type="dxa"/>
                  <w:vMerge w:val="continue"/>
                  <w:noWrap w:val="0"/>
                  <w:vAlign w:val="center"/>
                </w:tcPr>
                <w:p w14:paraId="6A717151">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3475" w:type="dxa"/>
                  <w:noWrap w:val="0"/>
                  <w:vAlign w:val="center"/>
                </w:tcPr>
                <w:p w14:paraId="1B4487D5">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eastAsia="zh-CN"/>
                    </w:rPr>
                    <w:t>新（改、扩）建粘土砂型铸造项目应采用自动化造型；新（改、扩）建熔模精密铸造项目不应采用水玻璃熔模精密铸造工艺</w:t>
                  </w:r>
                </w:p>
              </w:tc>
              <w:tc>
                <w:tcPr>
                  <w:tcW w:w="2884" w:type="dxa"/>
                  <w:noWrap w:val="0"/>
                  <w:vAlign w:val="center"/>
                </w:tcPr>
                <w:p w14:paraId="42080FAF">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本项目不涉及</w:t>
                  </w:r>
                  <w:r>
                    <w:rPr>
                      <w:rFonts w:hint="eastAsia" w:ascii="Times New Roman" w:hAnsi="Times New Roman" w:cs="Times New Roman"/>
                      <w:color w:val="auto"/>
                      <w:sz w:val="21"/>
                      <w:szCs w:val="21"/>
                      <w:highlight w:val="none"/>
                      <w:lang w:val="en-US" w:eastAsia="zh-CN"/>
                    </w:rPr>
                    <w:t>。</w:t>
                  </w:r>
                </w:p>
              </w:tc>
              <w:tc>
                <w:tcPr>
                  <w:tcW w:w="683" w:type="dxa"/>
                  <w:noWrap w:val="0"/>
                  <w:vAlign w:val="center"/>
                </w:tcPr>
                <w:p w14:paraId="1CD8BA68">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0B8F82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17" w:type="dxa"/>
                  <w:vMerge w:val="restart"/>
                  <w:noWrap w:val="0"/>
                  <w:vAlign w:val="center"/>
                </w:tcPr>
                <w:p w14:paraId="39F01EE1">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生产设备</w:t>
                  </w:r>
                </w:p>
              </w:tc>
              <w:tc>
                <w:tcPr>
                  <w:tcW w:w="3475" w:type="dxa"/>
                  <w:noWrap w:val="0"/>
                  <w:vAlign w:val="center"/>
                </w:tcPr>
                <w:p w14:paraId="5F6AE6D1">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eastAsia="zh-CN"/>
                    </w:rPr>
                    <w:t>（1）企业不应使用国家明令淘汰的生产装备，如：无芯工频感应电炉、0.25t及以上无磁轭的铝壳感应炉等。</w:t>
                  </w:r>
                </w:p>
                <w:p w14:paraId="725DF95A">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（2）采用冲天炉</w:t>
                  </w:r>
                  <w:r>
                    <w:rPr>
                      <w:rFonts w:hint="eastAsia" w:ascii="Times New Roman" w:hAnsi="Times New Roman" w:cs="Times New Roman"/>
                      <w:color w:val="auto"/>
                      <w:sz w:val="21"/>
                      <w:szCs w:val="21"/>
                      <w:highlight w:val="none"/>
                      <w:lang w:eastAsia="zh-CN"/>
                    </w:rPr>
                    <w:t>熔化</w:t>
                  </w:r>
                  <w:r>
                    <w:rPr>
                      <w:rFonts w:hint="default" w:ascii="Times New Roman" w:hAnsi="Times New Roman" w:eastAsia="宋体" w:cs="Times New Roman"/>
                      <w:color w:val="auto"/>
                      <w:sz w:val="21"/>
                      <w:szCs w:val="21"/>
                      <w:highlight w:val="none"/>
                      <w:lang w:eastAsia="zh-CN"/>
                    </w:rPr>
                    <w:t>，其设备熔化率宜大于10吨/小时</w:t>
                  </w:r>
                </w:p>
              </w:tc>
              <w:tc>
                <w:tcPr>
                  <w:tcW w:w="2884" w:type="dxa"/>
                  <w:noWrap w:val="0"/>
                  <w:vAlign w:val="center"/>
                </w:tcPr>
                <w:p w14:paraId="7D817E8B">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w:t>
                  </w:r>
                  <w:r>
                    <w:rPr>
                      <w:rFonts w:hint="default" w:ascii="Times New Roman" w:hAnsi="Times New Roman" w:eastAsia="宋体" w:cs="Times New Roman"/>
                      <w:color w:val="auto"/>
                      <w:sz w:val="21"/>
                      <w:szCs w:val="21"/>
                      <w:highlight w:val="none"/>
                      <w:lang w:eastAsia="zh-CN"/>
                    </w:rPr>
                    <w:t>使用</w:t>
                  </w:r>
                  <w:r>
                    <w:rPr>
                      <w:rFonts w:hint="default" w:ascii="Times New Roman" w:hAnsi="Times New Roman" w:eastAsia="宋体" w:cs="Times New Roman"/>
                      <w:color w:val="auto"/>
                      <w:sz w:val="21"/>
                      <w:szCs w:val="21"/>
                      <w:highlight w:val="none"/>
                      <w:lang w:val="en-US" w:eastAsia="zh-CN"/>
                    </w:rPr>
                    <w:t>中频炉，</w:t>
                  </w:r>
                  <w:r>
                    <w:rPr>
                      <w:rFonts w:hint="default" w:ascii="Times New Roman" w:hAnsi="Times New Roman" w:cs="Times New Roman"/>
                      <w:color w:val="auto"/>
                      <w:sz w:val="21"/>
                      <w:szCs w:val="21"/>
                      <w:highlight w:val="none"/>
                      <w:lang w:val="en-US" w:eastAsia="zh-CN"/>
                    </w:rPr>
                    <w:t>生产设备不涉及</w:t>
                  </w:r>
                  <w:r>
                    <w:rPr>
                      <w:rFonts w:hint="default" w:ascii="Times New Roman" w:hAnsi="Times New Roman" w:eastAsia="宋体" w:cs="Times New Roman"/>
                      <w:color w:val="auto"/>
                      <w:sz w:val="21"/>
                      <w:szCs w:val="21"/>
                      <w:highlight w:val="none"/>
                      <w:lang w:eastAsia="zh-CN"/>
                    </w:rPr>
                    <w:t>国家明令淘汰的生产装备；本项目不使用冲天炉</w:t>
                  </w:r>
                </w:p>
              </w:tc>
              <w:tc>
                <w:tcPr>
                  <w:tcW w:w="683" w:type="dxa"/>
                  <w:noWrap w:val="0"/>
                  <w:vAlign w:val="center"/>
                </w:tcPr>
                <w:p w14:paraId="5BF80986">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758368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17" w:type="dxa"/>
                  <w:vMerge w:val="continue"/>
                  <w:noWrap w:val="0"/>
                  <w:vAlign w:val="center"/>
                </w:tcPr>
                <w:p w14:paraId="645547D2">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3475" w:type="dxa"/>
                  <w:noWrap w:val="0"/>
                  <w:vAlign w:val="center"/>
                </w:tcPr>
                <w:p w14:paraId="63C56225">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eastAsia="zh-CN"/>
                    </w:rPr>
                    <w:t>熔炼（化）及炉前检测设备：（1）企业应配备与生产能力相匹配的熔炼（化）设备，如冲天炉、电弧炉、精炼炉（AOD、VOD、LF等）、电阻炉、燃气炉、熔化炉等。（2）企业熔炼（化）炉前应配置必要的化学成分分析、金属液温度测量等检测仪器</w:t>
                  </w:r>
                </w:p>
              </w:tc>
              <w:tc>
                <w:tcPr>
                  <w:tcW w:w="2884" w:type="dxa"/>
                  <w:noWrap w:val="0"/>
                  <w:vAlign w:val="center"/>
                </w:tcPr>
                <w:p w14:paraId="12B0D284">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企业已配备与生产能力相匹配的熔炼（化）设备，满足生产需求；熔炼炉前配套有</w:t>
                  </w:r>
                  <w:r>
                    <w:rPr>
                      <w:rFonts w:hint="eastAsia" w:ascii="Times New Roman" w:hAnsi="Times New Roman" w:cs="Times New Roman"/>
                      <w:color w:val="auto"/>
                      <w:sz w:val="21"/>
                      <w:szCs w:val="21"/>
                      <w:highlight w:val="none"/>
                      <w:lang w:val="en-US" w:eastAsia="zh-CN"/>
                    </w:rPr>
                    <w:t>直读</w:t>
                  </w:r>
                  <w:r>
                    <w:rPr>
                      <w:rFonts w:hint="default" w:ascii="Times New Roman" w:hAnsi="Times New Roman" w:cs="Times New Roman"/>
                      <w:color w:val="auto"/>
                      <w:sz w:val="21"/>
                      <w:szCs w:val="21"/>
                      <w:highlight w:val="none"/>
                      <w:lang w:val="en-US" w:eastAsia="zh-CN"/>
                    </w:rPr>
                    <w:t>光谱仪等检测仪器</w:t>
                  </w:r>
                  <w:r>
                    <w:rPr>
                      <w:rFonts w:hint="eastAsia" w:ascii="Times New Roman" w:hAnsi="Times New Roman" w:cs="Times New Roman"/>
                      <w:color w:val="auto"/>
                      <w:sz w:val="21"/>
                      <w:szCs w:val="21"/>
                      <w:highlight w:val="none"/>
                      <w:lang w:val="en-US" w:eastAsia="zh-CN"/>
                    </w:rPr>
                    <w:t>。</w:t>
                  </w:r>
                </w:p>
              </w:tc>
              <w:tc>
                <w:tcPr>
                  <w:tcW w:w="683" w:type="dxa"/>
                  <w:noWrap w:val="0"/>
                  <w:vAlign w:val="center"/>
                </w:tcPr>
                <w:p w14:paraId="72918D42">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3E5EEB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17" w:type="dxa"/>
                  <w:vMerge w:val="continue"/>
                  <w:noWrap w:val="0"/>
                  <w:vAlign w:val="center"/>
                </w:tcPr>
                <w:p w14:paraId="3A28DE7B">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3475" w:type="dxa"/>
                  <w:noWrap w:val="0"/>
                  <w:vAlign w:val="center"/>
                </w:tcPr>
                <w:p w14:paraId="316D64DE">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eastAsia="zh-CN"/>
                    </w:rPr>
                    <w:t>企业应配备与</w:t>
                  </w:r>
                  <w:r>
                    <w:rPr>
                      <w:rFonts w:hint="eastAsia" w:ascii="Times New Roman" w:hAnsi="Times New Roman" w:cs="Times New Roman"/>
                      <w:color w:val="auto"/>
                      <w:sz w:val="21"/>
                      <w:szCs w:val="21"/>
                      <w:highlight w:val="none"/>
                      <w:lang w:eastAsia="zh-CN"/>
                    </w:rPr>
                    <w:t>产品</w:t>
                  </w:r>
                  <w:r>
                    <w:rPr>
                      <w:rFonts w:hint="default" w:ascii="Times New Roman" w:hAnsi="Times New Roman" w:eastAsia="宋体" w:cs="Times New Roman"/>
                      <w:color w:val="auto"/>
                      <w:sz w:val="21"/>
                      <w:szCs w:val="21"/>
                      <w:highlight w:val="none"/>
                      <w:lang w:eastAsia="zh-CN"/>
                    </w:rPr>
                    <w:t>生产能力相匹配的造型、制芯及其他成型设备（线），如粘土砂造型机（线）、树脂砂混砂机、壳型（芯）机、铁模覆砂生产线、水玻璃砂生产线、消失模/V法/实型铸造设备、离心铸造设备、压铸设备、低压铸造设备、重力铸造设备、挤压铸造设备、差压铸造设备、熔模铸造设备（线）、制芯设备、快速成型设备等</w:t>
                  </w:r>
                  <w:r>
                    <w:rPr>
                      <w:rFonts w:hint="eastAsia" w:ascii="Times New Roman" w:hAnsi="Times New Roman" w:cs="Times New Roman"/>
                      <w:color w:val="auto"/>
                      <w:sz w:val="21"/>
                      <w:szCs w:val="21"/>
                      <w:highlight w:val="none"/>
                      <w:lang w:eastAsia="zh-CN"/>
                    </w:rPr>
                    <w:t>。</w:t>
                  </w:r>
                </w:p>
              </w:tc>
              <w:tc>
                <w:tcPr>
                  <w:tcW w:w="2884" w:type="dxa"/>
                  <w:noWrap w:val="0"/>
                  <w:vAlign w:val="center"/>
                </w:tcPr>
                <w:p w14:paraId="6242595C">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本项目已配备</w:t>
                  </w:r>
                  <w:r>
                    <w:rPr>
                      <w:rFonts w:hint="eastAsia" w:ascii="Times New Roman" w:hAnsi="Times New Roman" w:cs="Times New Roman"/>
                      <w:color w:val="auto"/>
                      <w:sz w:val="21"/>
                      <w:szCs w:val="21"/>
                      <w:highlight w:val="none"/>
                      <w:lang w:val="en-US" w:eastAsia="zh-CN"/>
                    </w:rPr>
                    <w:t>与产品和</w:t>
                  </w:r>
                  <w:r>
                    <w:rPr>
                      <w:rFonts w:hint="default" w:ascii="Times New Roman" w:hAnsi="Times New Roman" w:cs="Times New Roman"/>
                      <w:color w:val="auto"/>
                      <w:sz w:val="21"/>
                      <w:szCs w:val="21"/>
                      <w:highlight w:val="none"/>
                      <w:lang w:val="en-US" w:eastAsia="zh-CN"/>
                    </w:rPr>
                    <w:t>生产能力相匹配的造型</w:t>
                  </w:r>
                  <w:r>
                    <w:rPr>
                      <w:rFonts w:hint="eastAsia" w:ascii="Times New Roman" w:hAnsi="Times New Roman" w:cs="Times New Roman"/>
                      <w:color w:val="auto"/>
                      <w:sz w:val="21"/>
                      <w:szCs w:val="21"/>
                      <w:highlight w:val="none"/>
                      <w:lang w:val="en-US" w:eastAsia="zh-CN"/>
                    </w:rPr>
                    <w:t>及其他</w:t>
                  </w:r>
                  <w:r>
                    <w:rPr>
                      <w:rFonts w:hint="default" w:ascii="Times New Roman" w:hAnsi="Times New Roman" w:cs="Times New Roman"/>
                      <w:color w:val="auto"/>
                      <w:sz w:val="21"/>
                      <w:szCs w:val="21"/>
                      <w:highlight w:val="none"/>
                      <w:lang w:val="en-US" w:eastAsia="zh-CN"/>
                    </w:rPr>
                    <w:t>成型设备（线）</w:t>
                  </w:r>
                  <w:r>
                    <w:rPr>
                      <w:rFonts w:hint="eastAsia" w:ascii="Times New Roman" w:hAnsi="Times New Roman" w:cs="Times New Roman"/>
                      <w:color w:val="auto"/>
                      <w:sz w:val="21"/>
                      <w:szCs w:val="21"/>
                      <w:highlight w:val="none"/>
                      <w:lang w:val="en-US" w:eastAsia="zh-CN"/>
                    </w:rPr>
                    <w:t>。</w:t>
                  </w:r>
                </w:p>
              </w:tc>
              <w:tc>
                <w:tcPr>
                  <w:tcW w:w="683" w:type="dxa"/>
                  <w:noWrap w:val="0"/>
                  <w:vAlign w:val="center"/>
                </w:tcPr>
                <w:p w14:paraId="502F3876">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01F1D0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17" w:type="dxa"/>
                  <w:vMerge w:val="continue"/>
                  <w:noWrap w:val="0"/>
                  <w:vAlign w:val="center"/>
                </w:tcPr>
                <w:p w14:paraId="44473A46">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3475" w:type="dxa"/>
                  <w:noWrap w:val="0"/>
                  <w:vAlign w:val="center"/>
                </w:tcPr>
                <w:p w14:paraId="5A0CDAE4">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eastAsia="zh-CN"/>
                    </w:rPr>
                    <w:t>砂处理及砂再生设备。采用粘土砂、树脂自硬砂、酯硬化水玻璃砂铸造工艺的企业应配备完善的砂处理及砂再生设备，各种旧砂的回用率应达到表2的要求。</w:t>
                  </w:r>
                </w:p>
              </w:tc>
              <w:tc>
                <w:tcPr>
                  <w:tcW w:w="2884" w:type="dxa"/>
                  <w:noWrap w:val="0"/>
                  <w:vAlign w:val="center"/>
                </w:tcPr>
                <w:p w14:paraId="32AD5F90">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本项目不</w:t>
                  </w:r>
                  <w:r>
                    <w:rPr>
                      <w:rFonts w:hint="default" w:ascii="Times New Roman" w:hAnsi="Times New Roman" w:eastAsia="宋体" w:cs="Times New Roman"/>
                      <w:color w:val="auto"/>
                      <w:sz w:val="21"/>
                      <w:szCs w:val="21"/>
                      <w:highlight w:val="none"/>
                      <w:lang w:eastAsia="zh-CN"/>
                    </w:rPr>
                    <w:t>采用粘土砂、树脂自硬砂、酯硬化水玻璃砂铸造工艺</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本项目配备了砂处理设备，旧砂回用率满足表2要求。</w:t>
                  </w:r>
                </w:p>
              </w:tc>
              <w:tc>
                <w:tcPr>
                  <w:tcW w:w="683" w:type="dxa"/>
                  <w:noWrap w:val="0"/>
                  <w:vAlign w:val="center"/>
                </w:tcPr>
                <w:p w14:paraId="1504CA1B">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bl>
          <w:p w14:paraId="153BBF65">
            <w:pPr>
              <w:keepNext w:val="0"/>
              <w:keepLines w:val="0"/>
              <w:suppressLineNumbers w:val="0"/>
              <w:spacing w:before="0" w:beforeAutospacing="0" w:after="0" w:afterAutospacing="0" w:line="360" w:lineRule="auto"/>
              <w:ind w:left="0" w:right="0" w:firstLine="422" w:firstLineChars="200"/>
              <w:jc w:val="both"/>
              <w:rPr>
                <w:rFonts w:hint="default" w:ascii="Times New Roman" w:hAnsi="Times New Roman" w:cs="Times New Roman"/>
                <w:b/>
                <w:color w:val="auto"/>
                <w:highlight w:val="none"/>
              </w:rPr>
            </w:pPr>
            <w:r>
              <w:rPr>
                <w:rFonts w:hint="eastAsia" w:ascii="Times New Roman" w:hAnsi="Times New Roman" w:cs="Times New Roman"/>
                <w:b/>
                <w:bCs/>
                <w:color w:val="auto"/>
                <w:highlight w:val="none"/>
                <w:lang w:val="en-US" w:eastAsia="zh-CN"/>
              </w:rPr>
              <w:t>4.</w:t>
            </w:r>
            <w:r>
              <w:rPr>
                <w:rFonts w:hint="default" w:ascii="Times New Roman" w:hAnsi="Times New Roman" w:cs="Times New Roman"/>
                <w:b/>
                <w:bCs/>
                <w:color w:val="auto"/>
                <w:highlight w:val="none"/>
              </w:rPr>
              <w:t>与</w:t>
            </w:r>
            <w:r>
              <w:rPr>
                <w:rFonts w:hint="default" w:ascii="Times New Roman" w:hAnsi="Times New Roman" w:eastAsia="宋体" w:cs="Times New Roman"/>
                <w:b/>
                <w:bCs/>
                <w:color w:val="auto"/>
                <w:highlight w:val="none"/>
                <w:lang w:val="en-US" w:eastAsia="zh-CN"/>
              </w:rPr>
              <w:t>《关于推动铸造和锻压行业高质量发展的指导意见》（工信部联通装〔2023〕40号）相符性</w:t>
            </w:r>
            <w:r>
              <w:rPr>
                <w:rFonts w:hint="default" w:ascii="Times New Roman" w:hAnsi="Times New Roman" w:cs="Times New Roman"/>
                <w:b/>
                <w:bCs/>
                <w:color w:val="auto"/>
                <w:highlight w:val="none"/>
              </w:rPr>
              <w:t>分析</w:t>
            </w:r>
          </w:p>
          <w:p w14:paraId="2F8F963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kern w:val="2"/>
                <w:sz w:val="21"/>
                <w:szCs w:val="21"/>
                <w:lang w:bidi="ar"/>
              </w:rPr>
            </w:pPr>
            <w:r>
              <w:rPr>
                <w:rFonts w:hint="default" w:ascii="Times New Roman" w:hAnsi="Times New Roman" w:eastAsia="宋体" w:cs="Times New Roman"/>
                <w:b/>
                <w:color w:val="auto"/>
                <w:kern w:val="2"/>
                <w:sz w:val="21"/>
                <w:szCs w:val="21"/>
                <w:lang w:bidi="ar"/>
              </w:rPr>
              <w:t>表1-</w:t>
            </w:r>
            <w:r>
              <w:rPr>
                <w:rFonts w:hint="default" w:ascii="Times New Roman" w:hAnsi="Times New Roman" w:eastAsia="宋体" w:cs="Times New Roman"/>
                <w:b/>
                <w:color w:val="auto"/>
                <w:kern w:val="2"/>
                <w:sz w:val="21"/>
                <w:szCs w:val="21"/>
                <w:lang w:val="en-US" w:eastAsia="zh-CN" w:bidi="ar"/>
              </w:rPr>
              <w:t>9</w:t>
            </w:r>
            <w:r>
              <w:rPr>
                <w:rFonts w:hint="default" w:ascii="Times New Roman" w:hAnsi="Times New Roman" w:eastAsia="宋体" w:cs="Times New Roman"/>
                <w:b/>
                <w:color w:val="auto"/>
                <w:kern w:val="2"/>
                <w:sz w:val="21"/>
                <w:szCs w:val="21"/>
                <w:lang w:bidi="ar"/>
              </w:rPr>
              <w:t xml:space="preserve"> </w:t>
            </w:r>
            <w:r>
              <w:rPr>
                <w:rFonts w:hint="default" w:ascii="Times New Roman" w:hAnsi="Times New Roman" w:eastAsia="宋体" w:cs="Times New Roman"/>
                <w:b/>
                <w:color w:val="auto"/>
                <w:kern w:val="2"/>
                <w:sz w:val="21"/>
                <w:szCs w:val="21"/>
                <w:lang w:eastAsia="zh-CN" w:bidi="ar"/>
              </w:rPr>
              <w:t>与</w:t>
            </w:r>
            <w:r>
              <w:rPr>
                <w:rFonts w:hint="default" w:ascii="Times New Roman" w:hAnsi="Times New Roman" w:eastAsia="宋体" w:cs="Times New Roman"/>
                <w:b/>
                <w:color w:val="auto"/>
                <w:kern w:val="2"/>
                <w:sz w:val="21"/>
                <w:szCs w:val="21"/>
                <w:lang w:val="en-US" w:eastAsia="zh-CN" w:bidi="ar"/>
              </w:rPr>
              <w:t>《关于推动铸造和锻压行业高质量发展的指导意见》相符性分析一览表</w:t>
            </w:r>
          </w:p>
          <w:tbl>
            <w:tblPr>
              <w:tblStyle w:val="384"/>
              <w:tblW w:w="494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67"/>
              <w:gridCol w:w="4571"/>
              <w:gridCol w:w="1642"/>
              <w:gridCol w:w="675"/>
            </w:tblGrid>
            <w:tr w14:paraId="44B54D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5" w:hRule="atLeast"/>
                <w:jc w:val="center"/>
              </w:trPr>
              <w:tc>
                <w:tcPr>
                  <w:tcW w:w="5267" w:type="dxa"/>
                  <w:gridSpan w:val="2"/>
                  <w:noWrap w:val="0"/>
                  <w:vAlign w:val="center"/>
                </w:tcPr>
                <w:p w14:paraId="7F814F5F">
                  <w:pPr>
                    <w:keepNext w:val="0"/>
                    <w:keepLines/>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b/>
                      <w:bCs/>
                      <w:color w:val="auto"/>
                      <w:sz w:val="21"/>
                      <w:szCs w:val="21"/>
                      <w:highlight w:val="none"/>
                      <w:lang w:val="en-US" w:eastAsia="zh-CN" w:bidi="ar-SA"/>
                    </w:rPr>
                  </w:pPr>
                  <w:r>
                    <w:rPr>
                      <w:rFonts w:hint="default" w:ascii="Times New Roman" w:hAnsi="Times New Roman" w:cs="Times New Roman"/>
                      <w:b/>
                      <w:bCs/>
                      <w:color w:val="auto"/>
                      <w:sz w:val="21"/>
                      <w:szCs w:val="21"/>
                      <w:highlight w:val="none"/>
                      <w:lang w:eastAsia="zh-CN"/>
                    </w:rPr>
                    <w:t>相关指导意见</w:t>
                  </w:r>
                </w:p>
              </w:tc>
              <w:tc>
                <w:tcPr>
                  <w:tcW w:w="1651" w:type="dxa"/>
                  <w:noWrap w:val="0"/>
                  <w:vAlign w:val="center"/>
                </w:tcPr>
                <w:p w14:paraId="7890EE26">
                  <w:pPr>
                    <w:keepNext w:val="0"/>
                    <w:keepLines/>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b/>
                      <w:bCs/>
                      <w:color w:val="auto"/>
                      <w:sz w:val="21"/>
                      <w:szCs w:val="21"/>
                      <w:highlight w:val="none"/>
                      <w:lang w:val="en-US" w:eastAsia="zh-CN" w:bidi="ar-SA"/>
                    </w:rPr>
                  </w:pPr>
                  <w:r>
                    <w:rPr>
                      <w:rFonts w:hint="default" w:ascii="Times New Roman" w:hAnsi="Times New Roman" w:cs="Times New Roman"/>
                      <w:b/>
                      <w:bCs/>
                      <w:color w:val="auto"/>
                      <w:sz w:val="21"/>
                      <w:szCs w:val="21"/>
                      <w:highlight w:val="none"/>
                      <w:lang w:eastAsia="zh-CN"/>
                    </w:rPr>
                    <w:t>符合性分析</w:t>
                  </w:r>
                </w:p>
              </w:tc>
              <w:tc>
                <w:tcPr>
                  <w:tcW w:w="678" w:type="dxa"/>
                  <w:noWrap w:val="0"/>
                  <w:vAlign w:val="center"/>
                </w:tcPr>
                <w:p w14:paraId="66A01798">
                  <w:pPr>
                    <w:keepNext w:val="0"/>
                    <w:keepLines/>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b/>
                      <w:bCs/>
                      <w:color w:val="auto"/>
                      <w:sz w:val="21"/>
                      <w:szCs w:val="21"/>
                      <w:highlight w:val="none"/>
                      <w:lang w:val="en-US" w:eastAsia="zh-CN" w:bidi="ar-SA"/>
                    </w:rPr>
                  </w:pPr>
                  <w:r>
                    <w:rPr>
                      <w:rFonts w:hint="default" w:ascii="Times New Roman" w:hAnsi="Times New Roman" w:cs="Times New Roman"/>
                      <w:b/>
                      <w:bCs/>
                      <w:color w:val="auto"/>
                      <w:sz w:val="21"/>
                      <w:szCs w:val="21"/>
                      <w:highlight w:val="none"/>
                    </w:rPr>
                    <w:t>相符性</w:t>
                  </w:r>
                </w:p>
              </w:tc>
            </w:tr>
            <w:tr w14:paraId="1B99DF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70" w:type="dxa"/>
                  <w:vMerge w:val="restart"/>
                  <w:tcBorders>
                    <w:top w:val="single" w:color="auto" w:sz="4" w:space="0"/>
                  </w:tcBorders>
                  <w:noWrap w:val="0"/>
                  <w:vAlign w:val="center"/>
                </w:tcPr>
                <w:p w14:paraId="107A69CF">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（一）</w:t>
                  </w:r>
                  <w:r>
                    <w:rPr>
                      <w:rFonts w:hint="eastAsia" w:ascii="Times New Roman" w:hAnsi="Times New Roman" w:cs="Times New Roman"/>
                      <w:color w:val="auto"/>
                      <w:sz w:val="21"/>
                      <w:szCs w:val="21"/>
                      <w:highlight w:val="none"/>
                      <w:lang w:val="en-US" w:eastAsia="zh-CN"/>
                    </w:rPr>
                    <w:t>提高</w:t>
                  </w:r>
                  <w:r>
                    <w:rPr>
                      <w:rFonts w:hint="default" w:ascii="Times New Roman" w:hAnsi="Times New Roman" w:cs="Times New Roman"/>
                      <w:color w:val="auto"/>
                      <w:sz w:val="21"/>
                      <w:szCs w:val="21"/>
                      <w:highlight w:val="none"/>
                      <w:lang w:val="en-US" w:eastAsia="zh-CN"/>
                    </w:rPr>
                    <w:t>行业创新能力</w:t>
                  </w:r>
                </w:p>
              </w:tc>
              <w:tc>
                <w:tcPr>
                  <w:tcW w:w="4597" w:type="dxa"/>
                  <w:tcBorders>
                    <w:top w:val="single" w:color="auto" w:sz="4" w:space="0"/>
                  </w:tcBorders>
                  <w:noWrap w:val="0"/>
                  <w:vAlign w:val="center"/>
                </w:tcPr>
                <w:p w14:paraId="746387AF">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发展先进铸造工艺与装备。重点发展高紧实度粘土砂自动化造型、高效自硬砂铸造、精密组芯造型、壳型铸造、离心铸造、金属型铸造、铁模覆砂、消失模/V法/实型铸造、轻合金高压/挤压/差压/低压/半固态/调压铸造、硅溶胶熔模铸造、短流程铸造、砂型3D打印等先进铸造工艺与装备</w:t>
                  </w:r>
                  <w:r>
                    <w:rPr>
                      <w:rFonts w:hint="eastAsia" w:ascii="Times New Roman" w:hAnsi="Times New Roman" w:cs="Times New Roman"/>
                      <w:color w:val="auto"/>
                      <w:sz w:val="21"/>
                      <w:szCs w:val="21"/>
                      <w:highlight w:val="none"/>
                      <w:lang w:val="en-US" w:eastAsia="zh-CN"/>
                    </w:rPr>
                    <w:t>。</w:t>
                  </w:r>
                </w:p>
              </w:tc>
              <w:tc>
                <w:tcPr>
                  <w:tcW w:w="1651" w:type="dxa"/>
                  <w:tcBorders>
                    <w:top w:val="single" w:color="auto" w:sz="4" w:space="0"/>
                  </w:tcBorders>
                  <w:noWrap w:val="0"/>
                  <w:vAlign w:val="center"/>
                </w:tcPr>
                <w:p w14:paraId="2E17C27C">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本项目铸造工艺为铁模覆砂铸造</w:t>
                  </w:r>
                  <w:r>
                    <w:rPr>
                      <w:rFonts w:hint="eastAsia" w:ascii="Times New Roman" w:hAnsi="Times New Roman" w:cs="Times New Roman"/>
                      <w:color w:val="auto"/>
                      <w:sz w:val="21"/>
                      <w:szCs w:val="21"/>
                      <w:highlight w:val="none"/>
                      <w:lang w:val="en-US" w:eastAsia="zh-CN"/>
                    </w:rPr>
                    <w:t>。</w:t>
                  </w:r>
                </w:p>
              </w:tc>
              <w:tc>
                <w:tcPr>
                  <w:tcW w:w="678" w:type="dxa"/>
                  <w:noWrap w:val="0"/>
                  <w:vAlign w:val="center"/>
                </w:tcPr>
                <w:p w14:paraId="224FDBC7">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71A830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70" w:type="dxa"/>
                  <w:vMerge w:val="continue"/>
                  <w:noWrap w:val="0"/>
                  <w:vAlign w:val="center"/>
                </w:tcPr>
                <w:p w14:paraId="32D90668">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4597" w:type="dxa"/>
                  <w:noWrap w:val="0"/>
                  <w:vAlign w:val="center"/>
                </w:tcPr>
                <w:p w14:paraId="4F999CC2">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发展先进锻压工艺与装备。重点发展精密结构件高速冲压、超高强板材深拉深、高强轻质合金板材冲击液压成形、复杂异型结构旋压、高速精密多工位锻造、冷热径向锻造、冲锻复合近净成形、短流程模锻及自由锻、精密锻造、粉末精密锻造、数字化钣金制作成形中心、数字化高效通用零件加工中心等先进锻压工艺与装备</w:t>
                  </w:r>
                  <w:r>
                    <w:rPr>
                      <w:rFonts w:hint="eastAsia" w:ascii="Times New Roman" w:hAnsi="Times New Roman" w:cs="Times New Roman"/>
                      <w:color w:val="auto"/>
                      <w:sz w:val="21"/>
                      <w:szCs w:val="21"/>
                      <w:highlight w:val="none"/>
                      <w:lang w:val="en-US" w:eastAsia="zh-CN"/>
                    </w:rPr>
                    <w:t>。</w:t>
                  </w:r>
                </w:p>
              </w:tc>
              <w:tc>
                <w:tcPr>
                  <w:tcW w:w="1651" w:type="dxa"/>
                  <w:noWrap w:val="0"/>
                  <w:vAlign w:val="center"/>
                </w:tcPr>
                <w:p w14:paraId="45AA7B87">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本项目不涉及锻压。</w:t>
                  </w:r>
                </w:p>
              </w:tc>
              <w:tc>
                <w:tcPr>
                  <w:tcW w:w="678" w:type="dxa"/>
                  <w:noWrap w:val="0"/>
                  <w:vAlign w:val="center"/>
                </w:tcPr>
                <w:p w14:paraId="5A17680A">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5E1643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70" w:type="dxa"/>
                  <w:vMerge w:val="restart"/>
                  <w:noWrap w:val="0"/>
                  <w:vAlign w:val="center"/>
                </w:tcPr>
                <w:p w14:paraId="3D30A06D">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（二）推进行业规范发展</w:t>
                  </w:r>
                </w:p>
              </w:tc>
              <w:tc>
                <w:tcPr>
                  <w:tcW w:w="4597" w:type="dxa"/>
                  <w:noWrap w:val="0"/>
                  <w:vAlign w:val="center"/>
                </w:tcPr>
                <w:p w14:paraId="6F8A65F5">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推进产业结构优化。严格执行节能、环保、质量、安全技术等相关法律法规标准和《产业结构调整指导目录》等政策，依法依规淘汰工艺装备落后、污染物排放不达标、生产安全无保障的落后产能。鼓励大气污染防治重点区域加大淘汰落后力度。铸造企业不得采用无芯工频感应电炉、无磁轭（≥0.25吨）铝壳中频感应电炉、水玻璃熔模精密铸造氯化铵硬化模壳、铝合金六氯乙烷精炼等淘汰类工艺和装备。加快存量项目升级改造，推进企业合理选择低污染、低能耗、经济高效的先进工艺技术，提升行业竞争能力。强化铸造和锻压与装备制造业协同布局，引导具备条件的企业入园集聚发展，提升产业链供应链协同配套能力，构建布局合理、错位互补、供需联动、协同发展的产业格局</w:t>
                  </w:r>
                  <w:r>
                    <w:rPr>
                      <w:rFonts w:hint="eastAsia" w:ascii="Times New Roman" w:hAnsi="Times New Roman" w:cs="Times New Roman"/>
                      <w:color w:val="auto"/>
                      <w:sz w:val="21"/>
                      <w:szCs w:val="21"/>
                      <w:highlight w:val="none"/>
                      <w:lang w:val="en-US" w:eastAsia="zh-CN"/>
                    </w:rPr>
                    <w:t>。</w:t>
                  </w:r>
                </w:p>
              </w:tc>
              <w:tc>
                <w:tcPr>
                  <w:tcW w:w="1651" w:type="dxa"/>
                  <w:noWrap w:val="0"/>
                  <w:vAlign w:val="center"/>
                </w:tcPr>
                <w:p w14:paraId="1EC13F1D">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本项目不属于《产业结构调整指导目录（2024年本）》中限制类和淘汰类，亦不</w:t>
                  </w:r>
                  <w:r>
                    <w:rPr>
                      <w:rFonts w:hint="eastAsia" w:ascii="Times New Roman" w:hAnsi="Times New Roman" w:cs="Times New Roman"/>
                      <w:color w:val="auto"/>
                      <w:sz w:val="21"/>
                      <w:szCs w:val="21"/>
                      <w:highlight w:val="none"/>
                      <w:lang w:val="en-US" w:eastAsia="zh-CN" w:bidi="ar-SA"/>
                    </w:rPr>
                    <w:t>属于其他</w:t>
                  </w:r>
                  <w:r>
                    <w:rPr>
                      <w:rFonts w:hint="default" w:ascii="Times New Roman" w:hAnsi="Times New Roman" w:cs="Times New Roman"/>
                      <w:color w:val="auto"/>
                      <w:sz w:val="21"/>
                      <w:szCs w:val="21"/>
                      <w:highlight w:val="none"/>
                      <w:lang w:val="en-US" w:eastAsia="zh-CN" w:bidi="ar-SA"/>
                    </w:rPr>
                    <w:t>相关法律法规要求淘汰和限制的产业。本项目使用带磁轭有芯中频感应电炉。</w:t>
                  </w:r>
                </w:p>
              </w:tc>
              <w:tc>
                <w:tcPr>
                  <w:tcW w:w="678" w:type="dxa"/>
                  <w:noWrap w:val="0"/>
                  <w:vAlign w:val="center"/>
                </w:tcPr>
                <w:p w14:paraId="2AC6767F">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154A69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70" w:type="dxa"/>
                  <w:vMerge w:val="continue"/>
                  <w:noWrap w:val="0"/>
                  <w:vAlign w:val="center"/>
                </w:tcPr>
                <w:p w14:paraId="56AEB025">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4597" w:type="dxa"/>
                  <w:noWrap w:val="0"/>
                  <w:vAlign w:val="center"/>
                </w:tcPr>
                <w:p w14:paraId="0BC0EB86">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支持高端项目建设。推动落实全国统一大市场建设，打通制约行业发展的关键堵点。引导各地结合实际谋划新建或改造升级的高端建设项目落地实施，支持企业围绕主机厂或重大项目配套生产，保障装备制造业产业链供应链安全稳定。严格审批新建、改扩建项目，确保项目备案、环评、排污许可、安评、节能审查等手续清晰、完备，项目建设符合国家相关法律法</w:t>
                  </w:r>
                  <w:r>
                    <w:rPr>
                      <w:rFonts w:hint="eastAsia" w:ascii="Times New Roman" w:hAnsi="Times New Roman" w:cs="Times New Roman"/>
                      <w:color w:val="auto"/>
                      <w:sz w:val="21"/>
                      <w:szCs w:val="21"/>
                      <w:highlight w:val="none"/>
                      <w:lang w:val="en-US" w:eastAsia="zh-CN"/>
                    </w:rPr>
                    <w:t>规和</w:t>
                  </w:r>
                  <w:r>
                    <w:rPr>
                      <w:rFonts w:hint="default" w:ascii="Times New Roman" w:hAnsi="Times New Roman" w:eastAsia="宋体" w:cs="Times New Roman"/>
                      <w:color w:val="auto"/>
                      <w:sz w:val="21"/>
                      <w:szCs w:val="21"/>
                      <w:highlight w:val="none"/>
                      <w:lang w:val="en-US" w:eastAsia="zh-CN"/>
                    </w:rPr>
                    <w:t>标准要求。严格落实主要污染物排放总量控制、能源消耗总量和强度调控制度，坚决遏制不符合要求的项目盲目发展和低水平重复建设，防止产能盲目扩张，切实推进产业结构优化升级</w:t>
                  </w:r>
                  <w:r>
                    <w:rPr>
                      <w:rFonts w:hint="eastAsia" w:ascii="Times New Roman" w:hAnsi="Times New Roman" w:cs="Times New Roman"/>
                      <w:color w:val="auto"/>
                      <w:sz w:val="21"/>
                      <w:szCs w:val="21"/>
                      <w:highlight w:val="none"/>
                      <w:lang w:val="en-US" w:eastAsia="zh-CN"/>
                    </w:rPr>
                    <w:t>。</w:t>
                  </w:r>
                </w:p>
              </w:tc>
              <w:tc>
                <w:tcPr>
                  <w:tcW w:w="1651" w:type="dxa"/>
                  <w:noWrap w:val="0"/>
                  <w:vAlign w:val="center"/>
                </w:tcPr>
                <w:p w14:paraId="77B366CA">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企业后续按相关要求进行环保“三同时”验收和排污许可证的申领</w:t>
                  </w:r>
                </w:p>
              </w:tc>
              <w:tc>
                <w:tcPr>
                  <w:tcW w:w="678" w:type="dxa"/>
                  <w:noWrap w:val="0"/>
                  <w:vAlign w:val="center"/>
                </w:tcPr>
                <w:p w14:paraId="78DB645E">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6F2FAD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70" w:type="dxa"/>
                  <w:vMerge w:val="continue"/>
                  <w:noWrap w:val="0"/>
                  <w:vAlign w:val="center"/>
                </w:tcPr>
                <w:p w14:paraId="09E8238D">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4597" w:type="dxa"/>
                  <w:noWrap w:val="0"/>
                  <w:vAlign w:val="center"/>
                </w:tcPr>
                <w:p w14:paraId="5D43BE77">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规范行业监督管理。系统科学有序推进行业转型升级，避免政策执行“一刀切”和“层层加码”。充分发挥行业自治作用，加强行业自律建设。推动修订《铸造企业规范条件》（T/CFA 0310021），鼓励地方参照该条件引导铸造企业规范发展。严格区分锻压行业和钢铁行业生产工艺特征特点，避免锻压配套的炼钢判定为钢铁冶炼生产，也严禁以铸造和锻压名义违规新增钢铁产能、违规生产钢坯钢锭及上市销售</w:t>
                  </w:r>
                  <w:r>
                    <w:rPr>
                      <w:rFonts w:hint="eastAsia" w:ascii="Times New Roman" w:hAnsi="Times New Roman" w:cs="Times New Roman"/>
                      <w:color w:val="auto"/>
                      <w:sz w:val="21"/>
                      <w:szCs w:val="21"/>
                      <w:highlight w:val="none"/>
                      <w:lang w:val="en-US" w:eastAsia="zh-CN"/>
                    </w:rPr>
                    <w:t>。</w:t>
                  </w:r>
                </w:p>
              </w:tc>
              <w:tc>
                <w:tcPr>
                  <w:tcW w:w="1651" w:type="dxa"/>
                  <w:noWrap w:val="0"/>
                  <w:vAlign w:val="center"/>
                </w:tcPr>
                <w:p w14:paraId="5368DCB7">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本项目建设符合《铸造企业规范条件》（T/CFA 0310021-2023）</w:t>
                  </w:r>
                  <w:r>
                    <w:rPr>
                      <w:rFonts w:hint="eastAsia" w:ascii="Times New Roman" w:hAnsi="Times New Roman" w:cs="Times New Roman"/>
                      <w:color w:val="auto"/>
                      <w:sz w:val="21"/>
                      <w:szCs w:val="21"/>
                      <w:highlight w:val="none"/>
                      <w:lang w:val="en-US" w:eastAsia="zh-CN" w:bidi="ar-SA"/>
                    </w:rPr>
                    <w:t>中生产工艺及生产装备要求</w:t>
                  </w:r>
                  <w:r>
                    <w:rPr>
                      <w:rFonts w:hint="default" w:ascii="Times New Roman" w:hAnsi="Times New Roman" w:cs="Times New Roman"/>
                      <w:color w:val="auto"/>
                      <w:sz w:val="21"/>
                      <w:szCs w:val="21"/>
                      <w:highlight w:val="none"/>
                      <w:lang w:val="en-US" w:eastAsia="zh-CN" w:bidi="ar-SA"/>
                    </w:rPr>
                    <w:t>，本项目不属于钢铁冶炼生产项目</w:t>
                  </w:r>
                  <w:r>
                    <w:rPr>
                      <w:rFonts w:hint="eastAsia" w:ascii="Times New Roman" w:hAnsi="Times New Roman" w:cs="Times New Roman"/>
                      <w:color w:val="auto"/>
                      <w:sz w:val="21"/>
                      <w:szCs w:val="21"/>
                      <w:highlight w:val="none"/>
                      <w:lang w:val="en-US" w:eastAsia="zh-CN" w:bidi="ar-SA"/>
                    </w:rPr>
                    <w:t>。</w:t>
                  </w:r>
                </w:p>
              </w:tc>
              <w:tc>
                <w:tcPr>
                  <w:tcW w:w="678" w:type="dxa"/>
                  <w:noWrap w:val="0"/>
                  <w:vAlign w:val="center"/>
                </w:tcPr>
                <w:p w14:paraId="5C60F1B9">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42C069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70" w:type="dxa"/>
                  <w:vMerge w:val="restart"/>
                  <w:noWrap w:val="0"/>
                  <w:vAlign w:val="center"/>
                </w:tcPr>
                <w:p w14:paraId="6FB0EB02">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（三）加快行业绿色发展</w:t>
                  </w:r>
                </w:p>
              </w:tc>
              <w:tc>
                <w:tcPr>
                  <w:tcW w:w="4597" w:type="dxa"/>
                  <w:noWrap w:val="0"/>
                  <w:vAlign w:val="center"/>
                </w:tcPr>
                <w:p w14:paraId="34AECA4B">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加快绿色低碳转型。推进绿色方式贯穿铸造和锻压生产全流程，开发绿色原辅材料、推广绿色工艺、建设绿色工厂、发展绿色园区，深入推进园区循环化改造。推动企业依法披露环境信息，接受社会监督。积极开展清洁生产，做好节能监察执法、节能诊断服务工作，深入挖掘节能潜力。鼓励企业采用高效节能熔炼、热处理等设备，提高余热利用水平。推广短流程铸造，鼓励铸造行业冲天炉（10吨/小时及以下）改为电炉。推进铸造废砂再生处理技术应用、废旧金属循环再生与利用。推广整体化大型化短流程低成本锻压技术，推广环保润滑介质应用，加大非调质钢使用比例等</w:t>
                  </w:r>
                  <w:r>
                    <w:rPr>
                      <w:rFonts w:hint="eastAsia" w:ascii="Times New Roman" w:hAnsi="Times New Roman" w:cs="Times New Roman"/>
                      <w:color w:val="auto"/>
                      <w:sz w:val="21"/>
                      <w:szCs w:val="21"/>
                      <w:highlight w:val="none"/>
                      <w:lang w:val="en-US" w:eastAsia="zh-CN"/>
                    </w:rPr>
                    <w:t>。</w:t>
                  </w:r>
                </w:p>
              </w:tc>
              <w:tc>
                <w:tcPr>
                  <w:tcW w:w="1651" w:type="dxa"/>
                  <w:noWrap w:val="0"/>
                  <w:vAlign w:val="center"/>
                </w:tcPr>
                <w:p w14:paraId="38F7DEAE">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本项目熔炉采用带磁轭有芯中频感应电炉，属于</w:t>
                  </w:r>
                  <w:r>
                    <w:rPr>
                      <w:rFonts w:hint="default" w:ascii="Times New Roman" w:hAnsi="Times New Roman" w:eastAsia="宋体" w:cs="Times New Roman"/>
                      <w:color w:val="auto"/>
                      <w:sz w:val="21"/>
                      <w:szCs w:val="21"/>
                      <w:highlight w:val="none"/>
                      <w:lang w:eastAsia="zh-CN"/>
                    </w:rPr>
                    <w:t>高效节能熔炼设备</w:t>
                  </w:r>
                  <w:r>
                    <w:rPr>
                      <w:rFonts w:hint="eastAsia" w:ascii="Times New Roman" w:hAnsi="Times New Roman" w:cs="Times New Roman"/>
                      <w:color w:val="auto"/>
                      <w:sz w:val="21"/>
                      <w:szCs w:val="21"/>
                      <w:highlight w:val="none"/>
                      <w:lang w:eastAsia="zh-CN"/>
                    </w:rPr>
                    <w:t>。</w:t>
                  </w:r>
                </w:p>
              </w:tc>
              <w:tc>
                <w:tcPr>
                  <w:tcW w:w="678" w:type="dxa"/>
                  <w:noWrap w:val="0"/>
                  <w:vAlign w:val="center"/>
                </w:tcPr>
                <w:p w14:paraId="199AB5C4">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48E40A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70" w:type="dxa"/>
                  <w:vMerge w:val="continue"/>
                  <w:noWrap w:val="0"/>
                  <w:vAlign w:val="center"/>
                </w:tcPr>
                <w:p w14:paraId="272613A9">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4597" w:type="dxa"/>
                  <w:noWrap w:val="0"/>
                  <w:vAlign w:val="center"/>
                </w:tcPr>
                <w:p w14:paraId="190FAC5A">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提升环保治理水平。依法申领排污许可证，严格持证排污、按证排污并按排污许可证规定落实自行监测、台账记录、执行报告、信息公开等要求。综合考虑生产工艺、原辅材料使用、无组织排放控制、污染治理设施运行效果等，建设一批达到重污染天气应对绩效分级A级水平的环保标杆企业，带动行业环保水平提升。铸造企业严格执行《铸造工业大气污染物排放标准》（GB 39726）及地方排放标准，加强无组织排放控制，不能稳定达标排放的，限期完成设施升级改造，不具备改造条件及改造后仍不能达标的，依法依规进行淘汰。鼓励铸造用生铁企业参照钢铁行业超低排放改造要求开展有组织、无组织和清洁运输超低排放改造，支持行业协会公示进展情况</w:t>
                  </w:r>
                  <w:r>
                    <w:rPr>
                      <w:rFonts w:hint="eastAsia" w:ascii="Times New Roman" w:hAnsi="Times New Roman" w:cs="Times New Roman"/>
                      <w:color w:val="auto"/>
                      <w:sz w:val="21"/>
                      <w:szCs w:val="21"/>
                      <w:highlight w:val="none"/>
                      <w:lang w:val="en-US" w:eastAsia="zh-CN"/>
                    </w:rPr>
                    <w:t>。</w:t>
                  </w:r>
                </w:p>
              </w:tc>
              <w:tc>
                <w:tcPr>
                  <w:tcW w:w="1651" w:type="dxa"/>
                  <w:noWrap w:val="0"/>
                  <w:vAlign w:val="center"/>
                </w:tcPr>
                <w:p w14:paraId="6E1490E3">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本项目废气排放执行《铸造工业大气污染物排放标准》（GB39726-2020）。企业后期生产前依法申领排污许可证</w:t>
                  </w:r>
                  <w:r>
                    <w:rPr>
                      <w:rFonts w:hint="eastAsia" w:ascii="Times New Roman" w:hAnsi="Times New Roman" w:cs="Times New Roman"/>
                      <w:color w:val="auto"/>
                      <w:sz w:val="21"/>
                      <w:szCs w:val="21"/>
                      <w:highlight w:val="none"/>
                      <w:lang w:val="en-US" w:eastAsia="zh-CN" w:bidi="ar-SA"/>
                    </w:rPr>
                    <w:t>。</w:t>
                  </w:r>
                </w:p>
              </w:tc>
              <w:tc>
                <w:tcPr>
                  <w:tcW w:w="678" w:type="dxa"/>
                  <w:noWrap w:val="0"/>
                  <w:vAlign w:val="center"/>
                </w:tcPr>
                <w:p w14:paraId="5B0550C3">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bl>
          <w:p w14:paraId="6EFC03A3">
            <w:pPr>
              <w:keepNext w:val="0"/>
              <w:keepLines w:val="0"/>
              <w:suppressLineNumbers w:val="0"/>
              <w:spacing w:before="0" w:beforeAutospacing="0" w:after="0" w:afterAutospacing="0" w:line="360" w:lineRule="auto"/>
              <w:ind w:left="0" w:right="0" w:firstLine="422" w:firstLineChars="200"/>
              <w:jc w:val="both"/>
              <w:rPr>
                <w:rFonts w:hint="default" w:ascii="Times New Roman" w:hAnsi="Times New Roman" w:cs="Times New Roman"/>
                <w:b/>
                <w:color w:val="auto"/>
                <w:highlight w:val="none"/>
              </w:rPr>
            </w:pPr>
            <w:r>
              <w:rPr>
                <w:rFonts w:hint="eastAsia" w:ascii="Times New Roman" w:hAnsi="Times New Roman" w:cs="Times New Roman"/>
                <w:b/>
                <w:bCs/>
                <w:color w:val="auto"/>
                <w:highlight w:val="none"/>
                <w:lang w:val="en-US" w:eastAsia="zh-CN"/>
              </w:rPr>
              <w:t>5.</w:t>
            </w:r>
            <w:r>
              <w:rPr>
                <w:rFonts w:hint="default" w:ascii="Times New Roman" w:hAnsi="Times New Roman" w:cs="Times New Roman"/>
                <w:b/>
                <w:bCs/>
                <w:color w:val="auto"/>
                <w:highlight w:val="none"/>
              </w:rPr>
              <w:t>与</w:t>
            </w:r>
            <w:r>
              <w:rPr>
                <w:rFonts w:hint="default" w:ascii="Times New Roman" w:hAnsi="Times New Roman" w:eastAsia="宋体" w:cs="Times New Roman"/>
                <w:b/>
                <w:bCs/>
                <w:color w:val="auto"/>
                <w:highlight w:val="none"/>
                <w:lang w:val="en-US" w:eastAsia="zh-CN"/>
              </w:rPr>
              <w:t>《铸造工业大气污染防治可行技术指南》（HJ 1292—2023）相符性</w:t>
            </w:r>
            <w:r>
              <w:rPr>
                <w:rFonts w:hint="default" w:ascii="Times New Roman" w:hAnsi="Times New Roman" w:cs="Times New Roman"/>
                <w:b/>
                <w:bCs/>
                <w:color w:val="auto"/>
                <w:highlight w:val="none"/>
              </w:rPr>
              <w:t>分析</w:t>
            </w:r>
          </w:p>
          <w:p w14:paraId="584EBA5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highlight w:val="none"/>
              </w:rPr>
            </w:pPr>
            <w:r>
              <w:rPr>
                <w:rFonts w:hint="default" w:ascii="Times New Roman" w:hAnsi="Times New Roman" w:eastAsia="宋体" w:cs="Times New Roman"/>
                <w:b/>
                <w:color w:val="auto"/>
                <w:kern w:val="2"/>
                <w:sz w:val="21"/>
                <w:szCs w:val="21"/>
                <w:lang w:bidi="ar"/>
              </w:rPr>
              <w:t>表1-</w:t>
            </w:r>
            <w:r>
              <w:rPr>
                <w:rFonts w:hint="default" w:ascii="Times New Roman" w:hAnsi="Times New Roman" w:eastAsia="宋体" w:cs="Times New Roman"/>
                <w:b/>
                <w:color w:val="auto"/>
                <w:kern w:val="2"/>
                <w:sz w:val="21"/>
                <w:szCs w:val="21"/>
                <w:lang w:val="en-US" w:eastAsia="zh-CN" w:bidi="ar"/>
              </w:rPr>
              <w:t>10</w:t>
            </w:r>
            <w:r>
              <w:rPr>
                <w:rFonts w:hint="default" w:ascii="Times New Roman" w:hAnsi="Times New Roman" w:eastAsia="宋体" w:cs="Times New Roman"/>
                <w:b/>
                <w:color w:val="auto"/>
                <w:kern w:val="2"/>
                <w:sz w:val="21"/>
                <w:szCs w:val="21"/>
                <w:lang w:bidi="ar"/>
              </w:rPr>
              <w:t xml:space="preserve"> </w:t>
            </w:r>
            <w:r>
              <w:rPr>
                <w:rFonts w:hint="default" w:ascii="Times New Roman" w:hAnsi="Times New Roman" w:eastAsia="宋体" w:cs="Times New Roman"/>
                <w:b/>
                <w:color w:val="auto"/>
                <w:kern w:val="2"/>
                <w:sz w:val="21"/>
                <w:szCs w:val="21"/>
                <w:lang w:eastAsia="zh-CN" w:bidi="ar"/>
              </w:rPr>
              <w:t>与</w:t>
            </w:r>
            <w:r>
              <w:rPr>
                <w:rFonts w:hint="default" w:ascii="Times New Roman" w:hAnsi="Times New Roman" w:eastAsia="宋体" w:cs="Times New Roman"/>
                <w:b/>
                <w:color w:val="auto"/>
                <w:kern w:val="2"/>
                <w:sz w:val="21"/>
                <w:szCs w:val="21"/>
                <w:lang w:val="en-US" w:eastAsia="zh-CN" w:bidi="ar"/>
              </w:rPr>
              <w:t>《铸造工业大气污染防治可行技术指南》相符性分析一览表</w:t>
            </w:r>
          </w:p>
          <w:tbl>
            <w:tblPr>
              <w:tblStyle w:val="384"/>
              <w:tblW w:w="494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97"/>
              <w:gridCol w:w="4835"/>
              <w:gridCol w:w="1382"/>
              <w:gridCol w:w="328"/>
            </w:tblGrid>
            <w:tr w14:paraId="1FCA90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866" w:type="pct"/>
                  <w:gridSpan w:val="2"/>
                  <w:noWrap w:val="0"/>
                  <w:vAlign w:val="center"/>
                </w:tcPr>
                <w:p w14:paraId="68C1D1B1">
                  <w:pPr>
                    <w:keepNext w:val="0"/>
                    <w:keepLines/>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b/>
                      <w:bCs/>
                      <w:color w:val="auto"/>
                      <w:sz w:val="21"/>
                      <w:szCs w:val="21"/>
                      <w:highlight w:val="none"/>
                      <w:lang w:val="en-US" w:eastAsia="zh-CN" w:bidi="ar-SA"/>
                    </w:rPr>
                  </w:pPr>
                  <w:r>
                    <w:rPr>
                      <w:rFonts w:hint="default" w:ascii="Times New Roman" w:hAnsi="Times New Roman" w:cs="Times New Roman"/>
                      <w:b/>
                      <w:bCs/>
                      <w:color w:val="auto"/>
                      <w:sz w:val="21"/>
                      <w:szCs w:val="21"/>
                      <w:highlight w:val="none"/>
                      <w:lang w:eastAsia="zh-CN"/>
                    </w:rPr>
                    <w:t>指南要求</w:t>
                  </w:r>
                </w:p>
              </w:tc>
              <w:tc>
                <w:tcPr>
                  <w:tcW w:w="916" w:type="pct"/>
                  <w:noWrap w:val="0"/>
                  <w:vAlign w:val="center"/>
                </w:tcPr>
                <w:p w14:paraId="1FD792F6">
                  <w:pPr>
                    <w:keepNext w:val="0"/>
                    <w:keepLines/>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b/>
                      <w:bCs/>
                      <w:color w:val="auto"/>
                      <w:sz w:val="21"/>
                      <w:szCs w:val="21"/>
                      <w:highlight w:val="none"/>
                      <w:lang w:val="en-US" w:eastAsia="zh-CN" w:bidi="ar-SA"/>
                    </w:rPr>
                  </w:pPr>
                  <w:r>
                    <w:rPr>
                      <w:rFonts w:hint="default" w:ascii="Times New Roman" w:hAnsi="Times New Roman" w:cs="Times New Roman"/>
                      <w:b/>
                      <w:bCs/>
                      <w:color w:val="auto"/>
                      <w:sz w:val="21"/>
                      <w:szCs w:val="21"/>
                      <w:highlight w:val="none"/>
                      <w:lang w:eastAsia="zh-CN"/>
                    </w:rPr>
                    <w:t>符合性分析</w:t>
                  </w:r>
                </w:p>
              </w:tc>
              <w:tc>
                <w:tcPr>
                  <w:tcW w:w="217" w:type="pct"/>
                  <w:noWrap w:val="0"/>
                  <w:vAlign w:val="center"/>
                </w:tcPr>
                <w:p w14:paraId="3888D2CF">
                  <w:pPr>
                    <w:keepNext w:val="0"/>
                    <w:keepLines/>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b/>
                      <w:bCs/>
                      <w:color w:val="auto"/>
                      <w:sz w:val="21"/>
                      <w:szCs w:val="21"/>
                      <w:highlight w:val="none"/>
                      <w:lang w:val="en-US" w:eastAsia="zh-CN" w:bidi="ar-SA"/>
                    </w:rPr>
                  </w:pPr>
                  <w:r>
                    <w:rPr>
                      <w:rFonts w:hint="default" w:ascii="Times New Roman" w:hAnsi="Times New Roman" w:cs="Times New Roman"/>
                      <w:b/>
                      <w:bCs/>
                      <w:color w:val="auto"/>
                      <w:sz w:val="21"/>
                      <w:szCs w:val="21"/>
                      <w:highlight w:val="none"/>
                    </w:rPr>
                    <w:t>相符性</w:t>
                  </w:r>
                </w:p>
              </w:tc>
            </w:tr>
            <w:tr w14:paraId="331641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restart"/>
                  <w:noWrap w:val="0"/>
                  <w:vAlign w:val="center"/>
                </w:tcPr>
                <w:p w14:paraId="27C50E5F">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5.1原辅材料替代技术</w:t>
                  </w:r>
                </w:p>
              </w:tc>
              <w:tc>
                <w:tcPr>
                  <w:tcW w:w="3205" w:type="pct"/>
                  <w:noWrap w:val="0"/>
                  <w:vAlign w:val="center"/>
                </w:tcPr>
                <w:p w14:paraId="034C43FD">
                  <w:pPr>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5.1.1少/无煤粉粘土砂添加剂替代技术：该技术用碳质材料、有机纤维质材料或无机材料部分或全部代替煤粉，可减少粘土砂工艺生产过程中VOCs和SO</w:t>
                  </w:r>
                  <w:r>
                    <w:rPr>
                      <w:rFonts w:hint="default" w:ascii="Times New Roman" w:hAnsi="Times New Roman" w:cs="Times New Roman"/>
                      <w:color w:val="auto"/>
                      <w:sz w:val="21"/>
                      <w:szCs w:val="21"/>
                      <w:highlight w:val="none"/>
                      <w:vertAlign w:val="subscript"/>
                      <w:lang w:val="en-US" w:eastAsia="zh-CN" w:bidi="ar-SA"/>
                    </w:rPr>
                    <w:t>2</w:t>
                  </w:r>
                  <w:r>
                    <w:rPr>
                      <w:rFonts w:hint="default" w:ascii="Times New Roman" w:hAnsi="Times New Roman" w:cs="Times New Roman"/>
                      <w:color w:val="auto"/>
                      <w:sz w:val="21"/>
                      <w:szCs w:val="21"/>
                      <w:highlight w:val="none"/>
                      <w:lang w:val="en-US" w:eastAsia="zh-CN" w:bidi="ar-SA"/>
                    </w:rPr>
                    <w:t>的产生量20%以上，适用于粘土砂工艺的铸造企业。</w:t>
                  </w:r>
                </w:p>
              </w:tc>
              <w:tc>
                <w:tcPr>
                  <w:tcW w:w="916" w:type="pct"/>
                  <w:vMerge w:val="restart"/>
                  <w:noWrap w:val="0"/>
                  <w:vAlign w:val="center"/>
                </w:tcPr>
                <w:p w14:paraId="5453F39D">
                  <w:pPr>
                    <w:pStyle w:val="19"/>
                    <w:keepNext w:val="0"/>
                    <w:keepLines w:val="0"/>
                    <w:pageBreakBefore w:val="0"/>
                    <w:widowControl w:val="0"/>
                    <w:suppressLineNumbers w:val="0"/>
                    <w:spacing w:before="0" w:beforeAutospacing="0" w:after="0" w:afterAutospacing="0" w:line="240" w:lineRule="auto"/>
                    <w:ind w:left="0" w:right="0"/>
                    <w:jc w:val="both"/>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铁模覆砂（水玻璃砂）属无机粘结剂砂型铸造</w:t>
                  </w:r>
                  <w:r>
                    <w:rPr>
                      <w:rFonts w:hint="eastAsia" w:ascii="Times New Roman" w:hAnsi="Times New Roman" w:cs="Times New Roman"/>
                      <w:color w:val="auto"/>
                      <w:sz w:val="21"/>
                      <w:szCs w:val="21"/>
                      <w:highlight w:val="none"/>
                      <w:lang w:val="en-US" w:eastAsia="zh-CN" w:bidi="ar-SA"/>
                    </w:rPr>
                    <w:t>。</w:t>
                  </w:r>
                  <w:r>
                    <w:rPr>
                      <w:rFonts w:hint="default" w:ascii="Times New Roman" w:hAnsi="Times New Roman" w:cs="Times New Roman"/>
                      <w:color w:val="auto"/>
                      <w:sz w:val="21"/>
                      <w:szCs w:val="21"/>
                      <w:highlight w:val="none"/>
                      <w:lang w:val="en-US" w:eastAsia="zh-CN" w:bidi="ar-SA"/>
                    </w:rPr>
                    <w:t>采用水基涂料，杜绝 VOCs。</w:t>
                  </w:r>
                </w:p>
              </w:tc>
              <w:tc>
                <w:tcPr>
                  <w:tcW w:w="217" w:type="pct"/>
                  <w:vMerge w:val="restart"/>
                  <w:noWrap w:val="0"/>
                  <w:vAlign w:val="center"/>
                </w:tcPr>
                <w:p w14:paraId="5B8528A2">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1F2EA1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continue"/>
                  <w:noWrap w:val="0"/>
                  <w:vAlign w:val="center"/>
                </w:tcPr>
                <w:p w14:paraId="06152979">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3205" w:type="pct"/>
                  <w:noWrap w:val="0"/>
                  <w:vAlign w:val="center"/>
                </w:tcPr>
                <w:p w14:paraId="6A8471FB">
                  <w:pPr>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5.1.2 改性树脂粘结剂（含固化剂）替代技术：该技术采用无毒、低（无）挥发性物质为原材料复合制配改性树脂粘结剂，可降低树脂加入量，一般可减少VOCs产生量20%以上，同时协同减少恶臭的产生，适用于采用树脂作为型（芯）砂粘结剂的铸造企业。</w:t>
                  </w:r>
                </w:p>
              </w:tc>
              <w:tc>
                <w:tcPr>
                  <w:tcW w:w="916" w:type="pct"/>
                  <w:vMerge w:val="continue"/>
                  <w:noWrap w:val="0"/>
                  <w:vAlign w:val="center"/>
                </w:tcPr>
                <w:p w14:paraId="242C19A5">
                  <w:pPr>
                    <w:pStyle w:val="19"/>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bidi="ar-SA"/>
                    </w:rPr>
                  </w:pPr>
                </w:p>
              </w:tc>
              <w:tc>
                <w:tcPr>
                  <w:tcW w:w="217" w:type="pct"/>
                  <w:vMerge w:val="continue"/>
                  <w:noWrap w:val="0"/>
                  <w:vAlign w:val="center"/>
                </w:tcPr>
                <w:p w14:paraId="231DFF2F">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p>
              </w:tc>
            </w:tr>
            <w:tr w14:paraId="58B666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continue"/>
                  <w:noWrap w:val="0"/>
                  <w:vAlign w:val="center"/>
                </w:tcPr>
                <w:p w14:paraId="6C94711E">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3205" w:type="pct"/>
                  <w:noWrap w:val="0"/>
                  <w:vAlign w:val="center"/>
                </w:tcPr>
                <w:p w14:paraId="64AD2566">
                  <w:pPr>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 xml:space="preserve"> 5.1.3 陶瓷砂替代技术：该技术采用熔融或烧结技术制备符合铸造用砂要求的陶瓷砂替代硅砂。用于树脂砂工艺，一般可减少树脂用量的20%～30%以上；用于消失模工艺，一般可减少造型工序</w:t>
                  </w:r>
                  <w:r>
                    <w:rPr>
                      <w:rFonts w:hint="eastAsia" w:ascii="Times New Roman" w:hAnsi="Times New Roman" w:cs="Times New Roman"/>
                      <w:color w:val="auto"/>
                      <w:sz w:val="21"/>
                      <w:szCs w:val="21"/>
                      <w:highlight w:val="none"/>
                      <w:lang w:val="en-US" w:eastAsia="zh-CN" w:bidi="ar-SA"/>
                    </w:rPr>
                    <w:t>颗粒物产生量的</w:t>
                  </w:r>
                  <w:r>
                    <w:rPr>
                      <w:rFonts w:hint="default" w:ascii="Times New Roman" w:hAnsi="Times New Roman" w:cs="Times New Roman"/>
                      <w:color w:val="auto"/>
                      <w:sz w:val="21"/>
                      <w:szCs w:val="21"/>
                      <w:highlight w:val="none"/>
                      <w:lang w:val="en-US" w:eastAsia="zh-CN" w:bidi="ar-SA"/>
                    </w:rPr>
                    <w:t>15%以上。</w:t>
                  </w:r>
                </w:p>
              </w:tc>
              <w:tc>
                <w:tcPr>
                  <w:tcW w:w="916" w:type="pct"/>
                  <w:vMerge w:val="continue"/>
                  <w:noWrap w:val="0"/>
                  <w:vAlign w:val="center"/>
                </w:tcPr>
                <w:p w14:paraId="27E97AD2">
                  <w:pPr>
                    <w:pStyle w:val="19"/>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bidi="ar-SA"/>
                    </w:rPr>
                  </w:pPr>
                </w:p>
              </w:tc>
              <w:tc>
                <w:tcPr>
                  <w:tcW w:w="217" w:type="pct"/>
                  <w:vMerge w:val="continue"/>
                  <w:noWrap w:val="0"/>
                  <w:vAlign w:val="center"/>
                </w:tcPr>
                <w:p w14:paraId="2CB3776C">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p>
              </w:tc>
            </w:tr>
            <w:tr w14:paraId="34F80C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continue"/>
                  <w:noWrap w:val="0"/>
                  <w:vAlign w:val="center"/>
                </w:tcPr>
                <w:p w14:paraId="6AD38285">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3205" w:type="pct"/>
                  <w:noWrap w:val="0"/>
                  <w:vAlign w:val="center"/>
                </w:tcPr>
                <w:p w14:paraId="1441AED6">
                  <w:pPr>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5.1.4 无机粘结剂替代技术：该技术以硅酸盐类等为基体材料</w:t>
                  </w:r>
                  <w:r>
                    <w:rPr>
                      <w:rFonts w:hint="eastAsia" w:ascii="Times New Roman" w:hAnsi="Times New Roman" w:cs="Times New Roman"/>
                      <w:color w:val="auto"/>
                      <w:sz w:val="21"/>
                      <w:szCs w:val="21"/>
                      <w:highlight w:val="none"/>
                      <w:lang w:val="en-US" w:eastAsia="zh-CN" w:bidi="ar-SA"/>
                    </w:rPr>
                    <w:t>，经</w:t>
                  </w:r>
                  <w:r>
                    <w:rPr>
                      <w:rFonts w:hint="default" w:ascii="Times New Roman" w:hAnsi="Times New Roman" w:cs="Times New Roman"/>
                      <w:color w:val="auto"/>
                      <w:sz w:val="21"/>
                      <w:szCs w:val="21"/>
                      <w:highlight w:val="none"/>
                      <w:lang w:val="en-US" w:eastAsia="zh-CN" w:bidi="ar-SA"/>
                    </w:rPr>
                    <w:t>复合</w:t>
                  </w:r>
                  <w:r>
                    <w:rPr>
                      <w:rFonts w:hint="eastAsia" w:ascii="Times New Roman" w:hAnsi="Times New Roman" w:cs="Times New Roman"/>
                      <w:color w:val="auto"/>
                      <w:sz w:val="21"/>
                      <w:szCs w:val="21"/>
                      <w:highlight w:val="none"/>
                      <w:lang w:val="en-US" w:eastAsia="zh-CN" w:bidi="ar-SA"/>
                    </w:rPr>
                    <w:t>制备</w:t>
                  </w:r>
                  <w:r>
                    <w:rPr>
                      <w:rFonts w:hint="default" w:ascii="Times New Roman" w:hAnsi="Times New Roman" w:cs="Times New Roman"/>
                      <w:color w:val="auto"/>
                      <w:sz w:val="21"/>
                      <w:szCs w:val="21"/>
                      <w:highlight w:val="none"/>
                      <w:lang w:val="en-US" w:eastAsia="zh-CN" w:bidi="ar-SA"/>
                    </w:rPr>
                    <w:t>改性制得型砂粘结剂，具有不燃烧、VOCs和恶臭产生量小等特点，适用于采用有机粘结剂作为型（芯）砂粘结剂的铸造企业。</w:t>
                  </w:r>
                </w:p>
              </w:tc>
              <w:tc>
                <w:tcPr>
                  <w:tcW w:w="916" w:type="pct"/>
                  <w:vMerge w:val="continue"/>
                  <w:noWrap w:val="0"/>
                  <w:vAlign w:val="center"/>
                </w:tcPr>
                <w:p w14:paraId="55FBF6D8">
                  <w:pPr>
                    <w:pStyle w:val="19"/>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bidi="ar-SA"/>
                    </w:rPr>
                  </w:pPr>
                </w:p>
              </w:tc>
              <w:tc>
                <w:tcPr>
                  <w:tcW w:w="217" w:type="pct"/>
                  <w:vMerge w:val="continue"/>
                  <w:noWrap w:val="0"/>
                  <w:vAlign w:val="center"/>
                </w:tcPr>
                <w:p w14:paraId="047866EA">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p>
              </w:tc>
            </w:tr>
            <w:tr w14:paraId="3836F1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continue"/>
                  <w:noWrap w:val="0"/>
                  <w:vAlign w:val="center"/>
                </w:tcPr>
                <w:p w14:paraId="623CCE2B">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3205" w:type="pct"/>
                  <w:noWrap w:val="0"/>
                  <w:vAlign w:val="center"/>
                </w:tcPr>
                <w:p w14:paraId="722457FC">
                  <w:pPr>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5.1.5 水基铸型涂料替代技术：该技术以水作为主要载体和稀释剂，与耐火材料经复合制配制得砂型（芯）涂料，替代醇基铸型涂料等非水基铸型涂料，适用于砂型（芯）的施涂。</w:t>
                  </w:r>
                </w:p>
              </w:tc>
              <w:tc>
                <w:tcPr>
                  <w:tcW w:w="916" w:type="pct"/>
                  <w:vMerge w:val="continue"/>
                  <w:noWrap w:val="0"/>
                  <w:vAlign w:val="center"/>
                </w:tcPr>
                <w:p w14:paraId="214FCF8F">
                  <w:pPr>
                    <w:pStyle w:val="19"/>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bidi="ar-SA"/>
                    </w:rPr>
                  </w:pPr>
                </w:p>
              </w:tc>
              <w:tc>
                <w:tcPr>
                  <w:tcW w:w="217" w:type="pct"/>
                  <w:vMerge w:val="continue"/>
                  <w:noWrap w:val="0"/>
                  <w:vAlign w:val="center"/>
                </w:tcPr>
                <w:p w14:paraId="385ED300">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p>
              </w:tc>
            </w:tr>
            <w:tr w14:paraId="4B19EA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continue"/>
                  <w:noWrap w:val="0"/>
                  <w:vAlign w:val="center"/>
                </w:tcPr>
                <w:p w14:paraId="26512B3E">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3205" w:type="pct"/>
                  <w:shd w:val="clear" w:color="auto" w:fill="auto"/>
                  <w:noWrap w:val="0"/>
                  <w:vAlign w:val="center"/>
                </w:tcPr>
                <w:p w14:paraId="00135D00">
                  <w:pPr>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5.1.6低（无）VOCs含量涂料替代技术：该技术使用水性、高固体分、无溶剂、辐射固化等低（无）VOCs含量的涂料替代溶剂型涂料，一般可使涂装工序</w:t>
                  </w:r>
                  <w:r>
                    <w:rPr>
                      <w:rFonts w:hint="eastAsia" w:ascii="Times New Roman" w:hAnsi="Times New Roman" w:cs="Times New Roman"/>
                      <w:color w:val="auto"/>
                      <w:sz w:val="21"/>
                      <w:szCs w:val="21"/>
                      <w:highlight w:val="none"/>
                      <w:lang w:val="en-US" w:eastAsia="zh-CN"/>
                    </w:rPr>
                    <w:t>VOCs</w:t>
                  </w:r>
                  <w:r>
                    <w:rPr>
                      <w:rFonts w:hint="default" w:ascii="Times New Roman" w:hAnsi="Times New Roman" w:eastAsia="宋体" w:cs="Times New Roman"/>
                      <w:color w:val="auto"/>
                      <w:sz w:val="21"/>
                      <w:szCs w:val="21"/>
                      <w:highlight w:val="none"/>
                      <w:lang w:val="en-US" w:eastAsia="zh-CN"/>
                    </w:rPr>
                    <w:t>产生量减少20%以上，适用于铸件表面涂装工序。低（无）VOCs含量涂料应满足GB/T38597的产品技术</w:t>
                  </w:r>
                  <w:r>
                    <w:rPr>
                      <w:rFonts w:hint="eastAsia" w:ascii="Times New Roman" w:hAnsi="Times New Roman" w:cs="Times New Roman"/>
                      <w:color w:val="auto"/>
                      <w:sz w:val="21"/>
                      <w:szCs w:val="21"/>
                      <w:highlight w:val="none"/>
                      <w:lang w:val="en-US" w:eastAsia="zh-CN"/>
                    </w:rPr>
                    <w:t>要求。</w:t>
                  </w:r>
                </w:p>
              </w:tc>
              <w:tc>
                <w:tcPr>
                  <w:tcW w:w="916" w:type="pct"/>
                  <w:vMerge w:val="continue"/>
                  <w:shd w:val="clear" w:color="auto" w:fill="auto"/>
                  <w:noWrap w:val="0"/>
                  <w:vAlign w:val="center"/>
                </w:tcPr>
                <w:p w14:paraId="7AF309EE">
                  <w:pPr>
                    <w:pStyle w:val="19"/>
                    <w:keepNext w:val="0"/>
                    <w:keepLines w:val="0"/>
                    <w:pageBreakBefore w:val="0"/>
                    <w:widowControl w:val="0"/>
                    <w:suppressLineNumbers w:val="0"/>
                    <w:spacing w:before="0" w:beforeAutospacing="0" w:after="0" w:afterAutospacing="0" w:line="240" w:lineRule="auto"/>
                    <w:ind w:left="0" w:right="0"/>
                    <w:jc w:val="both"/>
                    <w:rPr>
                      <w:rFonts w:hint="default" w:ascii="Times New Roman" w:hAnsi="Times New Roman" w:eastAsia="宋体" w:cs="Times New Roman"/>
                      <w:color w:val="auto"/>
                      <w:sz w:val="21"/>
                      <w:szCs w:val="21"/>
                      <w:highlight w:val="none"/>
                      <w:lang w:val="en-US" w:eastAsia="zh-CN" w:bidi="ar-SA"/>
                    </w:rPr>
                  </w:pPr>
                </w:p>
              </w:tc>
              <w:tc>
                <w:tcPr>
                  <w:tcW w:w="217" w:type="pct"/>
                  <w:noWrap w:val="0"/>
                  <w:vAlign w:val="center"/>
                </w:tcPr>
                <w:p w14:paraId="5A19DB24">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558F09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restart"/>
                  <w:noWrap w:val="0"/>
                  <w:vAlign w:val="center"/>
                </w:tcPr>
                <w:p w14:paraId="147F3FEB">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5.2设备或工艺预防技术</w:t>
                  </w:r>
                </w:p>
              </w:tc>
              <w:tc>
                <w:tcPr>
                  <w:tcW w:w="3205" w:type="pct"/>
                  <w:noWrap w:val="0"/>
                  <w:vAlign w:val="center"/>
                </w:tcPr>
                <w:p w14:paraId="4FF94805">
                  <w:pPr>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5.2.1炉盖与除尘一体化技术：该技术将电炉炉盖与除尘收集罩一体化设计，收集金属熔炼（化）过程产生的颗粒物，提高废气收集率，减少排气量</w:t>
                  </w:r>
                  <w:r>
                    <w:rPr>
                      <w:rFonts w:hint="eastAsia" w:ascii="Times New Roman" w:hAnsi="Times New Roman" w:cs="Times New Roman"/>
                      <w:color w:val="auto"/>
                      <w:sz w:val="21"/>
                      <w:szCs w:val="21"/>
                      <w:highlight w:val="none"/>
                      <w:lang w:val="en-US" w:eastAsia="zh-CN"/>
                    </w:rPr>
                    <w:t>。</w:t>
                  </w:r>
                </w:p>
              </w:tc>
              <w:tc>
                <w:tcPr>
                  <w:tcW w:w="916" w:type="pct"/>
                  <w:noWrap w:val="0"/>
                  <w:vAlign w:val="center"/>
                </w:tcPr>
                <w:p w14:paraId="4E3F4B38">
                  <w:pPr>
                    <w:pStyle w:val="19"/>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本项目中频炉废气收集采用炉盖与除尘一体化技术。</w:t>
                  </w:r>
                </w:p>
              </w:tc>
              <w:tc>
                <w:tcPr>
                  <w:tcW w:w="217" w:type="pct"/>
                  <w:noWrap w:val="0"/>
                  <w:vAlign w:val="center"/>
                </w:tcPr>
                <w:p w14:paraId="7D49070B">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37CC31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continue"/>
                  <w:noWrap w:val="0"/>
                  <w:vAlign w:val="center"/>
                </w:tcPr>
                <w:p w14:paraId="697E9750">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3205" w:type="pct"/>
                  <w:noWrap w:val="0"/>
                  <w:vAlign w:val="center"/>
                </w:tcPr>
                <w:p w14:paraId="1B70FF23">
                  <w:pPr>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5.2.2金属液定点处理技术：该技术使用金属液处理装置或在固定的位置进行金属液处理和特殊元素合金化等操作，通常需在密闭（封闭）空间或半密闭（封闭）空间内操作，适用于金属液处理设施。</w:t>
                  </w:r>
                </w:p>
              </w:tc>
              <w:tc>
                <w:tcPr>
                  <w:tcW w:w="916" w:type="pct"/>
                  <w:noWrap w:val="0"/>
                  <w:vAlign w:val="center"/>
                </w:tcPr>
                <w:p w14:paraId="0A58851C">
                  <w:pPr>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w:t>
                  </w:r>
                  <w:r>
                    <w:rPr>
                      <w:rFonts w:hint="eastAsia" w:ascii="Times New Roman" w:hAnsi="Times New Roman" w:cs="Times New Roman"/>
                      <w:color w:val="auto"/>
                      <w:sz w:val="21"/>
                      <w:szCs w:val="21"/>
                      <w:highlight w:val="none"/>
                      <w:lang w:val="en-US" w:eastAsia="zh-CN"/>
                    </w:rPr>
                    <w:t>在</w:t>
                  </w:r>
                  <w:r>
                    <w:rPr>
                      <w:rFonts w:hint="default" w:ascii="Times New Roman" w:hAnsi="Times New Roman" w:eastAsia="宋体" w:cs="Times New Roman"/>
                      <w:color w:val="auto"/>
                      <w:sz w:val="21"/>
                      <w:szCs w:val="21"/>
                      <w:highlight w:val="none"/>
                      <w:lang w:val="en-US" w:eastAsia="zh-CN"/>
                    </w:rPr>
                    <w:t>固定的位置进行金属液处理和特殊元素合金化等操作。</w:t>
                  </w:r>
                </w:p>
              </w:tc>
              <w:tc>
                <w:tcPr>
                  <w:tcW w:w="217" w:type="pct"/>
                  <w:noWrap w:val="0"/>
                  <w:vAlign w:val="center"/>
                </w:tcPr>
                <w:p w14:paraId="08EF1443">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符合</w:t>
                  </w:r>
                </w:p>
              </w:tc>
            </w:tr>
            <w:tr w14:paraId="57BC25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continue"/>
                  <w:noWrap w:val="0"/>
                  <w:vAlign w:val="center"/>
                </w:tcPr>
                <w:p w14:paraId="44267A38">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3205" w:type="pct"/>
                  <w:noWrap w:val="0"/>
                  <w:vAlign w:val="center"/>
                </w:tcPr>
                <w:p w14:paraId="5D823EFD">
                  <w:pPr>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5.2.3低氮燃烧技术：该技术采用控制空燃比、半预混燃烧器等技术，可减少燃烧过程NO</w:t>
                  </w:r>
                  <w:r>
                    <w:rPr>
                      <w:rFonts w:hint="default" w:ascii="Times New Roman" w:hAnsi="Times New Roman" w:eastAsia="宋体" w:cs="Times New Roman"/>
                      <w:color w:val="auto"/>
                      <w:sz w:val="21"/>
                      <w:szCs w:val="21"/>
                      <w:highlight w:val="none"/>
                      <w:vertAlign w:val="subscript"/>
                      <w:lang w:val="en-US" w:eastAsia="zh-CN"/>
                    </w:rPr>
                    <w:t>X</w:t>
                  </w:r>
                  <w:r>
                    <w:rPr>
                      <w:rFonts w:hint="default" w:ascii="Times New Roman" w:hAnsi="Times New Roman" w:eastAsia="宋体" w:cs="Times New Roman"/>
                      <w:color w:val="auto"/>
                      <w:sz w:val="21"/>
                      <w:szCs w:val="21"/>
                      <w:highlight w:val="none"/>
                      <w:lang w:val="en-US" w:eastAsia="zh-CN"/>
                    </w:rPr>
                    <w:t>的产生量，适用于铸造生产中采用天然气作为燃料的工业炉窑，一般可使烟气中NO</w:t>
                  </w:r>
                  <w:r>
                    <w:rPr>
                      <w:rFonts w:hint="default" w:ascii="Times New Roman" w:hAnsi="Times New Roman" w:eastAsia="宋体" w:cs="Times New Roman"/>
                      <w:color w:val="auto"/>
                      <w:sz w:val="21"/>
                      <w:szCs w:val="21"/>
                      <w:highlight w:val="none"/>
                      <w:vertAlign w:val="subscript"/>
                      <w:lang w:val="en-US" w:eastAsia="zh-CN"/>
                    </w:rPr>
                    <w:t>X</w:t>
                  </w:r>
                  <w:r>
                    <w:rPr>
                      <w:rFonts w:hint="default" w:ascii="Times New Roman" w:hAnsi="Times New Roman" w:eastAsia="宋体" w:cs="Times New Roman"/>
                      <w:color w:val="auto"/>
                      <w:sz w:val="21"/>
                      <w:szCs w:val="21"/>
                      <w:highlight w:val="none"/>
                      <w:vertAlign w:val="baseline"/>
                      <w:lang w:val="en-US" w:eastAsia="zh-CN"/>
                    </w:rPr>
                    <w:t>产生浓度减少30%以上</w:t>
                  </w:r>
                </w:p>
              </w:tc>
              <w:tc>
                <w:tcPr>
                  <w:tcW w:w="916" w:type="pct"/>
                  <w:noWrap w:val="0"/>
                  <w:vAlign w:val="center"/>
                </w:tcPr>
                <w:p w14:paraId="1F21AE92">
                  <w:pPr>
                    <w:pStyle w:val="19"/>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本项目采用中频炉，不涉及</w:t>
                  </w:r>
                  <w:r>
                    <w:rPr>
                      <w:rFonts w:hint="default" w:ascii="Times New Roman" w:hAnsi="Times New Roman" w:eastAsia="宋体" w:cs="Times New Roman"/>
                      <w:color w:val="auto"/>
                      <w:sz w:val="21"/>
                      <w:szCs w:val="21"/>
                      <w:highlight w:val="none"/>
                      <w:lang w:val="en-US" w:eastAsia="zh-CN"/>
                    </w:rPr>
                    <w:t>NO</w:t>
                  </w:r>
                  <w:r>
                    <w:rPr>
                      <w:rFonts w:hint="default" w:ascii="Times New Roman" w:hAnsi="Times New Roman" w:eastAsia="宋体" w:cs="Times New Roman"/>
                      <w:color w:val="auto"/>
                      <w:sz w:val="21"/>
                      <w:szCs w:val="21"/>
                      <w:highlight w:val="none"/>
                      <w:vertAlign w:val="subscript"/>
                      <w:lang w:val="en-US" w:eastAsia="zh-CN"/>
                    </w:rPr>
                    <w:t>X</w:t>
                  </w:r>
                  <w:r>
                    <w:rPr>
                      <w:rFonts w:hint="default" w:ascii="Times New Roman" w:hAnsi="Times New Roman" w:eastAsia="宋体" w:cs="Times New Roman"/>
                      <w:color w:val="auto"/>
                      <w:sz w:val="21"/>
                      <w:szCs w:val="21"/>
                      <w:highlight w:val="none"/>
                      <w:lang w:val="en-US" w:eastAsia="zh-CN"/>
                    </w:rPr>
                    <w:t>排放</w:t>
                  </w:r>
                  <w:r>
                    <w:rPr>
                      <w:rFonts w:hint="default" w:ascii="Times New Roman" w:hAnsi="Times New Roman" w:cs="Times New Roman"/>
                      <w:color w:val="auto"/>
                      <w:sz w:val="21"/>
                      <w:szCs w:val="21"/>
                      <w:highlight w:val="none"/>
                      <w:lang w:val="en-US" w:eastAsia="zh-CN"/>
                    </w:rPr>
                    <w:t>。</w:t>
                  </w:r>
                </w:p>
              </w:tc>
              <w:tc>
                <w:tcPr>
                  <w:tcW w:w="217" w:type="pct"/>
                  <w:noWrap w:val="0"/>
                  <w:vAlign w:val="center"/>
                </w:tcPr>
                <w:p w14:paraId="2E54F336">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4BD183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continue"/>
                  <w:noWrap w:val="0"/>
                  <w:vAlign w:val="center"/>
                </w:tcPr>
                <w:p w14:paraId="0EF2DAC1">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3205" w:type="pct"/>
                  <w:noWrap w:val="0"/>
                  <w:vAlign w:val="center"/>
                </w:tcPr>
                <w:p w14:paraId="426B55A1">
                  <w:pPr>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5.2.4 微量喷涂技术</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该技术通过定量装置将脱模剂精确喷涂在模具表面，大幅减少脱模剂的使用量，一般可减少50%以上废气产生量，适用于压力铸造（压铸）工艺的脱模剂喷涂。该技术需配合模具设计专用的喷涂装置使用，适用于大批量单一品种的产品。</w:t>
                  </w:r>
                </w:p>
              </w:tc>
              <w:tc>
                <w:tcPr>
                  <w:tcW w:w="916" w:type="pct"/>
                  <w:noWrap w:val="0"/>
                  <w:vAlign w:val="center"/>
                </w:tcPr>
                <w:p w14:paraId="000FD01F">
                  <w:pPr>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本项目不涉及。</w:t>
                  </w:r>
                </w:p>
              </w:tc>
              <w:tc>
                <w:tcPr>
                  <w:tcW w:w="217" w:type="pct"/>
                  <w:noWrap w:val="0"/>
                  <w:vAlign w:val="center"/>
                </w:tcPr>
                <w:p w14:paraId="6B1A6CB6">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符合</w:t>
                  </w:r>
                </w:p>
              </w:tc>
            </w:tr>
            <w:tr w14:paraId="48AF6D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continue"/>
                  <w:noWrap w:val="0"/>
                  <w:vAlign w:val="center"/>
                </w:tcPr>
                <w:p w14:paraId="7D99696D">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3205" w:type="pct"/>
                  <w:noWrap w:val="0"/>
                  <w:vAlign w:val="center"/>
                </w:tcPr>
                <w:p w14:paraId="48C8F63E">
                  <w:pPr>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5.2.5金属液封闭转运技术</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该技术采用隔热盖、转运通廊等封闭方式进行金属液转运，可通过配置袋式除尘器减少颗粒物排放。该技术可防止金属液氧化，减少金属液运输过程中的热量损失。</w:t>
                  </w:r>
                </w:p>
              </w:tc>
              <w:tc>
                <w:tcPr>
                  <w:tcW w:w="916" w:type="pct"/>
                  <w:noWrap w:val="0"/>
                  <w:vAlign w:val="center"/>
                </w:tcPr>
                <w:p w14:paraId="2EECE4FC">
                  <w:pPr>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本项目采用隔热盖封闭方式进行金属液转运。</w:t>
                  </w:r>
                </w:p>
              </w:tc>
              <w:tc>
                <w:tcPr>
                  <w:tcW w:w="217" w:type="pct"/>
                  <w:noWrap w:val="0"/>
                  <w:vAlign w:val="center"/>
                </w:tcPr>
                <w:p w14:paraId="4F9ED4CD">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符合</w:t>
                  </w:r>
                </w:p>
              </w:tc>
            </w:tr>
            <w:tr w14:paraId="6EE196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continue"/>
                  <w:noWrap w:val="0"/>
                  <w:vAlign w:val="center"/>
                </w:tcPr>
                <w:p w14:paraId="41C9377F">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3205" w:type="pct"/>
                  <w:noWrap w:val="0"/>
                  <w:vAlign w:val="center"/>
                </w:tcPr>
                <w:p w14:paraId="5D4E64B1">
                  <w:pPr>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5.2.6静电喷涂技术：该技术使涂料在高压电场的作用下荷电后均匀吸附于铸件表面，尤其是铸件外表面的喷涂，通常</w:t>
                  </w:r>
                  <w:r>
                    <w:rPr>
                      <w:rFonts w:hint="eastAsia" w:ascii="Times New Roman" w:hAnsi="Times New Roman" w:cs="Times New Roman"/>
                      <w:color w:val="auto"/>
                      <w:sz w:val="21"/>
                      <w:szCs w:val="21"/>
                      <w:highlight w:val="none"/>
                      <w:lang w:val="en-US" w:eastAsia="zh-CN"/>
                    </w:rPr>
                    <w:t>与</w:t>
                  </w:r>
                  <w:r>
                    <w:rPr>
                      <w:rFonts w:hint="default" w:ascii="Times New Roman" w:hAnsi="Times New Roman" w:eastAsia="宋体" w:cs="Times New Roman"/>
                      <w:color w:val="auto"/>
                      <w:sz w:val="21"/>
                      <w:szCs w:val="21"/>
                      <w:highlight w:val="none"/>
                      <w:lang w:val="en-US" w:eastAsia="zh-CN"/>
                    </w:rPr>
                    <w:t>自动喷涂技术联合使用。采用该技术可使液体涂料利用率达到</w:t>
                  </w:r>
                  <w:r>
                    <w:rPr>
                      <w:rFonts w:hint="eastAsia" w:ascii="Times New Roman" w:hAnsi="Times New Roman" w:cs="Times New Roman"/>
                      <w:color w:val="auto"/>
                      <w:sz w:val="21"/>
                      <w:szCs w:val="21"/>
                      <w:highlight w:val="none"/>
                      <w:lang w:val="en-US" w:eastAsia="zh-CN"/>
                    </w:rPr>
                    <w:t>50%～85%</w:t>
                  </w:r>
                  <w:r>
                    <w:rPr>
                      <w:rFonts w:hint="default" w:ascii="Times New Roman" w:hAnsi="Times New Roman" w:eastAsia="宋体" w:cs="Times New Roman"/>
                      <w:color w:val="auto"/>
                      <w:sz w:val="21"/>
                      <w:szCs w:val="21"/>
                      <w:highlight w:val="none"/>
                      <w:lang w:val="en-US" w:eastAsia="zh-CN"/>
                    </w:rPr>
                    <w:t>，通过涂料回收利用技术可使粉末涂料利用率达到98%以上</w:t>
                  </w:r>
                </w:p>
              </w:tc>
              <w:tc>
                <w:tcPr>
                  <w:tcW w:w="916" w:type="pct"/>
                  <w:noWrap w:val="0"/>
                  <w:vAlign w:val="center"/>
                </w:tcPr>
                <w:p w14:paraId="51C086A5">
                  <w:pPr>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本项目不涉及。</w:t>
                  </w:r>
                </w:p>
              </w:tc>
              <w:tc>
                <w:tcPr>
                  <w:tcW w:w="217" w:type="pct"/>
                  <w:noWrap w:val="0"/>
                  <w:vAlign w:val="center"/>
                </w:tcPr>
                <w:p w14:paraId="6C8F41C8">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符合</w:t>
                  </w:r>
                </w:p>
              </w:tc>
            </w:tr>
            <w:tr w14:paraId="47CCFE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continue"/>
                  <w:noWrap w:val="0"/>
                  <w:vAlign w:val="center"/>
                </w:tcPr>
                <w:p w14:paraId="2F1E61E9">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3205" w:type="pct"/>
                  <w:noWrap w:val="0"/>
                  <w:vAlign w:val="center"/>
                </w:tcPr>
                <w:p w14:paraId="31C2538A">
                  <w:pPr>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5.2.7阴极电泳技术：该技术依靠电场力的作用，使槽液中带正电荷的涂料颗粒涂覆在铸件表面，施工状态电泳槽液VOCs质量占比一般为0.5%～2%，涂料附着率一般为97%～99%，适用于铸件表面涂装工序的底漆施工。</w:t>
                  </w:r>
                </w:p>
              </w:tc>
              <w:tc>
                <w:tcPr>
                  <w:tcW w:w="916" w:type="pct"/>
                  <w:noWrap w:val="0"/>
                  <w:vAlign w:val="center"/>
                </w:tcPr>
                <w:p w14:paraId="6D07E673">
                  <w:pPr>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本项目不涉及。</w:t>
                  </w:r>
                </w:p>
              </w:tc>
              <w:tc>
                <w:tcPr>
                  <w:tcW w:w="217" w:type="pct"/>
                  <w:noWrap w:val="0"/>
                  <w:vAlign w:val="center"/>
                </w:tcPr>
                <w:p w14:paraId="49FA216F">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符合</w:t>
                  </w:r>
                </w:p>
              </w:tc>
            </w:tr>
            <w:tr w14:paraId="65D34C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continue"/>
                  <w:noWrap w:val="0"/>
                  <w:vAlign w:val="center"/>
                </w:tcPr>
                <w:p w14:paraId="4C2E6BB1">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3205" w:type="pct"/>
                  <w:noWrap w:val="0"/>
                  <w:vAlign w:val="center"/>
                </w:tcPr>
                <w:p w14:paraId="06A19888">
                  <w:pPr>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5.2.8湿式机械加工技术：该技术使用湿式机械加工代替部分铸件清理工序，可避免清理工序的颗粒物产生，一般用于铝合金、镁合金等铸件清理工序。采用该技术有废水产生。</w:t>
                  </w:r>
                </w:p>
              </w:tc>
              <w:tc>
                <w:tcPr>
                  <w:tcW w:w="916" w:type="pct"/>
                  <w:noWrap w:val="0"/>
                  <w:vAlign w:val="center"/>
                </w:tcPr>
                <w:p w14:paraId="32C8A5B2">
                  <w:pPr>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本项目不涉及</w:t>
                  </w:r>
                  <w:r>
                    <w:rPr>
                      <w:rFonts w:hint="default" w:ascii="Times New Roman" w:hAnsi="Times New Roman" w:eastAsia="宋体" w:cs="Times New Roman"/>
                      <w:color w:val="auto"/>
                      <w:sz w:val="21"/>
                      <w:szCs w:val="21"/>
                      <w:highlight w:val="none"/>
                      <w:lang w:val="en-US" w:eastAsia="zh-CN"/>
                    </w:rPr>
                    <w:t>。</w:t>
                  </w:r>
                </w:p>
              </w:tc>
              <w:tc>
                <w:tcPr>
                  <w:tcW w:w="217" w:type="pct"/>
                  <w:noWrap w:val="0"/>
                  <w:vAlign w:val="center"/>
                </w:tcPr>
                <w:p w14:paraId="17E0D8BF">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符合</w:t>
                  </w:r>
                </w:p>
              </w:tc>
            </w:tr>
            <w:tr w14:paraId="47F566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restart"/>
                  <w:noWrap w:val="0"/>
                  <w:vAlign w:val="center"/>
                </w:tcPr>
                <w:p w14:paraId="0653C375">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6.1颗粒物治理技术</w:t>
                  </w:r>
                </w:p>
              </w:tc>
              <w:tc>
                <w:tcPr>
                  <w:tcW w:w="3205" w:type="pct"/>
                  <w:noWrap w:val="0"/>
                  <w:vAlign w:val="center"/>
                </w:tcPr>
                <w:p w14:paraId="33173C30">
                  <w:pPr>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6.1.1旋风除尘技术</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该技术可去除重质颗粒物或浓度较高的颗粒物，对轻质及微细颗粒物处理效果不佳，需与袋式除尘技术或滤筒除尘技术等配合使用，适用于金属熔炼（化）、落砂、清理、砂处理、砂再生等工序废气颗粒物的预处理。</w:t>
                  </w:r>
                </w:p>
              </w:tc>
              <w:tc>
                <w:tcPr>
                  <w:tcW w:w="916" w:type="pct"/>
                  <w:noWrap w:val="0"/>
                  <w:vAlign w:val="center"/>
                </w:tcPr>
                <w:p w14:paraId="5859AE48">
                  <w:pPr>
                    <w:pStyle w:val="19"/>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w:t>
                  </w:r>
                  <w:r>
                    <w:rPr>
                      <w:rFonts w:hint="default" w:ascii="Times New Roman" w:hAnsi="Times New Roman" w:cs="Times New Roman"/>
                      <w:color w:val="auto"/>
                      <w:sz w:val="21"/>
                      <w:szCs w:val="21"/>
                      <w:highlight w:val="none"/>
                      <w:lang w:val="en-US" w:eastAsia="zh-CN"/>
                    </w:rPr>
                    <w:t>造型、制芯、</w:t>
                  </w:r>
                  <w:r>
                    <w:rPr>
                      <w:rFonts w:hint="default" w:ascii="Times New Roman" w:hAnsi="Times New Roman" w:eastAsia="宋体" w:cs="Times New Roman"/>
                      <w:color w:val="auto"/>
                      <w:sz w:val="21"/>
                      <w:szCs w:val="21"/>
                      <w:highlight w:val="none"/>
                      <w:lang w:val="en-US" w:eastAsia="zh-CN"/>
                    </w:rPr>
                    <w:t>熔炼、浇注</w:t>
                  </w:r>
                  <w:r>
                    <w:rPr>
                      <w:rFonts w:hint="default" w:ascii="Times New Roman" w:hAnsi="Times New Roman" w:cs="Times New Roman"/>
                      <w:color w:val="auto"/>
                      <w:sz w:val="21"/>
                      <w:szCs w:val="21"/>
                      <w:highlight w:val="none"/>
                      <w:lang w:val="en-US" w:eastAsia="zh-CN"/>
                    </w:rPr>
                    <w:t>、落砂、清理、砂处理等</w:t>
                  </w:r>
                  <w:r>
                    <w:rPr>
                      <w:rFonts w:hint="default" w:ascii="Times New Roman" w:hAnsi="Times New Roman" w:eastAsia="宋体" w:cs="Times New Roman"/>
                      <w:color w:val="auto"/>
                      <w:sz w:val="21"/>
                      <w:szCs w:val="21"/>
                      <w:highlight w:val="none"/>
                      <w:lang w:val="en-US" w:eastAsia="zh-CN"/>
                    </w:rPr>
                    <w:t>工序配备</w:t>
                  </w:r>
                  <w:r>
                    <w:rPr>
                      <w:rFonts w:hint="default" w:ascii="Times New Roman" w:hAnsi="Times New Roman" w:cs="Times New Roman"/>
                      <w:color w:val="auto"/>
                      <w:sz w:val="21"/>
                      <w:szCs w:val="21"/>
                      <w:highlight w:val="none"/>
                      <w:lang w:val="en-US" w:eastAsia="zh-CN"/>
                    </w:rPr>
                    <w:t>布袋除尘器。</w:t>
                  </w:r>
                </w:p>
              </w:tc>
              <w:tc>
                <w:tcPr>
                  <w:tcW w:w="217" w:type="pct"/>
                  <w:noWrap w:val="0"/>
                  <w:vAlign w:val="center"/>
                </w:tcPr>
                <w:p w14:paraId="03183557">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符合</w:t>
                  </w:r>
                </w:p>
              </w:tc>
            </w:tr>
            <w:tr w14:paraId="011622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continue"/>
                  <w:noWrap w:val="0"/>
                  <w:vAlign w:val="center"/>
                </w:tcPr>
                <w:p w14:paraId="392560CF">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3205" w:type="pct"/>
                  <w:noWrap w:val="0"/>
                  <w:vAlign w:val="center"/>
                </w:tcPr>
                <w:p w14:paraId="64E313DA">
                  <w:pPr>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6.1.2袋式除尘技术：该技术</w:t>
                  </w:r>
                  <w:r>
                    <w:rPr>
                      <w:rFonts w:hint="eastAsia" w:ascii="Times New Roman" w:hAnsi="Times New Roman" w:cs="Times New Roman"/>
                      <w:color w:val="auto"/>
                      <w:sz w:val="21"/>
                      <w:szCs w:val="21"/>
                      <w:highlight w:val="none"/>
                      <w:lang w:val="en-US" w:eastAsia="zh-CN"/>
                    </w:rPr>
                    <w:t>应于</w:t>
                  </w:r>
                  <w:r>
                    <w:rPr>
                      <w:rFonts w:hint="default" w:ascii="Times New Roman" w:hAnsi="Times New Roman" w:eastAsia="宋体" w:cs="Times New Roman"/>
                      <w:color w:val="auto"/>
                      <w:sz w:val="21"/>
                      <w:szCs w:val="21"/>
                      <w:highlight w:val="none"/>
                      <w:lang w:val="en-US" w:eastAsia="zh-CN"/>
                    </w:rPr>
                    <w:t>铸造生产时</w:t>
                  </w:r>
                  <w:r>
                    <w:rPr>
                      <w:rFonts w:hint="eastAsia" w:ascii="Times New Roman" w:hAnsi="Times New Roman" w:cs="Times New Roman"/>
                      <w:color w:val="auto"/>
                      <w:sz w:val="21"/>
                      <w:szCs w:val="21"/>
                      <w:highlight w:val="none"/>
                      <w:lang w:val="en-US" w:eastAsia="zh-CN"/>
                    </w:rPr>
                    <w:t>，过滤</w:t>
                  </w:r>
                  <w:r>
                    <w:rPr>
                      <w:rFonts w:hint="default" w:ascii="Times New Roman" w:hAnsi="Times New Roman" w:eastAsia="宋体" w:cs="Times New Roman"/>
                      <w:color w:val="auto"/>
                      <w:sz w:val="21"/>
                      <w:szCs w:val="21"/>
                      <w:highlight w:val="none"/>
                      <w:lang w:val="en-US" w:eastAsia="zh-CN"/>
                    </w:rPr>
                    <w:t>风速一般在0.7m/min</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1.5m/min之间，系统阻力通常低于1500Pa，除尘效率通常可达99%以上，适用于铸造工业企业各工序废气颗粒物的治理，使用该技术应符合HJ2020的相关要求，应用在涉爆粉尘时应符合防爆的相关规定</w:t>
                  </w:r>
                  <w:r>
                    <w:rPr>
                      <w:rFonts w:hint="default" w:ascii="Times New Roman" w:hAnsi="Times New Roman" w:cs="Times New Roman"/>
                      <w:color w:val="auto"/>
                      <w:sz w:val="21"/>
                      <w:szCs w:val="21"/>
                      <w:highlight w:val="none"/>
                      <w:lang w:val="en-US" w:eastAsia="zh-CN"/>
                    </w:rPr>
                    <w:t>。</w:t>
                  </w:r>
                </w:p>
              </w:tc>
              <w:tc>
                <w:tcPr>
                  <w:tcW w:w="916" w:type="pct"/>
                  <w:noWrap w:val="0"/>
                  <w:vAlign w:val="center"/>
                </w:tcPr>
                <w:p w14:paraId="7A88A0E1">
                  <w:pPr>
                    <w:pStyle w:val="19"/>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本项目造型、制芯、熔炼、浇注、落砂、清理、砂处理等工序配备布袋除尘器。</w:t>
                  </w:r>
                </w:p>
              </w:tc>
              <w:tc>
                <w:tcPr>
                  <w:tcW w:w="217" w:type="pct"/>
                  <w:noWrap w:val="0"/>
                  <w:vAlign w:val="center"/>
                </w:tcPr>
                <w:p w14:paraId="6B314CE5">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符合</w:t>
                  </w:r>
                </w:p>
              </w:tc>
            </w:tr>
            <w:tr w14:paraId="30565A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continue"/>
                  <w:noWrap w:val="0"/>
                  <w:vAlign w:val="center"/>
                </w:tcPr>
                <w:p w14:paraId="2B8F8B7D">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3205" w:type="pct"/>
                  <w:noWrap w:val="0"/>
                  <w:vAlign w:val="center"/>
                </w:tcPr>
                <w:p w14:paraId="1CB7A499">
                  <w:pPr>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6.1.3滤筒除尘技术</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该技术应用于铸造生产时过滤风速一般在0.6m/min～1.2m/min之间，系统阻力通常低于1000Pa，除尘效率通常可达99%以上，适用于铸造各工序废气颗粒物的治理，应用在涉爆粉尘时应符合防爆的相关规定。</w:t>
                  </w:r>
                </w:p>
              </w:tc>
              <w:tc>
                <w:tcPr>
                  <w:tcW w:w="916" w:type="pct"/>
                  <w:noWrap w:val="0"/>
                  <w:vAlign w:val="center"/>
                </w:tcPr>
                <w:p w14:paraId="123F8B87">
                  <w:pPr>
                    <w:pStyle w:val="19"/>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本项目造型、制芯、熔炼、浇注、落砂、清理、砂处理等工序配备布袋除尘器。</w:t>
                  </w:r>
                </w:p>
              </w:tc>
              <w:tc>
                <w:tcPr>
                  <w:tcW w:w="217" w:type="pct"/>
                  <w:noWrap w:val="0"/>
                  <w:vAlign w:val="center"/>
                </w:tcPr>
                <w:p w14:paraId="6A406259">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符合</w:t>
                  </w:r>
                </w:p>
              </w:tc>
            </w:tr>
            <w:tr w14:paraId="71B612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continue"/>
                  <w:noWrap w:val="0"/>
                  <w:vAlign w:val="center"/>
                </w:tcPr>
                <w:p w14:paraId="46144358">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3205" w:type="pct"/>
                  <w:noWrap w:val="0"/>
                  <w:vAlign w:val="center"/>
                </w:tcPr>
                <w:p w14:paraId="45118801">
                  <w:pPr>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6.1.4湿式除尘技术</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该技术适合于捕集1μm～10μm颗粒物，适用于铝合金、镁合金铸件的清理工序、砂型（芯）烘干工序，以及扣件、刹车盘等产尘量较低的小型铸件浇注工序。该技术对细小颗粒物的去除效果不佳。</w:t>
                  </w:r>
                </w:p>
              </w:tc>
              <w:tc>
                <w:tcPr>
                  <w:tcW w:w="916" w:type="pct"/>
                  <w:noWrap w:val="0"/>
                  <w:vAlign w:val="center"/>
                </w:tcPr>
                <w:p w14:paraId="7A2B7A02">
                  <w:pPr>
                    <w:pStyle w:val="19"/>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本项目造型、制芯、熔炼、浇注、落砂、清理、砂处理等工序配备布袋除尘器。</w:t>
                  </w:r>
                </w:p>
              </w:tc>
              <w:tc>
                <w:tcPr>
                  <w:tcW w:w="217" w:type="pct"/>
                  <w:noWrap w:val="0"/>
                  <w:vAlign w:val="center"/>
                </w:tcPr>
                <w:p w14:paraId="642FCEBE">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符合</w:t>
                  </w:r>
                </w:p>
              </w:tc>
            </w:tr>
            <w:tr w14:paraId="5F1B3A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continue"/>
                  <w:noWrap w:val="0"/>
                  <w:vAlign w:val="center"/>
                </w:tcPr>
                <w:p w14:paraId="1E29802F">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p>
              </w:tc>
              <w:tc>
                <w:tcPr>
                  <w:tcW w:w="3205" w:type="pct"/>
                  <w:noWrap w:val="0"/>
                  <w:vAlign w:val="center"/>
                </w:tcPr>
                <w:p w14:paraId="65F9CF45">
                  <w:pPr>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6.1.5漆雾除尘技术：适用于表面涂装工序喷涂废气的漆雾治理及VOCs治理的预处理。该技术包括干式介质（如迷宫式纸盒）过滤漆雾处理技术、水旋喷漆室等，漆雾去除效率一般可达到85%以上</w:t>
                  </w:r>
                  <w:r>
                    <w:rPr>
                      <w:rFonts w:hint="default" w:ascii="Times New Roman" w:hAnsi="Times New Roman" w:cs="Times New Roman"/>
                      <w:color w:val="auto"/>
                      <w:sz w:val="21"/>
                      <w:szCs w:val="21"/>
                      <w:highlight w:val="none"/>
                      <w:lang w:val="en-US" w:eastAsia="zh-CN"/>
                    </w:rPr>
                    <w:t>。</w:t>
                  </w:r>
                </w:p>
              </w:tc>
              <w:tc>
                <w:tcPr>
                  <w:tcW w:w="916" w:type="pct"/>
                  <w:noWrap w:val="0"/>
                  <w:vAlign w:val="center"/>
                </w:tcPr>
                <w:p w14:paraId="05326D43">
                  <w:pPr>
                    <w:pStyle w:val="19"/>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本项目不涉及喷漆工艺。</w:t>
                  </w:r>
                </w:p>
              </w:tc>
              <w:tc>
                <w:tcPr>
                  <w:tcW w:w="217" w:type="pct"/>
                  <w:noWrap w:val="0"/>
                  <w:vAlign w:val="center"/>
                </w:tcPr>
                <w:p w14:paraId="6D426370">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符合</w:t>
                  </w:r>
                </w:p>
              </w:tc>
            </w:tr>
            <w:tr w14:paraId="05FB93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restart"/>
                  <w:noWrap w:val="0"/>
                  <w:vAlign w:val="center"/>
                </w:tcPr>
                <w:p w14:paraId="45F16B89">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6.2二氧化硫治理技术</w:t>
                  </w:r>
                </w:p>
              </w:tc>
              <w:tc>
                <w:tcPr>
                  <w:tcW w:w="3205" w:type="pct"/>
                  <w:noWrap w:val="0"/>
                  <w:vAlign w:val="center"/>
                </w:tcPr>
                <w:p w14:paraId="5EE354A2">
                  <w:pPr>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6.2.1湿法脱硫技术：该技术采用氢氧化钠（NaOH）、碳酸钠（Na</w:t>
                  </w:r>
                  <w:r>
                    <w:rPr>
                      <w:rFonts w:hint="default" w:ascii="Times New Roman" w:hAnsi="Times New Roman" w:eastAsia="宋体" w:cs="Times New Roman"/>
                      <w:color w:val="auto"/>
                      <w:sz w:val="21"/>
                      <w:szCs w:val="21"/>
                      <w:highlight w:val="none"/>
                      <w:vertAlign w:val="subscript"/>
                      <w:lang w:val="en-US" w:eastAsia="zh-CN"/>
                    </w:rPr>
                    <w:t>2</w:t>
                  </w:r>
                  <w:r>
                    <w:rPr>
                      <w:rFonts w:hint="default" w:ascii="Times New Roman" w:hAnsi="Times New Roman" w:eastAsia="宋体" w:cs="Times New Roman"/>
                      <w:color w:val="auto"/>
                      <w:sz w:val="21"/>
                      <w:szCs w:val="21"/>
                      <w:highlight w:val="none"/>
                      <w:lang w:val="en-US" w:eastAsia="zh-CN"/>
                    </w:rPr>
                    <w:t>CO</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lang w:val="en-US" w:eastAsia="zh-CN"/>
                    </w:rPr>
                    <w:t>）和碳酸氢钠（NaHCO</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lang w:val="en-US" w:eastAsia="zh-CN"/>
                    </w:rPr>
                    <w:t>）等碱性溶液吸收SO</w:t>
                  </w:r>
                  <w:r>
                    <w:rPr>
                      <w:rFonts w:hint="default" w:ascii="Times New Roman" w:hAnsi="Times New Roman" w:eastAsia="宋体" w:cs="Times New Roman"/>
                      <w:color w:val="auto"/>
                      <w:sz w:val="21"/>
                      <w:szCs w:val="21"/>
                      <w:highlight w:val="none"/>
                      <w:vertAlign w:val="subscript"/>
                      <w:lang w:val="en-US" w:eastAsia="zh-CN"/>
                    </w:rPr>
                    <w:t>2</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脱硫效率一般可达到 90%以上，适用于冲天炉废气的脱硫处理。该技术包括钠碱法脱硫技术和双碱法脱硫技术，该技术需配合自动添加脱硫剂设备、自动pH值监测、曝气等系列配套设施使用，禁止使用低效、简易碱法脱硫技术</w:t>
                  </w:r>
                </w:p>
              </w:tc>
              <w:tc>
                <w:tcPr>
                  <w:tcW w:w="916" w:type="pct"/>
                  <w:vMerge w:val="restart"/>
                  <w:noWrap w:val="0"/>
                  <w:vAlign w:val="center"/>
                </w:tcPr>
                <w:p w14:paraId="54F9619B">
                  <w:pPr>
                    <w:pStyle w:val="19"/>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本项目不涉及冲天炉，使用中频炉，无相关污染物产生。</w:t>
                  </w:r>
                </w:p>
              </w:tc>
              <w:tc>
                <w:tcPr>
                  <w:tcW w:w="217" w:type="pct"/>
                  <w:noWrap w:val="0"/>
                  <w:vAlign w:val="center"/>
                </w:tcPr>
                <w:p w14:paraId="64B9E91E">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7CFDC5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continue"/>
                  <w:noWrap w:val="0"/>
                  <w:vAlign w:val="center"/>
                </w:tcPr>
                <w:p w14:paraId="259DD3B0">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val="en-US" w:eastAsia="zh-CN"/>
                    </w:rPr>
                  </w:pPr>
                </w:p>
              </w:tc>
              <w:tc>
                <w:tcPr>
                  <w:tcW w:w="3205" w:type="pct"/>
                  <w:noWrap w:val="0"/>
                  <w:vAlign w:val="center"/>
                </w:tcPr>
                <w:p w14:paraId="067ACE90">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6.2.2该技术采用钙基[Ca（OH）</w:t>
                  </w:r>
                  <w:r>
                    <w:rPr>
                      <w:rFonts w:hint="default" w:ascii="Times New Roman" w:hAnsi="Times New Roman" w:eastAsia="宋体" w:cs="Times New Roman"/>
                      <w:color w:val="auto"/>
                      <w:sz w:val="21"/>
                      <w:szCs w:val="21"/>
                      <w:highlight w:val="none"/>
                      <w:vertAlign w:val="subscript"/>
                      <w:lang w:val="en-US" w:eastAsia="zh-CN"/>
                    </w:rPr>
                    <w:t>2</w:t>
                  </w:r>
                  <w:r>
                    <w:rPr>
                      <w:rFonts w:hint="default" w:ascii="Times New Roman" w:hAnsi="Times New Roman" w:eastAsia="宋体" w:cs="Times New Roman"/>
                      <w:color w:val="auto"/>
                      <w:sz w:val="21"/>
                      <w:szCs w:val="21"/>
                      <w:highlight w:val="none"/>
                      <w:lang w:val="en-US" w:eastAsia="zh-CN"/>
                    </w:rPr>
                    <w:t>、CaO]或钠</w:t>
                  </w:r>
                  <w:r>
                    <w:rPr>
                      <w:rFonts w:hint="eastAsia" w:ascii="Times New Roman" w:hAnsi="Times New Roman" w:cs="Times New Roman"/>
                      <w:color w:val="auto"/>
                      <w:sz w:val="21"/>
                      <w:szCs w:val="21"/>
                      <w:highlight w:val="none"/>
                      <w:lang w:val="en-US" w:eastAsia="zh-CN"/>
                    </w:rPr>
                    <w:t>基（</w:t>
                  </w:r>
                  <w:r>
                    <w:rPr>
                      <w:rFonts w:hint="default" w:ascii="Times New Roman" w:hAnsi="Times New Roman" w:eastAsia="宋体" w:cs="Times New Roman"/>
                      <w:color w:val="auto"/>
                      <w:sz w:val="21"/>
                      <w:szCs w:val="21"/>
                      <w:highlight w:val="none"/>
                      <w:lang w:val="en-US" w:eastAsia="zh-CN"/>
                    </w:rPr>
                    <w:t>NaHCO</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lang w:val="en-US" w:eastAsia="zh-CN"/>
                    </w:rPr>
                    <w:t>）脱硫吸触反应，生成固态化合物</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该技术脱硫效率一般可达85%以上</w:t>
                  </w:r>
                  <w:r>
                    <w:rPr>
                      <w:rFonts w:hint="eastAsia" w:ascii="Times New Roman" w:hAnsi="Times New Roman" w:cs="Times New Roman"/>
                      <w:color w:val="auto"/>
                      <w:sz w:val="21"/>
                      <w:szCs w:val="21"/>
                      <w:highlight w:val="none"/>
                      <w:lang w:val="en-US" w:eastAsia="zh-CN"/>
                    </w:rPr>
                    <w:t>，综需配合</w:t>
                  </w:r>
                  <w:r>
                    <w:rPr>
                      <w:rFonts w:hint="default" w:ascii="Times New Roman" w:hAnsi="Times New Roman" w:eastAsia="宋体" w:cs="Times New Roman"/>
                      <w:color w:val="auto"/>
                      <w:sz w:val="21"/>
                      <w:szCs w:val="21"/>
                      <w:highlight w:val="none"/>
                      <w:lang w:val="en-US" w:eastAsia="zh-CN"/>
                    </w:rPr>
                    <w:t>自动添加脱硫剂设备</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铸造工业用钠基吸收剂细度一般不小于800目，钙基吸收剂细度一般不小于300 目</w:t>
                  </w:r>
                </w:p>
              </w:tc>
              <w:tc>
                <w:tcPr>
                  <w:tcW w:w="916" w:type="pct"/>
                  <w:vMerge w:val="continue"/>
                  <w:noWrap w:val="0"/>
                  <w:vAlign w:val="center"/>
                </w:tcPr>
                <w:p w14:paraId="37757164">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cs="Times New Roman"/>
                      <w:color w:val="auto"/>
                      <w:sz w:val="21"/>
                      <w:szCs w:val="21"/>
                      <w:highlight w:val="none"/>
                      <w:lang w:val="en-US" w:eastAsia="zh-CN"/>
                    </w:rPr>
                  </w:pPr>
                </w:p>
              </w:tc>
              <w:tc>
                <w:tcPr>
                  <w:tcW w:w="217" w:type="pct"/>
                  <w:noWrap w:val="0"/>
                  <w:vAlign w:val="center"/>
                </w:tcPr>
                <w:p w14:paraId="0682DFA7">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1D83FF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restart"/>
                  <w:noWrap w:val="0"/>
                  <w:vAlign w:val="center"/>
                </w:tcPr>
                <w:p w14:paraId="4A988A7F">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6.3VOC</w:t>
                  </w:r>
                  <w:r>
                    <w:rPr>
                      <w:rFonts w:hint="default" w:ascii="Times New Roman" w:hAnsi="Times New Roman" w:eastAsia="宋体" w:cs="Times New Roman"/>
                      <w:color w:val="auto"/>
                      <w:sz w:val="21"/>
                      <w:szCs w:val="21"/>
                      <w:highlight w:val="none"/>
                      <w:vertAlign w:val="subscript"/>
                      <w:lang w:val="en-US" w:eastAsia="zh-CN"/>
                    </w:rPr>
                    <w:t>S</w:t>
                  </w:r>
                  <w:r>
                    <w:rPr>
                      <w:rFonts w:hint="default" w:ascii="Times New Roman" w:hAnsi="Times New Roman" w:eastAsia="宋体" w:cs="Times New Roman"/>
                      <w:color w:val="auto"/>
                      <w:sz w:val="21"/>
                      <w:szCs w:val="21"/>
                      <w:highlight w:val="none"/>
                      <w:vertAlign w:val="baseline"/>
                      <w:lang w:val="en-US" w:eastAsia="zh-CN"/>
                    </w:rPr>
                    <w:t>治理技术</w:t>
                  </w:r>
                </w:p>
              </w:tc>
              <w:tc>
                <w:tcPr>
                  <w:tcW w:w="3205" w:type="pct"/>
                  <w:noWrap w:val="0"/>
                  <w:vAlign w:val="center"/>
                </w:tcPr>
                <w:p w14:paraId="53C9553E">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6.3.1吸附技术：利用吸附剂（活性炭、分子筛等）吸附废气中的VOCs，使之与废气分离的方法技术，简称吸附技术，主要包括固定床吸附技术、移动床吸附技术、流化床吸附技术、旋转式吸附技术。铸造工业企业常用的吸附技术为固定床吸附技术和旋转式吸附技术。</w:t>
                  </w:r>
                </w:p>
                <w:p w14:paraId="3D7F8AC5">
                  <w:pPr>
                    <w:pStyle w:val="19"/>
                    <w:keepNext w:val="0"/>
                    <w:keepLines w:val="0"/>
                    <w:pageBreakBefore w:val="0"/>
                    <w:widowControl w:val="0"/>
                    <w:numPr>
                      <w:ilvl w:val="0"/>
                      <w:numId w:val="5"/>
                    </w:numPr>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固定床吸附技术一般使用活性炭作为吸附材料，吸附剂可更换或通过解吸后循环利用，入口废气颗粒物浓度宜低于1mg/m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、温度宜低于40℃、相对湿度（RH）宜低于80%。该技术适用于铸造生产中VOCs废气治理，使用该技术时应符合HJ2026的相关要求。</w:t>
                  </w:r>
                </w:p>
                <w:p w14:paraId="7D2B6650">
                  <w:pPr>
                    <w:pStyle w:val="19"/>
                    <w:keepNext w:val="0"/>
                    <w:keepLines w:val="0"/>
                    <w:pageBreakBefore w:val="0"/>
                    <w:widowControl w:val="0"/>
                    <w:numPr>
                      <w:ilvl w:val="0"/>
                      <w:numId w:val="5"/>
                    </w:numPr>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旋转式吸附技术一般使用分子筛作为吸附材料，脱附废气采用燃烧技术进行治理。入口废气颗粒物浓度宜低于1mg/m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、温度宜低于40℃、相对湿度（RH）宜低于80%，适用于铸造行业中使用溶剂型涂料且工况相对连续稳定的涂装工序VOCs废气的治理，使用该技术时应符合HJ2026的相关要求</w:t>
                  </w:r>
                  <w:r>
                    <w:rPr>
                      <w:rFonts w:hint="eastAsia" w:ascii="Times New Roman" w:hAnsi="Times New Roman" w:cs="Times New Roman"/>
                      <w:color w:val="auto"/>
                      <w:sz w:val="21"/>
                      <w:szCs w:val="21"/>
                      <w:highlight w:val="none"/>
                      <w:lang w:val="en-US" w:eastAsia="zh-CN"/>
                    </w:rPr>
                    <w:t>。</w:t>
                  </w:r>
                </w:p>
              </w:tc>
              <w:tc>
                <w:tcPr>
                  <w:tcW w:w="916" w:type="pct"/>
                  <w:vMerge w:val="restart"/>
                  <w:noWrap w:val="0"/>
                  <w:vAlign w:val="center"/>
                </w:tcPr>
                <w:p w14:paraId="55C6FB55">
                  <w:pPr>
                    <w:pStyle w:val="19"/>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w:t>
                  </w:r>
                  <w:r>
                    <w:rPr>
                      <w:rFonts w:hint="eastAsia" w:ascii="Times New Roman" w:hAnsi="Times New Roman" w:cs="Times New Roman"/>
                      <w:color w:val="auto"/>
                      <w:sz w:val="21"/>
                      <w:szCs w:val="21"/>
                      <w:highlight w:val="none"/>
                      <w:lang w:val="en-US" w:eastAsia="zh-CN"/>
                    </w:rPr>
                    <w:t>仅热处理工序涉及VOC</w:t>
                  </w:r>
                  <w:r>
                    <w:rPr>
                      <w:rFonts w:hint="eastAsia" w:ascii="Times New Roman" w:hAnsi="Times New Roman" w:cs="Times New Roman"/>
                      <w:color w:val="auto"/>
                      <w:sz w:val="21"/>
                      <w:szCs w:val="21"/>
                      <w:highlight w:val="none"/>
                      <w:vertAlign w:val="subscript"/>
                      <w:lang w:val="en-US" w:eastAsia="zh-CN"/>
                    </w:rPr>
                    <w:t>S</w:t>
                  </w:r>
                  <w:r>
                    <w:rPr>
                      <w:rFonts w:hint="eastAsia" w:ascii="Times New Roman" w:hAnsi="Times New Roman" w:cs="Times New Roman"/>
                      <w:color w:val="auto"/>
                      <w:sz w:val="21"/>
                      <w:szCs w:val="21"/>
                      <w:highlight w:val="none"/>
                      <w:vertAlign w:val="baseline"/>
                      <w:lang w:val="en-US" w:eastAsia="zh-CN"/>
                    </w:rPr>
                    <w:t>，热处理废气经集气罩收集后，经高压静电油烟净化处理，通过15m高DA003排气筒排放，该工序VOC</w:t>
                  </w:r>
                  <w:r>
                    <w:rPr>
                      <w:rFonts w:hint="eastAsia" w:ascii="Times New Roman" w:hAnsi="Times New Roman" w:cs="Times New Roman"/>
                      <w:color w:val="auto"/>
                      <w:sz w:val="21"/>
                      <w:szCs w:val="21"/>
                      <w:highlight w:val="none"/>
                      <w:vertAlign w:val="subscript"/>
                      <w:lang w:val="en-US" w:eastAsia="zh-CN"/>
                    </w:rPr>
                    <w:t>S</w:t>
                  </w:r>
                  <w:r>
                    <w:rPr>
                      <w:rFonts w:hint="eastAsia" w:ascii="Times New Roman" w:hAnsi="Times New Roman" w:cs="Times New Roman"/>
                      <w:color w:val="auto"/>
                      <w:sz w:val="21"/>
                      <w:szCs w:val="21"/>
                      <w:highlight w:val="none"/>
                      <w:vertAlign w:val="baseline"/>
                      <w:lang w:val="en-US" w:eastAsia="zh-CN"/>
                    </w:rPr>
                    <w:t>可实现达标排放。</w:t>
                  </w:r>
                </w:p>
              </w:tc>
              <w:tc>
                <w:tcPr>
                  <w:tcW w:w="217" w:type="pct"/>
                  <w:noWrap w:val="0"/>
                  <w:vAlign w:val="center"/>
                </w:tcPr>
                <w:p w14:paraId="108F88AC">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0151AD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continue"/>
                  <w:noWrap w:val="0"/>
                  <w:vAlign w:val="center"/>
                </w:tcPr>
                <w:p w14:paraId="70949648">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val="en-US" w:eastAsia="zh-CN"/>
                    </w:rPr>
                  </w:pPr>
                </w:p>
              </w:tc>
              <w:tc>
                <w:tcPr>
                  <w:tcW w:w="3205" w:type="pct"/>
                  <w:noWrap w:val="0"/>
                  <w:vAlign w:val="center"/>
                </w:tcPr>
                <w:p w14:paraId="6B9791E0">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6.3.2燃烧技术：通过热力燃烧或催化燃烧的方式，使废气中的VOCs转化为二氧化碳和水等物质，简称燃烧技术。主要包括催化燃烧技术、蓄热燃烧技术和热力燃烧技术。</w:t>
                  </w:r>
                </w:p>
                <w:p w14:paraId="7817ACD4">
                  <w:pPr>
                    <w:pStyle w:val="19"/>
                    <w:keepNext w:val="0"/>
                    <w:keepLines w:val="0"/>
                    <w:pageBreakBefore w:val="0"/>
                    <w:widowControl w:val="0"/>
                    <w:numPr>
                      <w:ilvl w:val="0"/>
                      <w:numId w:val="6"/>
                    </w:numPr>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催化燃烧技术在催化剂作用下使废气中</w:t>
                  </w:r>
                  <w:r>
                    <w:rPr>
                      <w:rFonts w:hint="eastAsia" w:ascii="Times New Roman" w:hAnsi="Times New Roman" w:cs="Times New Roman"/>
                      <w:color w:val="auto"/>
                      <w:sz w:val="21"/>
                      <w:szCs w:val="21"/>
                      <w:highlight w:val="none"/>
                      <w:lang w:val="en-US" w:eastAsia="zh-CN"/>
                    </w:rPr>
                    <w:t>的VOCs</w:t>
                  </w:r>
                  <w:r>
                    <w:rPr>
                      <w:rFonts w:hint="default" w:ascii="Times New Roman" w:hAnsi="Times New Roman" w:eastAsia="宋体" w:cs="Times New Roman"/>
                      <w:color w:val="auto"/>
                      <w:sz w:val="21"/>
                      <w:szCs w:val="21"/>
                      <w:highlight w:val="none"/>
                      <w:lang w:val="en-US" w:eastAsia="zh-CN"/>
                    </w:rPr>
                    <w:t>转化为二氧化碳、水等物质，适用于颗粒物浓度低于10mg/m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、温度低于400℃的废气治理。该技术VOCs去除效率一般可达95%以上，适用于铸造行业各工序产生的VOCs废气治理，一般与吸附技术联用，使用该技术时应符合HJ 2027的相关要求。</w:t>
                  </w:r>
                </w:p>
                <w:p w14:paraId="5BCFDF75">
                  <w:pPr>
                    <w:pStyle w:val="19"/>
                    <w:keepNext w:val="0"/>
                    <w:keepLines w:val="0"/>
                    <w:pageBreakBefore w:val="0"/>
                    <w:widowControl w:val="0"/>
                    <w:numPr>
                      <w:ilvl w:val="0"/>
                      <w:numId w:val="6"/>
                    </w:numPr>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蓄热燃烧技术采用燃烧的方法使废气中VOCs转化为二氧化碳、水等物质，并利用蓄热体对燃烧产生的热量蓄积和利用，VOCs去除效率一般可达95%以上，适用于铸造行业中使用溶剂型涂料且工况相对连续稳定的表面涂装工序VOCs废气的治理，一般与吸附技术联用，使用该技术时应符合</w:t>
                  </w:r>
                  <w:r>
                    <w:rPr>
                      <w:rFonts w:hint="eastAsia" w:ascii="Times New Roman" w:hAnsi="Times New Roman" w:cs="Times New Roman"/>
                      <w:color w:val="auto"/>
                      <w:sz w:val="21"/>
                      <w:szCs w:val="21"/>
                      <w:highlight w:val="none"/>
                      <w:lang w:val="en-US" w:eastAsia="zh-CN"/>
                    </w:rPr>
                    <w:t>HJ 1093</w:t>
                  </w:r>
                  <w:r>
                    <w:rPr>
                      <w:rFonts w:hint="default" w:ascii="Times New Roman" w:hAnsi="Times New Roman" w:eastAsia="宋体" w:cs="Times New Roman"/>
                      <w:color w:val="auto"/>
                      <w:sz w:val="21"/>
                      <w:szCs w:val="21"/>
                      <w:highlight w:val="none"/>
                      <w:lang w:val="en-US" w:eastAsia="zh-CN"/>
                    </w:rPr>
                    <w:t>的相关要求。</w:t>
                  </w:r>
                </w:p>
                <w:p w14:paraId="097FF854">
                  <w:pPr>
                    <w:pStyle w:val="19"/>
                    <w:keepNext w:val="0"/>
                    <w:keepLines w:val="0"/>
                    <w:pageBreakBefore w:val="0"/>
                    <w:widowControl w:val="0"/>
                    <w:numPr>
                      <w:ilvl w:val="0"/>
                      <w:numId w:val="6"/>
                    </w:numPr>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热力燃烧技术采用燃烧的方法使废气中的VOCs转化为二氧化碳、水等物质。该技术燃烧温度应控制在800℃～1000℃，废气应引入高温火焰区，一般滞留时间不小于0.5s，VOCs去除效率一般可达95%以上，热力燃烧设施应连续运行且有稳定高温环境（如连续式退火炉）。</w:t>
                  </w:r>
                </w:p>
              </w:tc>
              <w:tc>
                <w:tcPr>
                  <w:tcW w:w="916" w:type="pct"/>
                  <w:vMerge w:val="continue"/>
                  <w:noWrap w:val="0"/>
                  <w:vAlign w:val="center"/>
                </w:tcPr>
                <w:p w14:paraId="127DA93E">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p>
              </w:tc>
              <w:tc>
                <w:tcPr>
                  <w:tcW w:w="217" w:type="pct"/>
                  <w:noWrap w:val="0"/>
                  <w:vAlign w:val="center"/>
                </w:tcPr>
                <w:p w14:paraId="60EB5134">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719CC9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vMerge w:val="continue"/>
                  <w:noWrap w:val="0"/>
                  <w:vAlign w:val="center"/>
                </w:tcPr>
                <w:p w14:paraId="420C2F52">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val="en-US" w:eastAsia="zh-CN"/>
                    </w:rPr>
                  </w:pPr>
                </w:p>
              </w:tc>
              <w:tc>
                <w:tcPr>
                  <w:tcW w:w="3205" w:type="pct"/>
                  <w:noWrap w:val="0"/>
                  <w:vAlign w:val="center"/>
                </w:tcPr>
                <w:p w14:paraId="36D7AA7C">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6.3.3吸收技术：该技术通过使用液体吸收剂去除废气中某一气体组分或多种组分，一般可分为化学吸收法和物理吸收法。化学吸收法（酸碱中和）常用于处理冷芯盒法（三乙胺催化硬化）制芯过程中产生的三乙胺，去除效率一般可达60%以上；物理吸收法常用于处理热芯盒法制芯及部分浇注工序，去除效率一般可达60%以上。采用该技术有废水产生。</w:t>
                  </w:r>
                </w:p>
              </w:tc>
              <w:tc>
                <w:tcPr>
                  <w:tcW w:w="916" w:type="pct"/>
                  <w:vMerge w:val="continue"/>
                  <w:noWrap w:val="0"/>
                  <w:vAlign w:val="center"/>
                </w:tcPr>
                <w:p w14:paraId="37C66596">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p>
              </w:tc>
              <w:tc>
                <w:tcPr>
                  <w:tcW w:w="217" w:type="pct"/>
                  <w:noWrap w:val="0"/>
                  <w:vAlign w:val="center"/>
                </w:tcPr>
                <w:p w14:paraId="0B5A4D9C">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42974D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noWrap w:val="0"/>
                  <w:vAlign w:val="center"/>
                </w:tcPr>
                <w:p w14:paraId="5DA00F1B">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7.1物料储存过程控制措施</w:t>
                  </w:r>
                </w:p>
              </w:tc>
              <w:tc>
                <w:tcPr>
                  <w:tcW w:w="3205" w:type="pct"/>
                  <w:noWrap w:val="0"/>
                  <w:vAlign w:val="center"/>
                </w:tcPr>
                <w:p w14:paraId="5D388407">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7.1.1煤粉、膨润土等粉状物料和硅砂应袋装或罐装，并储存于封闭储库或半封闭料场（堆棚）中，半封闭料场（堆棚）应至少两面有围墙（围挡）及屋顶。</w:t>
                  </w:r>
                </w:p>
                <w:p w14:paraId="1DD1B7E1">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7.1.2生铁、废钢、铝合金锭、镁合金锭、铜合金锭、焦炭和铁合金等粒状、块状散装物料应储存于封闭储库、料仓中，或储存于半封闭料场（堆棚）中，或四周设置防风抑尘网、挡风墙，或采取覆盖措施。半封闭料场（堆棚）应至少两面有围墙（围挡）及屋顶；防风抑尘网、挡风墙高度应不低于堆存物料高度的1.1倍。</w:t>
                  </w:r>
                </w:p>
                <w:p w14:paraId="79F8BBDC">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7.1.3醇基涂料、树脂、固化剂、稀释剂、清洗剂等VOCs物料应储存于密闭的容器、包装袋、储库中；盛装VOCs物料的容器或包装袋应存放于室内，或存放于设置有雨棚、遮阳和防渗设施的专用场地。盛装VOCs物料的容器或包装袋在非取用状态时应加盖、封口，保持密闭。敞开液面VOCs无组织排放控制要求，应符合</w:t>
                  </w:r>
                  <w:r>
                    <w:rPr>
                      <w:rFonts w:hint="eastAsia" w:ascii="Times New Roman" w:hAnsi="Times New Roman" w:cs="Times New Roman"/>
                      <w:color w:val="auto"/>
                      <w:sz w:val="21"/>
                      <w:szCs w:val="21"/>
                      <w:highlight w:val="none"/>
                      <w:lang w:val="en-US" w:eastAsia="zh-CN"/>
                    </w:rPr>
                    <w:t>GB 37822</w:t>
                  </w:r>
                  <w:r>
                    <w:rPr>
                      <w:rFonts w:hint="default" w:ascii="Times New Roman" w:hAnsi="Times New Roman" w:eastAsia="宋体" w:cs="Times New Roman"/>
                      <w:color w:val="auto"/>
                      <w:sz w:val="21"/>
                      <w:szCs w:val="21"/>
                      <w:highlight w:val="none"/>
                      <w:lang w:val="en-US" w:eastAsia="zh-CN"/>
                    </w:rPr>
                    <w:t>的规定</w:t>
                  </w:r>
                </w:p>
              </w:tc>
              <w:tc>
                <w:tcPr>
                  <w:tcW w:w="916" w:type="pct"/>
                  <w:noWrap w:val="0"/>
                  <w:vAlign w:val="center"/>
                </w:tcPr>
                <w:p w14:paraId="05292D6F">
                  <w:pPr>
                    <w:pStyle w:val="19"/>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1.硅砂、水玻璃、固化剂入封闭储库/密闭罐；2.无VOCs物料，无需额外VOCs储存措施。</w:t>
                  </w:r>
                </w:p>
              </w:tc>
              <w:tc>
                <w:tcPr>
                  <w:tcW w:w="217" w:type="pct"/>
                  <w:noWrap w:val="0"/>
                  <w:vAlign w:val="center"/>
                </w:tcPr>
                <w:p w14:paraId="7E1124DC">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63B926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noWrap w:val="0"/>
                  <w:vAlign w:val="center"/>
                </w:tcPr>
                <w:p w14:paraId="2DE954E4">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7.2物料运输和转移过程控制措施</w:t>
                  </w:r>
                </w:p>
              </w:tc>
              <w:tc>
                <w:tcPr>
                  <w:tcW w:w="3205" w:type="pct"/>
                  <w:noWrap w:val="0"/>
                  <w:vAlign w:val="center"/>
                </w:tcPr>
                <w:p w14:paraId="07AC3F9C">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7.2.1铸造用砂、混配土等粉状物料应采用气力输送设备、管状或带式输送机、螺旋输送机、吨包袋密封装盛等密闭方式输送；粒状、块状散装物料采用封闭通廊的皮带、管状或带式输送机、吨包袋密封装盛等封闭方式输送，并减少转运点和缩短输送距离。</w:t>
                  </w:r>
                </w:p>
                <w:p w14:paraId="16584867">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7.2.2粉状物料的运输车辆</w:t>
                  </w:r>
                  <w:r>
                    <w:rPr>
                      <w:rFonts w:hint="eastAsia" w:ascii="Times New Roman" w:hAnsi="Times New Roman" w:cs="Times New Roman"/>
                      <w:color w:val="auto"/>
                      <w:sz w:val="21"/>
                      <w:szCs w:val="21"/>
                      <w:highlight w:val="none"/>
                      <w:lang w:val="en-US" w:eastAsia="zh-CN"/>
                    </w:rPr>
                    <w:t>应采用</w:t>
                  </w:r>
                  <w:r>
                    <w:rPr>
                      <w:rFonts w:hint="default" w:ascii="Times New Roman" w:hAnsi="Times New Roman" w:eastAsia="宋体" w:cs="Times New Roman"/>
                      <w:color w:val="auto"/>
                      <w:sz w:val="21"/>
                      <w:szCs w:val="21"/>
                      <w:highlight w:val="none"/>
                      <w:lang w:val="en-US" w:eastAsia="zh-CN"/>
                    </w:rPr>
                    <w:t>密闭罐车；粒状、块状散装物料的运输车辆</w:t>
                  </w:r>
                  <w:r>
                    <w:rPr>
                      <w:rFonts w:hint="eastAsia" w:ascii="Times New Roman" w:hAnsi="Times New Roman" w:cs="Times New Roman"/>
                      <w:color w:val="auto"/>
                      <w:sz w:val="21"/>
                      <w:szCs w:val="21"/>
                      <w:highlight w:val="none"/>
                      <w:lang w:val="en-US" w:eastAsia="zh-CN"/>
                    </w:rPr>
                    <w:t>应采用</w:t>
                  </w:r>
                  <w:r>
                    <w:rPr>
                      <w:rFonts w:hint="default" w:ascii="Times New Roman" w:hAnsi="Times New Roman" w:eastAsia="宋体" w:cs="Times New Roman"/>
                      <w:color w:val="auto"/>
                      <w:sz w:val="21"/>
                      <w:szCs w:val="21"/>
                      <w:highlight w:val="none"/>
                      <w:lang w:val="en-US" w:eastAsia="zh-CN"/>
                    </w:rPr>
                    <w:t>封闭车厢或苫盖严密。</w:t>
                  </w:r>
                </w:p>
                <w:p w14:paraId="38CCEF5E">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7.2.3除尘器卸灰口应采取密闭措施，除尘灰采取袋装、罐装等密闭方式收集、存放和运输，不得直接卸落到地面。</w:t>
                  </w:r>
                </w:p>
                <w:p w14:paraId="00E162A0">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7.2.4转移、输送过程中产尘点应采取集气除尘措施，或喷淋（雾）等抑尘措施。固定作业的产尘点宜优先采用收尘技术，在不影响生产和安全的前提下，尽量提高收尘罩的密闭性</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间歇式、非固定的产尘点，宜采用喷淋（雾）等抑尘技术。</w:t>
                  </w:r>
                </w:p>
                <w:p w14:paraId="0DC1CBB4">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7.2.5转移VOCs物料时，应采用密闭容器或密闭管道输送。</w:t>
                  </w:r>
                </w:p>
                <w:p w14:paraId="5EF31609">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7.2.6厂区道路宜硬化，并采取清扫、洒水等措施，保持清洁。</w:t>
                  </w:r>
                </w:p>
              </w:tc>
              <w:tc>
                <w:tcPr>
                  <w:tcW w:w="916" w:type="pct"/>
                  <w:noWrap w:val="0"/>
                  <w:vAlign w:val="center"/>
                </w:tcPr>
                <w:p w14:paraId="78740F4F">
                  <w:pPr>
                    <w:pStyle w:val="19"/>
                    <w:keepNext w:val="0"/>
                    <w:keepLines w:val="0"/>
                    <w:pageBreakBefore w:val="0"/>
                    <w:widowControl w:val="0"/>
                    <w:suppressLineNumbers w:val="0"/>
                    <w:spacing w:before="0" w:beforeAutospacing="0" w:after="0" w:afterAutospacing="0" w:line="240" w:lineRule="auto"/>
                    <w:ind w:left="0" w:right="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本项目粉状原辅材料密封包装，除尘器卸灰口采取密闭措施，除尘灰采取袋装、罐装等密闭方式收集、存放和运输。工序产尘点均配备集气罩收集粉尘，并配套布袋除尘器处理，设备内物料转运均密闭。</w:t>
                  </w:r>
                  <w:r>
                    <w:rPr>
                      <w:rFonts w:hint="default" w:ascii="Times New Roman" w:hAnsi="Times New Roman" w:eastAsia="宋体" w:cs="Times New Roman"/>
                      <w:color w:val="auto"/>
                      <w:sz w:val="21"/>
                      <w:szCs w:val="21"/>
                      <w:highlight w:val="none"/>
                      <w:lang w:val="en-US" w:eastAsia="zh-CN"/>
                    </w:rPr>
                    <w:t>厂区道路硬化，并采取清扫、洒水等措施，保持清洁。</w:t>
                  </w:r>
                </w:p>
              </w:tc>
              <w:tc>
                <w:tcPr>
                  <w:tcW w:w="217" w:type="pct"/>
                  <w:noWrap w:val="0"/>
                  <w:vAlign w:val="center"/>
                </w:tcPr>
                <w:p w14:paraId="69987C9F">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471A99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noWrap w:val="0"/>
                  <w:vAlign w:val="center"/>
                </w:tcPr>
                <w:p w14:paraId="1779A9E0">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7.3工艺生产过程控制措施</w:t>
                  </w:r>
                </w:p>
              </w:tc>
              <w:tc>
                <w:tcPr>
                  <w:tcW w:w="3205" w:type="pct"/>
                  <w:noWrap w:val="0"/>
                  <w:vAlign w:val="center"/>
                </w:tcPr>
                <w:p w14:paraId="45C254BA">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7.3.1原辅材料入炉前宜经机械预处理，清除其中的杂质。</w:t>
                  </w:r>
                </w:p>
                <w:p w14:paraId="3C1F79CD">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7.3.2冲天炉加料口应为负压状态，防止污染物外泄。</w:t>
                  </w:r>
                </w:p>
                <w:p w14:paraId="421A87A9">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7.3.3合箱、落砂、开箱、清砂、打磨等操作宜固定作业工位或场地，便于采取防尘措施。</w:t>
                  </w:r>
                </w:p>
                <w:p w14:paraId="32C08DD3">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7.3.4球化、孕育、调质、炉外精炼、除气等金属液处理宜定点处理，并安装集气罩和配备除尘设施。</w:t>
                  </w:r>
                </w:p>
                <w:p w14:paraId="6A1D43B1">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7.3.5落砂、清理、砂处理等宜在密闭（封闭）空间内操作，废气收集至除尘设施；未在封闭空间内操作的，应采取固定式、移动式集气设备，并配备除尘设施。</w:t>
                  </w:r>
                </w:p>
                <w:p w14:paraId="7B0061DD">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7.3.6造型、制芯、浇注工序宜在密闭（封闭）空间内操作，或安装集气罩，废气应排至除尘设施、VOCs废气收集处理系统</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涉恶臭气体排放的，应设有恶臭气体收集处理系统，恶臭排放应符合GB 14554的规定。</w:t>
                  </w:r>
                </w:p>
                <w:p w14:paraId="4E77F138">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7.3.7金属液转运应采用转运通廊，废气收集至除尘设施，或采用移动集气和除尘设施；无法采用上述措施的，应采用浇包包盖、覆盖、集渣覆盖层等措施减少无组织排放。</w:t>
                  </w:r>
                </w:p>
                <w:p w14:paraId="3561AEE3">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7.3.8金属液倒包、分包等操作宜设置固定工位，安装集气罩，并配备除尘设施。</w:t>
                  </w:r>
                </w:p>
                <w:p w14:paraId="5B00B201">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7.3.9含有机添加剂的粘土砂、树脂砂、壳型等铸造工艺浇注时宜及时引燃。</w:t>
                  </w:r>
                </w:p>
                <w:p w14:paraId="4DB1963E">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7.3.10清理（去除浇冒口、铲飞边毛刺等）和浇包、渣包的维修工序宜在封闭空间内操作，废气收集至除尘设施；未在封闭空间内操作的，应采取固定式、移动式集气设备并配备除尘设施，或采取喷淋（雾）等抑尘措施。</w:t>
                  </w:r>
                </w:p>
                <w:p w14:paraId="670F80AE">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7.3.11车间整体的无组织排放，可采用双流体干雾等抑尘技术。</w:t>
                  </w:r>
                </w:p>
                <w:p w14:paraId="599B9030">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7.3.12表面涂装的配料、涂装和有机溶剂清洗作业宜采用密闭设备或在密闭空间内进行；无法密闭的，应安装集气罩。废气排至VOCs废气收集处理系统。</w:t>
                  </w:r>
                </w:p>
                <w:p w14:paraId="7CBC3CD2">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7.3.13表面涂装工序宜集中作业，通过提高原辅材料及能源利用率、污染物收集率、污染治理设施运转率及其对污染物的去除效率，减少VOCs等污染物的</w:t>
                  </w:r>
                  <w:r>
                    <w:rPr>
                      <w:rFonts w:hint="eastAsia" w:ascii="Times New Roman" w:hAnsi="Times New Roman" w:cs="Times New Roman"/>
                      <w:color w:val="auto"/>
                      <w:sz w:val="21"/>
                      <w:szCs w:val="21"/>
                      <w:highlight w:val="none"/>
                      <w:lang w:val="en-US" w:eastAsia="zh-CN"/>
                    </w:rPr>
                    <w:t>排放量。</w:t>
                  </w:r>
                </w:p>
              </w:tc>
              <w:tc>
                <w:tcPr>
                  <w:tcW w:w="916" w:type="pct"/>
                  <w:noWrap w:val="0"/>
                  <w:vAlign w:val="center"/>
                </w:tcPr>
                <w:p w14:paraId="14DEBA16">
                  <w:pPr>
                    <w:pStyle w:val="19"/>
                    <w:keepNext w:val="0"/>
                    <w:keepLines w:val="0"/>
                    <w:pageBreakBefore w:val="0"/>
                    <w:widowControl w:val="0"/>
                    <w:suppressLineNumbers w:val="0"/>
                    <w:spacing w:before="0" w:beforeAutospacing="0" w:after="0" w:afterAutospacing="0" w:line="240" w:lineRule="auto"/>
                    <w:ind w:left="0" w:right="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本项目原料不锈钢等入炉前</w:t>
                  </w:r>
                  <w:r>
                    <w:rPr>
                      <w:rFonts w:hint="eastAsia" w:ascii="Times New Roman" w:hAnsi="Times New Roman" w:cs="Times New Roman"/>
                      <w:color w:val="auto"/>
                      <w:sz w:val="21"/>
                      <w:szCs w:val="21"/>
                      <w:highlight w:val="none"/>
                      <w:lang w:val="en-US" w:eastAsia="zh-CN"/>
                    </w:rPr>
                    <w:t>不</w:t>
                  </w:r>
                  <w:r>
                    <w:rPr>
                      <w:rFonts w:hint="default" w:ascii="Times New Roman" w:hAnsi="Times New Roman" w:cs="Times New Roman"/>
                      <w:color w:val="auto"/>
                      <w:sz w:val="21"/>
                      <w:szCs w:val="21"/>
                      <w:highlight w:val="none"/>
                      <w:lang w:val="en-US" w:eastAsia="zh-CN"/>
                    </w:rPr>
                    <w:t>经机械预处理；本项目不涉及冲天炉；落砂、清理、砂处理</w:t>
                  </w:r>
                  <w:r>
                    <w:rPr>
                      <w:rFonts w:hint="eastAsia" w:ascii="Times New Roman" w:hAnsi="Times New Roman" w:cs="Times New Roman"/>
                      <w:color w:val="auto"/>
                      <w:sz w:val="21"/>
                      <w:szCs w:val="21"/>
                      <w:highlight w:val="none"/>
                      <w:lang w:val="en-US" w:eastAsia="zh-CN"/>
                    </w:rPr>
                    <w:t>等</w:t>
                  </w:r>
                  <w:r>
                    <w:rPr>
                      <w:rFonts w:hint="default" w:ascii="Times New Roman" w:hAnsi="Times New Roman" w:cs="Times New Roman"/>
                      <w:color w:val="auto"/>
                      <w:sz w:val="21"/>
                      <w:szCs w:val="21"/>
                      <w:highlight w:val="none"/>
                      <w:lang w:val="en-US" w:eastAsia="zh-CN"/>
                    </w:rPr>
                    <w:t>工序均在固定场地操作，产生的废气经布袋除尘器处理；金属液转运采用浇包包盖等措施减少无组织排放</w:t>
                  </w:r>
                  <w:r>
                    <w:rPr>
                      <w:rFonts w:hint="eastAsia" w:ascii="Times New Roman" w:hAnsi="Times New Roman" w:cs="Times New Roman"/>
                      <w:color w:val="auto"/>
                      <w:sz w:val="21"/>
                      <w:szCs w:val="21"/>
                      <w:highlight w:val="none"/>
                      <w:lang w:val="en-US" w:eastAsia="zh-CN"/>
                    </w:rPr>
                    <w:t>，不涉及倒包、分包；</w:t>
                  </w:r>
                  <w:r>
                    <w:rPr>
                      <w:rFonts w:hint="default" w:ascii="Times New Roman" w:hAnsi="Times New Roman" w:cs="Times New Roman"/>
                      <w:color w:val="auto"/>
                      <w:sz w:val="21"/>
                      <w:szCs w:val="21"/>
                      <w:highlight w:val="none"/>
                      <w:lang w:val="en-US" w:eastAsia="zh-CN"/>
                    </w:rPr>
                    <w:t>本项目</w:t>
                  </w:r>
                  <w:r>
                    <w:rPr>
                      <w:rFonts w:hint="default" w:ascii="Times New Roman" w:hAnsi="Times New Roman" w:eastAsia="宋体" w:cs="Times New Roman"/>
                      <w:color w:val="auto"/>
                      <w:sz w:val="21"/>
                      <w:szCs w:val="21"/>
                      <w:highlight w:val="none"/>
                      <w:lang w:val="en-US" w:eastAsia="zh-CN"/>
                    </w:rPr>
                    <w:t>球化、孕育</w:t>
                  </w:r>
                  <w:r>
                    <w:rPr>
                      <w:rFonts w:hint="eastAsia" w:ascii="Times New Roman" w:hAnsi="Times New Roman" w:cs="Times New Roman"/>
                      <w:color w:val="auto"/>
                      <w:sz w:val="21"/>
                      <w:szCs w:val="21"/>
                      <w:highlight w:val="none"/>
                      <w:lang w:val="en-US" w:eastAsia="zh-CN"/>
                    </w:rPr>
                    <w:t>等</w:t>
                  </w:r>
                  <w:r>
                    <w:rPr>
                      <w:rFonts w:hint="default" w:ascii="Times New Roman" w:hAnsi="Times New Roman" w:eastAsia="宋体" w:cs="Times New Roman"/>
                      <w:color w:val="auto"/>
                      <w:sz w:val="21"/>
                      <w:szCs w:val="21"/>
                      <w:highlight w:val="none"/>
                      <w:lang w:val="en-US" w:eastAsia="zh-CN"/>
                    </w:rPr>
                    <w:t>金属液处理过程</w:t>
                  </w:r>
                  <w:r>
                    <w:rPr>
                      <w:rFonts w:hint="eastAsia" w:ascii="Times New Roman" w:hAnsi="Times New Roman" w:cs="Times New Roman"/>
                      <w:color w:val="auto"/>
                      <w:sz w:val="21"/>
                      <w:szCs w:val="21"/>
                      <w:highlight w:val="none"/>
                      <w:lang w:val="en-US" w:eastAsia="zh-CN"/>
                    </w:rPr>
                    <w:t>在熔炼固定工位进行</w:t>
                  </w:r>
                  <w:r>
                    <w:rPr>
                      <w:rFonts w:hint="default" w:ascii="Times New Roman" w:hAnsi="Times New Roman" w:eastAsia="宋体" w:cs="Times New Roman"/>
                      <w:color w:val="auto"/>
                      <w:sz w:val="21"/>
                      <w:szCs w:val="21"/>
                      <w:highlight w:val="none"/>
                      <w:lang w:val="en-US" w:eastAsia="zh-CN"/>
                    </w:rPr>
                    <w:t>；本项目</w:t>
                  </w:r>
                  <w:r>
                    <w:rPr>
                      <w:rFonts w:hint="eastAsia" w:ascii="Times New Roman" w:hAnsi="Times New Roman" w:cs="Times New Roman"/>
                      <w:color w:val="auto"/>
                      <w:sz w:val="21"/>
                      <w:szCs w:val="21"/>
                      <w:highlight w:val="none"/>
                      <w:lang w:val="en-US" w:eastAsia="zh-CN"/>
                    </w:rPr>
                    <w:t>熔炼、</w:t>
                  </w:r>
                  <w:r>
                    <w:rPr>
                      <w:rFonts w:hint="default" w:ascii="Times New Roman" w:hAnsi="Times New Roman" w:eastAsia="宋体" w:cs="Times New Roman"/>
                      <w:color w:val="auto"/>
                      <w:sz w:val="21"/>
                      <w:szCs w:val="21"/>
                      <w:highlight w:val="none"/>
                      <w:lang w:val="en-US" w:eastAsia="zh-CN"/>
                    </w:rPr>
                    <w:t>造型、浇注等工序废气</w:t>
                  </w:r>
                  <w:r>
                    <w:rPr>
                      <w:rFonts w:hint="eastAsia" w:ascii="Times New Roman" w:hAnsi="Times New Roman" w:cs="Times New Roman"/>
                      <w:color w:val="auto"/>
                      <w:sz w:val="21"/>
                      <w:szCs w:val="21"/>
                      <w:highlight w:val="none"/>
                      <w:lang w:val="en-US" w:eastAsia="zh-CN"/>
                    </w:rPr>
                    <w:t>经收集</w:t>
                  </w:r>
                  <w:r>
                    <w:rPr>
                      <w:rFonts w:hint="default" w:ascii="Times New Roman" w:hAnsi="Times New Roman" w:eastAsia="宋体" w:cs="Times New Roman"/>
                      <w:color w:val="auto"/>
                      <w:sz w:val="21"/>
                      <w:szCs w:val="21"/>
                      <w:highlight w:val="none"/>
                      <w:lang w:val="en-US" w:eastAsia="zh-CN"/>
                    </w:rPr>
                    <w:t>排至除尘设施；本项目不涉及含有机添加剂的粘土砂、树脂砂、壳型等铸造工艺；清理等采取集气设备并配备除尘设施；本项目不涉及涂料使用。</w:t>
                  </w:r>
                </w:p>
              </w:tc>
              <w:tc>
                <w:tcPr>
                  <w:tcW w:w="217" w:type="pct"/>
                  <w:noWrap w:val="0"/>
                  <w:vAlign w:val="center"/>
                </w:tcPr>
                <w:p w14:paraId="52E7C4E1">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79D7CF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60" w:type="pct"/>
                  <w:noWrap w:val="0"/>
                  <w:vAlign w:val="center"/>
                </w:tcPr>
                <w:p w14:paraId="384EFBBC">
                  <w:pPr>
                    <w:pStyle w:val="19"/>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7.4废气收集系统控制要求</w:t>
                  </w:r>
                </w:p>
              </w:tc>
              <w:tc>
                <w:tcPr>
                  <w:tcW w:w="3205" w:type="pct"/>
                  <w:noWrap w:val="0"/>
                  <w:vAlign w:val="center"/>
                </w:tcPr>
                <w:p w14:paraId="26BB9CAC">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7.4.1废气收集系统排风罩（集气罩）的设置应满足GB/T 16758 的要求，并按照 GB/T 16758和WS/T757-2016规定的方法测量控制风速，测量点应选取在距排风罩开口面最远处无组织排放位置，VOCs的排风罩控制风速不应低于0.3m/s，颗粒物的排风罩控制风速不应低于WS/T 757-2016规定的限值。</w:t>
                  </w:r>
                </w:p>
                <w:p w14:paraId="27A252DD">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7.4.2应尽可能利用主体生产装置（如中频感应炉、抛丸机等）自身的集气系统进行收集。排风罩的配置应与所采用的生产工艺协调一致，不影响工艺操作。在保证收集能力的前提下，应结构简单，便于安装和维护管理。</w:t>
                  </w:r>
                </w:p>
                <w:p w14:paraId="4C421E26">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7.4.3排风罩应优先考虑采用密闭罩或排气柜，并保持一定的负压。当不能或不便采用密闭罩时，可根据生产操作要求选择半密闭罩或外部排风罩，并尽可能包围或靠近污染源，必要时可增设软帘围挡，以防止污染物</w:t>
                  </w:r>
                  <w:r>
                    <w:rPr>
                      <w:rFonts w:hint="eastAsia" w:ascii="Times New Roman" w:hAnsi="Times New Roman" w:cs="Times New Roman"/>
                      <w:color w:val="auto"/>
                      <w:sz w:val="21"/>
                      <w:szCs w:val="21"/>
                      <w:highlight w:val="none"/>
                      <w:lang w:val="en-US" w:eastAsia="zh-CN"/>
                    </w:rPr>
                    <w:t>外溢</w:t>
                  </w:r>
                  <w:r>
                    <w:rPr>
                      <w:rFonts w:hint="default" w:ascii="Times New Roman" w:hAnsi="Times New Roman" w:eastAsia="宋体" w:cs="Times New Roman"/>
                      <w:color w:val="auto"/>
                      <w:sz w:val="21"/>
                      <w:szCs w:val="21"/>
                      <w:highlight w:val="none"/>
                      <w:lang w:val="en-US" w:eastAsia="zh-CN"/>
                    </w:rPr>
                    <w:t>。</w:t>
                  </w:r>
                </w:p>
                <w:p w14:paraId="4D4242FD">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7.4.4排风罩的吸气方向应尽可能与污染气流运动方向一致，防止排风罩周围气流紊乱，避免或减弱干扰气流和送风气流等对吸气气流的影响。</w:t>
                  </w:r>
                </w:p>
                <w:p w14:paraId="746CA6E2">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7.4.5当废气产生点较多，彼此距离较远时，应适当分设多套收集系统。</w:t>
                  </w:r>
                </w:p>
                <w:p w14:paraId="30F6AA86">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7.4.6间歇运行工序或设备的收集系统管道或其支路上应设置自动调节阀，自动调节阀应在该工序或设备开启前开启。</w:t>
                  </w:r>
                </w:p>
                <w:p w14:paraId="5A89DC35">
                  <w:pPr>
                    <w:pStyle w:val="19"/>
                    <w:keepNext w:val="0"/>
                    <w:keepLines w:val="0"/>
                    <w:pageBreakBefore w:val="0"/>
                    <w:widowControl w:val="0"/>
                    <w:suppressLineNumbers w:val="0"/>
                    <w:spacing w:before="0" w:beforeAutospacing="0" w:after="0" w:afterAutospacing="0" w:line="240" w:lineRule="auto"/>
                    <w:ind w:left="0" w:right="0"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7.4.7废气收集处理系统应先于或与生产工艺设备同步运行。当废气收集处理系统发生故障或检修时，对应的生产工艺设备应停止运行，待检修完毕后同步投入使用；生产工艺设备不能停止运行或不能及时停止运行的，应设置废气应急处理设施或采取其他替代措施</w:t>
                  </w:r>
                  <w:r>
                    <w:rPr>
                      <w:rFonts w:hint="eastAsia" w:ascii="Times New Roman" w:hAnsi="Times New Roman" w:cs="Times New Roman"/>
                      <w:color w:val="auto"/>
                      <w:sz w:val="21"/>
                      <w:szCs w:val="21"/>
                      <w:highlight w:val="none"/>
                      <w:lang w:val="en-US" w:eastAsia="zh-CN"/>
                    </w:rPr>
                    <w:t>。</w:t>
                  </w:r>
                </w:p>
              </w:tc>
              <w:tc>
                <w:tcPr>
                  <w:tcW w:w="916" w:type="pct"/>
                  <w:noWrap w:val="0"/>
                  <w:vAlign w:val="center"/>
                </w:tcPr>
                <w:p w14:paraId="194ED4CF">
                  <w:pPr>
                    <w:pStyle w:val="19"/>
                    <w:keepNext w:val="0"/>
                    <w:keepLines w:val="0"/>
                    <w:pageBreakBefore w:val="0"/>
                    <w:widowControl w:val="0"/>
                    <w:suppressLineNumbers w:val="0"/>
                    <w:spacing w:before="0" w:beforeAutospacing="0" w:after="0" w:afterAutospacing="0" w:line="240" w:lineRule="auto"/>
                    <w:ind w:left="0" w:right="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废气收集系统排风罩（集气罩）的设置满足GB/T 16758 的要求</w:t>
                  </w:r>
                  <w:r>
                    <w:rPr>
                      <w:rFonts w:hint="eastAsia" w:ascii="Times New Roman" w:hAnsi="Times New Roman" w:cs="Times New Roman"/>
                      <w:color w:val="auto"/>
                      <w:sz w:val="21"/>
                      <w:szCs w:val="21"/>
                      <w:highlight w:val="none"/>
                      <w:lang w:val="en-US" w:eastAsia="zh-CN"/>
                    </w:rPr>
                    <w:t>。废气收集处理系统应先于或与生产工艺设备同步运行。当废气收集处理系统发生故障或检修时，对应的生产工艺设备应停止运行，待检修完毕后同步投入使用。</w:t>
                  </w:r>
                </w:p>
              </w:tc>
              <w:tc>
                <w:tcPr>
                  <w:tcW w:w="217" w:type="pct"/>
                  <w:noWrap w:val="0"/>
                  <w:vAlign w:val="center"/>
                </w:tcPr>
                <w:p w14:paraId="1C09179F">
                  <w:pPr>
                    <w:keepNext w:val="0"/>
                    <w:keepLines w:val="0"/>
                    <w:pageBreakBefore w:val="0"/>
                    <w:widowControl w:val="0"/>
                    <w:suppressLineNumbers w:val="0"/>
                    <w:spacing w:before="0" w:beforeAutospacing="0" w:after="0" w:afterAutospacing="0" w:line="240" w:lineRule="auto"/>
                    <w:ind w:left="48" w:right="48"/>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bl>
          <w:p w14:paraId="24C2E0B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2" w:firstLineChars="200"/>
              <w:jc w:val="both"/>
              <w:textAlignment w:val="auto"/>
              <w:rPr>
                <w:rFonts w:hint="eastAsia" w:ascii="Times New Roman" w:hAnsi="Times New Roman" w:eastAsia="宋体" w:cs="Times New Roman"/>
                <w:b/>
                <w:bCs/>
                <w:color w:val="auto"/>
                <w:kern w:val="2"/>
                <w:sz w:val="24"/>
                <w:szCs w:val="24"/>
                <w:lang w:val="en-US" w:eastAsia="zh-CN" w:bidi="ar"/>
              </w:rPr>
            </w:pPr>
            <w:r>
              <w:rPr>
                <w:rFonts w:hint="eastAsia" w:ascii="Times New Roman" w:hAnsi="Times New Roman" w:eastAsia="宋体" w:cs="Times New Roman"/>
                <w:b/>
                <w:bCs/>
                <w:color w:val="auto"/>
                <w:kern w:val="2"/>
                <w:sz w:val="24"/>
                <w:szCs w:val="24"/>
                <w:lang w:val="en-US" w:eastAsia="zh-CN" w:bidi="ar"/>
              </w:rPr>
              <w:t>6.</w:t>
            </w:r>
            <w:r>
              <w:rPr>
                <w:rFonts w:hint="eastAsia" w:ascii="Times New Roman" w:hAnsi="Times New Roman" w:cs="Times New Roman"/>
                <w:b/>
                <w:bCs/>
                <w:color w:val="auto"/>
                <w:kern w:val="2"/>
                <w:sz w:val="24"/>
                <w:szCs w:val="24"/>
                <w:lang w:val="en-US" w:eastAsia="zh-CN" w:bidi="ar"/>
              </w:rPr>
              <w:t>与</w:t>
            </w:r>
            <w:r>
              <w:rPr>
                <w:rFonts w:hint="eastAsia" w:ascii="Times New Roman" w:hAnsi="Times New Roman" w:eastAsia="宋体" w:cs="Times New Roman"/>
                <w:b/>
                <w:bCs/>
                <w:color w:val="auto"/>
                <w:kern w:val="2"/>
                <w:sz w:val="24"/>
                <w:szCs w:val="24"/>
                <w:lang w:val="en-US" w:eastAsia="zh-CN" w:bidi="ar"/>
              </w:rPr>
              <w:t>《铁力市国土空间总体规划（2021</w:t>
            </w:r>
            <w:r>
              <w:rPr>
                <w:rFonts w:hint="eastAsia" w:ascii="Times New Roman" w:hAnsi="Times New Roman" w:cs="Times New Roman"/>
                <w:b/>
                <w:bCs/>
                <w:color w:val="auto"/>
                <w:kern w:val="2"/>
                <w:sz w:val="24"/>
                <w:szCs w:val="24"/>
                <w:lang w:val="en-US" w:eastAsia="zh-CN" w:bidi="ar"/>
              </w:rPr>
              <w:t>—</w:t>
            </w:r>
            <w:r>
              <w:rPr>
                <w:rFonts w:hint="eastAsia" w:ascii="Times New Roman" w:hAnsi="Times New Roman" w:eastAsia="宋体" w:cs="Times New Roman"/>
                <w:b/>
                <w:bCs/>
                <w:color w:val="auto"/>
                <w:kern w:val="2"/>
                <w:sz w:val="24"/>
                <w:szCs w:val="24"/>
                <w:lang w:val="en-US" w:eastAsia="zh-CN" w:bidi="ar"/>
              </w:rPr>
              <w:t>2035年）》相符性分析</w:t>
            </w:r>
          </w:p>
          <w:p w14:paraId="45775C8B">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b w:val="0"/>
                <w:bCs w:val="0"/>
                <w:color w:val="auto"/>
                <w:kern w:val="2"/>
                <w:sz w:val="24"/>
                <w:szCs w:val="24"/>
                <w:lang w:val="en-US" w:eastAsia="zh-CN" w:bidi="ar"/>
              </w:rPr>
            </w:pPr>
            <w:r>
              <w:rPr>
                <w:rFonts w:hint="eastAsia" w:ascii="Times New Roman" w:hAnsi="Times New Roman" w:eastAsia="宋体" w:cs="Times New Roman"/>
                <w:b w:val="0"/>
                <w:bCs w:val="0"/>
                <w:color w:val="auto"/>
                <w:kern w:val="2"/>
                <w:sz w:val="24"/>
                <w:szCs w:val="24"/>
                <w:lang w:val="en-US" w:eastAsia="zh-CN" w:bidi="ar"/>
              </w:rPr>
              <w:t>《铁力市国土空间总体规划（2021</w:t>
            </w:r>
            <w:r>
              <w:rPr>
                <w:rFonts w:hint="eastAsia" w:ascii="Times New Roman" w:hAnsi="Times New Roman" w:cs="Times New Roman"/>
                <w:b w:val="0"/>
                <w:bCs w:val="0"/>
                <w:color w:val="auto"/>
                <w:kern w:val="2"/>
                <w:sz w:val="24"/>
                <w:szCs w:val="24"/>
                <w:lang w:val="en-US" w:eastAsia="zh-CN" w:bidi="ar"/>
              </w:rPr>
              <w:t>—</w:t>
            </w:r>
            <w:r>
              <w:rPr>
                <w:rFonts w:hint="eastAsia" w:ascii="Times New Roman" w:hAnsi="Times New Roman" w:eastAsia="宋体" w:cs="Times New Roman"/>
                <w:b w:val="0"/>
                <w:bCs w:val="0"/>
                <w:color w:val="auto"/>
                <w:kern w:val="2"/>
                <w:sz w:val="24"/>
                <w:szCs w:val="24"/>
                <w:lang w:val="en-US" w:eastAsia="zh-CN" w:bidi="ar"/>
              </w:rPr>
              <w:t>2035年）》中指出：</w:t>
            </w:r>
          </w:p>
          <w:p w14:paraId="44FFED71">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b w:val="0"/>
                <w:bCs w:val="0"/>
                <w:color w:val="auto"/>
                <w:kern w:val="2"/>
                <w:sz w:val="24"/>
                <w:szCs w:val="24"/>
                <w:lang w:val="en-US" w:eastAsia="zh-CN" w:bidi="ar"/>
              </w:rPr>
            </w:pPr>
            <w:r>
              <w:rPr>
                <w:rFonts w:hint="eastAsia" w:ascii="Times New Roman" w:hAnsi="Times New Roman" w:eastAsia="宋体" w:cs="Times New Roman"/>
                <w:b w:val="0"/>
                <w:bCs w:val="0"/>
                <w:color w:val="auto"/>
                <w:kern w:val="2"/>
                <w:sz w:val="24"/>
                <w:szCs w:val="24"/>
                <w:lang w:val="en-US" w:eastAsia="zh-CN" w:bidi="ar"/>
              </w:rPr>
              <w:t>推进园区发展升级。加快推进食品及林下产品加工、医药产业、木材加工、钼矿深加工等产业。加工企业主要位于以双丰产业园和铁力工业园联动形成的经济开发区。加快推进现代商贸物流体系的建设，发展电子商贸物流、农产品物流、冷链物流一体化物流，合理布局城乡配送末端网点，形成物流仓储配送网络。主要位于铁力工业园，重点推进寒地龙药批发市场冷链仓储建设、中小微企业创业创新基地建设、仓储转运场地建设等。</w:t>
            </w:r>
          </w:p>
          <w:p w14:paraId="39FBE234">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b w:val="0"/>
                <w:bCs w:val="0"/>
                <w:color w:val="auto"/>
                <w:kern w:val="2"/>
                <w:sz w:val="24"/>
                <w:szCs w:val="24"/>
                <w:lang w:val="en-US" w:eastAsia="zh-CN" w:bidi="ar"/>
              </w:rPr>
            </w:pPr>
            <w:r>
              <w:rPr>
                <w:rFonts w:hint="eastAsia" w:ascii="Times New Roman" w:hAnsi="Times New Roman" w:eastAsia="宋体" w:cs="Times New Roman"/>
                <w:b w:val="0"/>
                <w:bCs w:val="0"/>
                <w:color w:val="auto"/>
                <w:kern w:val="2"/>
                <w:sz w:val="24"/>
                <w:szCs w:val="24"/>
                <w:lang w:val="en-US" w:eastAsia="zh-CN" w:bidi="ar"/>
              </w:rPr>
              <w:t>本项目</w:t>
            </w:r>
            <w:r>
              <w:rPr>
                <w:rFonts w:hint="eastAsia" w:ascii="Times New Roman" w:hAnsi="Times New Roman" w:cs="Times New Roman"/>
                <w:b w:val="0"/>
                <w:bCs w:val="0"/>
                <w:color w:val="auto"/>
                <w:kern w:val="2"/>
                <w:sz w:val="24"/>
                <w:szCs w:val="24"/>
                <w:lang w:val="en-US" w:eastAsia="zh-CN" w:bidi="ar"/>
              </w:rPr>
              <w:t>位于黑龙江铁力经济开发区内，</w:t>
            </w:r>
            <w:r>
              <w:rPr>
                <w:rFonts w:hint="eastAsia" w:ascii="Times New Roman" w:hAnsi="Times New Roman" w:eastAsia="宋体" w:cs="Times New Roman"/>
                <w:b w:val="0"/>
                <w:bCs w:val="0"/>
                <w:color w:val="auto"/>
                <w:kern w:val="2"/>
                <w:sz w:val="24"/>
                <w:szCs w:val="24"/>
                <w:lang w:val="en-US" w:eastAsia="zh-CN" w:bidi="ar"/>
              </w:rPr>
              <w:t>本项目属于金属制品业，位于装备制造及矿产精深加工区内，符合开发区规划产业定位及布局要求，</w:t>
            </w:r>
            <w:r>
              <w:rPr>
                <w:rFonts w:hint="eastAsia" w:ascii="Times New Roman" w:hAnsi="Times New Roman" w:cs="Times New Roman"/>
                <w:b w:val="0"/>
                <w:bCs w:val="0"/>
                <w:color w:val="auto"/>
                <w:kern w:val="2"/>
                <w:sz w:val="24"/>
                <w:szCs w:val="24"/>
                <w:lang w:val="en-US" w:eastAsia="zh-CN" w:bidi="ar"/>
              </w:rPr>
              <w:t>总体上</w:t>
            </w:r>
            <w:r>
              <w:rPr>
                <w:rFonts w:hint="eastAsia" w:ascii="Times New Roman" w:hAnsi="Times New Roman" w:eastAsia="宋体" w:cs="Times New Roman"/>
                <w:b w:val="0"/>
                <w:bCs w:val="0"/>
                <w:color w:val="auto"/>
                <w:kern w:val="2"/>
                <w:sz w:val="24"/>
                <w:szCs w:val="24"/>
                <w:lang w:val="en-US" w:eastAsia="zh-CN" w:bidi="ar"/>
              </w:rPr>
              <w:t>符合《伊春市国土空间总体规划（2021</w:t>
            </w:r>
            <w:r>
              <w:rPr>
                <w:rFonts w:hint="eastAsia" w:ascii="Times New Roman" w:hAnsi="Times New Roman" w:cs="Times New Roman"/>
                <w:b w:val="0"/>
                <w:bCs w:val="0"/>
                <w:color w:val="auto"/>
                <w:kern w:val="2"/>
                <w:sz w:val="24"/>
                <w:szCs w:val="24"/>
                <w:lang w:val="en-US" w:eastAsia="zh-CN" w:bidi="ar"/>
              </w:rPr>
              <w:t>—</w:t>
            </w:r>
            <w:r>
              <w:rPr>
                <w:rFonts w:hint="eastAsia" w:ascii="Times New Roman" w:hAnsi="Times New Roman" w:eastAsia="宋体" w:cs="Times New Roman"/>
                <w:b w:val="0"/>
                <w:bCs w:val="0"/>
                <w:color w:val="auto"/>
                <w:kern w:val="2"/>
                <w:sz w:val="24"/>
                <w:szCs w:val="24"/>
                <w:lang w:val="en-US" w:eastAsia="zh-CN" w:bidi="ar"/>
              </w:rPr>
              <w:t>2035年）》中相关要求。</w:t>
            </w:r>
          </w:p>
          <w:p w14:paraId="5449717A">
            <w:pPr>
              <w:keepNext w:val="0"/>
              <w:keepLines w:val="0"/>
              <w:pageBreakBefore w:val="0"/>
              <w:widowControl w:val="0"/>
              <w:suppressLineNumbers w:val="0"/>
              <w:kinsoku/>
              <w:wordWrap/>
              <w:overflowPunct/>
              <w:topLinePunct w:val="0"/>
              <w:autoSpaceDE/>
              <w:autoSpaceDN/>
              <w:bidi w:val="0"/>
              <w:adjustRightInd/>
              <w:snapToGrid/>
              <w:spacing w:before="0" w:beforeLines="50" w:beforeAutospacing="0" w:after="0" w:afterAutospacing="0" w:line="360" w:lineRule="auto"/>
              <w:ind w:left="0" w:right="0" w:firstLine="422" w:firstLineChars="200"/>
              <w:jc w:val="both"/>
              <w:textAlignment w:val="auto"/>
              <w:rPr>
                <w:rFonts w:hint="default"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7.与《黑龙江省工业炉窑大气污染综合治理方案》相符性分析</w:t>
            </w:r>
          </w:p>
          <w:p w14:paraId="4943E5B0">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b w:val="0"/>
                <w:bCs w:val="0"/>
                <w:color w:val="auto"/>
                <w:kern w:val="2"/>
                <w:sz w:val="24"/>
                <w:szCs w:val="24"/>
                <w:lang w:val="en-US" w:eastAsia="zh-CN" w:bidi="ar"/>
              </w:rPr>
            </w:pPr>
            <w:r>
              <w:rPr>
                <w:rFonts w:hint="eastAsia" w:ascii="Times New Roman" w:hAnsi="Times New Roman" w:eastAsia="宋体" w:cs="Times New Roman"/>
                <w:b w:val="0"/>
                <w:bCs w:val="0"/>
                <w:color w:val="auto"/>
                <w:kern w:val="2"/>
                <w:sz w:val="24"/>
                <w:szCs w:val="24"/>
                <w:lang w:val="en-US" w:eastAsia="zh-CN" w:bidi="ar"/>
              </w:rPr>
              <w:t>《黑龙江省工业炉窑大气污染综合治理方案》中指出：</w:t>
            </w:r>
          </w:p>
          <w:p w14:paraId="52EFA5F3">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b w:val="0"/>
                <w:bCs w:val="0"/>
                <w:color w:val="auto"/>
                <w:kern w:val="2"/>
                <w:sz w:val="24"/>
                <w:szCs w:val="24"/>
                <w:lang w:val="en-US" w:eastAsia="zh-CN" w:bidi="ar"/>
              </w:rPr>
            </w:pPr>
            <w:r>
              <w:rPr>
                <w:rFonts w:hint="eastAsia" w:ascii="Times New Roman" w:hAnsi="Times New Roman" w:eastAsia="宋体" w:cs="Times New Roman"/>
                <w:b w:val="0"/>
                <w:bCs w:val="0"/>
                <w:color w:val="auto"/>
                <w:kern w:val="2"/>
                <w:sz w:val="24"/>
                <w:szCs w:val="24"/>
                <w:lang w:val="en-US" w:eastAsia="zh-CN" w:bidi="ar"/>
              </w:rPr>
              <w:t>加快燃料清洁低碳化替代。对以煤、石油焦、渣油、重油等为燃料的工业炉窑，加快使用清洁低碳能源以及利用工厂余热、电厂热力等进行替代。玻璃行业全面禁止掺烧高硫石油焦。加大煤气发生炉淘汰力度。推动淘汰炉膛直径3米以下燃料类煤气发生炉。加快淘汰燃煤工业炉窑，加快取缔燃煤热风炉，加快淘汰热电联产供热管网覆盖范围内的燃煤加热、烘干炉</w:t>
            </w:r>
            <w:r>
              <w:rPr>
                <w:rFonts w:hint="eastAsia" w:ascii="Times New Roman" w:hAnsi="Times New Roman" w:cs="Times New Roman"/>
                <w:b w:val="0"/>
                <w:bCs w:val="0"/>
                <w:color w:val="auto"/>
                <w:kern w:val="2"/>
                <w:sz w:val="24"/>
                <w:szCs w:val="24"/>
                <w:lang w:val="en-US" w:eastAsia="zh-CN" w:bidi="ar"/>
              </w:rPr>
              <w:t>（</w:t>
            </w:r>
            <w:r>
              <w:rPr>
                <w:rFonts w:hint="eastAsia" w:ascii="Times New Roman" w:hAnsi="Times New Roman" w:eastAsia="宋体" w:cs="Times New Roman"/>
                <w:b w:val="0"/>
                <w:bCs w:val="0"/>
                <w:color w:val="auto"/>
                <w:kern w:val="2"/>
                <w:sz w:val="24"/>
                <w:szCs w:val="24"/>
                <w:lang w:val="en-US" w:eastAsia="zh-CN" w:bidi="ar"/>
              </w:rPr>
              <w:t>窑</w:t>
            </w:r>
            <w:r>
              <w:rPr>
                <w:rFonts w:hint="eastAsia" w:ascii="Times New Roman" w:hAnsi="Times New Roman" w:cs="Times New Roman"/>
                <w:b w:val="0"/>
                <w:bCs w:val="0"/>
                <w:color w:val="auto"/>
                <w:kern w:val="2"/>
                <w:sz w:val="24"/>
                <w:szCs w:val="24"/>
                <w:lang w:val="en-US" w:eastAsia="zh-CN" w:bidi="ar"/>
              </w:rPr>
              <w:t>）</w:t>
            </w:r>
            <w:r>
              <w:rPr>
                <w:rFonts w:hint="eastAsia" w:ascii="Times New Roman" w:hAnsi="Times New Roman" w:eastAsia="宋体" w:cs="Times New Roman"/>
                <w:b w:val="0"/>
                <w:bCs w:val="0"/>
                <w:color w:val="auto"/>
                <w:kern w:val="2"/>
                <w:sz w:val="24"/>
                <w:szCs w:val="24"/>
                <w:lang w:val="en-US" w:eastAsia="zh-CN" w:bidi="ar"/>
              </w:rPr>
              <w:t>；加快推动铸造</w:t>
            </w:r>
            <w:r>
              <w:rPr>
                <w:rFonts w:hint="eastAsia" w:ascii="Times New Roman" w:hAnsi="Times New Roman" w:cs="Times New Roman"/>
                <w:b w:val="0"/>
                <w:bCs w:val="0"/>
                <w:color w:val="auto"/>
                <w:kern w:val="2"/>
                <w:sz w:val="24"/>
                <w:szCs w:val="24"/>
                <w:lang w:val="en-US" w:eastAsia="zh-CN" w:bidi="ar"/>
              </w:rPr>
              <w:t>（</w:t>
            </w:r>
            <w:r>
              <w:rPr>
                <w:rFonts w:hint="eastAsia" w:ascii="Times New Roman" w:hAnsi="Times New Roman" w:eastAsia="宋体" w:cs="Times New Roman"/>
                <w:b w:val="0"/>
                <w:bCs w:val="0"/>
                <w:color w:val="auto"/>
                <w:kern w:val="2"/>
                <w:sz w:val="24"/>
                <w:szCs w:val="24"/>
                <w:lang w:val="en-US" w:eastAsia="zh-CN" w:bidi="ar"/>
              </w:rPr>
              <w:t>10吨/小时及以下</w:t>
            </w:r>
            <w:r>
              <w:rPr>
                <w:rFonts w:hint="eastAsia" w:ascii="Times New Roman" w:hAnsi="Times New Roman" w:cs="Times New Roman"/>
                <w:b w:val="0"/>
                <w:bCs w:val="0"/>
                <w:color w:val="auto"/>
                <w:kern w:val="2"/>
                <w:sz w:val="24"/>
                <w:szCs w:val="24"/>
                <w:lang w:val="en-US" w:eastAsia="zh-CN" w:bidi="ar"/>
              </w:rPr>
              <w:t>）</w:t>
            </w:r>
            <w:r>
              <w:rPr>
                <w:rFonts w:hint="eastAsia" w:ascii="Times New Roman" w:hAnsi="Times New Roman" w:eastAsia="宋体" w:cs="Times New Roman"/>
                <w:b w:val="0"/>
                <w:bCs w:val="0"/>
                <w:color w:val="auto"/>
                <w:kern w:val="2"/>
                <w:sz w:val="24"/>
                <w:szCs w:val="24"/>
                <w:lang w:val="en-US" w:eastAsia="zh-CN" w:bidi="ar"/>
              </w:rPr>
              <w:t>、岩棉等行业冲天炉改为电炉。</w:t>
            </w:r>
          </w:p>
          <w:p w14:paraId="69184A9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b w:val="0"/>
                <w:bCs w:val="0"/>
                <w:color w:val="auto"/>
                <w:kern w:val="2"/>
                <w:sz w:val="24"/>
                <w:szCs w:val="24"/>
                <w:lang w:val="en-US" w:eastAsia="zh-CN" w:bidi="ar"/>
              </w:rPr>
            </w:pPr>
            <w:r>
              <w:rPr>
                <w:rFonts w:hint="eastAsia" w:ascii="Times New Roman" w:hAnsi="Times New Roman" w:eastAsia="宋体" w:cs="Times New Roman"/>
                <w:b w:val="0"/>
                <w:bCs w:val="0"/>
                <w:color w:val="auto"/>
                <w:kern w:val="2"/>
                <w:sz w:val="24"/>
                <w:szCs w:val="24"/>
                <w:lang w:val="en-US" w:eastAsia="zh-CN" w:bidi="ar"/>
              </w:rPr>
              <w:t>开展工业园区和产业集群综合整治。各地要加大涉工业炉窑类工业园区和产业集群的综合整治力度，结合“三线一单”</w:t>
            </w:r>
            <w:r>
              <w:rPr>
                <w:rFonts w:hint="eastAsia" w:ascii="Times New Roman" w:hAnsi="Times New Roman" w:cs="Times New Roman"/>
                <w:b w:val="0"/>
                <w:bCs w:val="0"/>
                <w:color w:val="auto"/>
                <w:kern w:val="2"/>
                <w:sz w:val="24"/>
                <w:szCs w:val="24"/>
                <w:lang w:val="en-US" w:eastAsia="zh-CN" w:bidi="ar"/>
              </w:rPr>
              <w:t>（</w:t>
            </w:r>
            <w:r>
              <w:rPr>
                <w:rFonts w:hint="eastAsia" w:ascii="Times New Roman" w:hAnsi="Times New Roman" w:eastAsia="宋体" w:cs="Times New Roman"/>
                <w:b w:val="0"/>
                <w:bCs w:val="0"/>
                <w:color w:val="auto"/>
                <w:kern w:val="2"/>
                <w:sz w:val="24"/>
                <w:szCs w:val="24"/>
                <w:lang w:val="en-US" w:eastAsia="zh-CN" w:bidi="ar"/>
              </w:rPr>
              <w:t>生态保护红线、环境质量底线、资源利用上线和生态环境准入清单</w:t>
            </w:r>
            <w:r>
              <w:rPr>
                <w:rFonts w:hint="eastAsia" w:ascii="Times New Roman" w:hAnsi="Times New Roman" w:cs="Times New Roman"/>
                <w:b w:val="0"/>
                <w:bCs w:val="0"/>
                <w:color w:val="auto"/>
                <w:kern w:val="2"/>
                <w:sz w:val="24"/>
                <w:szCs w:val="24"/>
                <w:lang w:val="en-US" w:eastAsia="zh-CN" w:bidi="ar"/>
              </w:rPr>
              <w:t>）</w:t>
            </w:r>
            <w:r>
              <w:rPr>
                <w:rFonts w:hint="eastAsia" w:ascii="Times New Roman" w:hAnsi="Times New Roman" w:eastAsia="宋体" w:cs="Times New Roman"/>
                <w:b w:val="0"/>
                <w:bCs w:val="0"/>
                <w:color w:val="auto"/>
                <w:kern w:val="2"/>
                <w:sz w:val="24"/>
                <w:szCs w:val="24"/>
                <w:lang w:val="en-US" w:eastAsia="zh-CN" w:bidi="ar"/>
              </w:rPr>
              <w:t>、规划环评等要求，进一步梳理确定园区和产业发展定位、规模及结构等；制定综合整治方案，对标先进企业，从生产工艺、产能规模、燃料类型、污染治理等方面提出明确要求，提升产业发展质量和环保治理水平</w:t>
            </w:r>
            <w:r>
              <w:rPr>
                <w:rFonts w:hint="eastAsia" w:ascii="Times New Roman" w:hAnsi="Times New Roman" w:cs="Times New Roman"/>
                <w:b w:val="0"/>
                <w:bCs w:val="0"/>
                <w:color w:val="auto"/>
                <w:kern w:val="2"/>
                <w:sz w:val="24"/>
                <w:szCs w:val="24"/>
                <w:lang w:val="en-US" w:eastAsia="zh-CN" w:bidi="ar"/>
              </w:rPr>
              <w:t>；</w:t>
            </w:r>
            <w:r>
              <w:rPr>
                <w:rFonts w:hint="eastAsia" w:ascii="Times New Roman" w:hAnsi="Times New Roman" w:eastAsia="宋体" w:cs="Times New Roman"/>
                <w:b w:val="0"/>
                <w:bCs w:val="0"/>
                <w:color w:val="auto"/>
                <w:kern w:val="2"/>
                <w:sz w:val="24"/>
                <w:szCs w:val="24"/>
                <w:lang w:val="en-US" w:eastAsia="zh-CN" w:bidi="ar"/>
              </w:rPr>
              <w:t>按照统一标准、统一时间表的要求，同步推进区域环境综合整治和企业升级改造。加强工业园区能源替代利用与资源共享；积极推广集中供汽供热或建设清洁能源中心等，替代工业炉窑燃料用煤；充分利用园区内工厂余热、焦炉煤气等清洁能源，加强分质与梯级利用，提高能源利用效率，促进形成清洁高效产业链。</w:t>
            </w:r>
          </w:p>
          <w:p w14:paraId="21F2462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b/>
                <w:bCs/>
                <w:color w:val="auto"/>
                <w:kern w:val="2"/>
                <w:sz w:val="24"/>
                <w:szCs w:val="24"/>
                <w:lang w:val="en-US" w:eastAsia="zh-CN" w:bidi="ar"/>
              </w:rPr>
            </w:pPr>
            <w:r>
              <w:rPr>
                <w:rFonts w:hint="eastAsia" w:ascii="Times New Roman" w:hAnsi="Times New Roman" w:eastAsia="宋体" w:cs="Times New Roman"/>
                <w:b w:val="0"/>
                <w:bCs w:val="0"/>
                <w:color w:val="auto"/>
                <w:kern w:val="2"/>
                <w:sz w:val="24"/>
                <w:szCs w:val="24"/>
                <w:lang w:val="en-US" w:eastAsia="zh-CN" w:bidi="ar"/>
              </w:rPr>
              <w:t>本项目位于黑龙江铁力经济开发区内，本项目属于金属制品业中黑色金属铸造，本项目使用带磁轭的有芯中频感应电炉，不使用煤、石油焦、渣油、重油等为燃料，总体上符合《黑龙江省工业炉窑大气污染综合治理方案》中相关要求。</w:t>
            </w:r>
          </w:p>
          <w:p w14:paraId="6CD84036">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auto"/>
                <w:kern w:val="2"/>
                <w:sz w:val="24"/>
                <w:szCs w:val="24"/>
                <w:lang w:val="en-US" w:eastAsia="zh-CN" w:bidi="ar"/>
              </w:rPr>
            </w:pPr>
            <w:r>
              <w:rPr>
                <w:rFonts w:hint="eastAsia" w:ascii="Times New Roman" w:hAnsi="Times New Roman" w:eastAsia="宋体" w:cs="Times New Roman"/>
                <w:b/>
                <w:bCs/>
                <w:color w:val="auto"/>
                <w:kern w:val="2"/>
                <w:sz w:val="24"/>
                <w:szCs w:val="24"/>
                <w:lang w:val="en-US" w:eastAsia="zh-CN" w:bidi="ar"/>
              </w:rPr>
              <w:t>8.</w:t>
            </w:r>
            <w:r>
              <w:rPr>
                <w:rFonts w:hint="default" w:ascii="Times New Roman" w:hAnsi="Times New Roman" w:eastAsia="宋体" w:cs="Times New Roman"/>
                <w:b/>
                <w:bCs/>
                <w:color w:val="auto"/>
                <w:kern w:val="2"/>
                <w:sz w:val="24"/>
                <w:szCs w:val="24"/>
                <w:lang w:val="en-US" w:eastAsia="zh-CN" w:bidi="ar"/>
              </w:rPr>
              <w:t>选址符合性分析</w:t>
            </w:r>
          </w:p>
          <w:p w14:paraId="711E3EE0">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bookmarkStart w:id="5" w:name="OLE_LINK48"/>
            <w:r>
              <w:rPr>
                <w:rFonts w:hint="default" w:ascii="Times New Roman" w:hAnsi="Times New Roman" w:eastAsia="宋体" w:cs="Times New Roman"/>
                <w:b w:val="0"/>
                <w:bCs w:val="0"/>
                <w:color w:val="auto"/>
                <w:kern w:val="2"/>
                <w:sz w:val="24"/>
                <w:szCs w:val="24"/>
                <w:lang w:val="en-US" w:eastAsia="zh-CN" w:bidi="ar"/>
              </w:rPr>
              <w:t>（1）与用地规划相符</w:t>
            </w:r>
          </w:p>
          <w:p w14:paraId="34615946">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r>
              <w:rPr>
                <w:rFonts w:hint="default" w:ascii="Times New Roman" w:hAnsi="Times New Roman" w:eastAsia="宋体" w:cs="Times New Roman"/>
                <w:b w:val="0"/>
                <w:bCs w:val="0"/>
                <w:color w:val="auto"/>
                <w:kern w:val="2"/>
                <w:sz w:val="24"/>
                <w:szCs w:val="24"/>
                <w:lang w:val="en-US" w:eastAsia="zh-CN" w:bidi="ar"/>
              </w:rPr>
              <w:t>本项目位于黑龙江铁力经济开发区，企业属于现有企业，已获得不动产权证，用地类型为工业用地，符合黑龙江铁力经济开发区用地规划要求。</w:t>
            </w:r>
          </w:p>
          <w:p w14:paraId="3ECCF3EF">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r>
              <w:rPr>
                <w:rFonts w:hint="default" w:ascii="Times New Roman" w:hAnsi="Times New Roman" w:eastAsia="宋体" w:cs="Times New Roman"/>
                <w:b w:val="0"/>
                <w:bCs w:val="0"/>
                <w:color w:val="auto"/>
                <w:kern w:val="2"/>
                <w:sz w:val="24"/>
                <w:szCs w:val="24"/>
                <w:lang w:val="en-US" w:eastAsia="zh-CN" w:bidi="ar"/>
              </w:rPr>
              <w:t>（2）与产业定位的</w:t>
            </w:r>
            <w:r>
              <w:rPr>
                <w:rFonts w:hint="eastAsia" w:ascii="Times New Roman" w:hAnsi="Times New Roman" w:cs="Times New Roman"/>
                <w:b w:val="0"/>
                <w:bCs w:val="0"/>
                <w:color w:val="auto"/>
                <w:kern w:val="2"/>
                <w:sz w:val="24"/>
                <w:szCs w:val="24"/>
                <w:lang w:val="en-US" w:eastAsia="zh-CN" w:bidi="ar"/>
              </w:rPr>
              <w:t>符合</w:t>
            </w:r>
            <w:r>
              <w:rPr>
                <w:rFonts w:hint="default" w:ascii="Times New Roman" w:hAnsi="Times New Roman" w:eastAsia="宋体" w:cs="Times New Roman"/>
                <w:b w:val="0"/>
                <w:bCs w:val="0"/>
                <w:color w:val="auto"/>
                <w:kern w:val="2"/>
                <w:sz w:val="24"/>
                <w:szCs w:val="24"/>
                <w:lang w:val="en-US" w:eastAsia="zh-CN" w:bidi="ar"/>
              </w:rPr>
              <w:t>性</w:t>
            </w:r>
          </w:p>
          <w:p w14:paraId="0FE21297">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r>
              <w:rPr>
                <w:rFonts w:hint="default" w:ascii="Times New Roman" w:hAnsi="Times New Roman" w:eastAsia="宋体" w:cs="Times New Roman"/>
                <w:b w:val="0"/>
                <w:bCs w:val="0"/>
                <w:color w:val="auto"/>
                <w:kern w:val="2"/>
                <w:sz w:val="24"/>
                <w:szCs w:val="24"/>
                <w:lang w:val="en-US" w:eastAsia="zh-CN" w:bidi="ar"/>
              </w:rPr>
              <w:t>根据《黑龙江铁力经济开发区总体规划（2021-2030年）》，重点发展装备制造和矿产精深加工，主要包括非金属矿物制品业、金属制品业、通用设备制造业、专用设备制造业、汽车制造业等。本项目属于金属制品业，位于装备制造及矿产精深加工区内，符合开发区规划产业定位及布局要求。</w:t>
            </w:r>
          </w:p>
          <w:p w14:paraId="6D0068D1">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r>
              <w:rPr>
                <w:rFonts w:hint="default" w:ascii="Times New Roman" w:hAnsi="Times New Roman" w:eastAsia="宋体" w:cs="Times New Roman"/>
                <w:b w:val="0"/>
                <w:bCs w:val="0"/>
                <w:color w:val="auto"/>
                <w:kern w:val="2"/>
                <w:sz w:val="24"/>
                <w:szCs w:val="24"/>
                <w:lang w:val="en-US" w:eastAsia="zh-CN" w:bidi="ar"/>
              </w:rPr>
              <w:t>（3）与环保规划的符合性</w:t>
            </w:r>
          </w:p>
          <w:p w14:paraId="007FBF9D">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r>
              <w:rPr>
                <w:rFonts w:hint="default" w:ascii="Times New Roman" w:hAnsi="Times New Roman" w:eastAsia="宋体" w:cs="Times New Roman"/>
                <w:b w:val="0"/>
                <w:bCs w:val="0"/>
                <w:color w:val="auto"/>
                <w:kern w:val="2"/>
                <w:sz w:val="24"/>
                <w:szCs w:val="24"/>
                <w:lang w:val="en-US" w:eastAsia="zh-CN" w:bidi="ar"/>
              </w:rPr>
              <w:t>本项目所在地基础设施均完善，其中供水及供电系统依托市政供水、供电；排水系统依托开发区排水管网以及已运行的铁力市经济开发区污水处理厂，生活污水通过化粪池排入污水管网，经铁力市经济开发区污水处理厂处理；一般固废分类收集后外售综合利用，生活垃圾由环卫部门处理，危险废物交由有资质的单位处置，因此可满足开发区环保规划要求。</w:t>
            </w:r>
          </w:p>
          <w:p w14:paraId="54EA2982">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r>
              <w:rPr>
                <w:rFonts w:hint="default" w:ascii="Times New Roman" w:hAnsi="Times New Roman" w:eastAsia="宋体" w:cs="Times New Roman"/>
                <w:b w:val="0"/>
                <w:bCs w:val="0"/>
                <w:color w:val="auto"/>
                <w:kern w:val="2"/>
                <w:sz w:val="24"/>
                <w:szCs w:val="24"/>
                <w:lang w:val="en-US" w:eastAsia="zh-CN" w:bidi="ar"/>
              </w:rPr>
              <w:t>（4）选址合理性分析</w:t>
            </w:r>
          </w:p>
          <w:p w14:paraId="3849A1EF">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r>
              <w:rPr>
                <w:rFonts w:hint="default" w:ascii="Times New Roman" w:hAnsi="Times New Roman" w:eastAsia="宋体" w:cs="Times New Roman"/>
                <w:b w:val="0"/>
                <w:bCs w:val="0"/>
                <w:color w:val="auto"/>
                <w:kern w:val="2"/>
                <w:sz w:val="24"/>
                <w:szCs w:val="24"/>
                <w:lang w:val="en-US" w:eastAsia="zh-CN" w:bidi="ar"/>
              </w:rPr>
              <w:t>本项目用地属工业用地，项目所在地附近区域无风景旅游区及国家、省、市级重点文物保护单位。</w:t>
            </w:r>
          </w:p>
          <w:p w14:paraId="7C91E3D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r>
              <w:rPr>
                <w:rFonts w:hint="default" w:ascii="Times New Roman" w:hAnsi="Times New Roman" w:eastAsia="宋体" w:cs="Times New Roman"/>
                <w:b w:val="0"/>
                <w:bCs w:val="0"/>
                <w:color w:val="auto"/>
                <w:kern w:val="2"/>
                <w:sz w:val="24"/>
                <w:szCs w:val="24"/>
                <w:lang w:val="en-US" w:eastAsia="zh-CN" w:bidi="ar"/>
              </w:rPr>
              <w:t>本项目位于黑龙江铁力经济开发区污水处理厂的收水范围内，本项目外排污水为生活污水，生活污水通过化粪池与经过隔油池+三级混凝斜管沉淀池处理的清洗废水一同排入市政管网，生活污水通过化粪池排入污水管网，经铁力市经济开发区污水处理厂处理，污水的妥善处理有保障，不会污染周边的水体。建设项目工艺废气经配套污染治理设施处理后达标排放。本项目运营期产生的各项污染物将会给环境带来一些不利影响，通过加强环境管理，并采取相应的环保措施后，可以有效地减缓或消除项目建设带来的不利影响，不会改变周围区域环境功能现状，项目外环境关系较为单纯。本项目建设与周边环境是相容的。</w:t>
            </w:r>
          </w:p>
          <w:p w14:paraId="38279691">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r>
              <w:rPr>
                <w:rFonts w:hint="default" w:ascii="Times New Roman" w:hAnsi="Times New Roman" w:eastAsia="宋体" w:cs="Times New Roman"/>
                <w:b w:val="0"/>
                <w:bCs w:val="0"/>
                <w:color w:val="auto"/>
                <w:kern w:val="2"/>
                <w:sz w:val="24"/>
                <w:szCs w:val="24"/>
                <w:lang w:val="en-US" w:eastAsia="zh-CN" w:bidi="ar"/>
              </w:rPr>
              <w:t>因此，项目选址合理。</w:t>
            </w:r>
            <w:bookmarkEnd w:id="5"/>
          </w:p>
          <w:p w14:paraId="11908173">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p>
          <w:p w14:paraId="686AB766">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p>
          <w:p w14:paraId="257EA0C9">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p>
          <w:p w14:paraId="613D1C63">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p>
          <w:p w14:paraId="57DD1983">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p>
          <w:p w14:paraId="063E49D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p>
          <w:p w14:paraId="509B9006">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p>
          <w:p w14:paraId="5DF5A52C">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p>
          <w:p w14:paraId="79FBA747">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p>
          <w:p w14:paraId="2D9EFEE3">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p>
          <w:p w14:paraId="6A60E97A">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p>
          <w:p w14:paraId="7BEBA2DD">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p>
          <w:p w14:paraId="5424D329">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kern w:val="2"/>
                <w:sz w:val="24"/>
                <w:szCs w:val="24"/>
                <w:lang w:val="en-US" w:eastAsia="zh-CN" w:bidi="ar"/>
              </w:rPr>
            </w:pPr>
          </w:p>
          <w:p w14:paraId="505EEB4A">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right="0"/>
              <w:jc w:val="both"/>
              <w:textAlignment w:val="auto"/>
              <w:rPr>
                <w:rFonts w:hint="default" w:ascii="Times New Roman" w:hAnsi="Times New Roman" w:eastAsia="宋体" w:cs="Times New Roman"/>
                <w:b w:val="0"/>
                <w:bCs w:val="0"/>
                <w:color w:val="auto"/>
                <w:kern w:val="2"/>
                <w:sz w:val="24"/>
                <w:szCs w:val="24"/>
                <w:lang w:val="en-US" w:eastAsia="zh-CN" w:bidi="ar"/>
              </w:rPr>
            </w:pPr>
          </w:p>
          <w:p w14:paraId="7D08B0C8">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b w:val="0"/>
                <w:bCs w:val="0"/>
                <w:color w:val="auto"/>
                <w:kern w:val="2"/>
                <w:sz w:val="24"/>
                <w:szCs w:val="24"/>
                <w:lang w:val="en-US" w:eastAsia="zh-CN" w:bidi="ar"/>
              </w:rPr>
            </w:pPr>
          </w:p>
        </w:tc>
      </w:tr>
    </w:tbl>
    <w:p w14:paraId="46EADB8F">
      <w:pPr>
        <w:outlineLvl w:val="0"/>
        <w:rPr>
          <w:rFonts w:hint="default" w:ascii="Times New Roman" w:hAnsi="Times New Roman" w:eastAsia="宋体" w:cs="Times New Roman"/>
          <w:color w:val="auto"/>
          <w:sz w:val="30"/>
          <w:highlight w:val="none"/>
        </w:rPr>
        <w:sectPr>
          <w:headerReference r:id="rId6" w:type="default"/>
          <w:footerReference r:id="rId7" w:type="default"/>
          <w:pgSz w:w="11906" w:h="16838" w:orient="landscape"/>
          <w:pgMar w:top="1440" w:right="1440" w:bottom="1440" w:left="1440" w:header="851" w:footer="1077" w:gutter="0"/>
          <w:pgBorders>
            <w:top w:val="none" w:sz="0" w:space="0"/>
            <w:left w:val="none" w:sz="0" w:space="0"/>
            <w:bottom w:val="none" w:sz="0" w:space="0"/>
            <w:right w:val="none" w:sz="0" w:space="0"/>
          </w:pgBorders>
          <w:pgNumType w:start="1"/>
          <w:cols w:space="720" w:num="1"/>
        </w:sectPr>
      </w:pPr>
    </w:p>
    <w:p w14:paraId="553096D7">
      <w:pPr>
        <w:pStyle w:val="53"/>
        <w:spacing w:before="120" w:beforeAutospacing="0" w:after="0" w:afterAutospacing="0"/>
        <w:jc w:val="center"/>
        <w:outlineLvl w:val="0"/>
        <w:rPr>
          <w:rFonts w:hint="default" w:ascii="Times New Roman" w:hAnsi="Times New Roman" w:eastAsia="宋体" w:cs="Times New Roman"/>
          <w:b/>
          <w:bCs/>
          <w:color w:val="auto"/>
          <w:sz w:val="28"/>
          <w:szCs w:val="28"/>
          <w:highlight w:val="none"/>
        </w:rPr>
      </w:pPr>
      <w:bookmarkStart w:id="6" w:name="_Toc29039"/>
      <w:r>
        <w:rPr>
          <w:rFonts w:hint="default" w:ascii="Times New Roman" w:hAnsi="Times New Roman" w:eastAsia="宋体" w:cs="Times New Roman"/>
          <w:b/>
          <w:bCs/>
          <w:color w:val="auto"/>
          <w:sz w:val="28"/>
          <w:szCs w:val="28"/>
          <w:highlight w:val="none"/>
        </w:rPr>
        <w:t>二、建设项目工程分析</w:t>
      </w:r>
      <w:bookmarkEnd w:id="6"/>
    </w:p>
    <w:tbl>
      <w:tblPr>
        <w:tblStyle w:val="56"/>
        <w:tblW w:w="502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549"/>
        <w:gridCol w:w="8498"/>
      </w:tblGrid>
      <w:tr w14:paraId="59543A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996" w:hRule="atLeast"/>
          <w:jc w:val="center"/>
        </w:trPr>
        <w:tc>
          <w:tcPr>
            <w:tcW w:w="303" w:type="pct"/>
            <w:noWrap w:val="0"/>
            <w:vAlign w:val="center"/>
          </w:tcPr>
          <w:p w14:paraId="458A5F54">
            <w:pPr>
              <w:pStyle w:val="53"/>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建设内容</w:t>
            </w:r>
          </w:p>
        </w:tc>
        <w:tc>
          <w:tcPr>
            <w:tcW w:w="4696" w:type="pct"/>
            <w:noWrap w:val="0"/>
            <w:vAlign w:val="top"/>
          </w:tcPr>
          <w:p w14:paraId="6F31D622">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eastAsia="宋体" w:cs="Times New Roman"/>
                <w:b/>
                <w:bCs/>
                <w:color w:val="auto"/>
                <w:sz w:val="24"/>
                <w:szCs w:val="24"/>
                <w:highlight w:val="none"/>
              </w:rPr>
            </w:pPr>
            <w:r>
              <w:rPr>
                <w:rFonts w:hint="eastAsia" w:ascii="Times New Roman" w:hAnsi="Times New Roman" w:cs="Times New Roman"/>
                <w:b/>
                <w:bCs/>
                <w:color w:val="auto"/>
                <w:sz w:val="24"/>
                <w:szCs w:val="24"/>
                <w:highlight w:val="none"/>
                <w:lang w:val="en-US" w:eastAsia="zh-CN"/>
              </w:rPr>
              <w:t>1 建设项目</w:t>
            </w:r>
            <w:r>
              <w:rPr>
                <w:rFonts w:hint="default" w:ascii="Times New Roman" w:hAnsi="Times New Roman" w:eastAsia="宋体" w:cs="Times New Roman"/>
                <w:b/>
                <w:bCs/>
                <w:color w:val="auto"/>
                <w:sz w:val="24"/>
                <w:szCs w:val="24"/>
                <w:highlight w:val="none"/>
              </w:rPr>
              <w:t>概况</w:t>
            </w:r>
          </w:p>
          <w:p w14:paraId="35F178D9">
            <w:pPr>
              <w:keepNext w:val="0"/>
              <w:keepLines w:val="0"/>
              <w:suppressLineNumbers w:val="0"/>
              <w:spacing w:before="0" w:beforeAutospacing="0" w:after="0" w:afterAutospacing="0"/>
              <w:ind w:left="0" w:right="0" w:firstLine="482"/>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1.1</w:t>
            </w:r>
            <w:r>
              <w:rPr>
                <w:rFonts w:hint="default" w:ascii="Times New Roman" w:hAnsi="Times New Roman" w:eastAsia="宋体" w:cs="Times New Roman"/>
                <w:b/>
                <w:bCs/>
                <w:color w:val="auto"/>
                <w:sz w:val="24"/>
                <w:szCs w:val="24"/>
                <w:highlight w:val="none"/>
              </w:rPr>
              <w:t>项目建设背景</w:t>
            </w:r>
          </w:p>
          <w:p w14:paraId="6EB164F1">
            <w:pPr>
              <w:keepNext w:val="0"/>
              <w:keepLines w:val="0"/>
              <w:suppressLineNumbers w:val="0"/>
              <w:spacing w:before="0" w:beforeAutospacing="0" w:after="0" w:afterAutospacing="0"/>
              <w:ind w:left="0" w:right="0" w:firstLine="48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eastAsia="zh-CN"/>
              </w:rPr>
              <w:t>铁力泓旭机械制造有限公司</w:t>
            </w:r>
            <w:r>
              <w:rPr>
                <w:rFonts w:hint="default" w:ascii="Times New Roman" w:hAnsi="Times New Roman" w:cs="Times New Roman"/>
                <w:color w:val="auto"/>
                <w:sz w:val="24"/>
                <w:szCs w:val="24"/>
                <w:highlight w:val="none"/>
                <w:lang w:val="en-US" w:eastAsia="zh-CN"/>
              </w:rPr>
              <w:t>于2015</w:t>
            </w:r>
            <w:r>
              <w:rPr>
                <w:rFonts w:hint="eastAsia" w:ascii="Times New Roman" w:hAnsi="Times New Roman" w:cs="Times New Roman"/>
                <w:color w:val="auto"/>
                <w:sz w:val="24"/>
                <w:szCs w:val="24"/>
                <w:highlight w:val="none"/>
                <w:lang w:val="en-US" w:eastAsia="zh-CN"/>
              </w:rPr>
              <w:t>年委托</w:t>
            </w:r>
            <w:r>
              <w:rPr>
                <w:rFonts w:hint="default" w:ascii="Times New Roman" w:hAnsi="Times New Roman" w:cs="Times New Roman"/>
                <w:color w:val="auto"/>
                <w:sz w:val="24"/>
                <w:szCs w:val="24"/>
                <w:highlight w:val="none"/>
                <w:lang w:val="en-US" w:eastAsia="zh-CN"/>
              </w:rPr>
              <w:t>第三方单位编制了《高速、快速列车制动盘生产线建设项目环境影响报告表》，该项目于2015年12月3日获得了原铁力市环境保护局批复（铁环发</w:t>
            </w:r>
            <w:r>
              <w:rPr>
                <w:rFonts w:hint="eastAsia" w:ascii="Times New Roman" w:hAnsi="Times New Roman" w:cs="Times New Roman"/>
                <w:color w:val="auto"/>
                <w:sz w:val="24"/>
                <w:szCs w:val="24"/>
                <w:highlight w:val="none"/>
                <w:lang w:val="en-US" w:eastAsia="zh-CN"/>
              </w:rPr>
              <w:t>〔2015〕91号</w:t>
            </w:r>
            <w:r>
              <w:rPr>
                <w:rFonts w:hint="default" w:ascii="Times New Roman" w:hAnsi="Times New Roman" w:cs="Times New Roman"/>
                <w:color w:val="auto"/>
                <w:sz w:val="24"/>
                <w:szCs w:val="24"/>
                <w:highlight w:val="none"/>
                <w:lang w:val="en-US" w:eastAsia="zh-CN"/>
              </w:rPr>
              <w:t>），批复建设内容为该项目建设地点位于黑龙江省伊春市铁力工业园区，总占地面积95698m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lang w:val="en-US" w:eastAsia="zh-CN"/>
              </w:rPr>
              <w:t>，总建筑面积25203m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vertAlign w:val="baseline"/>
                <w:lang w:val="en-US" w:eastAsia="zh-CN"/>
              </w:rPr>
              <w:t>，建设内容为</w:t>
            </w:r>
            <w:r>
              <w:rPr>
                <w:rFonts w:hint="default" w:ascii="Times New Roman" w:hAnsi="Times New Roman" w:cs="Times New Roman"/>
                <w:color w:val="auto"/>
                <w:sz w:val="24"/>
                <w:szCs w:val="24"/>
                <w:highlight w:val="none"/>
                <w:lang w:val="en-US" w:eastAsia="zh-CN"/>
              </w:rPr>
              <w:t>新建一条高速、快速列车制动盘生产线</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采用消失模铸造</w:t>
            </w:r>
            <w:r>
              <w:rPr>
                <w:rFonts w:hint="eastAsia" w:ascii="Times New Roman" w:hAnsi="Times New Roman" w:cs="Times New Roman"/>
                <w:color w:val="auto"/>
                <w:sz w:val="24"/>
                <w:szCs w:val="24"/>
                <w:highlight w:val="none"/>
                <w:lang w:val="en-US" w:eastAsia="zh-CN"/>
              </w:rPr>
              <w:t>工艺</w:t>
            </w:r>
            <w:r>
              <w:rPr>
                <w:rFonts w:hint="default" w:ascii="Times New Roman" w:hAnsi="Times New Roman" w:cs="Times New Roman"/>
                <w:color w:val="auto"/>
                <w:sz w:val="24"/>
                <w:szCs w:val="24"/>
                <w:highlight w:val="none"/>
                <w:lang w:val="en-US" w:eastAsia="zh-CN"/>
              </w:rPr>
              <w:t>，主要包括预发成型车间、涂装车间、熔铸车间等主体工程以及办公用房等辅助工程，总投资32100.46万元。该项目</w:t>
            </w:r>
            <w:r>
              <w:rPr>
                <w:rFonts w:hint="eastAsia" w:ascii="Times New Roman" w:hAnsi="Times New Roman" w:cs="Times New Roman"/>
                <w:color w:val="auto"/>
                <w:sz w:val="24"/>
                <w:szCs w:val="24"/>
                <w:highlight w:val="none"/>
                <w:lang w:val="en-US" w:eastAsia="zh-CN"/>
              </w:rPr>
              <w:t>于2019年</w:t>
            </w:r>
            <w:r>
              <w:rPr>
                <w:rFonts w:hint="default" w:ascii="Times New Roman" w:hAnsi="Times New Roman" w:cs="Times New Roman"/>
                <w:color w:val="auto"/>
                <w:sz w:val="24"/>
                <w:szCs w:val="24"/>
                <w:highlight w:val="none"/>
                <w:lang w:val="en-US" w:eastAsia="zh-CN"/>
              </w:rPr>
              <w:t>已完成生产车间及办公用房等建筑建设</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基于市场原因</w:t>
            </w:r>
            <w:r>
              <w:rPr>
                <w:rFonts w:hint="eastAsia" w:ascii="Times New Roman" w:hAnsi="Times New Roman" w:cs="Times New Roman"/>
                <w:color w:val="auto"/>
                <w:sz w:val="24"/>
                <w:szCs w:val="24"/>
                <w:highlight w:val="none"/>
                <w:lang w:val="en-US" w:eastAsia="zh-CN"/>
              </w:rPr>
              <w:t>，该</w:t>
            </w:r>
            <w:r>
              <w:rPr>
                <w:rFonts w:hint="default" w:ascii="Times New Roman" w:hAnsi="Times New Roman" w:cs="Times New Roman"/>
                <w:color w:val="auto"/>
                <w:sz w:val="24"/>
                <w:szCs w:val="24"/>
                <w:highlight w:val="none"/>
                <w:lang w:val="en-US" w:eastAsia="zh-CN"/>
              </w:rPr>
              <w:t>项目</w:t>
            </w:r>
            <w:r>
              <w:rPr>
                <w:rFonts w:hint="eastAsia" w:ascii="Times New Roman" w:hAnsi="Times New Roman" w:cs="Times New Roman"/>
                <w:color w:val="auto"/>
                <w:sz w:val="24"/>
                <w:szCs w:val="24"/>
                <w:highlight w:val="none"/>
                <w:lang w:val="en-US" w:eastAsia="zh-CN"/>
              </w:rPr>
              <w:t>尚未</w:t>
            </w:r>
            <w:r>
              <w:rPr>
                <w:rFonts w:hint="default" w:ascii="Times New Roman" w:hAnsi="Times New Roman" w:cs="Times New Roman"/>
                <w:color w:val="auto"/>
                <w:sz w:val="24"/>
                <w:szCs w:val="24"/>
                <w:highlight w:val="none"/>
                <w:lang w:val="en-US" w:eastAsia="zh-CN"/>
              </w:rPr>
              <w:t>竣工，并不再建设</w:t>
            </w:r>
            <w:r>
              <w:rPr>
                <w:rFonts w:hint="eastAsia" w:ascii="Times New Roman" w:hAnsi="Times New Roman" w:cs="Times New Roman"/>
                <w:color w:val="auto"/>
                <w:sz w:val="24"/>
                <w:szCs w:val="24"/>
                <w:highlight w:val="none"/>
                <w:lang w:val="en-US" w:eastAsia="zh-CN"/>
              </w:rPr>
              <w:t>及运行</w:t>
            </w:r>
            <w:r>
              <w:rPr>
                <w:rFonts w:hint="default" w:ascii="Times New Roman" w:hAnsi="Times New Roman" w:cs="Times New Roman"/>
                <w:color w:val="auto"/>
                <w:sz w:val="24"/>
                <w:szCs w:val="24"/>
                <w:highlight w:val="none"/>
                <w:lang w:val="en-US" w:eastAsia="zh-CN"/>
              </w:rPr>
              <w:t>。</w:t>
            </w:r>
          </w:p>
          <w:p w14:paraId="7EE22B00">
            <w:pPr>
              <w:keepNext w:val="0"/>
              <w:keepLines w:val="0"/>
              <w:suppressLineNumbers w:val="0"/>
              <w:spacing w:before="0" w:beforeAutospacing="0" w:after="0" w:afterAutospacing="0"/>
              <w:ind w:left="0" w:right="0"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本项目为铁力泓旭机械制造有限公司利用现有厂房建设年产5000吨耐磨铸件生产线项目，</w:t>
            </w:r>
            <w:r>
              <w:rPr>
                <w:rFonts w:hint="eastAsia" w:ascii="Times New Roman" w:hAnsi="Times New Roman" w:cs="Times New Roman"/>
                <w:color w:val="auto"/>
                <w:sz w:val="24"/>
                <w:szCs w:val="24"/>
                <w:highlight w:val="none"/>
                <w:lang w:val="en-US" w:eastAsia="zh-CN"/>
              </w:rPr>
              <w:t>年</w:t>
            </w:r>
            <w:r>
              <w:rPr>
                <w:rFonts w:hint="default" w:ascii="Times New Roman" w:hAnsi="Times New Roman" w:cs="Times New Roman"/>
                <w:color w:val="auto"/>
                <w:sz w:val="24"/>
                <w:szCs w:val="24"/>
                <w:highlight w:val="none"/>
                <w:lang w:val="en-US" w:eastAsia="zh-CN"/>
              </w:rPr>
              <w:t>产耐磨材料铸件</w:t>
            </w:r>
            <w:r>
              <w:rPr>
                <w:rFonts w:hint="eastAsia" w:ascii="Times New Roman" w:hAnsi="Times New Roman" w:cs="Times New Roman"/>
                <w:color w:val="auto"/>
                <w:sz w:val="24"/>
                <w:szCs w:val="24"/>
                <w:highlight w:val="none"/>
                <w:lang w:val="en-US" w:eastAsia="zh-CN"/>
              </w:rPr>
              <w:t>3000</w:t>
            </w:r>
            <w:r>
              <w:rPr>
                <w:rFonts w:hint="default" w:ascii="Times New Roman" w:hAnsi="Times New Roman" w:cs="Times New Roman"/>
                <w:color w:val="auto"/>
                <w:sz w:val="24"/>
                <w:szCs w:val="24"/>
                <w:highlight w:val="none"/>
                <w:lang w:val="en-US" w:eastAsia="zh-CN"/>
              </w:rPr>
              <w:t>t（主要为磨球，按照订单图纸生产）、耐磨耐热钢铸件和型材2000t（按照订单图纸生产）</w:t>
            </w:r>
            <w:r>
              <w:rPr>
                <w:rFonts w:hint="eastAsia" w:ascii="Times New Roman" w:hAnsi="Times New Roman" w:cs="Times New Roman"/>
                <w:color w:val="auto"/>
                <w:sz w:val="24"/>
                <w:szCs w:val="24"/>
                <w:highlight w:val="none"/>
                <w:lang w:val="en-US" w:eastAsia="zh-CN"/>
              </w:rPr>
              <w:t>，本项目采用铁模覆砂（水玻璃砂）铸造工艺，属于金属型覆砂复合铸造工艺，归属金属型铸造大类，不属于传统砂型铸造，是国家鼓励的先进、节能、绿色铸造工艺。</w:t>
            </w:r>
            <w:r>
              <w:rPr>
                <w:rFonts w:hint="default" w:ascii="Times New Roman" w:hAnsi="Times New Roman" w:eastAsia="宋体" w:cs="Times New Roman"/>
                <w:color w:val="auto"/>
                <w:sz w:val="24"/>
                <w:szCs w:val="24"/>
                <w:highlight w:val="none"/>
              </w:rPr>
              <w:t>本项目不新增建设用地，不新建厂房，主要利用企业现有已建成厂房，建设耐磨铸件生产线（年产耐磨材料铸件3000t/a、耐磨耐热钢铸件和型材2000t/a）</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由于《高速、快速列车制动盘生产线建设项目》不再建设及运行，同时本项目采用工艺、设备、建设内容不是在高速、快速列车制动盘生产线建设项目基础上进行的改扩建，属于全新项目，因此本次按新建项目报批环境影响评价文件。</w:t>
            </w:r>
          </w:p>
          <w:p w14:paraId="26C52C97">
            <w:pPr>
              <w:keepNext w:val="0"/>
              <w:keepLines w:val="0"/>
              <w:suppressLineNumbers w:val="0"/>
              <w:spacing w:before="0" w:beforeAutospacing="0" w:after="0" w:afterAutospacing="0"/>
              <w:ind w:left="0" w:right="0" w:firstLine="48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根据《中华人民共和国环境保护法》《中华人民共和国环境影响评价法》和《建设项目环境保护管理条例》等法律法规的规定，对照《建设项目环境影响评价分类管理名录》（2021年版）本项目属于“三十、金属制品业——68、铸造及其他金属制品制造；其他（仅分割、焊接、组装的除外）”，因此，</w:t>
            </w:r>
            <w:r>
              <w:rPr>
                <w:rFonts w:hint="default" w:ascii="Times New Roman" w:hAnsi="Times New Roman" w:cs="Times New Roman"/>
                <w:color w:val="auto"/>
                <w:sz w:val="24"/>
                <w:szCs w:val="24"/>
                <w:highlight w:val="none"/>
                <w:lang w:val="en-US" w:eastAsia="zh-CN"/>
              </w:rPr>
              <w:t>本项目</w:t>
            </w:r>
            <w:r>
              <w:rPr>
                <w:rFonts w:hint="default" w:ascii="Times New Roman" w:hAnsi="Times New Roman" w:eastAsia="宋体" w:cs="Times New Roman"/>
                <w:color w:val="auto"/>
                <w:sz w:val="24"/>
                <w:szCs w:val="24"/>
                <w:highlight w:val="none"/>
              </w:rPr>
              <w:t>需编制环境影响报告表</w:t>
            </w:r>
            <w:r>
              <w:rPr>
                <w:rFonts w:hint="default" w:ascii="Times New Roman" w:hAnsi="Times New Roman" w:cs="Times New Roman"/>
                <w:color w:val="auto"/>
                <w:sz w:val="24"/>
                <w:szCs w:val="24"/>
                <w:highlight w:val="none"/>
                <w:lang w:eastAsia="zh-CN"/>
              </w:rPr>
              <w:t>。</w:t>
            </w:r>
          </w:p>
          <w:p w14:paraId="73C60B51">
            <w:pPr>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表2-</w:t>
            </w:r>
            <w:r>
              <w:rPr>
                <w:rFonts w:hint="eastAsia" w:ascii="Times New Roman" w:hAnsi="Times New Roman" w:cs="Times New Roman"/>
                <w:b/>
                <w:color w:val="auto"/>
                <w:szCs w:val="21"/>
                <w:highlight w:val="none"/>
                <w:lang w:val="en-US" w:eastAsia="zh-CN"/>
              </w:rPr>
              <w:t>1</w:t>
            </w:r>
            <w:r>
              <w:rPr>
                <w:rFonts w:hint="default" w:ascii="Times New Roman" w:hAnsi="Times New Roman" w:eastAsia="宋体" w:cs="Times New Roman"/>
                <w:b/>
                <w:color w:val="auto"/>
                <w:szCs w:val="21"/>
                <w:highlight w:val="none"/>
              </w:rPr>
              <w:t xml:space="preserve"> 建设项目环境影响评价分类管理名录（2021年版，摘录）</w:t>
            </w:r>
          </w:p>
          <w:tbl>
            <w:tblPr>
              <w:tblStyle w:val="56"/>
              <w:tblW w:w="495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
            <w:tblGrid>
              <w:gridCol w:w="420"/>
              <w:gridCol w:w="1692"/>
              <w:gridCol w:w="2366"/>
              <w:gridCol w:w="3319"/>
              <w:gridCol w:w="580"/>
            </w:tblGrid>
            <w:tr w14:paraId="5D49409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97" w:hRule="atLeast"/>
                <w:jc w:val="center"/>
              </w:trPr>
              <w:tc>
                <w:tcPr>
                  <w:tcW w:w="1261" w:type="pct"/>
                  <w:gridSpan w:val="2"/>
                  <w:tcBorders>
                    <w:tl2br w:val="nil"/>
                    <w:tr2bl w:val="nil"/>
                  </w:tcBorders>
                  <w:noWrap w:val="0"/>
                  <w:vAlign w:val="top"/>
                </w:tcPr>
                <w:p w14:paraId="4F9D0409">
                  <w:pPr>
                    <w:pStyle w:val="31"/>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right"/>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 xml:space="preserve">环评类别    </w:t>
                  </w:r>
                </w:p>
                <w:p w14:paraId="08E397ED">
                  <w:pPr>
                    <w:pStyle w:val="31"/>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项目类别</w:t>
                  </w:r>
                </w:p>
              </w:tc>
              <w:tc>
                <w:tcPr>
                  <w:tcW w:w="1412" w:type="pct"/>
                  <w:tcBorders>
                    <w:tl2br w:val="nil"/>
                    <w:tr2bl w:val="nil"/>
                  </w:tcBorders>
                  <w:noWrap w:val="0"/>
                  <w:vAlign w:val="center"/>
                </w:tcPr>
                <w:p w14:paraId="680B4A93">
                  <w:pPr>
                    <w:pStyle w:val="31"/>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报告书</w:t>
                  </w:r>
                </w:p>
              </w:tc>
              <w:tc>
                <w:tcPr>
                  <w:tcW w:w="1981" w:type="pct"/>
                  <w:tcBorders>
                    <w:tl2br w:val="nil"/>
                    <w:tr2bl w:val="nil"/>
                  </w:tcBorders>
                  <w:noWrap w:val="0"/>
                  <w:vAlign w:val="center"/>
                </w:tcPr>
                <w:p w14:paraId="243B6F2F">
                  <w:pPr>
                    <w:pStyle w:val="31"/>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报告表</w:t>
                  </w:r>
                </w:p>
              </w:tc>
              <w:tc>
                <w:tcPr>
                  <w:tcW w:w="344" w:type="pct"/>
                  <w:tcBorders>
                    <w:tl2br w:val="nil"/>
                    <w:tr2bl w:val="nil"/>
                  </w:tcBorders>
                  <w:noWrap w:val="0"/>
                  <w:vAlign w:val="center"/>
                </w:tcPr>
                <w:p w14:paraId="2708DA6E">
                  <w:pPr>
                    <w:pStyle w:val="31"/>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登记表</w:t>
                  </w:r>
                </w:p>
              </w:tc>
            </w:tr>
            <w:tr w14:paraId="798C631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97" w:hRule="atLeast"/>
                <w:jc w:val="center"/>
              </w:trPr>
              <w:tc>
                <w:tcPr>
                  <w:tcW w:w="5000" w:type="pct"/>
                  <w:gridSpan w:val="5"/>
                  <w:tcBorders>
                    <w:tl2br w:val="nil"/>
                    <w:tr2bl w:val="nil"/>
                  </w:tcBorders>
                  <w:noWrap w:val="0"/>
                  <w:vAlign w:val="center"/>
                </w:tcPr>
                <w:p w14:paraId="01285A8C">
                  <w:pPr>
                    <w:pStyle w:val="31"/>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三十、金属制品业 33</w:t>
                  </w:r>
                </w:p>
              </w:tc>
            </w:tr>
            <w:tr w14:paraId="6DD5E13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97" w:hRule="atLeast"/>
                <w:jc w:val="center"/>
              </w:trPr>
              <w:tc>
                <w:tcPr>
                  <w:tcW w:w="251" w:type="pct"/>
                  <w:tcBorders>
                    <w:tl2br w:val="nil"/>
                    <w:tr2bl w:val="nil"/>
                  </w:tcBorders>
                  <w:noWrap w:val="0"/>
                  <w:vAlign w:val="center"/>
                </w:tcPr>
                <w:p w14:paraId="13B7D0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68</w:t>
                  </w:r>
                </w:p>
              </w:tc>
              <w:tc>
                <w:tcPr>
                  <w:tcW w:w="1009" w:type="pct"/>
                  <w:tcBorders>
                    <w:tl2br w:val="nil"/>
                    <w:tr2bl w:val="nil"/>
                  </w:tcBorders>
                  <w:noWrap w:val="0"/>
                  <w:vAlign w:val="center"/>
                </w:tcPr>
                <w:p w14:paraId="7C7DD5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铸造及其他金属制品制造 339</w:t>
                  </w:r>
                </w:p>
              </w:tc>
              <w:tc>
                <w:tcPr>
                  <w:tcW w:w="1412" w:type="pct"/>
                  <w:tcBorders>
                    <w:tl2br w:val="nil"/>
                    <w:tr2bl w:val="nil"/>
                  </w:tcBorders>
                  <w:noWrap w:val="0"/>
                  <w:vAlign w:val="center"/>
                </w:tcPr>
                <w:p w14:paraId="325B55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黑色金属铸造年产10万吨及以上的；有色金属铸造年产10万吨及以上的</w:t>
                  </w:r>
                </w:p>
              </w:tc>
              <w:tc>
                <w:tcPr>
                  <w:tcW w:w="1981" w:type="pct"/>
                  <w:tcBorders>
                    <w:tl2br w:val="nil"/>
                    <w:tr2bl w:val="nil"/>
                  </w:tcBorders>
                  <w:noWrap w:val="0"/>
                  <w:vAlign w:val="center"/>
                </w:tcPr>
                <w:p w14:paraId="3E7F59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其他（仅分割、焊接、组装的除外）</w:t>
                  </w:r>
                </w:p>
              </w:tc>
              <w:tc>
                <w:tcPr>
                  <w:tcW w:w="344" w:type="pct"/>
                  <w:tcBorders>
                    <w:tl2br w:val="nil"/>
                    <w:tr2bl w:val="nil"/>
                  </w:tcBorders>
                  <w:noWrap w:val="0"/>
                  <w:vAlign w:val="center"/>
                </w:tcPr>
                <w:p w14:paraId="25FD4F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bl>
          <w:p w14:paraId="6B235D7C">
            <w:pPr>
              <w:keepNext w:val="0"/>
              <w:keepLines w:val="0"/>
              <w:suppressLineNumbers w:val="0"/>
              <w:spacing w:before="0" w:beforeAutospacing="0" w:after="0" w:afterAutospacing="0"/>
              <w:ind w:left="0" w:right="0"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对照《固定污染源排污许可分类管理名录》（2019年版），本项目属于《名录》</w:t>
            </w:r>
            <w:r>
              <w:rPr>
                <w:rFonts w:hint="default" w:ascii="Times New Roman" w:hAnsi="Times New Roman" w:eastAsia="宋体" w:cs="Times New Roman"/>
                <w:color w:val="auto"/>
                <w:sz w:val="24"/>
                <w:szCs w:val="24"/>
                <w:highlight w:val="none"/>
                <w:lang w:val="en-US" w:eastAsia="zh-CN"/>
              </w:rPr>
              <w:t>中</w:t>
            </w:r>
            <w:r>
              <w:rPr>
                <w:rFonts w:hint="default" w:ascii="Times New Roman" w:hAnsi="Times New Roman" w:eastAsia="宋体" w:cs="Times New Roman"/>
                <w:color w:val="auto"/>
                <w:sz w:val="24"/>
                <w:szCs w:val="24"/>
                <w:highlight w:val="none"/>
              </w:rPr>
              <w:t>“二十八、金属制品业33”中</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82</w:t>
            </w:r>
            <w:r>
              <w:rPr>
                <w:rFonts w:hint="default" w:ascii="Times New Roman" w:hAnsi="Times New Roman" w:eastAsia="宋体" w:cs="Times New Roman"/>
                <w:color w:val="auto"/>
                <w:sz w:val="24"/>
                <w:szCs w:val="24"/>
                <w:highlight w:val="none"/>
              </w:rPr>
              <w:t xml:space="preserve"> 铸造及其他金属制品制造339</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除重点管理以外的黑色金属铸造3391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因此属于排污许可中“简化管理”。</w:t>
            </w:r>
          </w:p>
          <w:p w14:paraId="4E67F3DE">
            <w:pPr>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表2-</w:t>
            </w:r>
            <w:r>
              <w:rPr>
                <w:rFonts w:hint="eastAsia" w:ascii="Times New Roman" w:hAnsi="Times New Roman" w:cs="Times New Roman"/>
                <w:b/>
                <w:color w:val="auto"/>
                <w:szCs w:val="21"/>
                <w:highlight w:val="none"/>
                <w:lang w:val="en-US" w:eastAsia="zh-CN"/>
              </w:rPr>
              <w:t>2</w:t>
            </w:r>
            <w:r>
              <w:rPr>
                <w:rFonts w:hint="default" w:ascii="Times New Roman" w:hAnsi="Times New Roman" w:eastAsia="宋体" w:cs="Times New Roman"/>
                <w:b/>
                <w:color w:val="auto"/>
                <w:szCs w:val="21"/>
                <w:highlight w:val="none"/>
              </w:rPr>
              <w:t xml:space="preserve"> 固定污染源排污许可证分类管理名录（2019版）对照表（摘录）</w:t>
            </w:r>
          </w:p>
          <w:tbl>
            <w:tblPr>
              <w:tblStyle w:val="56"/>
              <w:tblW w:w="495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29"/>
              <w:gridCol w:w="1592"/>
              <w:gridCol w:w="2568"/>
              <w:gridCol w:w="2969"/>
              <w:gridCol w:w="725"/>
            </w:tblGrid>
            <w:tr w14:paraId="65C19E9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15" w:type="pct"/>
                  <w:noWrap w:val="0"/>
                  <w:vAlign w:val="center"/>
                </w:tcPr>
                <w:p w14:paraId="398BCDDD">
                  <w:pPr>
                    <w:keepNext w:val="0"/>
                    <w:keepLines w:val="0"/>
                    <w:pageBreakBefore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949" w:type="pct"/>
                  <w:noWrap w:val="0"/>
                  <w:vAlign w:val="center"/>
                </w:tcPr>
                <w:p w14:paraId="696FA0EA">
                  <w:pPr>
                    <w:keepNext w:val="0"/>
                    <w:keepLines w:val="0"/>
                    <w:pageBreakBefore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行业类别</w:t>
                  </w:r>
                </w:p>
              </w:tc>
              <w:tc>
                <w:tcPr>
                  <w:tcW w:w="1532" w:type="pct"/>
                  <w:noWrap w:val="0"/>
                  <w:vAlign w:val="center"/>
                </w:tcPr>
                <w:p w14:paraId="117D2C5F">
                  <w:pPr>
                    <w:keepNext w:val="0"/>
                    <w:keepLines w:val="0"/>
                    <w:pageBreakBefore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重点管理</w:t>
                  </w:r>
                </w:p>
              </w:tc>
              <w:tc>
                <w:tcPr>
                  <w:tcW w:w="1772" w:type="pct"/>
                  <w:noWrap w:val="0"/>
                  <w:vAlign w:val="center"/>
                </w:tcPr>
                <w:p w14:paraId="24D58916">
                  <w:pPr>
                    <w:keepNext w:val="0"/>
                    <w:keepLines w:val="0"/>
                    <w:pageBreakBefore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简化管理</w:t>
                  </w:r>
                </w:p>
              </w:tc>
              <w:tc>
                <w:tcPr>
                  <w:tcW w:w="431" w:type="pct"/>
                  <w:noWrap w:val="0"/>
                  <w:vAlign w:val="center"/>
                </w:tcPr>
                <w:p w14:paraId="02539D3E">
                  <w:pPr>
                    <w:keepNext w:val="0"/>
                    <w:keepLines w:val="0"/>
                    <w:pageBreakBefore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登记管理</w:t>
                  </w:r>
                </w:p>
              </w:tc>
            </w:tr>
            <w:tr w14:paraId="1101C95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5"/>
                  <w:noWrap w:val="0"/>
                  <w:vAlign w:val="center"/>
                </w:tcPr>
                <w:p w14:paraId="1847D131">
                  <w:pPr>
                    <w:keepNext w:val="0"/>
                    <w:keepLines w:val="0"/>
                    <w:pageBreakBefore w:val="0"/>
                    <w:widowControl/>
                    <w:suppressLineNumbers w:val="0"/>
                    <w:spacing w:before="0" w:beforeAutospacing="0" w:after="0" w:afterAutospacing="0" w:line="240" w:lineRule="auto"/>
                    <w:ind w:left="0" w:right="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 xml:space="preserve">二十八、金属制品业33 </w:t>
                  </w:r>
                </w:p>
              </w:tc>
            </w:tr>
            <w:tr w14:paraId="1F404B3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15" w:type="pct"/>
                  <w:noWrap w:val="0"/>
                  <w:vAlign w:val="center"/>
                </w:tcPr>
                <w:p w14:paraId="648D1B06">
                  <w:pPr>
                    <w:keepNext w:val="0"/>
                    <w:keepLines w:val="0"/>
                    <w:pageBreakBefore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82</w:t>
                  </w:r>
                </w:p>
              </w:tc>
              <w:tc>
                <w:tcPr>
                  <w:tcW w:w="949" w:type="pct"/>
                  <w:noWrap w:val="0"/>
                  <w:vAlign w:val="center"/>
                </w:tcPr>
                <w:p w14:paraId="0F34995A">
                  <w:pPr>
                    <w:keepNext w:val="0"/>
                    <w:keepLines w:val="0"/>
                    <w:pageBreakBefore w:val="0"/>
                    <w:widowControl/>
                    <w:suppressLineNumbers w:val="0"/>
                    <w:spacing w:before="0" w:beforeAutospacing="0" w:after="0" w:afterAutospacing="0" w:line="240" w:lineRule="auto"/>
                    <w:ind w:left="0" w:right="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铸造及其他金属制品制造339</w:t>
                  </w:r>
                </w:p>
              </w:tc>
              <w:tc>
                <w:tcPr>
                  <w:tcW w:w="1532" w:type="pct"/>
                  <w:noWrap w:val="0"/>
                  <w:vAlign w:val="center"/>
                </w:tcPr>
                <w:p w14:paraId="5E5E730B">
                  <w:pPr>
                    <w:keepNext w:val="0"/>
                    <w:keepLines w:val="0"/>
                    <w:pageBreakBefore w:val="0"/>
                    <w:widowControl/>
                    <w:suppressLineNumbers w:val="0"/>
                    <w:spacing w:before="0" w:beforeAutospacing="0" w:after="0" w:afterAutospacing="0" w:line="240" w:lineRule="auto"/>
                    <w:ind w:left="0" w:right="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黑色金属铸造3391（使用冲天炉的），有色金属铸造3392（生产铅基及铅青铜铸件的）</w:t>
                  </w:r>
                </w:p>
              </w:tc>
              <w:tc>
                <w:tcPr>
                  <w:tcW w:w="1772" w:type="pct"/>
                  <w:noWrap w:val="0"/>
                  <w:vAlign w:val="center"/>
                </w:tcPr>
                <w:p w14:paraId="64AAA3FD">
                  <w:pPr>
                    <w:keepNext w:val="0"/>
                    <w:keepLines w:val="0"/>
                    <w:pageBreakBefore w:val="0"/>
                    <w:widowControl/>
                    <w:suppressLineNumbers w:val="0"/>
                    <w:spacing w:before="0" w:beforeAutospacing="0" w:after="0" w:afterAutospacing="0" w:line="240" w:lineRule="auto"/>
                    <w:ind w:left="0" w:right="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除重点管理以外的黑色金属铸造3391</w:t>
                  </w:r>
                  <w:r>
                    <w:rPr>
                      <w:rFonts w:hint="default" w:ascii="Times New Roman" w:hAnsi="Times New Roman" w:eastAsia="宋体" w:cs="Times New Roman"/>
                      <w:color w:val="auto"/>
                      <w:sz w:val="21"/>
                      <w:szCs w:val="21"/>
                      <w:highlight w:val="none"/>
                    </w:rPr>
                    <w:t>、有色金属铸造3392</w:t>
                  </w:r>
                </w:p>
              </w:tc>
              <w:tc>
                <w:tcPr>
                  <w:tcW w:w="431" w:type="pct"/>
                  <w:noWrap w:val="0"/>
                  <w:vAlign w:val="center"/>
                </w:tcPr>
                <w:p w14:paraId="12D52927">
                  <w:pPr>
                    <w:keepNext w:val="0"/>
                    <w:keepLines w:val="0"/>
                    <w:pageBreakBefore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其他</w:t>
                  </w:r>
                </w:p>
              </w:tc>
            </w:tr>
          </w:tbl>
          <w:p w14:paraId="1932171F">
            <w:pPr>
              <w:keepNext w:val="0"/>
              <w:keepLines w:val="0"/>
              <w:pageBreakBefore w:val="0"/>
              <w:widowControl w:val="0"/>
              <w:suppressLineNumbers w:val="0"/>
              <w:kinsoku/>
              <w:wordWrap/>
              <w:overflowPunct/>
              <w:topLinePunct w:val="0"/>
              <w:autoSpaceDE/>
              <w:autoSpaceDN/>
              <w:bidi w:val="0"/>
              <w:adjustRightInd w:val="0"/>
              <w:snapToGrid w:val="0"/>
              <w:spacing w:before="0" w:beforeLines="50" w:beforeAutospacing="0" w:after="0" w:afterAutospacing="0" w:line="360" w:lineRule="auto"/>
              <w:ind w:left="0" w:right="0" w:firstLine="602" w:firstLineChars="200"/>
              <w:jc w:val="both"/>
              <w:textAlignment w:val="auto"/>
              <w:rPr>
                <w:rFonts w:hint="default" w:ascii="Times New Roman" w:hAnsi="Times New Roman" w:eastAsia="宋体" w:cs="Times New Roman"/>
                <w:b/>
                <w:bCs/>
                <w:color w:val="auto"/>
                <w:kern w:val="2"/>
                <w:sz w:val="30"/>
                <w:szCs w:val="30"/>
              </w:rPr>
            </w:pPr>
            <w:r>
              <w:rPr>
                <w:rFonts w:hint="eastAsia" w:ascii="Times New Roman" w:hAnsi="Times New Roman" w:cs="Times New Roman"/>
                <w:b/>
                <w:bCs/>
                <w:color w:val="auto"/>
                <w:kern w:val="2"/>
                <w:sz w:val="30"/>
                <w:szCs w:val="30"/>
                <w:lang w:val="en-US" w:eastAsia="zh-CN" w:bidi="ar"/>
              </w:rPr>
              <w:t>2. 项目</w:t>
            </w:r>
            <w:r>
              <w:rPr>
                <w:rFonts w:hint="default" w:ascii="Times New Roman" w:hAnsi="Times New Roman" w:eastAsia="宋体" w:cs="Times New Roman"/>
                <w:b/>
                <w:bCs/>
                <w:color w:val="auto"/>
                <w:kern w:val="2"/>
                <w:sz w:val="30"/>
                <w:szCs w:val="30"/>
                <w:lang w:val="en-US" w:eastAsia="zh-CN" w:bidi="ar"/>
              </w:rPr>
              <w:t>概况</w:t>
            </w:r>
          </w:p>
          <w:p w14:paraId="7463E02B">
            <w:pPr>
              <w:keepNext w:val="0"/>
              <w:keepLines w:val="0"/>
              <w:widowControl w:val="0"/>
              <w:suppressLineNumbers w:val="0"/>
              <w:adjustRightInd w:val="0"/>
              <w:snapToGrid w:val="0"/>
              <w:spacing w:before="0" w:beforeAutospacing="0" w:after="0" w:afterAutospacing="0" w:line="360" w:lineRule="auto"/>
              <w:ind w:left="0" w:right="0" w:firstLine="562" w:firstLineChars="200"/>
              <w:jc w:val="both"/>
              <w:rPr>
                <w:rFonts w:hint="default" w:ascii="Times New Roman" w:hAnsi="Times New Roman" w:eastAsia="宋体" w:cs="Times New Roman"/>
                <w:b/>
                <w:bCs/>
                <w:color w:val="auto"/>
                <w:kern w:val="2"/>
                <w:sz w:val="28"/>
                <w:szCs w:val="28"/>
              </w:rPr>
            </w:pPr>
            <w:r>
              <w:rPr>
                <w:rFonts w:hint="default" w:ascii="Times New Roman" w:hAnsi="Times New Roman" w:eastAsia="宋体" w:cs="Times New Roman"/>
                <w:b/>
                <w:bCs/>
                <w:color w:val="auto"/>
                <w:kern w:val="2"/>
                <w:sz w:val="28"/>
                <w:szCs w:val="28"/>
                <w:lang w:val="en-US" w:eastAsia="zh-CN" w:bidi="ar"/>
              </w:rPr>
              <w:t>2.1项目名称及性质</w:t>
            </w:r>
          </w:p>
          <w:p w14:paraId="48C83DF8">
            <w:pPr>
              <w:keepNext w:val="0"/>
              <w:keepLines w:val="0"/>
              <w:widowControl w:val="0"/>
              <w:suppressLineNumbers w:val="0"/>
              <w:autoSpaceDE w:val="0"/>
              <w:autoSpaceDN/>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项目名称：</w:t>
            </w:r>
            <w:r>
              <w:rPr>
                <w:rFonts w:hint="eastAsia" w:ascii="Times New Roman" w:hAnsi="Times New Roman" w:cs="Times New Roman"/>
                <w:b w:val="0"/>
                <w:bCs w:val="0"/>
                <w:color w:val="auto"/>
                <w:kern w:val="2"/>
                <w:sz w:val="24"/>
                <w:szCs w:val="24"/>
                <w:lang w:val="en-US" w:eastAsia="zh-CN" w:bidi="ar"/>
              </w:rPr>
              <w:t>铁力泓旭机械制造有限公司年产5000吨耐磨铸件生产线项目</w:t>
            </w:r>
          </w:p>
          <w:p w14:paraId="51C1F64A">
            <w:pPr>
              <w:keepNext w:val="0"/>
              <w:keepLines w:val="0"/>
              <w:widowControl w:val="0"/>
              <w:suppressLineNumbers w:val="0"/>
              <w:autoSpaceDE w:val="0"/>
              <w:autoSpaceDN/>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kern w:val="2"/>
                <w:sz w:val="24"/>
                <w:szCs w:val="24"/>
              </w:rPr>
            </w:pPr>
            <w:r>
              <w:rPr>
                <w:rFonts w:hint="default" w:ascii="Times New Roman" w:hAnsi="Times New Roman" w:eastAsia="宋体" w:cs="Times New Roman"/>
                <w:color w:val="auto"/>
                <w:kern w:val="2"/>
                <w:sz w:val="24"/>
                <w:szCs w:val="24"/>
                <w:lang w:val="en-US" w:eastAsia="zh-CN" w:bidi="ar"/>
              </w:rPr>
              <w:t>建设单位：</w:t>
            </w:r>
            <w:r>
              <w:rPr>
                <w:rFonts w:hint="default" w:ascii="Times New Roman" w:hAnsi="Times New Roman" w:eastAsia="宋体" w:cs="Times New Roman"/>
                <w:b w:val="0"/>
                <w:bCs w:val="0"/>
                <w:color w:val="auto"/>
                <w:kern w:val="2"/>
                <w:sz w:val="24"/>
                <w:szCs w:val="24"/>
                <w:lang w:val="en-US" w:eastAsia="zh-CN" w:bidi="ar"/>
              </w:rPr>
              <w:t>铁力泓旭机械制造有限公司</w:t>
            </w:r>
          </w:p>
          <w:p w14:paraId="11ACDCEF">
            <w:pPr>
              <w:keepNext w:val="0"/>
              <w:keepLines w:val="0"/>
              <w:widowControl w:val="0"/>
              <w:suppressLineNumbers w:val="0"/>
              <w:autoSpaceDE w:val="0"/>
              <w:autoSpaceDN/>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建设地点：黑龙江省铁力经济开发区内</w:t>
            </w:r>
          </w:p>
          <w:p w14:paraId="271D641F">
            <w:pPr>
              <w:keepNext w:val="0"/>
              <w:keepLines w:val="0"/>
              <w:widowControl w:val="0"/>
              <w:suppressLineNumbers w:val="0"/>
              <w:autoSpaceDE w:val="0"/>
              <w:autoSpaceDN/>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具体坐标：东经</w:t>
            </w:r>
            <w:r>
              <w:rPr>
                <w:rFonts w:hint="default" w:ascii="Times New Roman" w:hAnsi="Times New Roman" w:cs="Times New Roman"/>
                <w:color w:val="auto"/>
                <w:kern w:val="2"/>
                <w:sz w:val="24"/>
                <w:szCs w:val="24"/>
                <w:lang w:val="en-US" w:eastAsia="zh-CN" w:bidi="ar"/>
              </w:rPr>
              <w:t>128</w:t>
            </w:r>
            <w:r>
              <w:rPr>
                <w:rFonts w:hint="default" w:ascii="Times New Roman" w:hAnsi="Times New Roman" w:eastAsia="宋体" w:cs="Times New Roman"/>
                <w:color w:val="auto"/>
                <w:kern w:val="2"/>
                <w:sz w:val="24"/>
                <w:szCs w:val="24"/>
                <w:lang w:val="en-US" w:eastAsia="zh-CN" w:bidi="ar"/>
              </w:rPr>
              <w:t>°</w:t>
            </w:r>
            <w:r>
              <w:rPr>
                <w:rFonts w:hint="default" w:ascii="Times New Roman" w:hAnsi="Times New Roman" w:cs="Times New Roman"/>
                <w:color w:val="auto"/>
                <w:kern w:val="2"/>
                <w:sz w:val="24"/>
                <w:szCs w:val="24"/>
                <w:lang w:val="en-US" w:eastAsia="zh-CN" w:bidi="ar"/>
              </w:rPr>
              <w:t>06</w:t>
            </w:r>
            <w:r>
              <w:rPr>
                <w:rFonts w:hint="default" w:ascii="Times New Roman" w:hAnsi="Times New Roman" w:eastAsia="宋体" w:cs="Times New Roman"/>
                <w:color w:val="auto"/>
                <w:kern w:val="2"/>
                <w:sz w:val="24"/>
                <w:szCs w:val="24"/>
                <w:lang w:val="en-US" w:eastAsia="zh-CN" w:bidi="ar"/>
              </w:rPr>
              <w:t>′</w:t>
            </w:r>
            <w:r>
              <w:rPr>
                <w:rFonts w:hint="default" w:ascii="Times New Roman" w:hAnsi="Times New Roman" w:cs="Times New Roman"/>
                <w:color w:val="auto"/>
                <w:kern w:val="2"/>
                <w:sz w:val="24"/>
                <w:szCs w:val="24"/>
                <w:lang w:val="en-US" w:eastAsia="zh-CN" w:bidi="ar"/>
              </w:rPr>
              <w:t>20.954</w:t>
            </w:r>
            <w:r>
              <w:rPr>
                <w:rFonts w:hint="default" w:ascii="Times New Roman" w:hAnsi="Times New Roman" w:eastAsia="宋体" w:cs="Times New Roman"/>
                <w:color w:val="auto"/>
                <w:kern w:val="2"/>
                <w:sz w:val="24"/>
                <w:szCs w:val="24"/>
                <w:lang w:val="en-US" w:eastAsia="zh-CN" w:bidi="ar"/>
              </w:rPr>
              <w:t>″</w:t>
            </w:r>
            <w:r>
              <w:rPr>
                <w:rFonts w:hint="default" w:ascii="Times New Roman" w:hAnsi="Times New Roman" w:cs="Times New Roman"/>
                <w:color w:val="auto"/>
                <w:kern w:val="2"/>
                <w:sz w:val="24"/>
                <w:szCs w:val="24"/>
                <w:lang w:val="en-US" w:eastAsia="zh-CN" w:bidi="ar"/>
              </w:rPr>
              <w:t>，</w:t>
            </w:r>
            <w:r>
              <w:rPr>
                <w:rFonts w:hint="default" w:ascii="Times New Roman" w:hAnsi="Times New Roman" w:eastAsia="宋体" w:cs="Times New Roman"/>
                <w:color w:val="auto"/>
                <w:kern w:val="2"/>
                <w:sz w:val="24"/>
                <w:szCs w:val="24"/>
                <w:lang w:val="en-US" w:eastAsia="zh-CN" w:bidi="ar"/>
              </w:rPr>
              <w:t>北纬</w:t>
            </w:r>
            <w:r>
              <w:rPr>
                <w:rFonts w:hint="default" w:ascii="Times New Roman" w:hAnsi="Times New Roman" w:cs="Times New Roman"/>
                <w:color w:val="auto"/>
                <w:kern w:val="2"/>
                <w:sz w:val="24"/>
                <w:szCs w:val="24"/>
                <w:lang w:val="en-US" w:eastAsia="zh-CN" w:bidi="ar"/>
              </w:rPr>
              <w:t>46</w:t>
            </w:r>
            <w:r>
              <w:rPr>
                <w:rFonts w:hint="default" w:ascii="Times New Roman" w:hAnsi="Times New Roman" w:eastAsia="宋体" w:cs="Times New Roman"/>
                <w:color w:val="auto"/>
                <w:kern w:val="2"/>
                <w:sz w:val="24"/>
                <w:szCs w:val="24"/>
                <w:lang w:val="en-US" w:eastAsia="zh-CN" w:bidi="ar"/>
              </w:rPr>
              <w:t>°</w:t>
            </w:r>
            <w:r>
              <w:rPr>
                <w:rFonts w:hint="default" w:ascii="Times New Roman" w:hAnsi="Times New Roman" w:cs="Times New Roman"/>
                <w:color w:val="auto"/>
                <w:kern w:val="2"/>
                <w:sz w:val="24"/>
                <w:szCs w:val="24"/>
                <w:lang w:val="en-US" w:eastAsia="zh-CN" w:bidi="ar"/>
              </w:rPr>
              <w:t>58</w:t>
            </w:r>
            <w:r>
              <w:rPr>
                <w:rFonts w:hint="default" w:ascii="Times New Roman" w:hAnsi="Times New Roman" w:eastAsia="宋体" w:cs="Times New Roman"/>
                <w:color w:val="auto"/>
                <w:kern w:val="2"/>
                <w:sz w:val="24"/>
                <w:szCs w:val="24"/>
                <w:lang w:val="en-US" w:eastAsia="zh-CN" w:bidi="ar"/>
              </w:rPr>
              <w:t>′</w:t>
            </w:r>
            <w:r>
              <w:rPr>
                <w:rFonts w:hint="default" w:ascii="Times New Roman" w:hAnsi="Times New Roman" w:cs="Times New Roman"/>
                <w:color w:val="auto"/>
                <w:kern w:val="2"/>
                <w:sz w:val="24"/>
                <w:szCs w:val="24"/>
                <w:lang w:val="en-US" w:eastAsia="zh-CN" w:bidi="ar"/>
              </w:rPr>
              <w:t>4.970</w:t>
            </w:r>
            <w:r>
              <w:rPr>
                <w:rFonts w:hint="default" w:ascii="Times New Roman" w:hAnsi="Times New Roman" w:eastAsia="宋体" w:cs="Times New Roman"/>
                <w:color w:val="auto"/>
                <w:kern w:val="2"/>
                <w:sz w:val="24"/>
                <w:szCs w:val="24"/>
                <w:lang w:val="en-US" w:eastAsia="zh-CN" w:bidi="ar"/>
              </w:rPr>
              <w:t>″</w:t>
            </w:r>
          </w:p>
          <w:p w14:paraId="75847F56">
            <w:pPr>
              <w:keepNext w:val="0"/>
              <w:keepLines w:val="0"/>
              <w:widowControl w:val="0"/>
              <w:suppressLineNumbers w:val="0"/>
              <w:autoSpaceDE w:val="0"/>
              <w:autoSpaceDN/>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项目性质：</w:t>
            </w:r>
            <w:r>
              <w:rPr>
                <w:rFonts w:hint="eastAsia" w:ascii="Times New Roman" w:hAnsi="Times New Roman" w:cs="Times New Roman"/>
                <w:color w:val="auto"/>
                <w:kern w:val="2"/>
                <w:sz w:val="24"/>
                <w:szCs w:val="24"/>
                <w:lang w:val="en-US" w:eastAsia="zh-CN" w:bidi="ar"/>
              </w:rPr>
              <w:t>新</w:t>
            </w:r>
            <w:r>
              <w:rPr>
                <w:rFonts w:hint="default" w:ascii="Times New Roman" w:hAnsi="Times New Roman" w:eastAsia="宋体" w:cs="Times New Roman"/>
                <w:color w:val="auto"/>
                <w:kern w:val="2"/>
                <w:sz w:val="24"/>
                <w:szCs w:val="24"/>
                <w:lang w:val="en-US" w:eastAsia="zh-CN" w:bidi="ar"/>
              </w:rPr>
              <w:t>建</w:t>
            </w:r>
          </w:p>
          <w:p w14:paraId="05D548AC">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劳动定员：</w:t>
            </w:r>
            <w:r>
              <w:rPr>
                <w:rFonts w:hint="default" w:ascii="Times New Roman" w:hAnsi="Times New Roman" w:cs="Times New Roman"/>
                <w:color w:val="auto"/>
                <w:kern w:val="2"/>
                <w:sz w:val="24"/>
                <w:szCs w:val="24"/>
                <w:lang w:val="en-US" w:eastAsia="zh-CN" w:bidi="ar"/>
              </w:rPr>
              <w:t>25</w:t>
            </w:r>
            <w:r>
              <w:rPr>
                <w:rFonts w:hint="default" w:ascii="Times New Roman" w:hAnsi="Times New Roman" w:eastAsia="宋体" w:cs="Times New Roman"/>
                <w:color w:val="auto"/>
                <w:kern w:val="2"/>
                <w:sz w:val="24"/>
                <w:szCs w:val="24"/>
                <w:lang w:val="en-US" w:eastAsia="zh-CN" w:bidi="ar"/>
              </w:rPr>
              <w:t>人</w:t>
            </w:r>
          </w:p>
          <w:p w14:paraId="2EECB083">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生产班制：实行</w:t>
            </w:r>
            <w:r>
              <w:rPr>
                <w:rFonts w:hint="default" w:ascii="Times New Roman" w:hAnsi="Times New Roman" w:cs="Times New Roman"/>
                <w:color w:val="auto"/>
                <w:kern w:val="2"/>
                <w:sz w:val="24"/>
                <w:szCs w:val="24"/>
                <w:lang w:val="en-US" w:eastAsia="zh-CN" w:bidi="ar"/>
              </w:rPr>
              <w:t>两</w:t>
            </w:r>
            <w:r>
              <w:rPr>
                <w:rFonts w:hint="default" w:ascii="Times New Roman" w:hAnsi="Times New Roman" w:eastAsia="宋体" w:cs="Times New Roman"/>
                <w:color w:val="auto"/>
                <w:kern w:val="2"/>
                <w:sz w:val="24"/>
                <w:szCs w:val="24"/>
                <w:lang w:val="en-US" w:eastAsia="zh-CN" w:bidi="ar"/>
              </w:rPr>
              <w:t>班制，年工作时间为</w:t>
            </w:r>
            <w:r>
              <w:rPr>
                <w:rFonts w:hint="default" w:ascii="Times New Roman" w:hAnsi="Times New Roman" w:cs="Times New Roman"/>
                <w:color w:val="auto"/>
                <w:kern w:val="2"/>
                <w:sz w:val="24"/>
                <w:szCs w:val="24"/>
                <w:lang w:val="en-US" w:eastAsia="zh-CN" w:bidi="ar"/>
              </w:rPr>
              <w:t>300</w:t>
            </w:r>
            <w:r>
              <w:rPr>
                <w:rFonts w:hint="default" w:ascii="Times New Roman" w:hAnsi="Times New Roman" w:eastAsia="宋体" w:cs="Times New Roman"/>
                <w:color w:val="auto"/>
                <w:kern w:val="2"/>
                <w:sz w:val="24"/>
                <w:szCs w:val="24"/>
                <w:lang w:val="en-US" w:eastAsia="zh-CN" w:bidi="ar"/>
              </w:rPr>
              <w:t>天，</w:t>
            </w:r>
            <w:r>
              <w:rPr>
                <w:rFonts w:hint="eastAsia" w:ascii="Times New Roman" w:hAnsi="Times New Roman" w:cs="Times New Roman"/>
                <w:color w:val="auto"/>
                <w:kern w:val="2"/>
                <w:sz w:val="24"/>
                <w:szCs w:val="24"/>
                <w:lang w:val="en-US" w:eastAsia="zh-CN" w:bidi="ar"/>
              </w:rPr>
              <w:t>一</w:t>
            </w:r>
            <w:r>
              <w:rPr>
                <w:rFonts w:hint="default" w:ascii="Times New Roman" w:hAnsi="Times New Roman" w:eastAsia="宋体" w:cs="Times New Roman"/>
                <w:color w:val="auto"/>
                <w:kern w:val="2"/>
                <w:sz w:val="24"/>
                <w:szCs w:val="24"/>
                <w:lang w:val="en-US" w:eastAsia="zh-CN" w:bidi="ar"/>
              </w:rPr>
              <w:t>班工作</w:t>
            </w:r>
            <w:r>
              <w:rPr>
                <w:rFonts w:hint="default" w:ascii="Times New Roman" w:hAnsi="Times New Roman" w:cs="Times New Roman"/>
                <w:color w:val="auto"/>
                <w:kern w:val="2"/>
                <w:sz w:val="24"/>
                <w:szCs w:val="24"/>
                <w:lang w:val="en-US" w:eastAsia="zh-CN" w:bidi="ar"/>
              </w:rPr>
              <w:t>8</w:t>
            </w:r>
            <w:r>
              <w:rPr>
                <w:rFonts w:hint="default" w:ascii="Times New Roman" w:hAnsi="Times New Roman" w:eastAsia="宋体" w:cs="Times New Roman"/>
                <w:color w:val="auto"/>
                <w:kern w:val="2"/>
                <w:sz w:val="24"/>
                <w:szCs w:val="24"/>
                <w:lang w:val="en-US" w:eastAsia="zh-CN" w:bidi="ar"/>
              </w:rPr>
              <w:t>小时，年工作</w:t>
            </w:r>
            <w:r>
              <w:rPr>
                <w:rFonts w:hint="default" w:ascii="Times New Roman" w:hAnsi="Times New Roman" w:cs="Times New Roman"/>
                <w:color w:val="auto"/>
                <w:kern w:val="2"/>
                <w:sz w:val="24"/>
                <w:szCs w:val="24"/>
                <w:lang w:val="en-US" w:eastAsia="zh-CN" w:bidi="ar"/>
              </w:rPr>
              <w:t>4800</w:t>
            </w:r>
            <w:r>
              <w:rPr>
                <w:rFonts w:hint="default" w:ascii="Times New Roman" w:hAnsi="Times New Roman" w:eastAsia="宋体" w:cs="Times New Roman"/>
                <w:color w:val="auto"/>
                <w:kern w:val="2"/>
                <w:sz w:val="24"/>
                <w:szCs w:val="24"/>
                <w:lang w:val="en-US" w:eastAsia="zh-CN" w:bidi="ar"/>
              </w:rPr>
              <w:t>h。</w:t>
            </w:r>
          </w:p>
          <w:p w14:paraId="71F0B4C6">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
              </w:rPr>
            </w:pPr>
            <w:r>
              <w:rPr>
                <w:rFonts w:hint="eastAsia" w:ascii="Times New Roman" w:hAnsi="Times New Roman" w:cs="Times New Roman"/>
                <w:color w:val="auto"/>
                <w:kern w:val="2"/>
                <w:sz w:val="24"/>
                <w:szCs w:val="24"/>
                <w:lang w:val="en-US" w:eastAsia="zh-CN" w:bidi="ar"/>
              </w:rPr>
              <w:t>总投资：505万元</w:t>
            </w:r>
          </w:p>
          <w:p w14:paraId="4862D2F6">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建设内容：本项目利用现有厂房建设年产5000吨耐磨铸件</w:t>
            </w:r>
            <w:r>
              <w:rPr>
                <w:rFonts w:hint="eastAsia" w:ascii="Times New Roman" w:hAnsi="Times New Roman" w:cs="Times New Roman"/>
                <w:color w:val="auto"/>
                <w:kern w:val="2"/>
                <w:sz w:val="24"/>
                <w:szCs w:val="24"/>
                <w:lang w:val="en-US" w:eastAsia="zh-CN" w:bidi="ar"/>
              </w:rPr>
              <w:t>生产线</w:t>
            </w:r>
            <w:r>
              <w:rPr>
                <w:rFonts w:hint="default" w:ascii="Times New Roman" w:hAnsi="Times New Roman" w:eastAsia="宋体" w:cs="Times New Roman"/>
                <w:color w:val="auto"/>
                <w:kern w:val="2"/>
                <w:sz w:val="24"/>
                <w:szCs w:val="24"/>
                <w:lang w:val="en-US" w:eastAsia="zh-CN" w:bidi="ar"/>
              </w:rPr>
              <w:t>，</w:t>
            </w:r>
            <w:r>
              <w:rPr>
                <w:rFonts w:hint="eastAsia" w:ascii="Times New Roman" w:hAnsi="Times New Roman" w:cs="Times New Roman"/>
                <w:color w:val="auto"/>
                <w:kern w:val="2"/>
                <w:sz w:val="24"/>
                <w:szCs w:val="24"/>
                <w:lang w:val="en-US" w:eastAsia="zh-CN" w:bidi="ar"/>
              </w:rPr>
              <w:t>年</w:t>
            </w:r>
            <w:r>
              <w:rPr>
                <w:rFonts w:hint="default" w:ascii="Times New Roman" w:hAnsi="Times New Roman" w:eastAsia="宋体" w:cs="Times New Roman"/>
                <w:color w:val="auto"/>
                <w:kern w:val="2"/>
                <w:sz w:val="24"/>
                <w:szCs w:val="24"/>
                <w:lang w:val="en-US" w:eastAsia="zh-CN" w:bidi="ar"/>
              </w:rPr>
              <w:t>产耐磨材料铸件</w:t>
            </w:r>
            <w:r>
              <w:rPr>
                <w:rFonts w:hint="eastAsia" w:ascii="Times New Roman" w:hAnsi="Times New Roman" w:cs="Times New Roman"/>
                <w:color w:val="auto"/>
                <w:kern w:val="2"/>
                <w:sz w:val="24"/>
                <w:szCs w:val="24"/>
                <w:lang w:val="en-US" w:eastAsia="zh-CN" w:bidi="ar"/>
              </w:rPr>
              <w:t>3000t</w:t>
            </w:r>
            <w:r>
              <w:rPr>
                <w:rFonts w:hint="default" w:ascii="Times New Roman" w:hAnsi="Times New Roman" w:eastAsia="宋体" w:cs="Times New Roman"/>
                <w:color w:val="auto"/>
                <w:kern w:val="2"/>
                <w:sz w:val="24"/>
                <w:szCs w:val="24"/>
                <w:lang w:val="en-US" w:eastAsia="zh-CN" w:bidi="ar"/>
              </w:rPr>
              <w:t>（主要为磨球，按照订单图纸生产）、耐磨耐热钢铸件和型材2000t（按照订单图纸生产），采用铁模覆砂铸造</w:t>
            </w:r>
            <w:r>
              <w:rPr>
                <w:rFonts w:hint="default" w:ascii="Times New Roman" w:hAnsi="Times New Roman" w:cs="Times New Roman"/>
                <w:color w:val="auto"/>
                <w:kern w:val="2"/>
                <w:sz w:val="24"/>
                <w:szCs w:val="24"/>
                <w:lang w:val="en-US" w:eastAsia="zh-CN" w:bidi="ar"/>
              </w:rPr>
              <w:t>工艺</w:t>
            </w:r>
            <w:r>
              <w:rPr>
                <w:rFonts w:hint="default" w:ascii="Times New Roman" w:hAnsi="Times New Roman" w:eastAsia="宋体" w:cs="Times New Roman"/>
                <w:color w:val="auto"/>
                <w:kern w:val="2"/>
                <w:sz w:val="24"/>
                <w:szCs w:val="24"/>
                <w:lang w:val="en-US" w:eastAsia="zh-CN" w:bidi="ar"/>
              </w:rPr>
              <w:t>。</w:t>
            </w:r>
          </w:p>
          <w:p w14:paraId="1192F16B">
            <w:pPr>
              <w:keepNext w:val="0"/>
              <w:keepLines w:val="0"/>
              <w:widowControl w:val="0"/>
              <w:suppressLineNumbers w:val="0"/>
              <w:adjustRightInd w:val="0"/>
              <w:snapToGrid w:val="0"/>
              <w:spacing w:before="0" w:beforeAutospacing="0" w:after="0" w:afterAutospacing="0" w:line="360" w:lineRule="auto"/>
              <w:ind w:left="0" w:right="0" w:firstLine="562" w:firstLineChars="200"/>
              <w:jc w:val="both"/>
              <w:rPr>
                <w:rFonts w:hint="default" w:ascii="Times New Roman" w:hAnsi="Times New Roman" w:eastAsia="宋体" w:cs="Times New Roman"/>
                <w:b/>
                <w:bCs/>
                <w:color w:val="auto"/>
                <w:kern w:val="2"/>
                <w:sz w:val="28"/>
                <w:szCs w:val="28"/>
              </w:rPr>
            </w:pPr>
            <w:r>
              <w:rPr>
                <w:rFonts w:hint="default" w:ascii="Times New Roman" w:hAnsi="Times New Roman" w:eastAsia="宋体" w:cs="Times New Roman"/>
                <w:b/>
                <w:bCs/>
                <w:color w:val="auto"/>
                <w:kern w:val="2"/>
                <w:sz w:val="28"/>
                <w:szCs w:val="28"/>
                <w:lang w:val="en-US" w:eastAsia="zh-CN" w:bidi="ar"/>
              </w:rPr>
              <w:t>2.2建设内容</w:t>
            </w:r>
          </w:p>
          <w:p w14:paraId="790E6BBF">
            <w:pPr>
              <w:keepNext w:val="0"/>
              <w:keepLines w:val="0"/>
              <w:widowControl w:val="0"/>
              <w:suppressLineNumbers w:val="0"/>
              <w:autoSpaceDE w:val="0"/>
              <w:autoSpaceDN/>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
              </w:rPr>
            </w:pPr>
            <w:bookmarkStart w:id="7" w:name="OLE_LINK117"/>
            <w:bookmarkEnd w:id="7"/>
            <w:bookmarkStart w:id="8" w:name="OLE_LINK114"/>
            <w:bookmarkEnd w:id="8"/>
            <w:bookmarkStart w:id="9" w:name="OLE_LINK116"/>
            <w:bookmarkEnd w:id="9"/>
            <w:bookmarkStart w:id="10" w:name="OLE_LINK115"/>
            <w:r>
              <w:rPr>
                <w:rFonts w:hint="default" w:ascii="Times New Roman" w:hAnsi="Times New Roman" w:eastAsia="宋体" w:cs="Times New Roman"/>
                <w:color w:val="auto"/>
                <w:kern w:val="2"/>
                <w:sz w:val="24"/>
                <w:szCs w:val="24"/>
                <w:lang w:val="en-US" w:eastAsia="zh-CN" w:bidi="ar"/>
              </w:rPr>
              <w:t>本项目</w:t>
            </w:r>
            <w:bookmarkEnd w:id="10"/>
            <w:r>
              <w:rPr>
                <w:rFonts w:hint="default" w:ascii="Times New Roman" w:hAnsi="Times New Roman" w:eastAsia="宋体" w:cs="Times New Roman"/>
                <w:color w:val="auto"/>
                <w:kern w:val="2"/>
                <w:sz w:val="24"/>
                <w:szCs w:val="24"/>
                <w:lang w:val="en-US" w:eastAsia="zh-CN" w:bidi="ar"/>
              </w:rPr>
              <w:t>工程内容详见下表。</w:t>
            </w:r>
          </w:p>
          <w:p w14:paraId="1E0EAB51">
            <w:pPr>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表2-3 建设项目主要工程内容及规模一览表</w:t>
            </w:r>
          </w:p>
          <w:tbl>
            <w:tblPr>
              <w:tblStyle w:val="56"/>
              <w:tblW w:w="4949"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
            <w:tblGrid>
              <w:gridCol w:w="558"/>
              <w:gridCol w:w="938"/>
              <w:gridCol w:w="1767"/>
              <w:gridCol w:w="4081"/>
              <w:gridCol w:w="1033"/>
            </w:tblGrid>
            <w:tr w14:paraId="4903344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6" w:hRule="atLeast"/>
                <w:jc w:val="center"/>
              </w:trPr>
              <w:tc>
                <w:tcPr>
                  <w:tcW w:w="558" w:type="dxa"/>
                  <w:tcBorders>
                    <w:tl2br w:val="nil"/>
                    <w:tr2bl w:val="nil"/>
                  </w:tcBorders>
                  <w:noWrap w:val="0"/>
                  <w:vAlign w:val="center"/>
                </w:tcPr>
                <w:p w14:paraId="65FB19CB">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工程类别</w:t>
                  </w:r>
                </w:p>
              </w:tc>
              <w:tc>
                <w:tcPr>
                  <w:tcW w:w="938" w:type="dxa"/>
                  <w:tcBorders>
                    <w:tl2br w:val="nil"/>
                    <w:tr2bl w:val="nil"/>
                  </w:tcBorders>
                  <w:noWrap w:val="0"/>
                  <w:vAlign w:val="center"/>
                </w:tcPr>
                <w:p w14:paraId="376AAE4F">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工程名称</w:t>
                  </w:r>
                </w:p>
              </w:tc>
              <w:tc>
                <w:tcPr>
                  <w:tcW w:w="5848" w:type="dxa"/>
                  <w:gridSpan w:val="2"/>
                  <w:tcBorders>
                    <w:tl2br w:val="nil"/>
                    <w:tr2bl w:val="nil"/>
                  </w:tcBorders>
                  <w:noWrap w:val="0"/>
                  <w:vAlign w:val="center"/>
                </w:tcPr>
                <w:p w14:paraId="7323B424">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建设内容及规模</w:t>
                  </w:r>
                </w:p>
              </w:tc>
              <w:tc>
                <w:tcPr>
                  <w:tcW w:w="1033" w:type="dxa"/>
                  <w:tcBorders>
                    <w:tl2br w:val="nil"/>
                    <w:tr2bl w:val="nil"/>
                  </w:tcBorders>
                  <w:noWrap w:val="0"/>
                  <w:vAlign w:val="center"/>
                </w:tcPr>
                <w:p w14:paraId="70186087">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备注</w:t>
                  </w:r>
                </w:p>
              </w:tc>
            </w:tr>
            <w:tr w14:paraId="0D5FA56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119" w:hRule="atLeast"/>
                <w:jc w:val="center"/>
              </w:trPr>
              <w:tc>
                <w:tcPr>
                  <w:tcW w:w="558" w:type="dxa"/>
                  <w:tcBorders>
                    <w:tl2br w:val="nil"/>
                    <w:tr2bl w:val="nil"/>
                  </w:tcBorders>
                  <w:noWrap w:val="0"/>
                  <w:vAlign w:val="center"/>
                </w:tcPr>
                <w:p w14:paraId="0E0CAE17">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主体工程</w:t>
                  </w:r>
                </w:p>
              </w:tc>
              <w:tc>
                <w:tcPr>
                  <w:tcW w:w="938" w:type="dxa"/>
                  <w:tcBorders>
                    <w:tl2br w:val="nil"/>
                    <w:tr2bl w:val="nil"/>
                  </w:tcBorders>
                  <w:noWrap w:val="0"/>
                  <w:vAlign w:val="center"/>
                </w:tcPr>
                <w:p w14:paraId="6CDC9842">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生产车间</w:t>
                  </w:r>
                </w:p>
              </w:tc>
              <w:tc>
                <w:tcPr>
                  <w:tcW w:w="5848" w:type="dxa"/>
                  <w:gridSpan w:val="2"/>
                  <w:tcBorders>
                    <w:tl2br w:val="nil"/>
                    <w:tr2bl w:val="nil"/>
                  </w:tcBorders>
                  <w:noWrap w:val="0"/>
                  <w:vAlign w:val="center"/>
                </w:tcPr>
                <w:p w14:paraId="7BEFB076">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现有主厂房总占地面积15611.17m</w:t>
                  </w:r>
                  <w:r>
                    <w:rPr>
                      <w:rFonts w:hint="eastAsia" w:ascii="Times New Roman" w:hAnsi="Times New Roman" w:cs="Times New Roman"/>
                      <w:b w:val="0"/>
                      <w:bCs/>
                      <w:color w:val="auto"/>
                      <w:kern w:val="2"/>
                      <w:sz w:val="21"/>
                      <w:szCs w:val="21"/>
                      <w:vertAlign w:val="superscript"/>
                      <w:lang w:val="en-US" w:eastAsia="zh-CN" w:bidi="ar"/>
                    </w:rPr>
                    <w:t>2</w:t>
                  </w:r>
                  <w:r>
                    <w:rPr>
                      <w:rFonts w:hint="eastAsia" w:ascii="Times New Roman" w:hAnsi="Times New Roman" w:cs="Times New Roman"/>
                      <w:b w:val="0"/>
                      <w:bCs/>
                      <w:color w:val="auto"/>
                      <w:kern w:val="2"/>
                      <w:sz w:val="21"/>
                      <w:szCs w:val="21"/>
                      <w:lang w:val="en-US" w:eastAsia="zh-CN" w:bidi="ar"/>
                    </w:rPr>
                    <w:t>，本次利用现有主厂房4000m</w:t>
                  </w:r>
                  <w:r>
                    <w:rPr>
                      <w:rFonts w:hint="eastAsia" w:ascii="Times New Roman" w:hAnsi="Times New Roman" w:cs="Times New Roman"/>
                      <w:b w:val="0"/>
                      <w:bCs/>
                      <w:color w:val="auto"/>
                      <w:kern w:val="2"/>
                      <w:sz w:val="21"/>
                      <w:szCs w:val="21"/>
                      <w:vertAlign w:val="superscript"/>
                      <w:lang w:val="en-US" w:eastAsia="zh-CN" w:bidi="ar"/>
                    </w:rPr>
                    <w:t>2</w:t>
                  </w:r>
                  <w:r>
                    <w:rPr>
                      <w:rFonts w:hint="eastAsia" w:ascii="Times New Roman" w:hAnsi="Times New Roman" w:cs="Times New Roman"/>
                      <w:b w:val="0"/>
                      <w:bCs/>
                      <w:color w:val="auto"/>
                      <w:kern w:val="2"/>
                      <w:sz w:val="21"/>
                      <w:szCs w:val="21"/>
                      <w:vertAlign w:val="baseline"/>
                      <w:lang w:val="en-US" w:eastAsia="zh-CN" w:bidi="ar"/>
                    </w:rPr>
                    <w:t>，建设铁模覆砂铸造生产线一条</w:t>
                  </w:r>
                  <w:r>
                    <w:rPr>
                      <w:rFonts w:hint="default" w:ascii="Times New Roman" w:hAnsi="Times New Roman" w:eastAsia="宋体" w:cs="Times New Roman"/>
                      <w:b w:val="0"/>
                      <w:bCs/>
                      <w:color w:val="auto"/>
                      <w:kern w:val="2"/>
                      <w:sz w:val="21"/>
                      <w:szCs w:val="21"/>
                      <w:lang w:val="en-US" w:eastAsia="zh-CN" w:bidi="ar"/>
                    </w:rPr>
                    <w:t>，设置铁型准备→熔炼浇注→铸件处理→砂处理等生产工序，生产设备主要为中频感应电炉、淬火线、回火线</w:t>
                  </w:r>
                  <w:r>
                    <w:rPr>
                      <w:rFonts w:hint="eastAsia" w:ascii="Times New Roman" w:hAnsi="Times New Roman" w:cs="Times New Roman"/>
                      <w:b w:val="0"/>
                      <w:bCs/>
                      <w:color w:val="auto"/>
                      <w:kern w:val="2"/>
                      <w:sz w:val="21"/>
                      <w:szCs w:val="21"/>
                      <w:lang w:val="en-US" w:eastAsia="zh-CN" w:bidi="ar"/>
                    </w:rPr>
                    <w:t>、</w:t>
                  </w:r>
                  <w:r>
                    <w:rPr>
                      <w:rFonts w:hint="default" w:ascii="Times New Roman" w:hAnsi="Times New Roman" w:eastAsia="宋体" w:cs="Times New Roman"/>
                      <w:b w:val="0"/>
                      <w:bCs/>
                      <w:color w:val="auto"/>
                      <w:kern w:val="2"/>
                      <w:sz w:val="21"/>
                      <w:szCs w:val="21"/>
                      <w:lang w:val="en-US" w:eastAsia="zh-CN" w:bidi="ar"/>
                    </w:rPr>
                    <w:t>滚筒式滚球机</w:t>
                  </w:r>
                  <w:r>
                    <w:rPr>
                      <w:rFonts w:hint="eastAsia" w:ascii="Times New Roman" w:hAnsi="Times New Roman" w:cs="Times New Roman"/>
                      <w:b w:val="0"/>
                      <w:bCs/>
                      <w:color w:val="auto"/>
                      <w:kern w:val="2"/>
                      <w:sz w:val="21"/>
                      <w:szCs w:val="21"/>
                      <w:lang w:val="en-US" w:eastAsia="zh-CN" w:bidi="ar"/>
                    </w:rPr>
                    <w:t>、</w:t>
                  </w:r>
                  <w:r>
                    <w:rPr>
                      <w:rFonts w:hint="default" w:ascii="Times New Roman" w:hAnsi="Times New Roman" w:eastAsia="宋体" w:cs="Times New Roman"/>
                      <w:b w:val="0"/>
                      <w:bCs/>
                      <w:color w:val="auto"/>
                      <w:kern w:val="2"/>
                      <w:sz w:val="21"/>
                      <w:szCs w:val="21"/>
                      <w:lang w:val="en-US" w:eastAsia="zh-CN" w:bidi="ar"/>
                    </w:rPr>
                    <w:t>碾砂</w:t>
                  </w:r>
                  <w:r>
                    <w:rPr>
                      <w:rFonts w:hint="eastAsia" w:ascii="Times New Roman" w:hAnsi="Times New Roman" w:cs="Times New Roman"/>
                      <w:b w:val="0"/>
                      <w:bCs/>
                      <w:color w:val="auto"/>
                      <w:kern w:val="2"/>
                      <w:sz w:val="21"/>
                      <w:szCs w:val="21"/>
                      <w:lang w:val="en-US" w:eastAsia="zh-CN" w:bidi="ar"/>
                    </w:rPr>
                    <w:t>一体</w:t>
                  </w:r>
                  <w:r>
                    <w:rPr>
                      <w:rFonts w:hint="default" w:ascii="Times New Roman" w:hAnsi="Times New Roman" w:eastAsia="宋体" w:cs="Times New Roman"/>
                      <w:b w:val="0"/>
                      <w:bCs/>
                      <w:color w:val="auto"/>
                      <w:kern w:val="2"/>
                      <w:sz w:val="21"/>
                      <w:szCs w:val="21"/>
                      <w:lang w:val="en-US" w:eastAsia="zh-CN" w:bidi="ar"/>
                    </w:rPr>
                    <w:t>机等，建成后可年产5000</w:t>
                  </w:r>
                  <w:r>
                    <w:rPr>
                      <w:rFonts w:hint="eastAsia" w:ascii="Times New Roman" w:hAnsi="Times New Roman" w:cs="Times New Roman"/>
                      <w:b w:val="0"/>
                      <w:bCs/>
                      <w:color w:val="auto"/>
                      <w:kern w:val="2"/>
                      <w:sz w:val="21"/>
                      <w:szCs w:val="21"/>
                      <w:lang w:val="en-US" w:eastAsia="zh-CN" w:bidi="ar"/>
                    </w:rPr>
                    <w:t>吨</w:t>
                  </w:r>
                  <w:r>
                    <w:rPr>
                      <w:rFonts w:hint="default" w:ascii="Times New Roman" w:hAnsi="Times New Roman" w:eastAsia="宋体" w:cs="Times New Roman"/>
                      <w:b w:val="0"/>
                      <w:bCs/>
                      <w:color w:val="auto"/>
                      <w:kern w:val="2"/>
                      <w:sz w:val="21"/>
                      <w:szCs w:val="21"/>
                      <w:lang w:val="en-US" w:eastAsia="zh-CN" w:bidi="ar"/>
                    </w:rPr>
                    <w:t>耐磨铸件</w:t>
                  </w:r>
                  <w:r>
                    <w:rPr>
                      <w:rFonts w:hint="eastAsia" w:ascii="Times New Roman" w:hAnsi="Times New Roman" w:cs="Times New Roman"/>
                      <w:b w:val="0"/>
                      <w:bCs/>
                      <w:color w:val="auto"/>
                      <w:kern w:val="2"/>
                      <w:sz w:val="21"/>
                      <w:szCs w:val="21"/>
                      <w:lang w:val="en-US" w:eastAsia="zh-CN" w:bidi="ar"/>
                    </w:rPr>
                    <w:t>，其中耐磨材料铸件3000t/a（主要为磨球，按照订单图纸生产）、耐磨耐热钢铸件和型材2000t/a（按照订单图纸生产）。</w:t>
                  </w:r>
                </w:p>
              </w:tc>
              <w:tc>
                <w:tcPr>
                  <w:tcW w:w="1033" w:type="dxa"/>
                  <w:tcBorders>
                    <w:tl2br w:val="nil"/>
                    <w:tr2bl w:val="nil"/>
                  </w:tcBorders>
                  <w:noWrap w:val="0"/>
                  <w:vAlign w:val="center"/>
                </w:tcPr>
                <w:p w14:paraId="1BC1F370">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厂房依托已建厂房，设备新增</w:t>
                  </w:r>
                </w:p>
              </w:tc>
            </w:tr>
            <w:tr w14:paraId="2BA924B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51" w:hRule="atLeast"/>
                <w:jc w:val="center"/>
              </w:trPr>
              <w:tc>
                <w:tcPr>
                  <w:tcW w:w="558" w:type="dxa"/>
                  <w:vMerge w:val="restart"/>
                  <w:tcBorders>
                    <w:tl2br w:val="nil"/>
                    <w:tr2bl w:val="nil"/>
                  </w:tcBorders>
                  <w:noWrap w:val="0"/>
                  <w:vAlign w:val="center"/>
                </w:tcPr>
                <w:p w14:paraId="34A55DBE">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辅助工程</w:t>
                  </w:r>
                </w:p>
              </w:tc>
              <w:tc>
                <w:tcPr>
                  <w:tcW w:w="938" w:type="dxa"/>
                  <w:tcBorders>
                    <w:tl2br w:val="nil"/>
                    <w:tr2bl w:val="nil"/>
                  </w:tcBorders>
                  <w:noWrap w:val="0"/>
                  <w:vAlign w:val="center"/>
                </w:tcPr>
                <w:p w14:paraId="77F693B8">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办公楼</w:t>
                  </w:r>
                </w:p>
              </w:tc>
              <w:tc>
                <w:tcPr>
                  <w:tcW w:w="5848" w:type="dxa"/>
                  <w:gridSpan w:val="2"/>
                  <w:tcBorders>
                    <w:tl2br w:val="nil"/>
                    <w:tr2bl w:val="nil"/>
                  </w:tcBorders>
                  <w:noWrap w:val="0"/>
                  <w:vAlign w:val="center"/>
                </w:tcPr>
                <w:p w14:paraId="7ED60AD0">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办公楼占地面积497.12m</w:t>
                  </w:r>
                  <w:r>
                    <w:rPr>
                      <w:rFonts w:hint="eastAsia" w:ascii="Times New Roman" w:hAnsi="Times New Roman" w:cs="Times New Roman"/>
                      <w:b w:val="0"/>
                      <w:bCs/>
                      <w:color w:val="auto"/>
                      <w:kern w:val="2"/>
                      <w:sz w:val="21"/>
                      <w:szCs w:val="21"/>
                      <w:vertAlign w:val="superscript"/>
                      <w:lang w:val="en-US" w:eastAsia="zh-CN" w:bidi="ar"/>
                    </w:rPr>
                    <w:t>2</w:t>
                  </w:r>
                  <w:r>
                    <w:rPr>
                      <w:rFonts w:hint="eastAsia" w:ascii="Times New Roman" w:hAnsi="Times New Roman" w:cs="Times New Roman"/>
                      <w:b w:val="0"/>
                      <w:bCs/>
                      <w:color w:val="auto"/>
                      <w:kern w:val="2"/>
                      <w:sz w:val="21"/>
                      <w:szCs w:val="21"/>
                      <w:lang w:val="en-US" w:eastAsia="zh-CN" w:bidi="ar"/>
                    </w:rPr>
                    <w:t>，</w:t>
                  </w:r>
                  <w:r>
                    <w:rPr>
                      <w:rFonts w:hint="default" w:ascii="Times New Roman" w:hAnsi="Times New Roman" w:eastAsia="宋体" w:cs="Times New Roman"/>
                      <w:b w:val="0"/>
                      <w:bCs/>
                      <w:color w:val="auto"/>
                      <w:kern w:val="2"/>
                      <w:sz w:val="21"/>
                      <w:szCs w:val="21"/>
                      <w:lang w:val="en-US" w:eastAsia="zh-CN" w:bidi="ar"/>
                    </w:rPr>
                    <w:t>建筑面积</w:t>
                  </w:r>
                  <w:r>
                    <w:rPr>
                      <w:rFonts w:hint="eastAsia" w:ascii="Times New Roman" w:hAnsi="Times New Roman" w:cs="Times New Roman"/>
                      <w:b w:val="0"/>
                      <w:bCs/>
                      <w:color w:val="auto"/>
                      <w:kern w:val="2"/>
                      <w:sz w:val="21"/>
                      <w:szCs w:val="21"/>
                      <w:lang w:val="en-US" w:eastAsia="zh-CN" w:bidi="ar"/>
                    </w:rPr>
                    <w:t>994.24</w:t>
                  </w:r>
                  <w:r>
                    <w:rPr>
                      <w:rFonts w:hint="default" w:ascii="Times New Roman" w:hAnsi="Times New Roman" w:eastAsia="宋体" w:cs="Times New Roman"/>
                      <w:b w:val="0"/>
                      <w:bCs/>
                      <w:color w:val="auto"/>
                      <w:kern w:val="2"/>
                      <w:sz w:val="21"/>
                      <w:szCs w:val="21"/>
                      <w:lang w:val="en-US" w:eastAsia="zh-CN" w:bidi="ar"/>
                    </w:rPr>
                    <w:t>m</w:t>
                  </w:r>
                  <w:r>
                    <w:rPr>
                      <w:rFonts w:hint="default" w:ascii="Times New Roman" w:hAnsi="Times New Roman" w:eastAsia="宋体" w:cs="Times New Roman"/>
                      <w:b w:val="0"/>
                      <w:bCs/>
                      <w:color w:val="auto"/>
                      <w:kern w:val="2"/>
                      <w:sz w:val="21"/>
                      <w:szCs w:val="21"/>
                      <w:vertAlign w:val="superscript"/>
                      <w:lang w:val="en-US" w:eastAsia="zh-CN" w:bidi="ar"/>
                    </w:rPr>
                    <w:t>2</w:t>
                  </w:r>
                  <w:r>
                    <w:rPr>
                      <w:rFonts w:hint="default" w:ascii="Times New Roman" w:hAnsi="Times New Roman" w:eastAsia="宋体" w:cs="Times New Roman"/>
                      <w:b w:val="0"/>
                      <w:bCs/>
                      <w:color w:val="auto"/>
                      <w:kern w:val="2"/>
                      <w:sz w:val="21"/>
                      <w:szCs w:val="21"/>
                      <w:lang w:val="en-US" w:eastAsia="zh-CN" w:bidi="ar"/>
                    </w:rPr>
                    <w:t>，位于</w:t>
                  </w:r>
                  <w:r>
                    <w:rPr>
                      <w:rFonts w:hint="eastAsia" w:ascii="Times New Roman" w:hAnsi="Times New Roman" w:cs="Times New Roman"/>
                      <w:b w:val="0"/>
                      <w:bCs/>
                      <w:color w:val="auto"/>
                      <w:kern w:val="2"/>
                      <w:sz w:val="21"/>
                      <w:szCs w:val="21"/>
                      <w:lang w:val="en-US" w:eastAsia="zh-CN" w:bidi="ar"/>
                    </w:rPr>
                    <w:t>主厂房</w:t>
                  </w:r>
                  <w:r>
                    <w:rPr>
                      <w:rFonts w:hint="default" w:ascii="Times New Roman" w:hAnsi="Times New Roman" w:eastAsia="宋体" w:cs="Times New Roman"/>
                      <w:b w:val="0"/>
                      <w:bCs/>
                      <w:color w:val="auto"/>
                      <w:kern w:val="2"/>
                      <w:sz w:val="21"/>
                      <w:szCs w:val="21"/>
                      <w:lang w:val="en-US" w:eastAsia="zh-CN" w:bidi="ar"/>
                    </w:rPr>
                    <w:t>西北角，主要用于办公</w:t>
                  </w:r>
                  <w:r>
                    <w:rPr>
                      <w:rFonts w:hint="eastAsia" w:ascii="Times New Roman" w:hAnsi="Times New Roman" w:cs="Times New Roman"/>
                      <w:b w:val="0"/>
                      <w:bCs/>
                      <w:color w:val="auto"/>
                      <w:kern w:val="2"/>
                      <w:sz w:val="21"/>
                      <w:szCs w:val="21"/>
                      <w:lang w:val="en-US" w:eastAsia="zh-CN" w:bidi="ar"/>
                    </w:rPr>
                    <w:t>。</w:t>
                  </w:r>
                </w:p>
              </w:tc>
              <w:tc>
                <w:tcPr>
                  <w:tcW w:w="1033" w:type="dxa"/>
                  <w:tcBorders>
                    <w:tl2br w:val="nil"/>
                    <w:tr2bl w:val="nil"/>
                  </w:tcBorders>
                  <w:noWrap w:val="0"/>
                  <w:vAlign w:val="center"/>
                </w:tcPr>
                <w:p w14:paraId="38107810">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依托</w:t>
                  </w:r>
                  <w:r>
                    <w:rPr>
                      <w:rFonts w:hint="eastAsia" w:ascii="Times New Roman" w:hAnsi="Times New Roman" w:cs="Times New Roman"/>
                      <w:b w:val="0"/>
                      <w:bCs/>
                      <w:color w:val="auto"/>
                      <w:kern w:val="2"/>
                      <w:sz w:val="21"/>
                      <w:szCs w:val="21"/>
                      <w:lang w:val="en-US" w:eastAsia="zh-CN" w:bidi="ar"/>
                    </w:rPr>
                    <w:t>已建办公楼</w:t>
                  </w:r>
                </w:p>
              </w:tc>
            </w:tr>
            <w:tr w14:paraId="1262432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51" w:hRule="atLeast"/>
                <w:jc w:val="center"/>
              </w:trPr>
              <w:tc>
                <w:tcPr>
                  <w:tcW w:w="558" w:type="dxa"/>
                  <w:vMerge w:val="continue"/>
                  <w:tcBorders>
                    <w:tl2br w:val="nil"/>
                    <w:tr2bl w:val="nil"/>
                  </w:tcBorders>
                  <w:noWrap w:val="0"/>
                  <w:vAlign w:val="center"/>
                </w:tcPr>
                <w:p w14:paraId="54184B4B">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938" w:type="dxa"/>
                  <w:tcBorders>
                    <w:tl2br w:val="nil"/>
                    <w:tr2bl w:val="nil"/>
                  </w:tcBorders>
                  <w:noWrap w:val="0"/>
                  <w:vAlign w:val="center"/>
                </w:tcPr>
                <w:p w14:paraId="10C440F9">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守卫房</w:t>
                  </w:r>
                </w:p>
              </w:tc>
              <w:tc>
                <w:tcPr>
                  <w:tcW w:w="5848" w:type="dxa"/>
                  <w:gridSpan w:val="2"/>
                  <w:tcBorders>
                    <w:tl2br w:val="nil"/>
                    <w:tr2bl w:val="nil"/>
                  </w:tcBorders>
                  <w:noWrap w:val="0"/>
                  <w:vAlign w:val="center"/>
                </w:tcPr>
                <w:p w14:paraId="34D4F442">
                  <w:pPr>
                    <w:keepNext w:val="0"/>
                    <w:keepLines w:val="0"/>
                    <w:widowControl w:val="0"/>
                    <w:suppressLineNumbers w:val="0"/>
                    <w:spacing w:before="0" w:beforeAutospacing="0" w:after="0" w:afterAutospacing="0" w:line="240" w:lineRule="auto"/>
                    <w:ind w:left="0" w:right="0"/>
                    <w:jc w:val="center"/>
                    <w:rPr>
                      <w:rFonts w:hint="eastAsia" w:ascii="Times New Roman" w:hAnsi="Times New Roman"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守卫房占地面积13.46m</w:t>
                  </w:r>
                  <w:r>
                    <w:rPr>
                      <w:rFonts w:hint="eastAsia" w:ascii="Times New Roman" w:hAnsi="Times New Roman" w:cs="Times New Roman"/>
                      <w:b w:val="0"/>
                      <w:bCs/>
                      <w:color w:val="auto"/>
                      <w:kern w:val="2"/>
                      <w:sz w:val="21"/>
                      <w:szCs w:val="21"/>
                      <w:vertAlign w:val="superscript"/>
                      <w:lang w:val="en-US" w:eastAsia="zh-CN" w:bidi="ar"/>
                    </w:rPr>
                    <w:t>2</w:t>
                  </w:r>
                  <w:r>
                    <w:rPr>
                      <w:rFonts w:hint="eastAsia" w:ascii="Times New Roman" w:hAnsi="Times New Roman" w:cs="Times New Roman"/>
                      <w:b w:val="0"/>
                      <w:bCs/>
                      <w:color w:val="auto"/>
                      <w:kern w:val="2"/>
                      <w:sz w:val="21"/>
                      <w:szCs w:val="21"/>
                      <w:lang w:val="en-US" w:eastAsia="zh-CN" w:bidi="ar"/>
                    </w:rPr>
                    <w:t>，建筑面积13.46m</w:t>
                  </w:r>
                  <w:r>
                    <w:rPr>
                      <w:rFonts w:hint="eastAsia" w:ascii="Times New Roman" w:hAnsi="Times New Roman" w:cs="Times New Roman"/>
                      <w:b w:val="0"/>
                      <w:bCs/>
                      <w:color w:val="auto"/>
                      <w:kern w:val="2"/>
                      <w:sz w:val="21"/>
                      <w:szCs w:val="21"/>
                      <w:vertAlign w:val="superscript"/>
                      <w:lang w:val="en-US" w:eastAsia="zh-CN" w:bidi="ar"/>
                    </w:rPr>
                    <w:t>2</w:t>
                  </w:r>
                  <w:r>
                    <w:rPr>
                      <w:rFonts w:hint="eastAsia" w:ascii="Times New Roman" w:hAnsi="Times New Roman" w:cs="Times New Roman"/>
                      <w:b w:val="0"/>
                      <w:bCs/>
                      <w:color w:val="auto"/>
                      <w:kern w:val="2"/>
                      <w:sz w:val="21"/>
                      <w:szCs w:val="21"/>
                      <w:lang w:val="en-US" w:eastAsia="zh-CN" w:bidi="ar"/>
                    </w:rPr>
                    <w:t>，位于厂区西北角，主要用于门卫守卫。</w:t>
                  </w:r>
                </w:p>
              </w:tc>
              <w:tc>
                <w:tcPr>
                  <w:tcW w:w="1033" w:type="dxa"/>
                  <w:tcBorders>
                    <w:tl2br w:val="nil"/>
                    <w:tr2bl w:val="nil"/>
                  </w:tcBorders>
                  <w:noWrap w:val="0"/>
                  <w:vAlign w:val="center"/>
                </w:tcPr>
                <w:p w14:paraId="47C60C3F">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依托已建守卫房</w:t>
                  </w:r>
                </w:p>
              </w:tc>
            </w:tr>
            <w:tr w14:paraId="641AB65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51" w:hRule="atLeast"/>
                <w:jc w:val="center"/>
              </w:trPr>
              <w:tc>
                <w:tcPr>
                  <w:tcW w:w="558" w:type="dxa"/>
                  <w:vMerge w:val="continue"/>
                  <w:tcBorders>
                    <w:tl2br w:val="nil"/>
                    <w:tr2bl w:val="nil"/>
                  </w:tcBorders>
                  <w:noWrap w:val="0"/>
                  <w:vAlign w:val="center"/>
                </w:tcPr>
                <w:p w14:paraId="6D24F83A">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938" w:type="dxa"/>
                  <w:tcBorders>
                    <w:tl2br w:val="nil"/>
                    <w:tr2bl w:val="nil"/>
                  </w:tcBorders>
                  <w:noWrap w:val="0"/>
                  <w:vAlign w:val="center"/>
                </w:tcPr>
                <w:p w14:paraId="7C308127">
                  <w:pPr>
                    <w:keepNext w:val="0"/>
                    <w:keepLines w:val="0"/>
                    <w:widowControl w:val="0"/>
                    <w:suppressLineNumbers w:val="0"/>
                    <w:spacing w:before="0" w:beforeAutospacing="0" w:after="0" w:afterAutospacing="0" w:line="240" w:lineRule="auto"/>
                    <w:ind w:left="0" w:right="0"/>
                    <w:jc w:val="center"/>
                    <w:rPr>
                      <w:rFonts w:hint="eastAsia" w:ascii="Times New Roman" w:hAnsi="Times New Roman"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一般固废暂存间</w:t>
                  </w:r>
                </w:p>
              </w:tc>
              <w:tc>
                <w:tcPr>
                  <w:tcW w:w="5848" w:type="dxa"/>
                  <w:gridSpan w:val="2"/>
                  <w:tcBorders>
                    <w:tl2br w:val="nil"/>
                    <w:tr2bl w:val="nil"/>
                  </w:tcBorders>
                  <w:noWrap w:val="0"/>
                  <w:vAlign w:val="center"/>
                </w:tcPr>
                <w:p w14:paraId="24922C07">
                  <w:pPr>
                    <w:keepNext w:val="0"/>
                    <w:keepLines w:val="0"/>
                    <w:widowControl w:val="0"/>
                    <w:suppressLineNumbers w:val="0"/>
                    <w:spacing w:before="0" w:beforeAutospacing="0" w:after="0" w:afterAutospacing="0" w:line="240" w:lineRule="auto"/>
                    <w:ind w:left="0" w:right="0"/>
                    <w:jc w:val="center"/>
                    <w:rPr>
                      <w:rFonts w:hint="eastAsia" w:ascii="Times New Roman" w:hAnsi="Times New Roman"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一般固废暂存间建筑面积50m</w:t>
                  </w:r>
                  <w:r>
                    <w:rPr>
                      <w:rFonts w:hint="eastAsia" w:ascii="Times New Roman" w:hAnsi="Times New Roman" w:cs="Times New Roman"/>
                      <w:b w:val="0"/>
                      <w:bCs/>
                      <w:color w:val="auto"/>
                      <w:kern w:val="2"/>
                      <w:sz w:val="21"/>
                      <w:szCs w:val="21"/>
                      <w:vertAlign w:val="superscript"/>
                      <w:lang w:val="en-US" w:eastAsia="zh-CN" w:bidi="ar"/>
                    </w:rPr>
                    <w:t>2</w:t>
                  </w:r>
                  <w:r>
                    <w:rPr>
                      <w:rFonts w:hint="eastAsia" w:ascii="Times New Roman" w:hAnsi="Times New Roman" w:cs="Times New Roman"/>
                      <w:b w:val="0"/>
                      <w:bCs/>
                      <w:color w:val="auto"/>
                      <w:kern w:val="2"/>
                      <w:sz w:val="21"/>
                      <w:szCs w:val="21"/>
                      <w:lang w:val="en-US" w:eastAsia="zh-CN" w:bidi="ar"/>
                    </w:rPr>
                    <w:t>。用于一般固废暂存。位于主厂房内。</w:t>
                  </w:r>
                </w:p>
              </w:tc>
              <w:tc>
                <w:tcPr>
                  <w:tcW w:w="1033" w:type="dxa"/>
                  <w:tcBorders>
                    <w:tl2br w:val="nil"/>
                    <w:tr2bl w:val="nil"/>
                  </w:tcBorders>
                  <w:noWrap w:val="0"/>
                  <w:vAlign w:val="center"/>
                </w:tcPr>
                <w:p w14:paraId="25ED1DA9">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依托已建厂房</w:t>
                  </w:r>
                </w:p>
              </w:tc>
            </w:tr>
            <w:tr w14:paraId="4D39687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51" w:hRule="atLeast"/>
                <w:jc w:val="center"/>
              </w:trPr>
              <w:tc>
                <w:tcPr>
                  <w:tcW w:w="558" w:type="dxa"/>
                  <w:vMerge w:val="continue"/>
                  <w:tcBorders>
                    <w:tl2br w:val="nil"/>
                    <w:tr2bl w:val="nil"/>
                  </w:tcBorders>
                  <w:noWrap w:val="0"/>
                  <w:vAlign w:val="center"/>
                </w:tcPr>
                <w:p w14:paraId="18A94BC2">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938" w:type="dxa"/>
                  <w:tcBorders>
                    <w:tl2br w:val="nil"/>
                    <w:tr2bl w:val="nil"/>
                  </w:tcBorders>
                  <w:shd w:val="clear" w:color="auto" w:fill="auto"/>
                  <w:noWrap w:val="0"/>
                  <w:vAlign w:val="center"/>
                </w:tcPr>
                <w:p w14:paraId="5C61DFD2">
                  <w:pPr>
                    <w:keepNext w:val="0"/>
                    <w:keepLines w:val="0"/>
                    <w:widowControl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危险废物贮存库</w:t>
                  </w:r>
                </w:p>
              </w:tc>
              <w:tc>
                <w:tcPr>
                  <w:tcW w:w="5848" w:type="dxa"/>
                  <w:gridSpan w:val="2"/>
                  <w:tcBorders>
                    <w:tl2br w:val="nil"/>
                    <w:tr2bl w:val="nil"/>
                  </w:tcBorders>
                  <w:shd w:val="clear" w:color="auto" w:fill="auto"/>
                  <w:noWrap w:val="0"/>
                  <w:vAlign w:val="center"/>
                </w:tcPr>
                <w:p w14:paraId="0E282558">
                  <w:pPr>
                    <w:keepNext w:val="0"/>
                    <w:keepLines w:val="0"/>
                    <w:widowControl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危险废物贮存库建筑面积5m</w:t>
                  </w:r>
                  <w:r>
                    <w:rPr>
                      <w:rFonts w:hint="eastAsia" w:ascii="Times New Roman" w:hAnsi="Times New Roman" w:cs="Times New Roman"/>
                      <w:b w:val="0"/>
                      <w:bCs/>
                      <w:color w:val="auto"/>
                      <w:kern w:val="2"/>
                      <w:sz w:val="21"/>
                      <w:szCs w:val="21"/>
                      <w:vertAlign w:val="superscript"/>
                      <w:lang w:val="en-US" w:eastAsia="zh-CN" w:bidi="ar"/>
                    </w:rPr>
                    <w:t>2</w:t>
                  </w:r>
                  <w:r>
                    <w:rPr>
                      <w:rFonts w:hint="eastAsia" w:ascii="Times New Roman" w:hAnsi="Times New Roman" w:cs="Times New Roman"/>
                      <w:b w:val="0"/>
                      <w:bCs/>
                      <w:color w:val="auto"/>
                      <w:kern w:val="2"/>
                      <w:sz w:val="21"/>
                      <w:szCs w:val="21"/>
                      <w:lang w:val="en-US" w:eastAsia="zh-CN" w:bidi="ar"/>
                    </w:rPr>
                    <w:t>。用于暂存危险废物。位于主厂房内。危险废物贮存库建设地面与裙脚采用2mm厚高密度聚乙烯膜等人工防渗材料（渗透系数不大于10</w:t>
                  </w:r>
                  <w:r>
                    <w:rPr>
                      <w:rFonts w:hint="eastAsia" w:ascii="Times New Roman" w:hAnsi="Times New Roman" w:cs="Times New Roman"/>
                      <w:b w:val="0"/>
                      <w:bCs/>
                      <w:color w:val="auto"/>
                      <w:kern w:val="2"/>
                      <w:sz w:val="21"/>
                      <w:szCs w:val="21"/>
                      <w:vertAlign w:val="superscript"/>
                      <w:lang w:val="en-US" w:eastAsia="zh-CN" w:bidi="ar"/>
                    </w:rPr>
                    <w:t>-10</w:t>
                  </w:r>
                  <w:r>
                    <w:rPr>
                      <w:rFonts w:hint="eastAsia" w:ascii="Times New Roman" w:hAnsi="Times New Roman" w:cs="Times New Roman"/>
                      <w:b w:val="0"/>
                      <w:bCs/>
                      <w:color w:val="auto"/>
                      <w:kern w:val="2"/>
                      <w:sz w:val="21"/>
                      <w:szCs w:val="21"/>
                      <w:lang w:val="en-US" w:eastAsia="zh-CN" w:bidi="ar"/>
                    </w:rPr>
                    <w:t>cm/s），贮存设施或贮存分区内地面、墙面裙脚、堵截泄漏的围堰、接触危险废物的隔板和墙体等应采用坚固的材料建造，表面无裂缝。防渗技术要求符合《危险废物贮存污染控制标准》（GB18597-2023）中有关防渗要求。</w:t>
                  </w:r>
                </w:p>
              </w:tc>
              <w:tc>
                <w:tcPr>
                  <w:tcW w:w="1033" w:type="dxa"/>
                  <w:tcBorders>
                    <w:tl2br w:val="nil"/>
                    <w:tr2bl w:val="nil"/>
                  </w:tcBorders>
                  <w:shd w:val="clear" w:color="auto" w:fill="auto"/>
                  <w:noWrap w:val="0"/>
                  <w:vAlign w:val="center"/>
                </w:tcPr>
                <w:p w14:paraId="279019CF">
                  <w:pPr>
                    <w:keepNext w:val="0"/>
                    <w:keepLines w:val="0"/>
                    <w:widowControl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依托已建厂房</w:t>
                  </w:r>
                </w:p>
              </w:tc>
            </w:tr>
            <w:tr w14:paraId="6441DBF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51" w:hRule="atLeast"/>
                <w:jc w:val="center"/>
              </w:trPr>
              <w:tc>
                <w:tcPr>
                  <w:tcW w:w="558" w:type="dxa"/>
                  <w:vMerge w:val="continue"/>
                  <w:tcBorders>
                    <w:tl2br w:val="nil"/>
                    <w:tr2bl w:val="nil"/>
                  </w:tcBorders>
                  <w:noWrap w:val="0"/>
                  <w:vAlign w:val="center"/>
                </w:tcPr>
                <w:p w14:paraId="1DAF8FA4">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938" w:type="dxa"/>
                  <w:tcBorders>
                    <w:tl2br w:val="nil"/>
                    <w:tr2bl w:val="nil"/>
                  </w:tcBorders>
                  <w:noWrap w:val="0"/>
                  <w:vAlign w:val="center"/>
                </w:tcPr>
                <w:p w14:paraId="3AAE4D26">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检测室</w:t>
                  </w:r>
                </w:p>
              </w:tc>
              <w:tc>
                <w:tcPr>
                  <w:tcW w:w="5848" w:type="dxa"/>
                  <w:gridSpan w:val="2"/>
                  <w:tcBorders>
                    <w:tl2br w:val="nil"/>
                    <w:tr2bl w:val="nil"/>
                  </w:tcBorders>
                  <w:noWrap w:val="0"/>
                  <w:vAlign w:val="center"/>
                </w:tcPr>
                <w:p w14:paraId="5D4B4252">
                  <w:pPr>
                    <w:keepNext w:val="0"/>
                    <w:keepLines w:val="0"/>
                    <w:widowControl w:val="0"/>
                    <w:suppressLineNumbers w:val="0"/>
                    <w:spacing w:before="0" w:beforeAutospacing="0" w:after="0" w:afterAutospacing="0" w:line="240" w:lineRule="auto"/>
                    <w:ind w:left="0" w:right="0"/>
                    <w:jc w:val="center"/>
                    <w:rPr>
                      <w:rFonts w:hint="eastAsia" w:ascii="Times New Roman" w:hAnsi="Times New Roman"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位于办公楼内单独房间，配套有直读光谱仪、洛氏硬度机等检测设备，进行化学成分分析及硬度测定，不涉及探伤等辐射装置，不涉及检验废液排放。</w:t>
                  </w:r>
                </w:p>
              </w:tc>
              <w:tc>
                <w:tcPr>
                  <w:tcW w:w="1033" w:type="dxa"/>
                  <w:tcBorders>
                    <w:tl2br w:val="nil"/>
                    <w:tr2bl w:val="nil"/>
                  </w:tcBorders>
                  <w:noWrap w:val="0"/>
                  <w:vAlign w:val="center"/>
                </w:tcPr>
                <w:p w14:paraId="3C3D69F1">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cs="Times New Roman"/>
                      <w:b w:val="0"/>
                      <w:bCs/>
                      <w:color w:val="auto"/>
                      <w:kern w:val="2"/>
                      <w:sz w:val="21"/>
                      <w:szCs w:val="21"/>
                      <w:lang w:val="en-US" w:eastAsia="zh-CN" w:bidi="ar"/>
                    </w:rPr>
                  </w:pPr>
                  <w:r>
                    <w:rPr>
                      <w:rFonts w:hint="default" w:ascii="Times New Roman" w:hAnsi="Times New Roman" w:cs="Times New Roman"/>
                      <w:b w:val="0"/>
                      <w:bCs/>
                      <w:color w:val="auto"/>
                      <w:kern w:val="2"/>
                      <w:sz w:val="21"/>
                      <w:szCs w:val="21"/>
                      <w:lang w:val="en-US" w:eastAsia="zh-CN" w:bidi="ar"/>
                    </w:rPr>
                    <w:t>依托已建</w:t>
                  </w:r>
                  <w:r>
                    <w:rPr>
                      <w:rFonts w:hint="eastAsia" w:ascii="Times New Roman" w:hAnsi="Times New Roman" w:cs="Times New Roman"/>
                      <w:b w:val="0"/>
                      <w:bCs/>
                      <w:color w:val="auto"/>
                      <w:kern w:val="2"/>
                      <w:sz w:val="21"/>
                      <w:szCs w:val="21"/>
                      <w:lang w:val="en-US" w:eastAsia="zh-CN" w:bidi="ar"/>
                    </w:rPr>
                    <w:t>办公楼</w:t>
                  </w:r>
                </w:p>
              </w:tc>
            </w:tr>
            <w:tr w14:paraId="19B5E6A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6" w:hRule="atLeast"/>
                <w:jc w:val="center"/>
              </w:trPr>
              <w:tc>
                <w:tcPr>
                  <w:tcW w:w="558" w:type="dxa"/>
                  <w:vMerge w:val="restart"/>
                  <w:tcBorders>
                    <w:tl2br w:val="nil"/>
                    <w:tr2bl w:val="nil"/>
                  </w:tcBorders>
                  <w:noWrap w:val="0"/>
                  <w:vAlign w:val="center"/>
                </w:tcPr>
                <w:p w14:paraId="45CD7492">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储运工程</w:t>
                  </w:r>
                </w:p>
              </w:tc>
              <w:tc>
                <w:tcPr>
                  <w:tcW w:w="938" w:type="dxa"/>
                  <w:tcBorders>
                    <w:tl2br w:val="nil"/>
                    <w:tr2bl w:val="nil"/>
                  </w:tcBorders>
                  <w:noWrap w:val="0"/>
                  <w:vAlign w:val="center"/>
                </w:tcPr>
                <w:p w14:paraId="1D490766">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原料</w:t>
                  </w:r>
                  <w:r>
                    <w:rPr>
                      <w:rFonts w:hint="eastAsia" w:ascii="Times New Roman" w:hAnsi="Times New Roman" w:cs="Times New Roman"/>
                      <w:b w:val="0"/>
                      <w:bCs/>
                      <w:color w:val="auto"/>
                      <w:kern w:val="2"/>
                      <w:sz w:val="21"/>
                      <w:szCs w:val="21"/>
                      <w:lang w:val="en-US" w:eastAsia="zh-CN" w:bidi="ar"/>
                    </w:rPr>
                    <w:t>库</w:t>
                  </w:r>
                </w:p>
              </w:tc>
              <w:tc>
                <w:tcPr>
                  <w:tcW w:w="5848" w:type="dxa"/>
                  <w:gridSpan w:val="2"/>
                  <w:tcBorders>
                    <w:tl2br w:val="nil"/>
                    <w:tr2bl w:val="nil"/>
                  </w:tcBorders>
                  <w:noWrap w:val="0"/>
                  <w:vAlign w:val="center"/>
                </w:tcPr>
                <w:p w14:paraId="0BCC3D2B">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建筑面积</w:t>
                  </w:r>
                  <w:r>
                    <w:rPr>
                      <w:rFonts w:hint="eastAsia" w:ascii="Times New Roman" w:hAnsi="Times New Roman" w:cs="Times New Roman"/>
                      <w:b w:val="0"/>
                      <w:bCs/>
                      <w:color w:val="auto"/>
                      <w:kern w:val="2"/>
                      <w:sz w:val="21"/>
                      <w:szCs w:val="21"/>
                      <w:lang w:val="en-US" w:eastAsia="zh-CN" w:bidi="ar"/>
                    </w:rPr>
                    <w:t>1000</w:t>
                  </w:r>
                  <w:r>
                    <w:rPr>
                      <w:rFonts w:hint="default" w:ascii="Times New Roman" w:hAnsi="Times New Roman" w:eastAsia="宋体" w:cs="Times New Roman"/>
                      <w:b w:val="0"/>
                      <w:bCs/>
                      <w:color w:val="auto"/>
                      <w:kern w:val="2"/>
                      <w:sz w:val="21"/>
                      <w:szCs w:val="21"/>
                      <w:lang w:val="en-US" w:eastAsia="zh-CN" w:bidi="ar"/>
                    </w:rPr>
                    <w:t>m</w:t>
                  </w:r>
                  <w:r>
                    <w:rPr>
                      <w:rFonts w:hint="default" w:ascii="Times New Roman" w:hAnsi="Times New Roman" w:eastAsia="宋体" w:cs="Times New Roman"/>
                      <w:b w:val="0"/>
                      <w:bCs/>
                      <w:color w:val="auto"/>
                      <w:kern w:val="2"/>
                      <w:sz w:val="21"/>
                      <w:szCs w:val="21"/>
                      <w:vertAlign w:val="superscript"/>
                      <w:lang w:val="en-US" w:eastAsia="zh-CN" w:bidi="ar"/>
                    </w:rPr>
                    <w:t>2</w:t>
                  </w:r>
                  <w:r>
                    <w:rPr>
                      <w:rFonts w:hint="default" w:ascii="Times New Roman" w:hAnsi="Times New Roman" w:eastAsia="宋体" w:cs="Times New Roman"/>
                      <w:b w:val="0"/>
                      <w:bCs/>
                      <w:color w:val="auto"/>
                      <w:kern w:val="2"/>
                      <w:sz w:val="21"/>
                      <w:szCs w:val="21"/>
                      <w:lang w:val="en-US" w:eastAsia="zh-CN" w:bidi="ar"/>
                    </w:rPr>
                    <w:t>，位于</w:t>
                  </w:r>
                  <w:r>
                    <w:rPr>
                      <w:rFonts w:hint="eastAsia" w:ascii="Times New Roman" w:hAnsi="Times New Roman" w:cs="Times New Roman"/>
                      <w:b w:val="0"/>
                      <w:bCs/>
                      <w:color w:val="auto"/>
                      <w:kern w:val="2"/>
                      <w:sz w:val="21"/>
                      <w:szCs w:val="21"/>
                      <w:lang w:val="en-US" w:eastAsia="zh-CN" w:bidi="ar"/>
                    </w:rPr>
                    <w:t>主厂房内西</w:t>
                  </w:r>
                  <w:r>
                    <w:rPr>
                      <w:rFonts w:hint="default" w:ascii="Times New Roman" w:hAnsi="Times New Roman" w:eastAsia="宋体" w:cs="Times New Roman"/>
                      <w:b w:val="0"/>
                      <w:bCs/>
                      <w:color w:val="auto"/>
                      <w:kern w:val="2"/>
                      <w:sz w:val="21"/>
                      <w:szCs w:val="21"/>
                      <w:lang w:val="en-US" w:eastAsia="zh-CN" w:bidi="ar"/>
                    </w:rPr>
                    <w:t>南侧，主要用于原材料堆放</w:t>
                  </w:r>
                </w:p>
              </w:tc>
              <w:tc>
                <w:tcPr>
                  <w:tcW w:w="1033" w:type="dxa"/>
                  <w:tcBorders>
                    <w:tl2br w:val="nil"/>
                    <w:tr2bl w:val="nil"/>
                  </w:tcBorders>
                  <w:noWrap w:val="0"/>
                  <w:vAlign w:val="center"/>
                </w:tcPr>
                <w:p w14:paraId="4BBC7364">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依托已建厂房</w:t>
                  </w:r>
                </w:p>
              </w:tc>
            </w:tr>
            <w:tr w14:paraId="58B353D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6" w:hRule="atLeast"/>
                <w:jc w:val="center"/>
              </w:trPr>
              <w:tc>
                <w:tcPr>
                  <w:tcW w:w="558" w:type="dxa"/>
                  <w:vMerge w:val="continue"/>
                  <w:tcBorders>
                    <w:tl2br w:val="nil"/>
                    <w:tr2bl w:val="nil"/>
                  </w:tcBorders>
                  <w:noWrap w:val="0"/>
                  <w:vAlign w:val="center"/>
                </w:tcPr>
                <w:p w14:paraId="0AC244CC">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938" w:type="dxa"/>
                  <w:tcBorders>
                    <w:tl2br w:val="nil"/>
                    <w:tr2bl w:val="nil"/>
                  </w:tcBorders>
                  <w:noWrap w:val="0"/>
                  <w:vAlign w:val="center"/>
                </w:tcPr>
                <w:p w14:paraId="650BA8C9">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成品</w:t>
                  </w:r>
                  <w:r>
                    <w:rPr>
                      <w:rFonts w:hint="eastAsia" w:ascii="Times New Roman" w:hAnsi="Times New Roman" w:cs="Times New Roman"/>
                      <w:b w:val="0"/>
                      <w:bCs/>
                      <w:color w:val="auto"/>
                      <w:kern w:val="2"/>
                      <w:sz w:val="21"/>
                      <w:szCs w:val="21"/>
                      <w:lang w:val="en-US" w:eastAsia="zh-CN" w:bidi="ar"/>
                    </w:rPr>
                    <w:t>库</w:t>
                  </w:r>
                </w:p>
              </w:tc>
              <w:tc>
                <w:tcPr>
                  <w:tcW w:w="5848" w:type="dxa"/>
                  <w:gridSpan w:val="2"/>
                  <w:tcBorders>
                    <w:tl2br w:val="nil"/>
                    <w:tr2bl w:val="nil"/>
                  </w:tcBorders>
                  <w:noWrap w:val="0"/>
                  <w:vAlign w:val="center"/>
                </w:tcPr>
                <w:p w14:paraId="7783D2CB">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建筑面积</w:t>
                  </w:r>
                  <w:r>
                    <w:rPr>
                      <w:rFonts w:hint="eastAsia" w:ascii="Times New Roman" w:hAnsi="Times New Roman" w:cs="Times New Roman"/>
                      <w:b w:val="0"/>
                      <w:bCs/>
                      <w:color w:val="auto"/>
                      <w:kern w:val="2"/>
                      <w:sz w:val="21"/>
                      <w:szCs w:val="21"/>
                      <w:lang w:val="en-US" w:eastAsia="zh-CN" w:bidi="ar"/>
                    </w:rPr>
                    <w:t>1500</w:t>
                  </w:r>
                  <w:r>
                    <w:rPr>
                      <w:rFonts w:hint="default" w:ascii="Times New Roman" w:hAnsi="Times New Roman" w:eastAsia="宋体" w:cs="Times New Roman"/>
                      <w:b w:val="0"/>
                      <w:bCs/>
                      <w:color w:val="auto"/>
                      <w:kern w:val="2"/>
                      <w:sz w:val="21"/>
                      <w:szCs w:val="21"/>
                      <w:lang w:val="en-US" w:eastAsia="zh-CN" w:bidi="ar"/>
                    </w:rPr>
                    <w:t>m</w:t>
                  </w:r>
                  <w:r>
                    <w:rPr>
                      <w:rFonts w:hint="default" w:ascii="Times New Roman" w:hAnsi="Times New Roman" w:eastAsia="宋体" w:cs="Times New Roman"/>
                      <w:b w:val="0"/>
                      <w:bCs/>
                      <w:color w:val="auto"/>
                      <w:kern w:val="2"/>
                      <w:sz w:val="21"/>
                      <w:szCs w:val="21"/>
                      <w:vertAlign w:val="superscript"/>
                      <w:lang w:val="en-US" w:eastAsia="zh-CN" w:bidi="ar"/>
                    </w:rPr>
                    <w:t>2</w:t>
                  </w:r>
                  <w:r>
                    <w:rPr>
                      <w:rFonts w:hint="default" w:ascii="Times New Roman" w:hAnsi="Times New Roman" w:eastAsia="宋体" w:cs="Times New Roman"/>
                      <w:b w:val="0"/>
                      <w:bCs/>
                      <w:color w:val="auto"/>
                      <w:kern w:val="2"/>
                      <w:sz w:val="21"/>
                      <w:szCs w:val="21"/>
                      <w:lang w:val="en-US" w:eastAsia="zh-CN" w:bidi="ar"/>
                    </w:rPr>
                    <w:t>，位于主厂房内西南侧，主要用于成品堆放</w:t>
                  </w:r>
                </w:p>
              </w:tc>
              <w:tc>
                <w:tcPr>
                  <w:tcW w:w="1033" w:type="dxa"/>
                  <w:tcBorders>
                    <w:tl2br w:val="nil"/>
                    <w:tr2bl w:val="nil"/>
                  </w:tcBorders>
                  <w:noWrap w:val="0"/>
                  <w:vAlign w:val="center"/>
                </w:tcPr>
                <w:p w14:paraId="635B5D3C">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依托已建厂房</w:t>
                  </w:r>
                </w:p>
              </w:tc>
            </w:tr>
            <w:tr w14:paraId="5F51E81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6" w:hRule="atLeast"/>
                <w:jc w:val="center"/>
              </w:trPr>
              <w:tc>
                <w:tcPr>
                  <w:tcW w:w="558" w:type="dxa"/>
                  <w:vMerge w:val="restart"/>
                  <w:tcBorders>
                    <w:tl2br w:val="nil"/>
                    <w:tr2bl w:val="nil"/>
                  </w:tcBorders>
                  <w:noWrap w:val="0"/>
                  <w:vAlign w:val="center"/>
                </w:tcPr>
                <w:p w14:paraId="164F022F">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公用工程</w:t>
                  </w:r>
                </w:p>
              </w:tc>
              <w:tc>
                <w:tcPr>
                  <w:tcW w:w="938" w:type="dxa"/>
                  <w:tcBorders>
                    <w:tl2br w:val="nil"/>
                    <w:tr2bl w:val="nil"/>
                  </w:tcBorders>
                  <w:noWrap w:val="0"/>
                  <w:vAlign w:val="center"/>
                </w:tcPr>
                <w:p w14:paraId="58A3D9D7">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供水系统</w:t>
                  </w:r>
                </w:p>
              </w:tc>
              <w:tc>
                <w:tcPr>
                  <w:tcW w:w="5848" w:type="dxa"/>
                  <w:gridSpan w:val="2"/>
                  <w:tcBorders>
                    <w:tl2br w:val="nil"/>
                    <w:tr2bl w:val="nil"/>
                  </w:tcBorders>
                  <w:noWrap w:val="0"/>
                  <w:vAlign w:val="center"/>
                </w:tcPr>
                <w:p w14:paraId="1A54870F">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本项目生产用水和生活用水来自市政供水管网</w:t>
                  </w:r>
                  <w:r>
                    <w:rPr>
                      <w:rFonts w:hint="eastAsia" w:ascii="Times New Roman" w:hAnsi="Times New Roman" w:cs="Times New Roman"/>
                      <w:b w:val="0"/>
                      <w:bCs/>
                      <w:color w:val="auto"/>
                      <w:kern w:val="2"/>
                      <w:sz w:val="21"/>
                      <w:szCs w:val="21"/>
                      <w:lang w:val="en-US" w:eastAsia="zh-CN" w:bidi="ar"/>
                    </w:rPr>
                    <w:t>。</w:t>
                  </w:r>
                </w:p>
              </w:tc>
              <w:tc>
                <w:tcPr>
                  <w:tcW w:w="1033" w:type="dxa"/>
                  <w:tcBorders>
                    <w:tl2br w:val="nil"/>
                    <w:tr2bl w:val="nil"/>
                  </w:tcBorders>
                  <w:noWrap w:val="0"/>
                  <w:vAlign w:val="center"/>
                </w:tcPr>
                <w:p w14:paraId="44C8767D">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依托</w:t>
                  </w:r>
                </w:p>
              </w:tc>
            </w:tr>
            <w:tr w14:paraId="141B300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6" w:hRule="atLeast"/>
                <w:jc w:val="center"/>
              </w:trPr>
              <w:tc>
                <w:tcPr>
                  <w:tcW w:w="558" w:type="dxa"/>
                  <w:vMerge w:val="continue"/>
                  <w:tcBorders>
                    <w:tl2br w:val="nil"/>
                    <w:tr2bl w:val="nil"/>
                  </w:tcBorders>
                  <w:noWrap w:val="0"/>
                  <w:vAlign w:val="center"/>
                </w:tcPr>
                <w:p w14:paraId="3157E367">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938" w:type="dxa"/>
                  <w:tcBorders>
                    <w:tl2br w:val="nil"/>
                    <w:tr2bl w:val="nil"/>
                  </w:tcBorders>
                  <w:noWrap w:val="0"/>
                  <w:vAlign w:val="center"/>
                </w:tcPr>
                <w:p w14:paraId="3408FEBF">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排水系统</w:t>
                  </w:r>
                </w:p>
              </w:tc>
              <w:tc>
                <w:tcPr>
                  <w:tcW w:w="5848" w:type="dxa"/>
                  <w:gridSpan w:val="2"/>
                  <w:tcBorders>
                    <w:tl2br w:val="nil"/>
                    <w:tr2bl w:val="nil"/>
                  </w:tcBorders>
                  <w:noWrap w:val="0"/>
                  <w:vAlign w:val="center"/>
                </w:tcPr>
                <w:p w14:paraId="7266A3AB">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雨污分流；雨水经厂区雨水管道接入市政雨水管网；生活污水经化粪池处理达标后和循环冷却系统排水接入市政污水管网，由铁力市城市污水处理厂（铁力市伊吉污水处理厂）处理</w:t>
                  </w:r>
                  <w:r>
                    <w:rPr>
                      <w:rFonts w:hint="eastAsia" w:ascii="Times New Roman" w:hAnsi="Times New Roman" w:cs="Times New Roman"/>
                      <w:b w:val="0"/>
                      <w:bCs/>
                      <w:color w:val="auto"/>
                      <w:kern w:val="2"/>
                      <w:sz w:val="21"/>
                      <w:szCs w:val="21"/>
                      <w:lang w:val="en-US" w:eastAsia="zh-CN" w:bidi="ar"/>
                    </w:rPr>
                    <w:t>，达到</w:t>
                  </w:r>
                  <w:r>
                    <w:rPr>
                      <w:rFonts w:hint="default" w:ascii="Times New Roman" w:hAnsi="Times New Roman" w:eastAsia="宋体" w:cs="Times New Roman"/>
                      <w:b w:val="0"/>
                      <w:bCs/>
                      <w:color w:val="auto"/>
                      <w:kern w:val="2"/>
                      <w:sz w:val="21"/>
                      <w:szCs w:val="21"/>
                      <w:lang w:val="en-US" w:eastAsia="zh-CN" w:bidi="ar"/>
                    </w:rPr>
                    <w:t>《城镇污水处理厂污染物排放标准》（GB18918-2002）一级A标准后，排入</w:t>
                  </w:r>
                  <w:r>
                    <w:rPr>
                      <w:rFonts w:hint="eastAsia" w:ascii="Times New Roman" w:hAnsi="Times New Roman" w:cs="Times New Roman"/>
                      <w:b w:val="0"/>
                      <w:bCs/>
                      <w:color w:val="auto"/>
                      <w:kern w:val="2"/>
                      <w:sz w:val="21"/>
                      <w:szCs w:val="21"/>
                      <w:lang w:val="en-US" w:eastAsia="zh-CN" w:bidi="ar"/>
                    </w:rPr>
                    <w:t>呼兰河，待铁力经济开发区污水处理厂运营后，污水由铁力经济开发区污水处理厂接管，处理达到《城镇污水处理厂污染物排放标准》（GB18918-2002）一级A标准后，排入呼兰河。</w:t>
                  </w:r>
                </w:p>
              </w:tc>
              <w:tc>
                <w:tcPr>
                  <w:tcW w:w="1033" w:type="dxa"/>
                  <w:tcBorders>
                    <w:tl2br w:val="nil"/>
                    <w:tr2bl w:val="nil"/>
                  </w:tcBorders>
                  <w:noWrap w:val="0"/>
                  <w:vAlign w:val="center"/>
                </w:tcPr>
                <w:p w14:paraId="632109E9">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依托</w:t>
                  </w:r>
                </w:p>
              </w:tc>
            </w:tr>
            <w:tr w14:paraId="365771B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6" w:hRule="atLeast"/>
                <w:jc w:val="center"/>
              </w:trPr>
              <w:tc>
                <w:tcPr>
                  <w:tcW w:w="558" w:type="dxa"/>
                  <w:vMerge w:val="continue"/>
                  <w:tcBorders>
                    <w:tl2br w:val="nil"/>
                    <w:tr2bl w:val="nil"/>
                  </w:tcBorders>
                  <w:noWrap w:val="0"/>
                  <w:vAlign w:val="center"/>
                </w:tcPr>
                <w:p w14:paraId="4BAACA96">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938" w:type="dxa"/>
                  <w:tcBorders>
                    <w:tl2br w:val="nil"/>
                    <w:tr2bl w:val="nil"/>
                  </w:tcBorders>
                  <w:noWrap w:val="0"/>
                  <w:vAlign w:val="center"/>
                </w:tcPr>
                <w:p w14:paraId="7427D2C3">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供电系统</w:t>
                  </w:r>
                </w:p>
              </w:tc>
              <w:tc>
                <w:tcPr>
                  <w:tcW w:w="5848" w:type="dxa"/>
                  <w:gridSpan w:val="2"/>
                  <w:tcBorders>
                    <w:tl2br w:val="nil"/>
                    <w:tr2bl w:val="nil"/>
                  </w:tcBorders>
                  <w:noWrap w:val="0"/>
                  <w:vAlign w:val="center"/>
                </w:tcPr>
                <w:p w14:paraId="1BEDCAC7">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电源引自市政供电管网，厂区年用电量为800万kWh</w:t>
                  </w:r>
                </w:p>
              </w:tc>
              <w:tc>
                <w:tcPr>
                  <w:tcW w:w="1033" w:type="dxa"/>
                  <w:tcBorders>
                    <w:tl2br w:val="nil"/>
                    <w:tr2bl w:val="nil"/>
                  </w:tcBorders>
                  <w:noWrap w:val="0"/>
                  <w:vAlign w:val="center"/>
                </w:tcPr>
                <w:p w14:paraId="5DCFD52F">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依托</w:t>
                  </w:r>
                </w:p>
              </w:tc>
            </w:tr>
            <w:tr w14:paraId="2177AB2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6" w:hRule="atLeast"/>
                <w:jc w:val="center"/>
              </w:trPr>
              <w:tc>
                <w:tcPr>
                  <w:tcW w:w="558" w:type="dxa"/>
                  <w:vMerge w:val="restart"/>
                  <w:tcBorders>
                    <w:tl2br w:val="nil"/>
                    <w:tr2bl w:val="nil"/>
                  </w:tcBorders>
                  <w:noWrap w:val="0"/>
                  <w:vAlign w:val="center"/>
                </w:tcPr>
                <w:p w14:paraId="37E34189">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环保工程</w:t>
                  </w:r>
                </w:p>
              </w:tc>
              <w:tc>
                <w:tcPr>
                  <w:tcW w:w="938" w:type="dxa"/>
                  <w:vMerge w:val="restart"/>
                  <w:tcBorders>
                    <w:tl2br w:val="nil"/>
                    <w:tr2bl w:val="nil"/>
                  </w:tcBorders>
                  <w:noWrap w:val="0"/>
                  <w:vAlign w:val="center"/>
                </w:tcPr>
                <w:p w14:paraId="5A5FA1D7">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废气</w:t>
                  </w:r>
                </w:p>
              </w:tc>
              <w:tc>
                <w:tcPr>
                  <w:tcW w:w="1767" w:type="dxa"/>
                  <w:tcBorders>
                    <w:tl2br w:val="nil"/>
                    <w:tr2bl w:val="nil"/>
                  </w:tcBorders>
                  <w:noWrap w:val="0"/>
                  <w:vAlign w:val="center"/>
                </w:tcPr>
                <w:p w14:paraId="24A9EB4E">
                  <w:pPr>
                    <w:pStyle w:val="397"/>
                    <w:keepNext w:val="0"/>
                    <w:keepLines w:val="0"/>
                    <w:widowControl w:val="0"/>
                    <w:suppressLineNumbers w:val="0"/>
                    <w:autoSpaceDE w:val="0"/>
                    <w:autoSpaceDN/>
                    <w:spacing w:line="240" w:lineRule="auto"/>
                    <w:ind w:left="0" w:leftChars="0" w:right="0" w:rightChars="0" w:firstLine="0" w:firstLineChars="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caps w:val="0"/>
                      <w:color w:val="auto"/>
                      <w:spacing w:val="0"/>
                      <w:kern w:val="2"/>
                      <w:sz w:val="21"/>
                      <w:szCs w:val="21"/>
                      <w:lang w:val="en-US" w:eastAsia="zh-CN"/>
                    </w:rPr>
                    <w:t>熔炼废气</w:t>
                  </w:r>
                </w:p>
              </w:tc>
              <w:tc>
                <w:tcPr>
                  <w:tcW w:w="4081" w:type="dxa"/>
                  <w:vMerge w:val="restart"/>
                  <w:tcBorders>
                    <w:tl2br w:val="nil"/>
                    <w:tr2bl w:val="nil"/>
                  </w:tcBorders>
                  <w:noWrap w:val="0"/>
                  <w:vAlign w:val="center"/>
                </w:tcPr>
                <w:p w14:paraId="0C459E8D">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熔炼废气经</w:t>
                  </w:r>
                  <w:r>
                    <w:rPr>
                      <w:rFonts w:hint="default" w:ascii="Times New Roman" w:hAnsi="Times New Roman" w:eastAsia="宋体" w:cs="Times New Roman"/>
                      <w:b w:val="0"/>
                      <w:bCs/>
                      <w:color w:val="auto"/>
                      <w:kern w:val="2"/>
                      <w:sz w:val="21"/>
                      <w:szCs w:val="21"/>
                      <w:lang w:val="en-US" w:eastAsia="zh-CN" w:bidi="ar"/>
                    </w:rPr>
                    <w:t>炉盖一体化装置</w:t>
                  </w:r>
                  <w:r>
                    <w:rPr>
                      <w:rFonts w:hint="eastAsia" w:ascii="Times New Roman" w:hAnsi="Times New Roman" w:cs="Times New Roman"/>
                      <w:b w:val="0"/>
                      <w:bCs/>
                      <w:color w:val="auto"/>
                      <w:kern w:val="2"/>
                      <w:sz w:val="21"/>
                      <w:szCs w:val="21"/>
                      <w:lang w:val="en-US" w:eastAsia="zh-CN" w:bidi="ar"/>
                    </w:rPr>
                    <w:t>收集、造型废气经</w:t>
                  </w:r>
                  <w:r>
                    <w:rPr>
                      <w:rFonts w:hint="default" w:ascii="Times New Roman" w:hAnsi="Times New Roman" w:eastAsia="宋体" w:cs="Times New Roman"/>
                      <w:b w:val="0"/>
                      <w:bCs/>
                      <w:color w:val="auto"/>
                      <w:kern w:val="2"/>
                      <w:sz w:val="21"/>
                      <w:szCs w:val="21"/>
                      <w:lang w:val="en-US" w:eastAsia="zh-CN" w:bidi="ar"/>
                    </w:rPr>
                    <w:t>集气罩收集</w:t>
                  </w:r>
                  <w:r>
                    <w:rPr>
                      <w:rFonts w:hint="eastAsia" w:ascii="Times New Roman" w:hAnsi="Times New Roman" w:cs="Times New Roman"/>
                      <w:b w:val="0"/>
                      <w:bCs/>
                      <w:color w:val="auto"/>
                      <w:kern w:val="2"/>
                      <w:sz w:val="21"/>
                      <w:szCs w:val="21"/>
                      <w:lang w:val="en-US" w:eastAsia="zh-CN" w:bidi="ar"/>
                    </w:rPr>
                    <w:t>、打磨清理废气经密闭管道收集、砂处理废气经密闭管道收集</w:t>
                  </w:r>
                  <w:r>
                    <w:rPr>
                      <w:rFonts w:hint="default" w:ascii="Times New Roman" w:hAnsi="Times New Roman" w:eastAsia="宋体" w:cs="Times New Roman"/>
                      <w:b w:val="0"/>
                      <w:bCs/>
                      <w:color w:val="auto"/>
                      <w:kern w:val="2"/>
                      <w:sz w:val="21"/>
                      <w:szCs w:val="21"/>
                      <w:lang w:val="en-US" w:eastAsia="zh-CN" w:bidi="ar"/>
                    </w:rPr>
                    <w:t>后经</w:t>
                  </w:r>
                  <w:r>
                    <w:rPr>
                      <w:rFonts w:hint="eastAsia" w:ascii="Times New Roman" w:hAnsi="Times New Roman" w:cs="Times New Roman"/>
                      <w:b w:val="0"/>
                      <w:bCs/>
                      <w:color w:val="auto"/>
                      <w:kern w:val="2"/>
                      <w:sz w:val="21"/>
                      <w:szCs w:val="21"/>
                      <w:lang w:val="en-US" w:eastAsia="zh-CN" w:bidi="ar"/>
                    </w:rPr>
                    <w:t>一台</w:t>
                  </w:r>
                  <w:r>
                    <w:rPr>
                      <w:rFonts w:hint="default" w:ascii="Times New Roman" w:hAnsi="Times New Roman" w:eastAsia="宋体" w:cs="Times New Roman"/>
                      <w:b w:val="0"/>
                      <w:bCs/>
                      <w:color w:val="auto"/>
                      <w:kern w:val="2"/>
                      <w:sz w:val="21"/>
                      <w:szCs w:val="21"/>
                      <w:lang w:val="en-US" w:eastAsia="zh-CN" w:bidi="ar"/>
                    </w:rPr>
                    <w:t>脉冲布袋除尘器处理后</w:t>
                  </w:r>
                  <w:r>
                    <w:rPr>
                      <w:rFonts w:hint="eastAsia" w:ascii="Times New Roman" w:hAnsi="Times New Roman" w:cs="Times New Roman"/>
                      <w:b w:val="0"/>
                      <w:bCs/>
                      <w:color w:val="auto"/>
                      <w:kern w:val="2"/>
                      <w:sz w:val="21"/>
                      <w:szCs w:val="21"/>
                      <w:lang w:val="en-US" w:eastAsia="zh-CN" w:bidi="ar"/>
                    </w:rPr>
                    <w:t>通过</w:t>
                  </w:r>
                  <w:r>
                    <w:rPr>
                      <w:rFonts w:hint="eastAsia" w:ascii="Times New Roman" w:hAnsi="Times New Roman" w:eastAsia="宋体" w:cs="Times New Roman"/>
                      <w:b w:val="0"/>
                      <w:bCs/>
                      <w:color w:val="auto"/>
                      <w:kern w:val="2"/>
                      <w:sz w:val="21"/>
                      <w:szCs w:val="21"/>
                      <w:lang w:val="en-US" w:eastAsia="zh-CN" w:bidi="ar"/>
                    </w:rPr>
                    <w:t>15</w:t>
                  </w:r>
                  <w:r>
                    <w:rPr>
                      <w:rFonts w:hint="default" w:ascii="Times New Roman" w:hAnsi="Times New Roman" w:eastAsia="宋体" w:cs="Times New Roman"/>
                      <w:b w:val="0"/>
                      <w:bCs/>
                      <w:color w:val="auto"/>
                      <w:kern w:val="2"/>
                      <w:sz w:val="21"/>
                      <w:szCs w:val="21"/>
                      <w:lang w:val="en-US" w:eastAsia="zh-CN" w:bidi="ar"/>
                    </w:rPr>
                    <w:t>m高DA001排气筒排放</w:t>
                  </w:r>
                  <w:r>
                    <w:rPr>
                      <w:rFonts w:hint="eastAsia" w:ascii="Times New Roman" w:hAnsi="Times New Roman" w:cs="Times New Roman"/>
                      <w:b w:val="0"/>
                      <w:bCs/>
                      <w:color w:val="auto"/>
                      <w:kern w:val="2"/>
                      <w:sz w:val="21"/>
                      <w:szCs w:val="21"/>
                      <w:lang w:val="en-US" w:eastAsia="zh-CN" w:bidi="ar"/>
                    </w:rPr>
                    <w:t>。</w:t>
                  </w:r>
                </w:p>
              </w:tc>
              <w:tc>
                <w:tcPr>
                  <w:tcW w:w="1033" w:type="dxa"/>
                  <w:vMerge w:val="restart"/>
                  <w:tcBorders>
                    <w:tl2br w:val="nil"/>
                    <w:tr2bl w:val="nil"/>
                  </w:tcBorders>
                  <w:noWrap w:val="0"/>
                  <w:vAlign w:val="center"/>
                </w:tcPr>
                <w:p w14:paraId="440BDB6B">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新建</w:t>
                  </w:r>
                </w:p>
              </w:tc>
            </w:tr>
            <w:tr w14:paraId="4B4BB44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jc w:val="center"/>
              </w:trPr>
              <w:tc>
                <w:tcPr>
                  <w:tcW w:w="558" w:type="dxa"/>
                  <w:vMerge w:val="continue"/>
                  <w:tcBorders>
                    <w:tl2br w:val="nil"/>
                    <w:tr2bl w:val="nil"/>
                  </w:tcBorders>
                  <w:noWrap w:val="0"/>
                  <w:vAlign w:val="center"/>
                </w:tcPr>
                <w:p w14:paraId="3DA12B81">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938" w:type="dxa"/>
                  <w:vMerge w:val="continue"/>
                  <w:tcBorders>
                    <w:tl2br w:val="nil"/>
                    <w:tr2bl w:val="nil"/>
                  </w:tcBorders>
                  <w:noWrap w:val="0"/>
                  <w:vAlign w:val="center"/>
                </w:tcPr>
                <w:p w14:paraId="234CF830">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1767" w:type="dxa"/>
                  <w:tcBorders>
                    <w:tl2br w:val="nil"/>
                    <w:tr2bl w:val="nil"/>
                  </w:tcBorders>
                  <w:noWrap w:val="0"/>
                  <w:vAlign w:val="center"/>
                </w:tcPr>
                <w:p w14:paraId="5E5C95EC">
                  <w:pPr>
                    <w:pStyle w:val="397"/>
                    <w:keepNext w:val="0"/>
                    <w:keepLines w:val="0"/>
                    <w:widowControl w:val="0"/>
                    <w:suppressLineNumbers w:val="0"/>
                    <w:autoSpaceDE w:val="0"/>
                    <w:autoSpaceDN/>
                    <w:spacing w:line="240" w:lineRule="auto"/>
                    <w:ind w:left="0" w:leftChars="0" w:right="0" w:rightChars="0" w:firstLine="0" w:firstLineChars="0"/>
                    <w:jc w:val="center"/>
                    <w:rPr>
                      <w:rFonts w:hint="default" w:ascii="Times New Roman" w:hAnsi="Times New Roman" w:eastAsia="宋体" w:cs="Times New Roman"/>
                      <w:b w:val="0"/>
                      <w:bCs/>
                      <w:color w:val="auto"/>
                      <w:kern w:val="2"/>
                      <w:sz w:val="21"/>
                      <w:szCs w:val="21"/>
                      <w:lang w:val="en-US" w:eastAsia="zh-CN" w:bidi="ar"/>
                    </w:rPr>
                  </w:pPr>
                  <w:r>
                    <w:rPr>
                      <w:rFonts w:hint="eastAsia" w:cs="Times New Roman"/>
                      <w:caps w:val="0"/>
                      <w:color w:val="auto"/>
                      <w:spacing w:val="0"/>
                      <w:kern w:val="2"/>
                      <w:sz w:val="21"/>
                      <w:szCs w:val="21"/>
                      <w:lang w:val="en-US" w:eastAsia="zh-CN"/>
                    </w:rPr>
                    <w:t>造型</w:t>
                  </w:r>
                  <w:r>
                    <w:rPr>
                      <w:rFonts w:hint="default" w:ascii="Times New Roman" w:hAnsi="Times New Roman" w:eastAsia="宋体" w:cs="Times New Roman"/>
                      <w:caps w:val="0"/>
                      <w:color w:val="auto"/>
                      <w:spacing w:val="0"/>
                      <w:kern w:val="2"/>
                      <w:sz w:val="21"/>
                      <w:szCs w:val="21"/>
                      <w:lang w:val="en-US" w:eastAsia="zh-CN"/>
                    </w:rPr>
                    <w:t>废气</w:t>
                  </w:r>
                </w:p>
              </w:tc>
              <w:tc>
                <w:tcPr>
                  <w:tcW w:w="4081" w:type="dxa"/>
                  <w:vMerge w:val="continue"/>
                  <w:tcBorders>
                    <w:tl2br w:val="nil"/>
                    <w:tr2bl w:val="nil"/>
                  </w:tcBorders>
                  <w:noWrap w:val="0"/>
                  <w:vAlign w:val="center"/>
                </w:tcPr>
                <w:p w14:paraId="63A8DEF1">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1033" w:type="dxa"/>
                  <w:vMerge w:val="continue"/>
                  <w:tcBorders>
                    <w:tl2br w:val="nil"/>
                    <w:tr2bl w:val="nil"/>
                  </w:tcBorders>
                  <w:noWrap w:val="0"/>
                  <w:vAlign w:val="center"/>
                </w:tcPr>
                <w:p w14:paraId="4B7D1218">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r>
            <w:tr w14:paraId="6D2CB74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6" w:hRule="atLeast"/>
                <w:jc w:val="center"/>
              </w:trPr>
              <w:tc>
                <w:tcPr>
                  <w:tcW w:w="558" w:type="dxa"/>
                  <w:vMerge w:val="continue"/>
                  <w:tcBorders>
                    <w:tl2br w:val="nil"/>
                    <w:tr2bl w:val="nil"/>
                  </w:tcBorders>
                  <w:noWrap w:val="0"/>
                  <w:vAlign w:val="center"/>
                </w:tcPr>
                <w:p w14:paraId="78D5A32D">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938" w:type="dxa"/>
                  <w:vMerge w:val="continue"/>
                  <w:tcBorders>
                    <w:tl2br w:val="nil"/>
                    <w:tr2bl w:val="nil"/>
                  </w:tcBorders>
                  <w:noWrap w:val="0"/>
                  <w:vAlign w:val="center"/>
                </w:tcPr>
                <w:p w14:paraId="093BCB59">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1767" w:type="dxa"/>
                  <w:tcBorders>
                    <w:tl2br w:val="nil"/>
                    <w:tr2bl w:val="nil"/>
                  </w:tcBorders>
                  <w:noWrap w:val="0"/>
                  <w:vAlign w:val="center"/>
                </w:tcPr>
                <w:p w14:paraId="58DA92DB">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2"/>
                      <w:sz w:val="21"/>
                      <w:szCs w:val="21"/>
                      <w:lang w:val="en-US" w:eastAsia="zh-CN" w:bidi="ar"/>
                    </w:rPr>
                  </w:pPr>
                  <w:r>
                    <w:rPr>
                      <w:rFonts w:hint="eastAsia" w:ascii="Times New Roman" w:hAnsi="Times New Roman" w:cs="Times New Roman"/>
                      <w:color w:val="auto"/>
                      <w:kern w:val="0"/>
                      <w:sz w:val="21"/>
                      <w:szCs w:val="21"/>
                      <w:lang w:val="en-US" w:eastAsia="zh-CN" w:bidi="ar"/>
                    </w:rPr>
                    <w:t>打磨清理</w:t>
                  </w:r>
                  <w:r>
                    <w:rPr>
                      <w:rFonts w:hint="default" w:ascii="Times New Roman" w:hAnsi="Times New Roman" w:cs="Times New Roman"/>
                      <w:color w:val="auto"/>
                      <w:kern w:val="0"/>
                      <w:sz w:val="21"/>
                      <w:szCs w:val="21"/>
                      <w:lang w:val="en-US" w:eastAsia="zh-CN" w:bidi="ar"/>
                    </w:rPr>
                    <w:t>废气</w:t>
                  </w:r>
                </w:p>
              </w:tc>
              <w:tc>
                <w:tcPr>
                  <w:tcW w:w="4081" w:type="dxa"/>
                  <w:vMerge w:val="continue"/>
                  <w:tcBorders>
                    <w:tl2br w:val="nil"/>
                    <w:tr2bl w:val="nil"/>
                  </w:tcBorders>
                  <w:noWrap w:val="0"/>
                  <w:vAlign w:val="center"/>
                </w:tcPr>
                <w:p w14:paraId="5E8812FE">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1033" w:type="dxa"/>
                  <w:vMerge w:val="continue"/>
                  <w:tcBorders>
                    <w:tl2br w:val="nil"/>
                    <w:tr2bl w:val="nil"/>
                  </w:tcBorders>
                  <w:noWrap w:val="0"/>
                  <w:vAlign w:val="center"/>
                </w:tcPr>
                <w:p w14:paraId="056FA6E8">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r>
            <w:tr w14:paraId="2399CD3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6" w:hRule="atLeast"/>
                <w:jc w:val="center"/>
              </w:trPr>
              <w:tc>
                <w:tcPr>
                  <w:tcW w:w="558" w:type="dxa"/>
                  <w:vMerge w:val="continue"/>
                  <w:tcBorders>
                    <w:tl2br w:val="nil"/>
                    <w:tr2bl w:val="nil"/>
                  </w:tcBorders>
                  <w:noWrap w:val="0"/>
                  <w:vAlign w:val="center"/>
                </w:tcPr>
                <w:p w14:paraId="7AE43845">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938" w:type="dxa"/>
                  <w:vMerge w:val="continue"/>
                  <w:tcBorders>
                    <w:tl2br w:val="nil"/>
                    <w:tr2bl w:val="nil"/>
                  </w:tcBorders>
                  <w:noWrap w:val="0"/>
                  <w:vAlign w:val="center"/>
                </w:tcPr>
                <w:p w14:paraId="237F214A">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1767" w:type="dxa"/>
                  <w:tcBorders>
                    <w:tl2br w:val="nil"/>
                    <w:tr2bl w:val="nil"/>
                  </w:tcBorders>
                  <w:noWrap w:val="0"/>
                  <w:vAlign w:val="center"/>
                </w:tcPr>
                <w:p w14:paraId="616A3915">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砂处理</w:t>
                  </w:r>
                </w:p>
              </w:tc>
              <w:tc>
                <w:tcPr>
                  <w:tcW w:w="4081" w:type="dxa"/>
                  <w:vMerge w:val="continue"/>
                  <w:tcBorders>
                    <w:tl2br w:val="nil"/>
                    <w:tr2bl w:val="nil"/>
                  </w:tcBorders>
                  <w:noWrap w:val="0"/>
                  <w:vAlign w:val="center"/>
                </w:tcPr>
                <w:p w14:paraId="678737B4">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1033" w:type="dxa"/>
                  <w:vMerge w:val="continue"/>
                  <w:tcBorders>
                    <w:tl2br w:val="nil"/>
                    <w:tr2bl w:val="nil"/>
                  </w:tcBorders>
                  <w:noWrap w:val="0"/>
                  <w:vAlign w:val="center"/>
                </w:tcPr>
                <w:p w14:paraId="2A6AA627">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r>
            <w:tr w14:paraId="1C5A3C9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6" w:hRule="atLeast"/>
                <w:jc w:val="center"/>
              </w:trPr>
              <w:tc>
                <w:tcPr>
                  <w:tcW w:w="558" w:type="dxa"/>
                  <w:vMerge w:val="continue"/>
                  <w:tcBorders>
                    <w:tl2br w:val="nil"/>
                    <w:tr2bl w:val="nil"/>
                  </w:tcBorders>
                  <w:noWrap w:val="0"/>
                  <w:vAlign w:val="center"/>
                </w:tcPr>
                <w:p w14:paraId="5B4ED34E">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938" w:type="dxa"/>
                  <w:vMerge w:val="continue"/>
                  <w:tcBorders>
                    <w:tl2br w:val="nil"/>
                    <w:tr2bl w:val="nil"/>
                  </w:tcBorders>
                  <w:noWrap w:val="0"/>
                  <w:vAlign w:val="center"/>
                </w:tcPr>
                <w:p w14:paraId="009D0714">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1767" w:type="dxa"/>
                  <w:tcBorders>
                    <w:tl2br w:val="nil"/>
                    <w:tr2bl w:val="nil"/>
                  </w:tcBorders>
                  <w:noWrap w:val="0"/>
                  <w:vAlign w:val="center"/>
                </w:tcPr>
                <w:p w14:paraId="363013F4">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color w:val="auto"/>
                      <w:kern w:val="0"/>
                      <w:sz w:val="21"/>
                      <w:szCs w:val="21"/>
                      <w:lang w:val="en-US" w:eastAsia="zh-CN" w:bidi="ar"/>
                    </w:rPr>
                    <w:t>浇注废气</w:t>
                  </w:r>
                  <w:r>
                    <w:rPr>
                      <w:rFonts w:hint="eastAsia" w:ascii="Times New Roman" w:hAnsi="Times New Roman" w:cs="Times New Roman"/>
                      <w:color w:val="auto"/>
                      <w:kern w:val="0"/>
                      <w:sz w:val="21"/>
                      <w:szCs w:val="21"/>
                      <w:lang w:val="en-US" w:eastAsia="zh-CN" w:bidi="ar"/>
                    </w:rPr>
                    <w:t>、</w:t>
                  </w:r>
                  <w:r>
                    <w:rPr>
                      <w:rFonts w:hint="default" w:ascii="Times New Roman" w:hAnsi="Times New Roman" w:eastAsia="宋体" w:cs="Times New Roman"/>
                      <w:caps w:val="0"/>
                      <w:color w:val="auto"/>
                      <w:spacing w:val="0"/>
                      <w:kern w:val="2"/>
                      <w:sz w:val="21"/>
                      <w:szCs w:val="21"/>
                      <w:lang w:val="en-US" w:eastAsia="zh-CN"/>
                    </w:rPr>
                    <w:t>模具清理废气</w:t>
                  </w:r>
                  <w:r>
                    <w:rPr>
                      <w:rFonts w:hint="eastAsia" w:cs="Times New Roman"/>
                      <w:caps w:val="0"/>
                      <w:color w:val="auto"/>
                      <w:spacing w:val="0"/>
                      <w:kern w:val="2"/>
                      <w:sz w:val="21"/>
                      <w:szCs w:val="21"/>
                      <w:lang w:val="en-US" w:eastAsia="zh-CN"/>
                    </w:rPr>
                    <w:t>、</w:t>
                  </w:r>
                  <w:r>
                    <w:rPr>
                      <w:rFonts w:hint="default" w:ascii="Times New Roman" w:hAnsi="Times New Roman" w:cs="Times New Roman"/>
                      <w:color w:val="auto"/>
                      <w:kern w:val="0"/>
                      <w:sz w:val="21"/>
                      <w:szCs w:val="21"/>
                      <w:lang w:val="en-US" w:eastAsia="zh-CN" w:bidi="ar"/>
                    </w:rPr>
                    <w:t>球冒分离废气</w:t>
                  </w:r>
                </w:p>
              </w:tc>
              <w:tc>
                <w:tcPr>
                  <w:tcW w:w="4081" w:type="dxa"/>
                  <w:tcBorders>
                    <w:tl2br w:val="nil"/>
                    <w:tr2bl w:val="nil"/>
                  </w:tcBorders>
                  <w:noWrap w:val="0"/>
                  <w:vAlign w:val="center"/>
                </w:tcPr>
                <w:p w14:paraId="1EBAA6C9">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集气罩收集后经</w:t>
                  </w:r>
                  <w:r>
                    <w:rPr>
                      <w:rFonts w:hint="eastAsia" w:ascii="Times New Roman" w:hAnsi="Times New Roman" w:cs="Times New Roman"/>
                      <w:b w:val="0"/>
                      <w:bCs/>
                      <w:color w:val="auto"/>
                      <w:kern w:val="2"/>
                      <w:sz w:val="21"/>
                      <w:szCs w:val="21"/>
                      <w:lang w:val="en-US" w:eastAsia="zh-CN" w:bidi="ar"/>
                    </w:rPr>
                    <w:t>1台</w:t>
                  </w:r>
                  <w:r>
                    <w:rPr>
                      <w:rFonts w:hint="default" w:ascii="Times New Roman" w:hAnsi="Times New Roman" w:eastAsia="宋体" w:cs="Times New Roman"/>
                      <w:b w:val="0"/>
                      <w:bCs/>
                      <w:color w:val="auto"/>
                      <w:kern w:val="2"/>
                      <w:sz w:val="21"/>
                      <w:szCs w:val="21"/>
                      <w:lang w:val="en-US" w:eastAsia="zh-CN" w:bidi="ar"/>
                    </w:rPr>
                    <w:t>脉冲布袋除尘器处理后</w:t>
                  </w:r>
                  <w:r>
                    <w:rPr>
                      <w:rFonts w:hint="eastAsia" w:ascii="Times New Roman" w:hAnsi="Times New Roman" w:cs="Times New Roman"/>
                      <w:b w:val="0"/>
                      <w:bCs/>
                      <w:color w:val="auto"/>
                      <w:kern w:val="2"/>
                      <w:sz w:val="21"/>
                      <w:szCs w:val="21"/>
                      <w:lang w:val="en-US" w:eastAsia="zh-CN" w:bidi="ar"/>
                    </w:rPr>
                    <w:t>通过</w:t>
                  </w:r>
                  <w:r>
                    <w:rPr>
                      <w:rFonts w:hint="default" w:ascii="Times New Roman" w:hAnsi="Times New Roman" w:eastAsia="宋体" w:cs="Times New Roman"/>
                      <w:b w:val="0"/>
                      <w:bCs/>
                      <w:color w:val="auto"/>
                      <w:kern w:val="2"/>
                      <w:sz w:val="21"/>
                      <w:szCs w:val="21"/>
                      <w:lang w:val="en-US" w:eastAsia="zh-CN" w:bidi="ar"/>
                    </w:rPr>
                    <w:t>15m高DA00</w:t>
                  </w:r>
                  <w:r>
                    <w:rPr>
                      <w:rFonts w:hint="eastAsia" w:ascii="Times New Roman" w:hAnsi="Times New Roman" w:cs="Times New Roman"/>
                      <w:b w:val="0"/>
                      <w:bCs/>
                      <w:color w:val="auto"/>
                      <w:kern w:val="2"/>
                      <w:sz w:val="21"/>
                      <w:szCs w:val="21"/>
                      <w:lang w:val="en-US" w:eastAsia="zh-CN" w:bidi="ar"/>
                    </w:rPr>
                    <w:t>2</w:t>
                  </w:r>
                  <w:r>
                    <w:rPr>
                      <w:rFonts w:hint="default" w:ascii="Times New Roman" w:hAnsi="Times New Roman" w:eastAsia="宋体" w:cs="Times New Roman"/>
                      <w:b w:val="0"/>
                      <w:bCs/>
                      <w:color w:val="auto"/>
                      <w:kern w:val="2"/>
                      <w:sz w:val="21"/>
                      <w:szCs w:val="21"/>
                      <w:lang w:val="en-US" w:eastAsia="zh-CN" w:bidi="ar"/>
                    </w:rPr>
                    <w:t>排气筒排放</w:t>
                  </w:r>
                  <w:r>
                    <w:rPr>
                      <w:rFonts w:hint="eastAsia" w:ascii="Times New Roman" w:hAnsi="Times New Roman" w:cs="Times New Roman"/>
                      <w:b w:val="0"/>
                      <w:bCs/>
                      <w:color w:val="auto"/>
                      <w:kern w:val="2"/>
                      <w:sz w:val="21"/>
                      <w:szCs w:val="21"/>
                      <w:lang w:val="en-US" w:eastAsia="zh-CN" w:bidi="ar"/>
                    </w:rPr>
                    <w:t>。</w:t>
                  </w:r>
                </w:p>
              </w:tc>
              <w:tc>
                <w:tcPr>
                  <w:tcW w:w="1033" w:type="dxa"/>
                  <w:vMerge w:val="continue"/>
                  <w:tcBorders>
                    <w:tl2br w:val="nil"/>
                    <w:tr2bl w:val="nil"/>
                  </w:tcBorders>
                  <w:noWrap w:val="0"/>
                  <w:vAlign w:val="center"/>
                </w:tcPr>
                <w:p w14:paraId="61D54D30">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r>
            <w:tr w14:paraId="191CB97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6" w:hRule="atLeast"/>
                <w:jc w:val="center"/>
              </w:trPr>
              <w:tc>
                <w:tcPr>
                  <w:tcW w:w="558" w:type="dxa"/>
                  <w:vMerge w:val="continue"/>
                  <w:tcBorders>
                    <w:tl2br w:val="nil"/>
                    <w:tr2bl w:val="nil"/>
                  </w:tcBorders>
                  <w:noWrap w:val="0"/>
                  <w:vAlign w:val="center"/>
                </w:tcPr>
                <w:p w14:paraId="61B8969B">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938" w:type="dxa"/>
                  <w:vMerge w:val="continue"/>
                  <w:tcBorders>
                    <w:tl2br w:val="nil"/>
                    <w:tr2bl w:val="nil"/>
                  </w:tcBorders>
                  <w:noWrap w:val="0"/>
                  <w:vAlign w:val="center"/>
                </w:tcPr>
                <w:p w14:paraId="02CFD6D8">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1767" w:type="dxa"/>
                  <w:tcBorders>
                    <w:tl2br w:val="nil"/>
                    <w:tr2bl w:val="nil"/>
                  </w:tcBorders>
                  <w:noWrap w:val="0"/>
                  <w:vAlign w:val="center"/>
                </w:tcPr>
                <w:p w14:paraId="3DD7BF12">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热处理废气</w:t>
                  </w:r>
                </w:p>
              </w:tc>
              <w:tc>
                <w:tcPr>
                  <w:tcW w:w="4081" w:type="dxa"/>
                  <w:tcBorders>
                    <w:tl2br w:val="nil"/>
                    <w:tr2bl w:val="nil"/>
                  </w:tcBorders>
                  <w:noWrap w:val="0"/>
                  <w:vAlign w:val="center"/>
                </w:tcPr>
                <w:p w14:paraId="3FB1783B">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集气罩收集后</w:t>
                  </w:r>
                  <w:r>
                    <w:rPr>
                      <w:rFonts w:hint="eastAsia" w:ascii="Times New Roman" w:hAnsi="Times New Roman" w:cs="Times New Roman"/>
                      <w:b w:val="0"/>
                      <w:bCs/>
                      <w:color w:val="auto"/>
                      <w:kern w:val="2"/>
                      <w:sz w:val="21"/>
                      <w:szCs w:val="21"/>
                      <w:lang w:val="en-US" w:eastAsia="zh-CN" w:bidi="ar"/>
                    </w:rPr>
                    <w:t>经</w:t>
                  </w:r>
                  <w:r>
                    <w:rPr>
                      <w:rFonts w:hint="default" w:ascii="Times New Roman" w:hAnsi="Times New Roman" w:eastAsia="宋体" w:cs="Times New Roman"/>
                      <w:b w:val="0"/>
                      <w:bCs/>
                      <w:color w:val="auto"/>
                      <w:kern w:val="2"/>
                      <w:sz w:val="21"/>
                      <w:szCs w:val="21"/>
                      <w:lang w:val="en-US" w:eastAsia="zh-CN" w:bidi="ar"/>
                    </w:rPr>
                    <w:t>高压静电油烟净化</w:t>
                  </w:r>
                  <w:r>
                    <w:rPr>
                      <w:rFonts w:hint="eastAsia" w:ascii="Times New Roman" w:hAnsi="Times New Roman" w:cs="Times New Roman"/>
                      <w:b w:val="0"/>
                      <w:bCs/>
                      <w:color w:val="auto"/>
                      <w:kern w:val="2"/>
                      <w:sz w:val="21"/>
                      <w:szCs w:val="21"/>
                      <w:lang w:val="en-US" w:eastAsia="zh-CN" w:bidi="ar"/>
                    </w:rPr>
                    <w:t>处理后通过</w:t>
                  </w:r>
                  <w:r>
                    <w:rPr>
                      <w:rFonts w:hint="default" w:ascii="Times New Roman" w:hAnsi="Times New Roman" w:eastAsia="宋体" w:cs="Times New Roman"/>
                      <w:b w:val="0"/>
                      <w:bCs/>
                      <w:color w:val="auto"/>
                      <w:kern w:val="2"/>
                      <w:sz w:val="21"/>
                      <w:szCs w:val="21"/>
                      <w:lang w:val="en-US" w:eastAsia="zh-CN" w:bidi="ar"/>
                    </w:rPr>
                    <w:t>15m高DA00</w:t>
                  </w:r>
                  <w:r>
                    <w:rPr>
                      <w:rFonts w:hint="eastAsia" w:ascii="Times New Roman" w:hAnsi="Times New Roman" w:cs="Times New Roman"/>
                      <w:b w:val="0"/>
                      <w:bCs/>
                      <w:color w:val="auto"/>
                      <w:kern w:val="2"/>
                      <w:sz w:val="21"/>
                      <w:szCs w:val="21"/>
                      <w:lang w:val="en-US" w:eastAsia="zh-CN" w:bidi="ar"/>
                    </w:rPr>
                    <w:t>3</w:t>
                  </w:r>
                  <w:r>
                    <w:rPr>
                      <w:rFonts w:hint="default" w:ascii="Times New Roman" w:hAnsi="Times New Roman" w:eastAsia="宋体" w:cs="Times New Roman"/>
                      <w:b w:val="0"/>
                      <w:bCs/>
                      <w:color w:val="auto"/>
                      <w:kern w:val="2"/>
                      <w:sz w:val="21"/>
                      <w:szCs w:val="21"/>
                      <w:lang w:val="en-US" w:eastAsia="zh-CN" w:bidi="ar"/>
                    </w:rPr>
                    <w:t>排气筒排放</w:t>
                  </w:r>
                  <w:r>
                    <w:rPr>
                      <w:rFonts w:hint="eastAsia" w:ascii="Times New Roman" w:hAnsi="Times New Roman" w:cs="Times New Roman"/>
                      <w:b w:val="0"/>
                      <w:bCs/>
                      <w:color w:val="auto"/>
                      <w:kern w:val="2"/>
                      <w:sz w:val="21"/>
                      <w:szCs w:val="21"/>
                      <w:lang w:val="en-US" w:eastAsia="zh-CN" w:bidi="ar"/>
                    </w:rPr>
                    <w:t>。</w:t>
                  </w:r>
                </w:p>
              </w:tc>
              <w:tc>
                <w:tcPr>
                  <w:tcW w:w="1033" w:type="dxa"/>
                  <w:tcBorders>
                    <w:tl2br w:val="nil"/>
                    <w:tr2bl w:val="nil"/>
                  </w:tcBorders>
                  <w:noWrap w:val="0"/>
                  <w:vAlign w:val="center"/>
                </w:tcPr>
                <w:p w14:paraId="44DD0040">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新建</w:t>
                  </w:r>
                </w:p>
              </w:tc>
            </w:tr>
            <w:tr w14:paraId="58C5E9D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6" w:hRule="atLeast"/>
                <w:jc w:val="center"/>
              </w:trPr>
              <w:tc>
                <w:tcPr>
                  <w:tcW w:w="558" w:type="dxa"/>
                  <w:vMerge w:val="continue"/>
                  <w:tcBorders>
                    <w:tl2br w:val="nil"/>
                    <w:tr2bl w:val="nil"/>
                  </w:tcBorders>
                  <w:noWrap w:val="0"/>
                  <w:vAlign w:val="center"/>
                </w:tcPr>
                <w:p w14:paraId="5D01023E">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938" w:type="dxa"/>
                  <w:vMerge w:val="continue"/>
                  <w:tcBorders>
                    <w:tl2br w:val="nil"/>
                    <w:tr2bl w:val="nil"/>
                  </w:tcBorders>
                  <w:noWrap w:val="0"/>
                  <w:vAlign w:val="center"/>
                </w:tcPr>
                <w:p w14:paraId="4A228EED">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1767" w:type="dxa"/>
                  <w:tcBorders>
                    <w:tl2br w:val="nil"/>
                    <w:tr2bl w:val="nil"/>
                  </w:tcBorders>
                  <w:noWrap w:val="0"/>
                  <w:vAlign w:val="center"/>
                </w:tcPr>
                <w:p w14:paraId="75D99F87">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危险废物贮存库废气</w:t>
                  </w:r>
                </w:p>
              </w:tc>
              <w:tc>
                <w:tcPr>
                  <w:tcW w:w="4081" w:type="dxa"/>
                  <w:tcBorders>
                    <w:tl2br w:val="nil"/>
                    <w:tr2bl w:val="nil"/>
                  </w:tcBorders>
                  <w:noWrap w:val="0"/>
                  <w:vAlign w:val="center"/>
                </w:tcPr>
                <w:p w14:paraId="6CCAE0C2">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废机油、废油桶、废淬火油和淬火废渣使用密闭容器（如带盖的桶、密闭塑料袋、密闭包装袋等）进行包装</w:t>
                  </w:r>
                  <w:r>
                    <w:rPr>
                      <w:rFonts w:hint="eastAsia" w:ascii="Times New Roman" w:hAnsi="Times New Roman" w:cs="Times New Roman"/>
                      <w:b w:val="0"/>
                      <w:bCs/>
                      <w:color w:val="auto"/>
                      <w:kern w:val="2"/>
                      <w:sz w:val="21"/>
                      <w:szCs w:val="21"/>
                      <w:lang w:val="en-US" w:eastAsia="zh-CN" w:bidi="ar"/>
                    </w:rPr>
                    <w:t>。</w:t>
                  </w:r>
                </w:p>
              </w:tc>
              <w:tc>
                <w:tcPr>
                  <w:tcW w:w="1033" w:type="dxa"/>
                  <w:tcBorders>
                    <w:tl2br w:val="nil"/>
                    <w:tr2bl w:val="nil"/>
                  </w:tcBorders>
                  <w:noWrap w:val="0"/>
                  <w:vAlign w:val="center"/>
                </w:tcPr>
                <w:p w14:paraId="745D2023">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新建</w:t>
                  </w:r>
                </w:p>
              </w:tc>
            </w:tr>
            <w:tr w14:paraId="376B4BA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6" w:hRule="atLeast"/>
                <w:jc w:val="center"/>
              </w:trPr>
              <w:tc>
                <w:tcPr>
                  <w:tcW w:w="558" w:type="dxa"/>
                  <w:vMerge w:val="continue"/>
                  <w:tcBorders>
                    <w:tl2br w:val="nil"/>
                    <w:tr2bl w:val="nil"/>
                  </w:tcBorders>
                  <w:noWrap w:val="0"/>
                  <w:vAlign w:val="center"/>
                </w:tcPr>
                <w:p w14:paraId="617C22CA">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938" w:type="dxa"/>
                  <w:tcBorders>
                    <w:tl2br w:val="nil"/>
                    <w:tr2bl w:val="nil"/>
                  </w:tcBorders>
                  <w:noWrap w:val="0"/>
                  <w:vAlign w:val="center"/>
                </w:tcPr>
                <w:p w14:paraId="432EEA7B">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废水</w:t>
                  </w:r>
                </w:p>
              </w:tc>
              <w:tc>
                <w:tcPr>
                  <w:tcW w:w="5848" w:type="dxa"/>
                  <w:gridSpan w:val="2"/>
                  <w:tcBorders>
                    <w:tl2br w:val="nil"/>
                    <w:tr2bl w:val="nil"/>
                  </w:tcBorders>
                  <w:noWrap w:val="0"/>
                  <w:vAlign w:val="center"/>
                </w:tcPr>
                <w:p w14:paraId="69403C52">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雨污分流；雨水经厂区雨水管道接入市政雨水管网；工件清洗水经油水分离装置分离后循环使用，只需定期补充</w:t>
                  </w:r>
                  <w:r>
                    <w:rPr>
                      <w:rFonts w:hint="eastAsia" w:ascii="Times New Roman" w:hAnsi="Times New Roman" w:cs="Times New Roman"/>
                      <w:b w:val="0"/>
                      <w:bCs/>
                      <w:color w:val="auto"/>
                      <w:kern w:val="2"/>
                      <w:sz w:val="21"/>
                      <w:szCs w:val="21"/>
                      <w:lang w:val="en-US" w:eastAsia="zh-CN" w:bidi="ar"/>
                    </w:rPr>
                    <w:t>，无废水外排；间接冷却水经循环水池自然冷却后循环利用，不外排；</w:t>
                  </w:r>
                  <w:r>
                    <w:rPr>
                      <w:rFonts w:hint="default" w:ascii="Times New Roman" w:hAnsi="Times New Roman" w:eastAsia="宋体" w:cs="Times New Roman"/>
                      <w:b w:val="0"/>
                      <w:bCs/>
                      <w:color w:val="auto"/>
                      <w:kern w:val="2"/>
                      <w:sz w:val="21"/>
                      <w:szCs w:val="21"/>
                      <w:lang w:val="en-US" w:eastAsia="zh-CN" w:bidi="ar"/>
                    </w:rPr>
                    <w:t>生活污水经化粪池处理达标后</w:t>
                  </w:r>
                  <w:r>
                    <w:rPr>
                      <w:rFonts w:hint="eastAsia" w:ascii="Times New Roman" w:hAnsi="Times New Roman" w:cs="Times New Roman"/>
                      <w:b w:val="0"/>
                      <w:bCs/>
                      <w:color w:val="auto"/>
                      <w:kern w:val="2"/>
                      <w:sz w:val="21"/>
                      <w:szCs w:val="21"/>
                      <w:lang w:val="en-US" w:eastAsia="zh-CN" w:bidi="ar"/>
                    </w:rPr>
                    <w:t>排入开发区</w:t>
                  </w:r>
                  <w:r>
                    <w:rPr>
                      <w:rFonts w:hint="default" w:ascii="Times New Roman" w:hAnsi="Times New Roman" w:eastAsia="宋体" w:cs="Times New Roman"/>
                      <w:b w:val="0"/>
                      <w:bCs/>
                      <w:color w:val="auto"/>
                      <w:kern w:val="2"/>
                      <w:sz w:val="21"/>
                      <w:szCs w:val="21"/>
                      <w:lang w:val="en-US" w:eastAsia="zh-CN" w:bidi="ar"/>
                    </w:rPr>
                    <w:t>污水管网，由铁力市城市污水处理厂（铁力市伊吉污水处理厂）处理满足《城镇污水处理厂污染物排放标准》（GB18918-2002）一级A标准后，排入呼兰河，待铁力经济开发区污水处理厂运营后，污水由铁力经济开发区污水处理厂接管，处理满足《城镇污水处理厂污染物排放标准》（GB18918-2002）一级A标准后，排入呼兰河。</w:t>
                  </w:r>
                </w:p>
              </w:tc>
              <w:tc>
                <w:tcPr>
                  <w:tcW w:w="1033" w:type="dxa"/>
                  <w:tcBorders>
                    <w:tl2br w:val="nil"/>
                    <w:tr2bl w:val="nil"/>
                  </w:tcBorders>
                  <w:noWrap w:val="0"/>
                  <w:vAlign w:val="center"/>
                </w:tcPr>
                <w:p w14:paraId="174A175E">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w:t>
                  </w:r>
                </w:p>
              </w:tc>
            </w:tr>
            <w:tr w14:paraId="16B292D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6" w:hRule="atLeast"/>
                <w:jc w:val="center"/>
              </w:trPr>
              <w:tc>
                <w:tcPr>
                  <w:tcW w:w="558" w:type="dxa"/>
                  <w:vMerge w:val="continue"/>
                  <w:tcBorders>
                    <w:tl2br w:val="nil"/>
                    <w:tr2bl w:val="nil"/>
                  </w:tcBorders>
                  <w:noWrap w:val="0"/>
                  <w:vAlign w:val="center"/>
                </w:tcPr>
                <w:p w14:paraId="206F79CE">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938" w:type="dxa"/>
                  <w:tcBorders>
                    <w:tl2br w:val="nil"/>
                    <w:tr2bl w:val="nil"/>
                  </w:tcBorders>
                  <w:noWrap w:val="0"/>
                  <w:vAlign w:val="center"/>
                </w:tcPr>
                <w:p w14:paraId="001349A4">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噪声</w:t>
                  </w:r>
                </w:p>
              </w:tc>
              <w:tc>
                <w:tcPr>
                  <w:tcW w:w="5848" w:type="dxa"/>
                  <w:gridSpan w:val="2"/>
                  <w:tcBorders>
                    <w:tl2br w:val="nil"/>
                    <w:tr2bl w:val="nil"/>
                  </w:tcBorders>
                  <w:noWrap w:val="0"/>
                  <w:vAlign w:val="center"/>
                </w:tcPr>
                <w:p w14:paraId="058F091E">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选择低噪声设备，采取减振降噪、隔声等措施</w:t>
                  </w:r>
                </w:p>
              </w:tc>
              <w:tc>
                <w:tcPr>
                  <w:tcW w:w="1033" w:type="dxa"/>
                  <w:tcBorders>
                    <w:tl2br w:val="nil"/>
                    <w:tr2bl w:val="nil"/>
                  </w:tcBorders>
                  <w:noWrap w:val="0"/>
                  <w:vAlign w:val="center"/>
                </w:tcPr>
                <w:p w14:paraId="037A590D">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新建</w:t>
                  </w:r>
                </w:p>
              </w:tc>
            </w:tr>
            <w:tr w14:paraId="38434C4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6" w:hRule="atLeast"/>
                <w:jc w:val="center"/>
              </w:trPr>
              <w:tc>
                <w:tcPr>
                  <w:tcW w:w="558" w:type="dxa"/>
                  <w:vMerge w:val="continue"/>
                  <w:tcBorders>
                    <w:tl2br w:val="nil"/>
                    <w:tr2bl w:val="nil"/>
                  </w:tcBorders>
                  <w:noWrap w:val="0"/>
                  <w:vAlign w:val="center"/>
                </w:tcPr>
                <w:p w14:paraId="0A51B468">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938" w:type="dxa"/>
                  <w:vMerge w:val="restart"/>
                  <w:tcBorders>
                    <w:tl2br w:val="nil"/>
                    <w:tr2bl w:val="nil"/>
                  </w:tcBorders>
                  <w:noWrap w:val="0"/>
                  <w:vAlign w:val="center"/>
                </w:tcPr>
                <w:p w14:paraId="0BC09D7D">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固废</w:t>
                  </w:r>
                </w:p>
              </w:tc>
              <w:tc>
                <w:tcPr>
                  <w:tcW w:w="1767" w:type="dxa"/>
                  <w:tcBorders>
                    <w:tl2br w:val="nil"/>
                    <w:tr2bl w:val="nil"/>
                  </w:tcBorders>
                  <w:noWrap w:val="0"/>
                  <w:vAlign w:val="center"/>
                </w:tcPr>
                <w:p w14:paraId="2FA0DA17">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生活垃圾</w:t>
                  </w:r>
                </w:p>
              </w:tc>
              <w:tc>
                <w:tcPr>
                  <w:tcW w:w="4081" w:type="dxa"/>
                  <w:tcBorders>
                    <w:tl2br w:val="nil"/>
                    <w:tr2bl w:val="nil"/>
                  </w:tcBorders>
                  <w:noWrap w:val="0"/>
                  <w:vAlign w:val="center"/>
                </w:tcPr>
                <w:p w14:paraId="6A34D671">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生活垃圾集中收集后交由环卫部门统一清运</w:t>
                  </w:r>
                  <w:r>
                    <w:rPr>
                      <w:rFonts w:hint="default" w:ascii="Times New Roman" w:hAnsi="Times New Roman" w:cs="Times New Roman"/>
                      <w:b w:val="0"/>
                      <w:bCs/>
                      <w:color w:val="auto"/>
                      <w:kern w:val="2"/>
                      <w:sz w:val="21"/>
                      <w:szCs w:val="21"/>
                      <w:lang w:val="en-US" w:eastAsia="zh-CN" w:bidi="ar"/>
                    </w:rPr>
                    <w:t>。</w:t>
                  </w:r>
                </w:p>
              </w:tc>
              <w:tc>
                <w:tcPr>
                  <w:tcW w:w="1033" w:type="dxa"/>
                  <w:tcBorders>
                    <w:tl2br w:val="nil"/>
                    <w:tr2bl w:val="nil"/>
                  </w:tcBorders>
                  <w:noWrap w:val="0"/>
                  <w:vAlign w:val="center"/>
                </w:tcPr>
                <w:p w14:paraId="1D96CB2B">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w:t>
                  </w:r>
                </w:p>
              </w:tc>
            </w:tr>
            <w:tr w14:paraId="68D8860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6" w:hRule="atLeast"/>
                <w:jc w:val="center"/>
              </w:trPr>
              <w:tc>
                <w:tcPr>
                  <w:tcW w:w="558" w:type="dxa"/>
                  <w:vMerge w:val="continue"/>
                  <w:tcBorders>
                    <w:tl2br w:val="nil"/>
                    <w:tr2bl w:val="nil"/>
                  </w:tcBorders>
                  <w:noWrap w:val="0"/>
                  <w:vAlign w:val="center"/>
                </w:tcPr>
                <w:p w14:paraId="745D3FA3">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938" w:type="dxa"/>
                  <w:vMerge w:val="continue"/>
                  <w:tcBorders>
                    <w:tl2br w:val="nil"/>
                    <w:tr2bl w:val="nil"/>
                  </w:tcBorders>
                  <w:noWrap w:val="0"/>
                  <w:vAlign w:val="center"/>
                </w:tcPr>
                <w:p w14:paraId="7878590E">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1767" w:type="dxa"/>
                  <w:tcBorders>
                    <w:tl2br w:val="nil"/>
                    <w:tr2bl w:val="nil"/>
                  </w:tcBorders>
                  <w:noWrap w:val="0"/>
                  <w:vAlign w:val="center"/>
                </w:tcPr>
                <w:p w14:paraId="704D2F64">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一般固废</w:t>
                  </w:r>
                </w:p>
              </w:tc>
              <w:tc>
                <w:tcPr>
                  <w:tcW w:w="4081" w:type="dxa"/>
                  <w:tcBorders>
                    <w:tl2br w:val="nil"/>
                    <w:tr2bl w:val="nil"/>
                  </w:tcBorders>
                  <w:noWrap w:val="0"/>
                  <w:vAlign w:val="center"/>
                </w:tcPr>
                <w:p w14:paraId="05324996">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分拣杂物、熔炼产生的废渣、清理过程产生的废铁屑、废铁水包、废砂、布袋除尘器收尘收集后暂存一般固废暂存间，定期作为废旧资源外售。金属边角料用于回炉重造</w:t>
                  </w:r>
                  <w:r>
                    <w:rPr>
                      <w:rFonts w:hint="eastAsia" w:ascii="Times New Roman" w:hAnsi="Times New Roman" w:cs="Times New Roman"/>
                      <w:b w:val="0"/>
                      <w:bCs/>
                      <w:color w:val="auto"/>
                      <w:kern w:val="2"/>
                      <w:sz w:val="21"/>
                      <w:szCs w:val="21"/>
                      <w:lang w:val="en-US" w:eastAsia="zh-CN" w:bidi="ar"/>
                    </w:rPr>
                    <w:t>。</w:t>
                  </w:r>
                </w:p>
                <w:p w14:paraId="7684FA1E">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废布袋收集后</w:t>
                  </w:r>
                  <w:r>
                    <w:rPr>
                      <w:rFonts w:hint="eastAsia" w:ascii="Times New Roman" w:hAnsi="Times New Roman" w:cs="Times New Roman"/>
                      <w:b w:val="0"/>
                      <w:bCs/>
                      <w:color w:val="auto"/>
                      <w:kern w:val="2"/>
                      <w:sz w:val="21"/>
                      <w:szCs w:val="21"/>
                      <w:lang w:val="en-US" w:eastAsia="zh-CN" w:bidi="ar"/>
                    </w:rPr>
                    <w:t>交由厂家回收</w:t>
                  </w:r>
                  <w:r>
                    <w:rPr>
                      <w:rFonts w:hint="default" w:ascii="Times New Roman" w:hAnsi="Times New Roman" w:eastAsia="宋体" w:cs="Times New Roman"/>
                      <w:b w:val="0"/>
                      <w:bCs/>
                      <w:color w:val="auto"/>
                      <w:kern w:val="2"/>
                      <w:sz w:val="21"/>
                      <w:szCs w:val="21"/>
                      <w:lang w:val="en-US" w:eastAsia="zh-CN" w:bidi="ar"/>
                    </w:rPr>
                    <w:t>利用</w:t>
                  </w:r>
                  <w:r>
                    <w:rPr>
                      <w:rFonts w:hint="default" w:ascii="Times New Roman" w:hAnsi="Times New Roman" w:cs="Times New Roman"/>
                      <w:b w:val="0"/>
                      <w:bCs/>
                      <w:color w:val="auto"/>
                      <w:kern w:val="2"/>
                      <w:sz w:val="21"/>
                      <w:szCs w:val="21"/>
                      <w:lang w:val="en-US" w:eastAsia="zh-CN" w:bidi="ar"/>
                    </w:rPr>
                    <w:t>。</w:t>
                  </w:r>
                </w:p>
              </w:tc>
              <w:tc>
                <w:tcPr>
                  <w:tcW w:w="1033" w:type="dxa"/>
                  <w:tcBorders>
                    <w:tl2br w:val="nil"/>
                    <w:tr2bl w:val="nil"/>
                  </w:tcBorders>
                  <w:noWrap w:val="0"/>
                  <w:vAlign w:val="center"/>
                </w:tcPr>
                <w:p w14:paraId="6F1F6698">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w:t>
                  </w:r>
                </w:p>
              </w:tc>
            </w:tr>
            <w:tr w14:paraId="28004D1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6" w:hRule="atLeast"/>
                <w:jc w:val="center"/>
              </w:trPr>
              <w:tc>
                <w:tcPr>
                  <w:tcW w:w="558" w:type="dxa"/>
                  <w:vMerge w:val="continue"/>
                  <w:tcBorders>
                    <w:tl2br w:val="nil"/>
                    <w:tr2bl w:val="nil"/>
                  </w:tcBorders>
                  <w:noWrap w:val="0"/>
                  <w:vAlign w:val="center"/>
                </w:tcPr>
                <w:p w14:paraId="2DF8B1CF">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938" w:type="dxa"/>
                  <w:vMerge w:val="continue"/>
                  <w:tcBorders>
                    <w:tl2br w:val="nil"/>
                    <w:tr2bl w:val="nil"/>
                  </w:tcBorders>
                  <w:noWrap w:val="0"/>
                  <w:vAlign w:val="center"/>
                </w:tcPr>
                <w:p w14:paraId="2797C859">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1767" w:type="dxa"/>
                  <w:tcBorders>
                    <w:tl2br w:val="nil"/>
                    <w:tr2bl w:val="nil"/>
                  </w:tcBorders>
                  <w:noWrap w:val="0"/>
                  <w:vAlign w:val="center"/>
                </w:tcPr>
                <w:p w14:paraId="01A61D87">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危险废物</w:t>
                  </w:r>
                </w:p>
              </w:tc>
              <w:tc>
                <w:tcPr>
                  <w:tcW w:w="4081" w:type="dxa"/>
                  <w:tcBorders>
                    <w:tl2br w:val="nil"/>
                    <w:tr2bl w:val="nil"/>
                  </w:tcBorders>
                  <w:noWrap w:val="0"/>
                  <w:vAlign w:val="center"/>
                </w:tcPr>
                <w:p w14:paraId="05A3F771">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废机油、废油桶</w:t>
                  </w:r>
                  <w:r>
                    <w:rPr>
                      <w:rFonts w:hint="eastAsia" w:ascii="Times New Roman" w:hAnsi="Times New Roman" w:cs="Times New Roman"/>
                      <w:b w:val="0"/>
                      <w:bCs/>
                      <w:color w:val="auto"/>
                      <w:kern w:val="2"/>
                      <w:sz w:val="21"/>
                      <w:szCs w:val="21"/>
                      <w:lang w:val="en-US" w:eastAsia="zh-CN" w:bidi="ar"/>
                    </w:rPr>
                    <w:t>、废淬火油和淬火废渣</w:t>
                  </w:r>
                  <w:r>
                    <w:rPr>
                      <w:rFonts w:hint="default" w:ascii="Times New Roman" w:hAnsi="Times New Roman" w:eastAsia="宋体" w:cs="Times New Roman"/>
                      <w:b w:val="0"/>
                      <w:bCs/>
                      <w:color w:val="auto"/>
                      <w:kern w:val="2"/>
                      <w:sz w:val="21"/>
                      <w:szCs w:val="21"/>
                      <w:lang w:val="en-US" w:eastAsia="zh-CN" w:bidi="ar"/>
                    </w:rPr>
                    <w:t>危险废物暂存于厂区</w:t>
                  </w:r>
                  <w:r>
                    <w:rPr>
                      <w:rFonts w:hint="default" w:ascii="Times New Roman" w:hAnsi="Times New Roman" w:cs="Times New Roman"/>
                      <w:b w:val="0"/>
                      <w:bCs/>
                      <w:color w:val="auto"/>
                      <w:kern w:val="2"/>
                      <w:sz w:val="21"/>
                      <w:szCs w:val="21"/>
                      <w:lang w:val="en-US" w:eastAsia="zh-CN" w:bidi="ar"/>
                    </w:rPr>
                    <w:t>内危险废物贮存</w:t>
                  </w:r>
                  <w:r>
                    <w:rPr>
                      <w:rFonts w:hint="eastAsia" w:ascii="Times New Roman" w:hAnsi="Times New Roman" w:cs="Times New Roman"/>
                      <w:b w:val="0"/>
                      <w:bCs/>
                      <w:color w:val="auto"/>
                      <w:kern w:val="2"/>
                      <w:sz w:val="21"/>
                      <w:szCs w:val="21"/>
                      <w:lang w:val="en-US" w:eastAsia="zh-CN" w:bidi="ar"/>
                    </w:rPr>
                    <w:t>库</w:t>
                  </w:r>
                  <w:r>
                    <w:rPr>
                      <w:rFonts w:hint="default" w:ascii="Times New Roman" w:hAnsi="Times New Roman" w:eastAsia="宋体" w:cs="Times New Roman"/>
                      <w:b w:val="0"/>
                      <w:bCs/>
                      <w:color w:val="auto"/>
                      <w:kern w:val="2"/>
                      <w:sz w:val="21"/>
                      <w:szCs w:val="21"/>
                      <w:lang w:val="en-US" w:eastAsia="zh-CN" w:bidi="ar"/>
                    </w:rPr>
                    <w:t>，定期交由有资质单位</w:t>
                  </w:r>
                  <w:r>
                    <w:rPr>
                      <w:rFonts w:hint="default" w:ascii="Times New Roman" w:hAnsi="Times New Roman" w:cs="Times New Roman"/>
                      <w:b w:val="0"/>
                      <w:bCs/>
                      <w:color w:val="auto"/>
                      <w:kern w:val="2"/>
                      <w:sz w:val="21"/>
                      <w:szCs w:val="21"/>
                      <w:lang w:val="en-US" w:eastAsia="zh-CN" w:bidi="ar"/>
                    </w:rPr>
                    <w:t>处置</w:t>
                  </w:r>
                  <w:r>
                    <w:rPr>
                      <w:rFonts w:hint="default" w:ascii="Times New Roman" w:hAnsi="Times New Roman" w:eastAsia="宋体" w:cs="Times New Roman"/>
                      <w:b w:val="0"/>
                      <w:bCs/>
                      <w:color w:val="auto"/>
                      <w:kern w:val="2"/>
                      <w:sz w:val="21"/>
                      <w:szCs w:val="21"/>
                      <w:lang w:val="en-US" w:eastAsia="zh-CN" w:bidi="ar"/>
                    </w:rPr>
                    <w:t>。</w:t>
                  </w:r>
                </w:p>
              </w:tc>
              <w:tc>
                <w:tcPr>
                  <w:tcW w:w="1033" w:type="dxa"/>
                  <w:tcBorders>
                    <w:tl2br w:val="nil"/>
                    <w:tr2bl w:val="nil"/>
                  </w:tcBorders>
                  <w:noWrap w:val="0"/>
                  <w:vAlign w:val="center"/>
                </w:tcPr>
                <w:p w14:paraId="3672217C">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w:t>
                  </w:r>
                </w:p>
              </w:tc>
            </w:tr>
            <w:tr w14:paraId="70BFC5F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6" w:hRule="atLeast"/>
                <w:jc w:val="center"/>
              </w:trPr>
              <w:tc>
                <w:tcPr>
                  <w:tcW w:w="558" w:type="dxa"/>
                  <w:vMerge w:val="continue"/>
                  <w:tcBorders>
                    <w:tl2br w:val="nil"/>
                    <w:tr2bl w:val="nil"/>
                  </w:tcBorders>
                  <w:noWrap w:val="0"/>
                  <w:vAlign w:val="center"/>
                </w:tcPr>
                <w:p w14:paraId="4BD9E6D9">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938" w:type="dxa"/>
                  <w:tcBorders>
                    <w:tl2br w:val="nil"/>
                    <w:tr2bl w:val="nil"/>
                  </w:tcBorders>
                  <w:noWrap w:val="0"/>
                  <w:vAlign w:val="center"/>
                </w:tcPr>
                <w:p w14:paraId="3320177D">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土壤、地下水</w:t>
                  </w:r>
                </w:p>
              </w:tc>
              <w:tc>
                <w:tcPr>
                  <w:tcW w:w="5848" w:type="dxa"/>
                  <w:gridSpan w:val="2"/>
                  <w:tcBorders>
                    <w:tl2br w:val="nil"/>
                    <w:tr2bl w:val="nil"/>
                  </w:tcBorders>
                  <w:noWrap w:val="0"/>
                  <w:vAlign w:val="center"/>
                </w:tcPr>
                <w:p w14:paraId="767F9C0C">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危险废物贮存库建设地面与裙脚采用2mm厚高密度聚乙烯膜等人工防渗材料（渗透系数不大于10</w:t>
                  </w:r>
                  <w:r>
                    <w:rPr>
                      <w:rFonts w:hint="default" w:ascii="Times New Roman" w:hAnsi="Times New Roman" w:eastAsia="宋体" w:cs="Times New Roman"/>
                      <w:b w:val="0"/>
                      <w:bCs/>
                      <w:color w:val="auto"/>
                      <w:kern w:val="2"/>
                      <w:sz w:val="21"/>
                      <w:szCs w:val="21"/>
                      <w:vertAlign w:val="superscript"/>
                      <w:lang w:val="en-US" w:eastAsia="zh-CN" w:bidi="ar"/>
                    </w:rPr>
                    <w:t>-10</w:t>
                  </w:r>
                  <w:r>
                    <w:rPr>
                      <w:rFonts w:hint="default" w:ascii="Times New Roman" w:hAnsi="Times New Roman" w:eastAsia="宋体" w:cs="Times New Roman"/>
                      <w:b w:val="0"/>
                      <w:bCs/>
                      <w:color w:val="auto"/>
                      <w:kern w:val="2"/>
                      <w:sz w:val="21"/>
                      <w:szCs w:val="21"/>
                      <w:lang w:val="en-US" w:eastAsia="zh-CN" w:bidi="ar"/>
                    </w:rPr>
                    <w:t>cm/s），贮存设施或贮存分区内地面、墙面裙脚、堵截</w:t>
                  </w:r>
                  <w:r>
                    <w:rPr>
                      <w:rFonts w:hint="eastAsia" w:ascii="Times New Roman" w:hAnsi="Times New Roman" w:cs="Times New Roman"/>
                      <w:b w:val="0"/>
                      <w:bCs/>
                      <w:color w:val="auto"/>
                      <w:kern w:val="2"/>
                      <w:sz w:val="21"/>
                      <w:szCs w:val="21"/>
                      <w:lang w:val="en-US" w:eastAsia="zh-CN" w:bidi="ar"/>
                    </w:rPr>
                    <w:t>泄漏</w:t>
                  </w:r>
                  <w:r>
                    <w:rPr>
                      <w:rFonts w:hint="default" w:ascii="Times New Roman" w:hAnsi="Times New Roman" w:eastAsia="宋体" w:cs="Times New Roman"/>
                      <w:b w:val="0"/>
                      <w:bCs/>
                      <w:color w:val="auto"/>
                      <w:kern w:val="2"/>
                      <w:sz w:val="21"/>
                      <w:szCs w:val="21"/>
                      <w:lang w:val="en-US" w:eastAsia="zh-CN" w:bidi="ar"/>
                    </w:rPr>
                    <w:t>的围堰、接触危险废物的隔板和墙体等应采用坚固的材料建造，表面无裂缝。防渗技术要求符合《危险废物贮存污染控制标准》（GB18597-2023）中有关防渗要求。</w:t>
                  </w:r>
                  <w:r>
                    <w:rPr>
                      <w:rFonts w:hint="eastAsia" w:ascii="Times New Roman" w:hAnsi="Times New Roman" w:cs="Times New Roman"/>
                      <w:b w:val="0"/>
                      <w:bCs/>
                      <w:color w:val="auto"/>
                      <w:kern w:val="2"/>
                      <w:sz w:val="21"/>
                      <w:szCs w:val="21"/>
                      <w:lang w:val="en-US" w:eastAsia="zh-CN" w:bidi="ar"/>
                    </w:rPr>
                    <w:t>油水分离池、化粪池</w:t>
                  </w:r>
                  <w:r>
                    <w:rPr>
                      <w:rFonts w:hint="default" w:ascii="Times New Roman" w:hAnsi="Times New Roman" w:eastAsia="宋体" w:cs="Times New Roman"/>
                      <w:b w:val="0"/>
                      <w:bCs/>
                      <w:color w:val="auto"/>
                      <w:kern w:val="2"/>
                      <w:sz w:val="21"/>
                      <w:szCs w:val="21"/>
                      <w:lang w:val="en-US" w:eastAsia="zh-CN" w:bidi="ar"/>
                    </w:rPr>
                    <w:t>防渗技术要求满足《环境影响评价技术导则 地下水环境》（HJ610-2016）中等效黏土防渗层Mb≥1.5m，K≤1.0×10</w:t>
                  </w:r>
                  <w:r>
                    <w:rPr>
                      <w:rFonts w:hint="default" w:ascii="Times New Roman" w:hAnsi="Times New Roman" w:eastAsia="宋体" w:cs="Times New Roman"/>
                      <w:b w:val="0"/>
                      <w:bCs/>
                      <w:color w:val="auto"/>
                      <w:kern w:val="2"/>
                      <w:sz w:val="21"/>
                      <w:szCs w:val="21"/>
                      <w:vertAlign w:val="superscript"/>
                      <w:lang w:val="en-US" w:eastAsia="zh-CN" w:bidi="ar"/>
                    </w:rPr>
                    <w:t>-7</w:t>
                  </w:r>
                  <w:r>
                    <w:rPr>
                      <w:rFonts w:hint="default" w:ascii="Times New Roman" w:hAnsi="Times New Roman" w:eastAsia="宋体" w:cs="Times New Roman"/>
                      <w:b w:val="0"/>
                      <w:bCs/>
                      <w:color w:val="auto"/>
                      <w:kern w:val="2"/>
                      <w:sz w:val="21"/>
                      <w:szCs w:val="21"/>
                      <w:lang w:val="en-US" w:eastAsia="zh-CN" w:bidi="ar"/>
                    </w:rPr>
                    <w:t>cm/s；除去重点防渗区、一般防渗区和绿化区以外的地面，做一般地面硬化。</w:t>
                  </w:r>
                </w:p>
              </w:tc>
              <w:tc>
                <w:tcPr>
                  <w:tcW w:w="1033" w:type="dxa"/>
                  <w:tcBorders>
                    <w:tl2br w:val="nil"/>
                    <w:tr2bl w:val="nil"/>
                  </w:tcBorders>
                  <w:noWrap w:val="0"/>
                  <w:vAlign w:val="center"/>
                </w:tcPr>
                <w:p w14:paraId="14A615F3">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新建</w:t>
                  </w:r>
                </w:p>
              </w:tc>
            </w:tr>
            <w:tr w14:paraId="6701F47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6" w:hRule="atLeast"/>
                <w:jc w:val="center"/>
              </w:trPr>
              <w:tc>
                <w:tcPr>
                  <w:tcW w:w="558" w:type="dxa"/>
                  <w:vMerge w:val="continue"/>
                  <w:tcBorders>
                    <w:tl2br w:val="nil"/>
                    <w:tr2bl w:val="nil"/>
                  </w:tcBorders>
                  <w:noWrap w:val="0"/>
                  <w:vAlign w:val="center"/>
                </w:tcPr>
                <w:p w14:paraId="54F987B8">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938" w:type="dxa"/>
                  <w:tcBorders>
                    <w:tl2br w:val="nil"/>
                    <w:tr2bl w:val="nil"/>
                  </w:tcBorders>
                  <w:noWrap w:val="0"/>
                  <w:vAlign w:val="center"/>
                </w:tcPr>
                <w:p w14:paraId="4D0FF4AE">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风险防范</w:t>
                  </w:r>
                </w:p>
              </w:tc>
              <w:tc>
                <w:tcPr>
                  <w:tcW w:w="5848" w:type="dxa"/>
                  <w:gridSpan w:val="2"/>
                  <w:tcBorders>
                    <w:tl2br w:val="nil"/>
                    <w:tr2bl w:val="nil"/>
                  </w:tcBorders>
                  <w:noWrap w:val="0"/>
                  <w:vAlign w:val="center"/>
                </w:tcPr>
                <w:p w14:paraId="1598E57E">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制定风险防范措施及应急预案等</w:t>
                  </w:r>
                </w:p>
              </w:tc>
              <w:tc>
                <w:tcPr>
                  <w:tcW w:w="1033" w:type="dxa"/>
                  <w:tcBorders>
                    <w:tl2br w:val="nil"/>
                    <w:tr2bl w:val="nil"/>
                  </w:tcBorders>
                  <w:noWrap w:val="0"/>
                  <w:vAlign w:val="center"/>
                </w:tcPr>
                <w:p w14:paraId="197B12C8">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新建</w:t>
                  </w:r>
                </w:p>
              </w:tc>
            </w:tr>
            <w:tr w14:paraId="06599A9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6" w:hRule="atLeast"/>
                <w:jc w:val="center"/>
              </w:trPr>
              <w:tc>
                <w:tcPr>
                  <w:tcW w:w="558" w:type="dxa"/>
                  <w:vMerge w:val="restart"/>
                  <w:tcBorders>
                    <w:tl2br w:val="nil"/>
                    <w:tr2bl w:val="nil"/>
                  </w:tcBorders>
                  <w:noWrap w:val="0"/>
                  <w:vAlign w:val="center"/>
                </w:tcPr>
                <w:p w14:paraId="1E60162C">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依托工程</w:t>
                  </w:r>
                </w:p>
              </w:tc>
              <w:tc>
                <w:tcPr>
                  <w:tcW w:w="938" w:type="dxa"/>
                  <w:tcBorders>
                    <w:tl2br w:val="nil"/>
                    <w:tr2bl w:val="nil"/>
                  </w:tcBorders>
                  <w:noWrap w:val="0"/>
                  <w:vAlign w:val="center"/>
                </w:tcPr>
                <w:p w14:paraId="23438CAB">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铁力市城市污水处理厂</w:t>
                  </w:r>
                  <w:r>
                    <w:rPr>
                      <w:rFonts w:hint="eastAsia" w:ascii="Times New Roman" w:hAnsi="Times New Roman" w:cs="Times New Roman"/>
                      <w:b w:val="0"/>
                      <w:bCs/>
                      <w:color w:val="auto"/>
                      <w:kern w:val="2"/>
                      <w:sz w:val="21"/>
                      <w:szCs w:val="21"/>
                      <w:lang w:val="en-US" w:eastAsia="zh-CN" w:bidi="ar"/>
                    </w:rPr>
                    <w:t>（铁力市伊吉污水处理厂）</w:t>
                  </w:r>
                </w:p>
              </w:tc>
              <w:tc>
                <w:tcPr>
                  <w:tcW w:w="5848" w:type="dxa"/>
                  <w:gridSpan w:val="2"/>
                  <w:tcBorders>
                    <w:tl2br w:val="nil"/>
                    <w:tr2bl w:val="nil"/>
                  </w:tcBorders>
                  <w:noWrap w:val="0"/>
                  <w:vAlign w:val="center"/>
                </w:tcPr>
                <w:p w14:paraId="614A1A61">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成立于2009年9月23日，位于黑龙江省伊春市铁力市工农乡新兴村，工程建设规模为日处理3万吨，2020年扩容至4万吨，现实际日处理3万吨。处理工艺为“EBIS+深度处理”，经处理后的污水水质排放标准为《城镇污水处理厂污染物排放标准》（GB18918-2002）一级A标准。铁力市伊吉污水处理厂已于2023年1月1日取得伊春市生态环境局颁发的排污许可证，排污许可证书编号91230700692628658D001V。</w:t>
                  </w:r>
                </w:p>
              </w:tc>
              <w:tc>
                <w:tcPr>
                  <w:tcW w:w="1033" w:type="dxa"/>
                  <w:tcBorders>
                    <w:tl2br w:val="nil"/>
                    <w:tr2bl w:val="nil"/>
                  </w:tcBorders>
                  <w:noWrap w:val="0"/>
                  <w:vAlign w:val="center"/>
                </w:tcPr>
                <w:p w14:paraId="5DF69081">
                  <w:pPr>
                    <w:keepNext w:val="0"/>
                    <w:keepLines w:val="0"/>
                    <w:widowControl w:val="0"/>
                    <w:suppressLineNumbers w:val="0"/>
                    <w:spacing w:before="0" w:beforeAutospacing="0" w:after="0" w:afterAutospacing="0" w:line="240" w:lineRule="auto"/>
                    <w:ind w:left="0" w:right="0"/>
                    <w:jc w:val="center"/>
                    <w:rPr>
                      <w:rFonts w:hint="eastAsia" w:ascii="Times New Roman" w:hAnsi="Times New Roman"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依托</w:t>
                  </w:r>
                </w:p>
              </w:tc>
            </w:tr>
            <w:tr w14:paraId="5A54F72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6" w:hRule="atLeast"/>
                <w:jc w:val="center"/>
              </w:trPr>
              <w:tc>
                <w:tcPr>
                  <w:tcW w:w="558" w:type="dxa"/>
                  <w:vMerge w:val="continue"/>
                  <w:tcBorders>
                    <w:tl2br w:val="nil"/>
                    <w:tr2bl w:val="nil"/>
                  </w:tcBorders>
                  <w:noWrap w:val="0"/>
                  <w:vAlign w:val="center"/>
                </w:tcPr>
                <w:p w14:paraId="4F267986">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p>
              </w:tc>
              <w:tc>
                <w:tcPr>
                  <w:tcW w:w="938" w:type="dxa"/>
                  <w:tcBorders>
                    <w:tl2br w:val="nil"/>
                    <w:tr2bl w:val="nil"/>
                  </w:tcBorders>
                  <w:noWrap w:val="0"/>
                  <w:vAlign w:val="center"/>
                </w:tcPr>
                <w:p w14:paraId="2E7A683A">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铁力经济开发区污水处理厂</w:t>
                  </w:r>
                </w:p>
              </w:tc>
              <w:tc>
                <w:tcPr>
                  <w:tcW w:w="5848" w:type="dxa"/>
                  <w:gridSpan w:val="2"/>
                  <w:tcBorders>
                    <w:tl2br w:val="nil"/>
                    <w:tr2bl w:val="nil"/>
                  </w:tcBorders>
                  <w:noWrap w:val="0"/>
                  <w:vAlign w:val="center"/>
                </w:tcPr>
                <w:p w14:paraId="3C6C5646">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b w:val="0"/>
                      <w:bCs/>
                      <w:color w:val="auto"/>
                      <w:kern w:val="2"/>
                      <w:sz w:val="21"/>
                      <w:szCs w:val="21"/>
                      <w:lang w:val="en-US" w:eastAsia="zh-CN" w:bidi="ar"/>
                    </w:rPr>
                    <w:t>铁力经济开发区污水处理厂已建成，</w:t>
                  </w:r>
                  <w:r>
                    <w:rPr>
                      <w:rFonts w:hint="eastAsia" w:ascii="Times New Roman" w:hAnsi="Times New Roman" w:cs="Times New Roman"/>
                      <w:b w:val="0"/>
                      <w:bCs/>
                      <w:color w:val="auto"/>
                      <w:kern w:val="2"/>
                      <w:sz w:val="21"/>
                      <w:szCs w:val="21"/>
                      <w:lang w:val="en-US" w:eastAsia="zh-CN" w:bidi="ar"/>
                    </w:rPr>
                    <w:t>采用</w:t>
                  </w:r>
                  <w:r>
                    <w:rPr>
                      <w:rFonts w:hint="default" w:ascii="Times New Roman" w:hAnsi="Times New Roman" w:eastAsia="宋体" w:cs="Times New Roman"/>
                      <w:b w:val="0"/>
                      <w:bCs/>
                      <w:color w:val="auto"/>
                      <w:kern w:val="2"/>
                      <w:sz w:val="21"/>
                      <w:szCs w:val="21"/>
                      <w:lang w:val="en-US" w:eastAsia="zh-CN" w:bidi="ar"/>
                    </w:rPr>
                    <w:t>预处理+水解酸化+EBIS 工艺+紫外消毒组合工艺，设计日处理水量0.15万m</w:t>
                  </w:r>
                  <w:r>
                    <w:rPr>
                      <w:rFonts w:hint="default" w:ascii="Times New Roman" w:hAnsi="Times New Roman" w:eastAsia="宋体" w:cs="Times New Roman"/>
                      <w:b w:val="0"/>
                      <w:bCs/>
                      <w:color w:val="auto"/>
                      <w:kern w:val="2"/>
                      <w:sz w:val="21"/>
                      <w:szCs w:val="21"/>
                      <w:vertAlign w:val="superscript"/>
                      <w:lang w:val="en-US" w:eastAsia="zh-CN" w:bidi="ar"/>
                    </w:rPr>
                    <w:t>3</w:t>
                  </w:r>
                  <w:r>
                    <w:rPr>
                      <w:rFonts w:hint="default" w:ascii="Times New Roman" w:hAnsi="Times New Roman" w:eastAsia="宋体" w:cs="Times New Roman"/>
                      <w:b w:val="0"/>
                      <w:bCs/>
                      <w:color w:val="auto"/>
                      <w:kern w:val="2"/>
                      <w:sz w:val="21"/>
                      <w:szCs w:val="21"/>
                      <w:lang w:val="en-US" w:eastAsia="zh-CN" w:bidi="ar"/>
                    </w:rPr>
                    <w:t>/d，出水执行《城镇污水处理厂污染物排放标准》（GB18918-2002）一级A标准，尾水排入铁甲河，最终汇入呼兰河。</w:t>
                  </w:r>
                  <w:r>
                    <w:rPr>
                      <w:rFonts w:hint="eastAsia" w:ascii="Times New Roman" w:hAnsi="Times New Roman" w:cs="Times New Roman"/>
                      <w:b w:val="0"/>
                      <w:bCs/>
                      <w:color w:val="auto"/>
                      <w:kern w:val="2"/>
                      <w:sz w:val="21"/>
                      <w:szCs w:val="21"/>
                      <w:lang w:val="en-US" w:eastAsia="zh-CN" w:bidi="ar"/>
                    </w:rPr>
                    <w:t>目前，由于</w:t>
                  </w:r>
                  <w:r>
                    <w:rPr>
                      <w:rFonts w:hint="default" w:ascii="Times New Roman" w:hAnsi="Times New Roman" w:eastAsia="宋体" w:cs="Times New Roman"/>
                      <w:b w:val="0"/>
                      <w:bCs/>
                      <w:color w:val="auto"/>
                      <w:kern w:val="2"/>
                      <w:sz w:val="21"/>
                      <w:szCs w:val="21"/>
                      <w:lang w:val="en-US" w:eastAsia="zh-CN" w:bidi="ar"/>
                    </w:rPr>
                    <w:t>开发区入驻企业废水量较少</w:t>
                  </w:r>
                  <w:r>
                    <w:rPr>
                      <w:rFonts w:hint="eastAsia" w:ascii="Times New Roman" w:hAnsi="Times New Roman" w:cs="Times New Roman"/>
                      <w:b w:val="0"/>
                      <w:bCs/>
                      <w:color w:val="auto"/>
                      <w:kern w:val="2"/>
                      <w:sz w:val="21"/>
                      <w:szCs w:val="21"/>
                      <w:lang w:val="en-US" w:eastAsia="zh-CN" w:bidi="ar"/>
                    </w:rPr>
                    <w:t>，</w:t>
                  </w:r>
                  <w:r>
                    <w:rPr>
                      <w:rFonts w:hint="default" w:ascii="Times New Roman" w:hAnsi="Times New Roman" w:eastAsia="宋体" w:cs="Times New Roman"/>
                      <w:b w:val="0"/>
                      <w:bCs/>
                      <w:color w:val="auto"/>
                      <w:kern w:val="2"/>
                      <w:sz w:val="21"/>
                      <w:szCs w:val="21"/>
                      <w:lang w:val="en-US" w:eastAsia="zh-CN" w:bidi="ar"/>
                    </w:rPr>
                    <w:t>污水处理厂未投产运营，</w:t>
                  </w:r>
                  <w:r>
                    <w:rPr>
                      <w:rFonts w:hint="eastAsia" w:ascii="Times New Roman" w:hAnsi="Times New Roman" w:cs="Times New Roman"/>
                      <w:b w:val="0"/>
                      <w:bCs/>
                      <w:color w:val="auto"/>
                      <w:kern w:val="2"/>
                      <w:sz w:val="21"/>
                      <w:szCs w:val="21"/>
                      <w:lang w:val="en-US" w:eastAsia="zh-CN" w:bidi="ar"/>
                    </w:rPr>
                    <w:t>但目前</w:t>
                  </w:r>
                  <w:r>
                    <w:rPr>
                      <w:rFonts w:hint="default" w:ascii="Times New Roman" w:hAnsi="Times New Roman" w:eastAsia="宋体" w:cs="Times New Roman"/>
                      <w:b w:val="0"/>
                      <w:bCs/>
                      <w:color w:val="auto"/>
                      <w:kern w:val="2"/>
                      <w:sz w:val="21"/>
                      <w:szCs w:val="21"/>
                      <w:lang w:val="en-US" w:eastAsia="zh-CN" w:bidi="ar"/>
                    </w:rPr>
                    <w:t>已取得排污许可证</w:t>
                  </w:r>
                  <w:r>
                    <w:rPr>
                      <w:rFonts w:hint="eastAsia" w:ascii="Times New Roman" w:hAnsi="Times New Roman" w:cs="Times New Roman"/>
                      <w:b w:val="0"/>
                      <w:bCs/>
                      <w:color w:val="auto"/>
                      <w:kern w:val="2"/>
                      <w:sz w:val="21"/>
                      <w:szCs w:val="21"/>
                      <w:lang w:val="en-US" w:eastAsia="zh-CN" w:bidi="ar"/>
                    </w:rPr>
                    <w:t>。铁力经济开发区污水处理厂收水范围及设计处理水量包括本企业</w:t>
                  </w:r>
                  <w:r>
                    <w:rPr>
                      <w:rFonts w:hint="default" w:ascii="Times New Roman" w:hAnsi="Times New Roman" w:eastAsia="宋体" w:cs="Times New Roman"/>
                      <w:b w:val="0"/>
                      <w:bCs/>
                      <w:color w:val="auto"/>
                      <w:kern w:val="2"/>
                      <w:sz w:val="21"/>
                      <w:szCs w:val="21"/>
                      <w:lang w:val="en-US" w:eastAsia="zh-CN" w:bidi="ar"/>
                    </w:rPr>
                    <w:t>，铁力经济开发区污水处理厂可满足本项目废水处理需要。</w:t>
                  </w:r>
                </w:p>
              </w:tc>
              <w:tc>
                <w:tcPr>
                  <w:tcW w:w="1033" w:type="dxa"/>
                  <w:tcBorders>
                    <w:tl2br w:val="nil"/>
                    <w:tr2bl w:val="nil"/>
                  </w:tcBorders>
                  <w:noWrap w:val="0"/>
                  <w:vAlign w:val="center"/>
                </w:tcPr>
                <w:p w14:paraId="6D84DE9B">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lang w:val="en-US" w:eastAsia="zh-CN" w:bidi="ar"/>
                    </w:rPr>
                  </w:pPr>
                  <w:r>
                    <w:rPr>
                      <w:rFonts w:hint="eastAsia" w:ascii="Times New Roman" w:hAnsi="Times New Roman" w:cs="Times New Roman"/>
                      <w:b w:val="0"/>
                      <w:bCs/>
                      <w:color w:val="auto"/>
                      <w:kern w:val="2"/>
                      <w:sz w:val="21"/>
                      <w:szCs w:val="21"/>
                      <w:lang w:val="en-US" w:eastAsia="zh-CN" w:bidi="ar"/>
                    </w:rPr>
                    <w:t>依托</w:t>
                  </w:r>
                </w:p>
              </w:tc>
            </w:tr>
          </w:tbl>
          <w:p w14:paraId="5954F355">
            <w:pPr>
              <w:keepNext w:val="0"/>
              <w:keepLines w:val="0"/>
              <w:pageBreakBefore w:val="0"/>
              <w:widowControl w:val="0"/>
              <w:suppressLineNumbers w:val="0"/>
              <w:kinsoku/>
              <w:wordWrap/>
              <w:overflowPunct/>
              <w:topLinePunct w:val="0"/>
              <w:autoSpaceDE/>
              <w:autoSpaceDN/>
              <w:bidi w:val="0"/>
              <w:adjustRightInd w:val="0"/>
              <w:snapToGrid w:val="0"/>
              <w:spacing w:before="0" w:beforeLines="50" w:beforeAutospacing="0" w:after="0" w:afterAutospacing="0" w:line="360" w:lineRule="auto"/>
              <w:ind w:left="0" w:right="0" w:firstLine="562" w:firstLineChars="200"/>
              <w:jc w:val="both"/>
              <w:textAlignment w:val="auto"/>
              <w:rPr>
                <w:rFonts w:hint="default" w:ascii="Times New Roman" w:hAnsi="Times New Roman" w:eastAsia="宋体" w:cs="Times New Roman"/>
                <w:b/>
                <w:bCs/>
                <w:color w:val="auto"/>
                <w:kern w:val="2"/>
                <w:sz w:val="28"/>
                <w:szCs w:val="28"/>
              </w:rPr>
            </w:pPr>
            <w:r>
              <w:rPr>
                <w:rFonts w:hint="default" w:ascii="Times New Roman" w:hAnsi="Times New Roman" w:eastAsia="宋体" w:cs="Times New Roman"/>
                <w:b/>
                <w:bCs/>
                <w:color w:val="auto"/>
                <w:kern w:val="2"/>
                <w:sz w:val="28"/>
                <w:szCs w:val="28"/>
                <w:lang w:val="en-US" w:eastAsia="zh-CN" w:bidi="ar"/>
              </w:rPr>
              <w:t>2.3产品方案</w:t>
            </w:r>
          </w:p>
          <w:p w14:paraId="288E7218">
            <w:pPr>
              <w:keepNext w:val="0"/>
              <w:keepLines w:val="0"/>
              <w:widowControl w:val="0"/>
              <w:suppressLineNumbers w:val="0"/>
              <w:autoSpaceDE w:val="0"/>
              <w:autoSpaceDN/>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
              </w:rPr>
            </w:pPr>
            <w:r>
              <w:rPr>
                <w:rFonts w:hint="default" w:ascii="Times New Roman" w:hAnsi="Times New Roman" w:eastAsia="宋体" w:cs="Times New Roman"/>
                <w:color w:val="auto"/>
                <w:kern w:val="2"/>
                <w:sz w:val="24"/>
                <w:szCs w:val="24"/>
                <w:lang w:val="en-US" w:eastAsia="zh-CN" w:bidi="ar"/>
              </w:rPr>
              <w:t>本项目为铸造项目，由于铸件的应用较广泛，本</w:t>
            </w:r>
            <w:r>
              <w:rPr>
                <w:rFonts w:hint="eastAsia" w:ascii="Times New Roman" w:hAnsi="Times New Roman" w:cs="Times New Roman"/>
                <w:color w:val="auto"/>
                <w:kern w:val="2"/>
                <w:sz w:val="24"/>
                <w:szCs w:val="24"/>
                <w:lang w:val="en-US" w:eastAsia="zh-CN" w:bidi="ar"/>
              </w:rPr>
              <w:t>项目主要</w:t>
            </w:r>
            <w:r>
              <w:rPr>
                <w:rFonts w:hint="default" w:ascii="Times New Roman" w:hAnsi="Times New Roman" w:eastAsia="宋体" w:cs="Times New Roman"/>
                <w:color w:val="auto"/>
                <w:kern w:val="2"/>
                <w:sz w:val="24"/>
                <w:szCs w:val="24"/>
                <w:lang w:val="en-US" w:eastAsia="zh-CN" w:bidi="ar"/>
              </w:rPr>
              <w:t>根据客户需求，利用</w:t>
            </w:r>
            <w:r>
              <w:rPr>
                <w:rFonts w:hint="eastAsia" w:ascii="Times New Roman" w:hAnsi="Times New Roman" w:cs="Times New Roman"/>
                <w:color w:val="auto"/>
                <w:kern w:val="2"/>
                <w:sz w:val="24"/>
                <w:szCs w:val="24"/>
                <w:lang w:val="en-US" w:eastAsia="zh-CN" w:bidi="ar"/>
              </w:rPr>
              <w:t>铁模覆砂</w:t>
            </w:r>
            <w:r>
              <w:rPr>
                <w:rFonts w:hint="default" w:ascii="Times New Roman" w:hAnsi="Times New Roman" w:eastAsia="宋体" w:cs="Times New Roman"/>
                <w:color w:val="auto"/>
                <w:kern w:val="2"/>
                <w:sz w:val="24"/>
                <w:szCs w:val="24"/>
                <w:lang w:val="en-US" w:eastAsia="zh-CN" w:bidi="ar"/>
              </w:rPr>
              <w:t>铸造工艺，生产不同规模的耐磨材料铸件、耐磨耐热钢铸件和型材</w:t>
            </w:r>
            <w:r>
              <w:rPr>
                <w:rFonts w:hint="eastAsia" w:ascii="Times New Roman" w:hAnsi="Times New Roman" w:cs="Times New Roman"/>
                <w:color w:val="auto"/>
                <w:kern w:val="2"/>
                <w:sz w:val="24"/>
                <w:szCs w:val="24"/>
                <w:lang w:val="en-US" w:eastAsia="zh-CN" w:bidi="ar"/>
              </w:rPr>
              <w:t>。</w:t>
            </w:r>
            <w:r>
              <w:rPr>
                <w:rFonts w:hint="default" w:ascii="Times New Roman" w:hAnsi="Times New Roman" w:eastAsia="宋体" w:cs="Times New Roman"/>
                <w:color w:val="auto"/>
                <w:kern w:val="2"/>
                <w:sz w:val="24"/>
                <w:szCs w:val="24"/>
                <w:lang w:val="en-US" w:eastAsia="zh-CN" w:bidi="ar"/>
              </w:rPr>
              <w:t>本项目铸造的产能为</w:t>
            </w:r>
            <w:r>
              <w:rPr>
                <w:rFonts w:hint="eastAsia" w:ascii="Times New Roman" w:hAnsi="Times New Roman" w:cs="Times New Roman"/>
                <w:color w:val="auto"/>
                <w:kern w:val="2"/>
                <w:sz w:val="24"/>
                <w:szCs w:val="24"/>
                <w:lang w:val="en-US" w:eastAsia="zh-CN" w:bidi="ar"/>
              </w:rPr>
              <w:t>5000</w:t>
            </w:r>
            <w:r>
              <w:rPr>
                <w:rFonts w:hint="default" w:ascii="Times New Roman" w:hAnsi="Times New Roman" w:eastAsia="宋体" w:cs="Times New Roman"/>
                <w:color w:val="auto"/>
                <w:kern w:val="2"/>
                <w:sz w:val="24"/>
                <w:szCs w:val="24"/>
                <w:lang w:val="en-US" w:eastAsia="zh-CN" w:bidi="ar"/>
              </w:rPr>
              <w:t>吨/年。本项目主要产品方案详见下表2-4。</w:t>
            </w:r>
          </w:p>
          <w:p w14:paraId="1A20442E">
            <w:pPr>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表2-4 项目产品一览表</w:t>
            </w:r>
          </w:p>
          <w:tbl>
            <w:tblPr>
              <w:tblStyle w:val="56"/>
              <w:tblW w:w="492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05"/>
              <w:gridCol w:w="2394"/>
              <w:gridCol w:w="928"/>
              <w:gridCol w:w="4206"/>
            </w:tblGrid>
            <w:tr w14:paraId="7B738F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483" w:type="pct"/>
                  <w:tcBorders>
                    <w:top w:val="single" w:color="auto" w:sz="8" w:space="0"/>
                    <w:left w:val="single" w:color="auto" w:sz="12" w:space="0"/>
                    <w:bottom w:val="single" w:color="auto" w:sz="4" w:space="0"/>
                    <w:right w:val="single" w:color="auto" w:sz="4" w:space="0"/>
                  </w:tcBorders>
                  <w:shd w:val="clear" w:color="auto" w:fill="auto"/>
                  <w:vAlign w:val="center"/>
                </w:tcPr>
                <w:p w14:paraId="55883837">
                  <w:pPr>
                    <w:pStyle w:val="53"/>
                    <w:keepNext w:val="0"/>
                    <w:keepLines w:val="0"/>
                    <w:widowControl w:val="0"/>
                    <w:suppressLineNumbers w:val="0"/>
                    <w:tabs>
                      <w:tab w:val="left" w:pos="1021"/>
                    </w:tabs>
                    <w:autoSpaceDE w:val="0"/>
                    <w:autoSpaceDN/>
                    <w:adjustRightIn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lang w:val="en-US" w:eastAsia="zh-CN" w:bidi="ar"/>
                    </w:rPr>
                    <w:t>序号</w:t>
                  </w:r>
                </w:p>
              </w:tc>
              <w:tc>
                <w:tcPr>
                  <w:tcW w:w="1436" w:type="pct"/>
                  <w:tcBorders>
                    <w:top w:val="single" w:color="auto" w:sz="8" w:space="0"/>
                    <w:left w:val="single" w:color="auto" w:sz="4" w:space="0"/>
                    <w:bottom w:val="single" w:color="auto" w:sz="4" w:space="0"/>
                    <w:right w:val="single" w:color="auto" w:sz="4" w:space="0"/>
                  </w:tcBorders>
                  <w:shd w:val="clear" w:color="auto" w:fill="auto"/>
                  <w:vAlign w:val="center"/>
                </w:tcPr>
                <w:p w14:paraId="4ADCB15C">
                  <w:pPr>
                    <w:pStyle w:val="53"/>
                    <w:keepNext w:val="0"/>
                    <w:keepLines w:val="0"/>
                    <w:widowControl w:val="0"/>
                    <w:suppressLineNumbers w:val="0"/>
                    <w:tabs>
                      <w:tab w:val="left" w:pos="1021"/>
                    </w:tabs>
                    <w:autoSpaceDE w:val="0"/>
                    <w:autoSpaceDN/>
                    <w:adjustRightIn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lang w:val="en-US" w:eastAsia="zh-CN" w:bidi="ar"/>
                    </w:rPr>
                    <w:t>产品名称</w:t>
                  </w:r>
                </w:p>
              </w:tc>
              <w:tc>
                <w:tcPr>
                  <w:tcW w:w="556" w:type="pct"/>
                  <w:tcBorders>
                    <w:top w:val="single" w:color="auto" w:sz="8" w:space="0"/>
                    <w:left w:val="single" w:color="auto" w:sz="4" w:space="0"/>
                    <w:bottom w:val="single" w:color="auto" w:sz="4" w:space="0"/>
                    <w:right w:val="single" w:color="auto" w:sz="4" w:space="0"/>
                  </w:tcBorders>
                  <w:shd w:val="clear" w:color="auto" w:fill="auto"/>
                  <w:vAlign w:val="center"/>
                </w:tcPr>
                <w:p w14:paraId="4AD6D070">
                  <w:pPr>
                    <w:pStyle w:val="53"/>
                    <w:keepNext w:val="0"/>
                    <w:keepLines w:val="0"/>
                    <w:widowControl w:val="0"/>
                    <w:suppressLineNumbers w:val="0"/>
                    <w:tabs>
                      <w:tab w:val="left" w:pos="1021"/>
                    </w:tabs>
                    <w:autoSpaceDE w:val="0"/>
                    <w:autoSpaceDN/>
                    <w:adjustRightIn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lang w:val="en-US" w:eastAsia="zh-CN" w:bidi="ar"/>
                    </w:rPr>
                    <w:t>产量</w:t>
                  </w:r>
                </w:p>
              </w:tc>
              <w:tc>
                <w:tcPr>
                  <w:tcW w:w="2522" w:type="pct"/>
                  <w:tcBorders>
                    <w:top w:val="single" w:color="auto" w:sz="8" w:space="0"/>
                    <w:left w:val="single" w:color="auto" w:sz="4" w:space="0"/>
                    <w:bottom w:val="single" w:color="auto" w:sz="4" w:space="0"/>
                    <w:right w:val="single" w:color="auto" w:sz="8" w:space="0"/>
                  </w:tcBorders>
                  <w:shd w:val="clear" w:color="auto" w:fill="auto"/>
                  <w:vAlign w:val="center"/>
                </w:tcPr>
                <w:p w14:paraId="20EEA630">
                  <w:pPr>
                    <w:pStyle w:val="53"/>
                    <w:keepNext w:val="0"/>
                    <w:keepLines w:val="0"/>
                    <w:widowControl w:val="0"/>
                    <w:suppressLineNumbers w:val="0"/>
                    <w:tabs>
                      <w:tab w:val="left" w:pos="1021"/>
                    </w:tabs>
                    <w:autoSpaceDE w:val="0"/>
                    <w:autoSpaceDN/>
                    <w:adjustRightIn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lang w:val="en-US" w:eastAsia="zh-CN" w:bidi="ar"/>
                    </w:rPr>
                    <w:t>备注</w:t>
                  </w:r>
                </w:p>
              </w:tc>
            </w:tr>
            <w:tr w14:paraId="699EB3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3" w:type="pct"/>
                  <w:tcBorders>
                    <w:top w:val="single" w:color="auto" w:sz="4" w:space="0"/>
                    <w:left w:val="single" w:color="auto" w:sz="4" w:space="0"/>
                    <w:bottom w:val="single" w:color="auto" w:sz="4" w:space="0"/>
                    <w:right w:val="single" w:color="auto" w:sz="4" w:space="0"/>
                  </w:tcBorders>
                  <w:shd w:val="clear" w:color="auto" w:fill="auto"/>
                  <w:vAlign w:val="center"/>
                </w:tcPr>
                <w:p w14:paraId="0E9378F2">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cs="Times New Roman"/>
                      <w:bCs/>
                      <w:color w:val="auto"/>
                      <w:kern w:val="2"/>
                      <w:sz w:val="21"/>
                      <w:szCs w:val="21"/>
                    </w:rPr>
                  </w:pPr>
                  <w:r>
                    <w:rPr>
                      <w:rFonts w:hint="default" w:ascii="Times New Roman" w:hAnsi="Times New Roman" w:eastAsia="宋体" w:cs="Times New Roman"/>
                      <w:bCs/>
                      <w:color w:val="auto"/>
                      <w:kern w:val="2"/>
                      <w:sz w:val="21"/>
                      <w:szCs w:val="21"/>
                      <w:lang w:val="en-US" w:eastAsia="zh-CN" w:bidi="ar"/>
                    </w:rPr>
                    <w:t>1</w:t>
                  </w:r>
                </w:p>
              </w:tc>
              <w:tc>
                <w:tcPr>
                  <w:tcW w:w="1436" w:type="pct"/>
                  <w:tcBorders>
                    <w:top w:val="single" w:color="auto" w:sz="4" w:space="0"/>
                    <w:left w:val="single" w:color="auto" w:sz="4" w:space="0"/>
                    <w:bottom w:val="single" w:color="auto" w:sz="4" w:space="0"/>
                    <w:right w:val="single" w:color="auto" w:sz="4" w:space="0"/>
                  </w:tcBorders>
                  <w:shd w:val="clear" w:color="auto" w:fill="auto"/>
                  <w:vAlign w:val="center"/>
                </w:tcPr>
                <w:p w14:paraId="7685A607">
                  <w:pPr>
                    <w:pStyle w:val="53"/>
                    <w:keepNext w:val="0"/>
                    <w:keepLines w:val="0"/>
                    <w:widowControl w:val="0"/>
                    <w:suppressLineNumbers w:val="0"/>
                    <w:tabs>
                      <w:tab w:val="left" w:pos="1021"/>
                    </w:tabs>
                    <w:autoSpaceDE w:val="0"/>
                    <w:autoSpaceDN/>
                    <w:adjustRightIn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lang w:val="en-US" w:eastAsia="zh-CN" w:bidi="ar"/>
                    </w:rPr>
                    <w:t>耐磨材料铸件</w:t>
                  </w:r>
                </w:p>
              </w:tc>
              <w:tc>
                <w:tcPr>
                  <w:tcW w:w="556" w:type="pct"/>
                  <w:tcBorders>
                    <w:top w:val="single" w:color="auto" w:sz="4" w:space="0"/>
                    <w:left w:val="single" w:color="auto" w:sz="4" w:space="0"/>
                    <w:bottom w:val="single" w:color="auto" w:sz="4" w:space="0"/>
                    <w:right w:val="single" w:color="auto" w:sz="4" w:space="0"/>
                  </w:tcBorders>
                  <w:shd w:val="clear" w:color="auto" w:fill="auto"/>
                  <w:vAlign w:val="center"/>
                </w:tcPr>
                <w:p w14:paraId="40647837">
                  <w:pPr>
                    <w:pStyle w:val="53"/>
                    <w:keepNext w:val="0"/>
                    <w:keepLines w:val="0"/>
                    <w:widowControl w:val="0"/>
                    <w:suppressLineNumbers w:val="0"/>
                    <w:tabs>
                      <w:tab w:val="left" w:pos="1021"/>
                    </w:tabs>
                    <w:autoSpaceDE w:val="0"/>
                    <w:autoSpaceDN/>
                    <w:adjustRightIn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color w:val="auto"/>
                      <w:kern w:val="0"/>
                      <w:sz w:val="21"/>
                      <w:szCs w:val="21"/>
                    </w:rPr>
                  </w:pPr>
                  <w:r>
                    <w:rPr>
                      <w:rFonts w:hint="eastAsia" w:ascii="Times New Roman" w:hAnsi="Times New Roman" w:cs="Times New Roman"/>
                      <w:color w:val="auto"/>
                      <w:kern w:val="0"/>
                      <w:sz w:val="21"/>
                      <w:szCs w:val="21"/>
                      <w:lang w:val="en-US" w:eastAsia="zh-CN" w:bidi="ar"/>
                    </w:rPr>
                    <w:t>3000</w:t>
                  </w:r>
                  <w:r>
                    <w:rPr>
                      <w:rFonts w:hint="default" w:ascii="Times New Roman" w:hAnsi="Times New Roman" w:eastAsia="宋体" w:cs="Times New Roman"/>
                      <w:color w:val="auto"/>
                      <w:kern w:val="0"/>
                      <w:sz w:val="21"/>
                      <w:szCs w:val="21"/>
                      <w:lang w:val="en-US" w:eastAsia="zh-CN" w:bidi="ar"/>
                    </w:rPr>
                    <w:t>t/a</w:t>
                  </w:r>
                </w:p>
              </w:tc>
              <w:tc>
                <w:tcPr>
                  <w:tcW w:w="2522" w:type="pct"/>
                  <w:tcBorders>
                    <w:top w:val="single" w:color="auto" w:sz="4" w:space="0"/>
                    <w:left w:val="single" w:color="auto" w:sz="4" w:space="0"/>
                    <w:bottom w:val="single" w:color="auto" w:sz="4" w:space="0"/>
                    <w:right w:val="single" w:color="auto" w:sz="8" w:space="0"/>
                  </w:tcBorders>
                  <w:shd w:val="clear" w:color="auto" w:fill="auto"/>
                  <w:vAlign w:val="center"/>
                </w:tcPr>
                <w:p w14:paraId="07C2F2F5">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cs="Times New Roman"/>
                      <w:bCs/>
                      <w:color w:val="auto"/>
                      <w:kern w:val="2"/>
                      <w:sz w:val="21"/>
                      <w:szCs w:val="21"/>
                      <w:lang w:val="en-US"/>
                    </w:rPr>
                  </w:pPr>
                  <w:r>
                    <w:rPr>
                      <w:rFonts w:hint="default" w:ascii="Times New Roman" w:hAnsi="Times New Roman" w:eastAsia="宋体" w:cs="Times New Roman"/>
                      <w:bCs/>
                      <w:color w:val="auto"/>
                      <w:kern w:val="2"/>
                      <w:sz w:val="21"/>
                      <w:szCs w:val="21"/>
                      <w:lang w:val="en-US" w:eastAsia="zh-CN" w:bidi="ar"/>
                    </w:rPr>
                    <w:t>主要为磨球</w:t>
                  </w:r>
                  <w:r>
                    <w:rPr>
                      <w:rFonts w:hint="eastAsia" w:ascii="Times New Roman" w:hAnsi="Times New Roman" w:cs="Times New Roman"/>
                      <w:bCs/>
                      <w:color w:val="auto"/>
                      <w:kern w:val="2"/>
                      <w:sz w:val="21"/>
                      <w:szCs w:val="21"/>
                      <w:lang w:val="en-US" w:eastAsia="zh-CN" w:bidi="ar"/>
                    </w:rPr>
                    <w:t>，</w:t>
                  </w:r>
                  <w:r>
                    <w:rPr>
                      <w:rFonts w:hint="default" w:ascii="Times New Roman" w:hAnsi="Times New Roman" w:eastAsia="宋体" w:cs="Times New Roman"/>
                      <w:bCs/>
                      <w:color w:val="auto"/>
                      <w:kern w:val="2"/>
                      <w:sz w:val="21"/>
                      <w:szCs w:val="21"/>
                      <w:lang w:val="en-US" w:eastAsia="zh-CN" w:bidi="ar"/>
                    </w:rPr>
                    <w:t>按照订单图纸生产</w:t>
                  </w:r>
                  <w:r>
                    <w:rPr>
                      <w:rFonts w:hint="default" w:ascii="Times New Roman" w:hAnsi="Times New Roman" w:cs="Times New Roman"/>
                      <w:bCs/>
                      <w:color w:val="auto"/>
                      <w:kern w:val="2"/>
                      <w:sz w:val="21"/>
                      <w:szCs w:val="21"/>
                      <w:lang w:val="en-US" w:eastAsia="zh-CN" w:bidi="ar"/>
                    </w:rPr>
                    <w:t>，采用铁模覆砂铸造工艺</w:t>
                  </w:r>
                </w:p>
              </w:tc>
            </w:tr>
            <w:tr w14:paraId="620DF1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483" w:type="pct"/>
                  <w:tcBorders>
                    <w:top w:val="single" w:color="auto" w:sz="4" w:space="0"/>
                    <w:left w:val="single" w:color="auto" w:sz="4" w:space="0"/>
                    <w:bottom w:val="single" w:color="auto" w:sz="4" w:space="0"/>
                    <w:right w:val="single" w:color="auto" w:sz="4" w:space="0"/>
                  </w:tcBorders>
                  <w:shd w:val="clear" w:color="auto" w:fill="auto"/>
                  <w:vAlign w:val="center"/>
                </w:tcPr>
                <w:p w14:paraId="5F80BA44">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en-US" w:eastAsia="zh-CN" w:bidi="ar"/>
                    </w:rPr>
                  </w:pPr>
                  <w:r>
                    <w:rPr>
                      <w:rFonts w:hint="default" w:ascii="Times New Roman" w:hAnsi="Times New Roman" w:cs="Times New Roman"/>
                      <w:bCs/>
                      <w:color w:val="auto"/>
                      <w:kern w:val="2"/>
                      <w:sz w:val="21"/>
                      <w:szCs w:val="21"/>
                      <w:lang w:val="en-US" w:eastAsia="zh-CN" w:bidi="ar"/>
                    </w:rPr>
                    <w:t>2</w:t>
                  </w:r>
                </w:p>
              </w:tc>
              <w:tc>
                <w:tcPr>
                  <w:tcW w:w="1436" w:type="pct"/>
                  <w:tcBorders>
                    <w:top w:val="single" w:color="auto" w:sz="4" w:space="0"/>
                    <w:left w:val="single" w:color="auto" w:sz="4" w:space="0"/>
                    <w:bottom w:val="single" w:color="auto" w:sz="4" w:space="0"/>
                    <w:right w:val="single" w:color="auto" w:sz="4" w:space="0"/>
                  </w:tcBorders>
                  <w:shd w:val="clear" w:color="auto" w:fill="auto"/>
                  <w:vAlign w:val="center"/>
                </w:tcPr>
                <w:p w14:paraId="69A74F80">
                  <w:pPr>
                    <w:pStyle w:val="53"/>
                    <w:keepNext w:val="0"/>
                    <w:keepLines w:val="0"/>
                    <w:widowControl w:val="0"/>
                    <w:suppressLineNumbers w:val="0"/>
                    <w:tabs>
                      <w:tab w:val="left" w:pos="1021"/>
                    </w:tabs>
                    <w:autoSpaceDE w:val="0"/>
                    <w:autoSpaceDN/>
                    <w:adjustRightIn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耐磨耐热钢铸件和型材</w:t>
                  </w:r>
                </w:p>
              </w:tc>
              <w:tc>
                <w:tcPr>
                  <w:tcW w:w="556" w:type="pct"/>
                  <w:tcBorders>
                    <w:top w:val="single" w:color="auto" w:sz="4" w:space="0"/>
                    <w:left w:val="single" w:color="auto" w:sz="4" w:space="0"/>
                    <w:bottom w:val="single" w:color="auto" w:sz="4" w:space="0"/>
                    <w:right w:val="single" w:color="auto" w:sz="4" w:space="0"/>
                  </w:tcBorders>
                  <w:shd w:val="clear" w:color="auto" w:fill="auto"/>
                  <w:vAlign w:val="center"/>
                </w:tcPr>
                <w:p w14:paraId="15717B4A">
                  <w:pPr>
                    <w:pStyle w:val="53"/>
                    <w:keepNext w:val="0"/>
                    <w:keepLines w:val="0"/>
                    <w:widowControl w:val="0"/>
                    <w:suppressLineNumbers w:val="0"/>
                    <w:tabs>
                      <w:tab w:val="left" w:pos="1021"/>
                    </w:tabs>
                    <w:autoSpaceDE w:val="0"/>
                    <w:autoSpaceDN/>
                    <w:adjustRightIn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2000t/a</w:t>
                  </w:r>
                </w:p>
              </w:tc>
              <w:tc>
                <w:tcPr>
                  <w:tcW w:w="2522" w:type="pct"/>
                  <w:tcBorders>
                    <w:top w:val="single" w:color="auto" w:sz="4" w:space="0"/>
                    <w:left w:val="single" w:color="auto" w:sz="4" w:space="0"/>
                    <w:bottom w:val="single" w:color="auto" w:sz="4" w:space="0"/>
                    <w:right w:val="single" w:color="auto" w:sz="8" w:space="0"/>
                  </w:tcBorders>
                  <w:shd w:val="clear" w:color="auto" w:fill="auto"/>
                  <w:vAlign w:val="center"/>
                </w:tcPr>
                <w:p w14:paraId="4AD4C970">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en-US" w:eastAsia="zh-CN" w:bidi="ar"/>
                    </w:rPr>
                  </w:pPr>
                  <w:r>
                    <w:rPr>
                      <w:rFonts w:hint="default" w:ascii="Times New Roman" w:hAnsi="Times New Roman" w:eastAsia="宋体" w:cs="Times New Roman"/>
                      <w:bCs/>
                      <w:color w:val="auto"/>
                      <w:kern w:val="2"/>
                      <w:sz w:val="21"/>
                      <w:szCs w:val="21"/>
                      <w:lang w:val="en-US" w:eastAsia="zh-CN" w:bidi="ar"/>
                    </w:rPr>
                    <w:t>按照订单图纸生产，采用铁模覆砂铸造工艺</w:t>
                  </w:r>
                </w:p>
              </w:tc>
            </w:tr>
          </w:tbl>
          <w:p w14:paraId="0C47F9B6">
            <w:pPr>
              <w:keepNext w:val="0"/>
              <w:keepLines w:val="0"/>
              <w:pageBreakBefore w:val="0"/>
              <w:widowControl w:val="0"/>
              <w:suppressLineNumbers w:val="0"/>
              <w:kinsoku/>
              <w:wordWrap/>
              <w:overflowPunct/>
              <w:topLinePunct w:val="0"/>
              <w:autoSpaceDE/>
              <w:autoSpaceDN/>
              <w:bidi w:val="0"/>
              <w:adjustRightInd w:val="0"/>
              <w:snapToGrid w:val="0"/>
              <w:spacing w:before="0" w:beforeLines="50" w:beforeAutospacing="0" w:after="0" w:afterAutospacing="0" w:line="360" w:lineRule="auto"/>
              <w:ind w:left="0" w:right="0" w:firstLine="562" w:firstLineChars="200"/>
              <w:jc w:val="both"/>
              <w:textAlignment w:val="auto"/>
              <w:rPr>
                <w:rFonts w:hint="default" w:ascii="Times New Roman" w:hAnsi="Times New Roman" w:eastAsia="宋体" w:cs="Times New Roman"/>
                <w:b/>
                <w:bCs/>
                <w:color w:val="auto"/>
                <w:kern w:val="2"/>
                <w:sz w:val="28"/>
                <w:szCs w:val="28"/>
              </w:rPr>
            </w:pPr>
            <w:r>
              <w:rPr>
                <w:rFonts w:hint="default" w:ascii="Times New Roman" w:hAnsi="Times New Roman" w:eastAsia="宋体" w:cs="Times New Roman"/>
                <w:b/>
                <w:bCs/>
                <w:color w:val="auto"/>
                <w:kern w:val="2"/>
                <w:sz w:val="28"/>
                <w:szCs w:val="28"/>
                <w:lang w:val="en-US" w:eastAsia="zh-CN" w:bidi="ar"/>
              </w:rPr>
              <w:t>2.4主要生产设备及参数</w:t>
            </w:r>
          </w:p>
          <w:p w14:paraId="775AD5C5">
            <w:pPr>
              <w:keepNext w:val="0"/>
              <w:keepLines w:val="0"/>
              <w:widowControl w:val="0"/>
              <w:suppressLineNumbers w:val="0"/>
              <w:autoSpaceDE w:val="0"/>
              <w:autoSpaceDN/>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
              </w:rPr>
            </w:pPr>
            <w:r>
              <w:rPr>
                <w:rFonts w:hint="default" w:ascii="Times New Roman" w:hAnsi="Times New Roman" w:eastAsia="宋体" w:cs="Times New Roman"/>
                <w:color w:val="auto"/>
                <w:kern w:val="2"/>
                <w:sz w:val="24"/>
                <w:szCs w:val="24"/>
                <w:lang w:val="en-US" w:eastAsia="zh-CN" w:bidi="ar"/>
              </w:rPr>
              <w:t>本项目主要生产设备见表2-</w:t>
            </w:r>
            <w:r>
              <w:rPr>
                <w:rFonts w:hint="eastAsia" w:ascii="Times New Roman" w:hAnsi="Times New Roman" w:cs="Times New Roman"/>
                <w:color w:val="auto"/>
                <w:kern w:val="2"/>
                <w:sz w:val="24"/>
                <w:szCs w:val="24"/>
                <w:lang w:val="en-US" w:eastAsia="zh-CN" w:bidi="ar"/>
              </w:rPr>
              <w:t>5</w:t>
            </w:r>
            <w:r>
              <w:rPr>
                <w:rFonts w:hint="default" w:ascii="Times New Roman" w:hAnsi="Times New Roman" w:eastAsia="宋体" w:cs="Times New Roman"/>
                <w:color w:val="auto"/>
                <w:kern w:val="2"/>
                <w:sz w:val="24"/>
                <w:szCs w:val="24"/>
                <w:lang w:val="en-US" w:eastAsia="zh-CN" w:bidi="ar"/>
              </w:rPr>
              <w:t>。</w:t>
            </w:r>
          </w:p>
          <w:p w14:paraId="6B75A600">
            <w:pPr>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表2-</w:t>
            </w:r>
            <w:r>
              <w:rPr>
                <w:rFonts w:hint="eastAsia" w:ascii="Times New Roman" w:hAnsi="Times New Roman" w:cs="Times New Roman"/>
                <w:b/>
                <w:color w:val="auto"/>
                <w:szCs w:val="21"/>
                <w:highlight w:val="none"/>
                <w:lang w:val="en-US" w:eastAsia="zh-CN"/>
              </w:rPr>
              <w:t>5</w:t>
            </w:r>
            <w:r>
              <w:rPr>
                <w:rFonts w:hint="default" w:ascii="Times New Roman" w:hAnsi="Times New Roman" w:eastAsia="宋体" w:cs="Times New Roman"/>
                <w:b/>
                <w:color w:val="auto"/>
                <w:szCs w:val="21"/>
                <w:highlight w:val="none"/>
                <w:lang w:val="en-US" w:eastAsia="zh-CN"/>
              </w:rPr>
              <w:t xml:space="preserve"> 项目主要设备一览表</w:t>
            </w:r>
          </w:p>
          <w:tbl>
            <w:tblPr>
              <w:tblStyle w:val="384"/>
              <w:tblW w:w="495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Layout w:type="fixed"/>
              <w:tblCellMar>
                <w:top w:w="0" w:type="dxa"/>
                <w:left w:w="0" w:type="dxa"/>
                <w:bottom w:w="0" w:type="dxa"/>
                <w:right w:w="0" w:type="dxa"/>
              </w:tblCellMar>
            </w:tblPr>
            <w:tblGrid>
              <w:gridCol w:w="770"/>
              <w:gridCol w:w="2701"/>
              <w:gridCol w:w="3357"/>
              <w:gridCol w:w="763"/>
              <w:gridCol w:w="801"/>
            </w:tblGrid>
            <w:tr w14:paraId="16761A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48BC20ED">
                  <w:pPr>
                    <w:pStyle w:val="53"/>
                    <w:keepNext w:val="0"/>
                    <w:keepLines w:val="0"/>
                    <w:widowControl/>
                    <w:suppressLineNumbers w:val="0"/>
                    <w:kinsoku w:val="0"/>
                    <w:autoSpaceDE w:val="0"/>
                    <w:autoSpaceDN w:val="0"/>
                    <w:adjustRightInd w:val="0"/>
                    <w:snapToGrid w:val="0"/>
                    <w:spacing w:before="83" w:beforeAutospacing="0" w:after="0" w:afterAutospacing="0" w:line="240" w:lineRule="auto"/>
                    <w:ind w:left="164" w:right="0"/>
                    <w:jc w:val="left"/>
                    <w:textAlignment w:val="baseline"/>
                    <w:rPr>
                      <w:rFonts w:hint="eastAsia" w:ascii="宋体" w:hAnsi="宋体" w:eastAsia="宋体" w:cs="宋体"/>
                      <w:b/>
                      <w:bCs/>
                      <w:color w:val="auto"/>
                      <w:kern w:val="0"/>
                      <w:sz w:val="21"/>
                      <w:szCs w:val="21"/>
                    </w:rPr>
                  </w:pPr>
                  <w:r>
                    <w:rPr>
                      <w:rFonts w:hint="eastAsia" w:ascii="宋体" w:hAnsi="宋体" w:eastAsia="宋体" w:cs="宋体"/>
                      <w:b/>
                      <w:bCs/>
                      <w:snapToGrid/>
                      <w:color w:val="auto"/>
                      <w:spacing w:val="-8"/>
                      <w:kern w:val="0"/>
                      <w:sz w:val="21"/>
                      <w:szCs w:val="21"/>
                      <w:lang w:val="en-US" w:eastAsia="zh-CN" w:bidi="ar"/>
                    </w:rPr>
                    <w:t>序号</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47908126">
                  <w:pPr>
                    <w:pStyle w:val="53"/>
                    <w:keepNext w:val="0"/>
                    <w:keepLines w:val="0"/>
                    <w:widowControl/>
                    <w:suppressLineNumbers w:val="0"/>
                    <w:kinsoku w:val="0"/>
                    <w:autoSpaceDE w:val="0"/>
                    <w:autoSpaceDN w:val="0"/>
                    <w:adjustRightInd w:val="0"/>
                    <w:snapToGrid w:val="0"/>
                    <w:spacing w:before="82" w:beforeAutospacing="0" w:after="0" w:afterAutospacing="0" w:line="240" w:lineRule="auto"/>
                    <w:ind w:left="904" w:right="0"/>
                    <w:jc w:val="left"/>
                    <w:textAlignment w:val="baseline"/>
                    <w:rPr>
                      <w:rFonts w:hint="eastAsia" w:ascii="宋体" w:hAnsi="宋体" w:eastAsia="宋体" w:cs="宋体"/>
                      <w:b/>
                      <w:bCs/>
                      <w:color w:val="auto"/>
                      <w:kern w:val="0"/>
                      <w:sz w:val="21"/>
                      <w:szCs w:val="21"/>
                    </w:rPr>
                  </w:pPr>
                  <w:r>
                    <w:rPr>
                      <w:rFonts w:hint="eastAsia" w:ascii="宋体" w:hAnsi="宋体" w:eastAsia="宋体" w:cs="宋体"/>
                      <w:b/>
                      <w:bCs/>
                      <w:snapToGrid/>
                      <w:color w:val="auto"/>
                      <w:spacing w:val="-4"/>
                      <w:kern w:val="0"/>
                      <w:sz w:val="21"/>
                      <w:szCs w:val="21"/>
                      <w:lang w:val="en-US" w:eastAsia="zh-CN" w:bidi="ar"/>
                    </w:rPr>
                    <w:t>设备名称</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192FB9CA">
                  <w:pPr>
                    <w:pStyle w:val="53"/>
                    <w:keepNext w:val="0"/>
                    <w:keepLines w:val="0"/>
                    <w:widowControl/>
                    <w:suppressLineNumbers w:val="0"/>
                    <w:kinsoku w:val="0"/>
                    <w:autoSpaceDE w:val="0"/>
                    <w:autoSpaceDN w:val="0"/>
                    <w:adjustRightInd w:val="0"/>
                    <w:snapToGrid w:val="0"/>
                    <w:spacing w:before="82" w:beforeAutospacing="0" w:after="0" w:afterAutospacing="0" w:line="240" w:lineRule="auto"/>
                    <w:ind w:left="1491" w:right="0"/>
                    <w:jc w:val="left"/>
                    <w:textAlignment w:val="baseline"/>
                    <w:rPr>
                      <w:rFonts w:hint="eastAsia" w:ascii="宋体" w:hAnsi="宋体" w:eastAsia="宋体" w:cs="宋体"/>
                      <w:b/>
                      <w:bCs/>
                      <w:color w:val="auto"/>
                      <w:kern w:val="0"/>
                      <w:sz w:val="21"/>
                      <w:szCs w:val="21"/>
                    </w:rPr>
                  </w:pPr>
                  <w:r>
                    <w:rPr>
                      <w:rFonts w:hint="eastAsia" w:ascii="宋体" w:hAnsi="宋体" w:eastAsia="宋体" w:cs="宋体"/>
                      <w:b/>
                      <w:bCs/>
                      <w:snapToGrid/>
                      <w:color w:val="auto"/>
                      <w:spacing w:val="-14"/>
                      <w:kern w:val="0"/>
                      <w:sz w:val="21"/>
                      <w:szCs w:val="21"/>
                      <w:lang w:val="en-US" w:eastAsia="zh-CN" w:bidi="ar"/>
                    </w:rPr>
                    <w:t>型号</w:t>
                  </w: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69CB7F12">
                  <w:pPr>
                    <w:pStyle w:val="53"/>
                    <w:keepNext w:val="0"/>
                    <w:keepLines w:val="0"/>
                    <w:widowControl/>
                    <w:suppressLineNumbers w:val="0"/>
                    <w:kinsoku w:val="0"/>
                    <w:autoSpaceDE w:val="0"/>
                    <w:autoSpaceDN w:val="0"/>
                    <w:adjustRightInd w:val="0"/>
                    <w:snapToGrid w:val="0"/>
                    <w:spacing w:before="82" w:beforeAutospacing="0" w:after="0" w:afterAutospacing="0" w:line="240" w:lineRule="auto"/>
                    <w:ind w:left="161" w:right="0"/>
                    <w:jc w:val="left"/>
                    <w:textAlignment w:val="baseline"/>
                    <w:rPr>
                      <w:rFonts w:hint="eastAsia" w:ascii="宋体" w:hAnsi="宋体" w:eastAsia="宋体" w:cs="宋体"/>
                      <w:b/>
                      <w:bCs/>
                      <w:color w:val="auto"/>
                      <w:kern w:val="0"/>
                      <w:sz w:val="21"/>
                      <w:szCs w:val="21"/>
                    </w:rPr>
                  </w:pPr>
                  <w:r>
                    <w:rPr>
                      <w:rFonts w:hint="eastAsia" w:ascii="宋体" w:hAnsi="宋体" w:eastAsia="宋体" w:cs="宋体"/>
                      <w:b/>
                      <w:bCs/>
                      <w:snapToGrid/>
                      <w:color w:val="auto"/>
                      <w:spacing w:val="-8"/>
                      <w:kern w:val="0"/>
                      <w:sz w:val="21"/>
                      <w:szCs w:val="21"/>
                      <w:lang w:val="en-US" w:eastAsia="zh-CN" w:bidi="ar"/>
                    </w:rPr>
                    <w:t>数量</w:t>
                  </w: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7C9E9A07">
                  <w:pPr>
                    <w:pStyle w:val="53"/>
                    <w:keepNext w:val="0"/>
                    <w:keepLines w:val="0"/>
                    <w:widowControl/>
                    <w:suppressLineNumbers w:val="0"/>
                    <w:kinsoku w:val="0"/>
                    <w:autoSpaceDE w:val="0"/>
                    <w:autoSpaceDN w:val="0"/>
                    <w:adjustRightInd w:val="0"/>
                    <w:snapToGrid w:val="0"/>
                    <w:spacing w:before="82" w:beforeAutospacing="0" w:after="0" w:afterAutospacing="0" w:line="240" w:lineRule="auto"/>
                    <w:ind w:left="183" w:right="0"/>
                    <w:jc w:val="left"/>
                    <w:textAlignment w:val="baseline"/>
                    <w:rPr>
                      <w:rFonts w:hint="eastAsia" w:ascii="宋体" w:hAnsi="宋体" w:eastAsia="宋体" w:cs="宋体"/>
                      <w:b/>
                      <w:bCs/>
                      <w:color w:val="auto"/>
                      <w:kern w:val="0"/>
                      <w:sz w:val="21"/>
                      <w:szCs w:val="21"/>
                    </w:rPr>
                  </w:pPr>
                  <w:r>
                    <w:rPr>
                      <w:rFonts w:hint="eastAsia" w:ascii="宋体" w:hAnsi="宋体" w:eastAsia="宋体" w:cs="宋体"/>
                      <w:b/>
                      <w:bCs/>
                      <w:snapToGrid/>
                      <w:color w:val="auto"/>
                      <w:spacing w:val="-11"/>
                      <w:kern w:val="0"/>
                      <w:sz w:val="21"/>
                      <w:szCs w:val="21"/>
                      <w:lang w:val="en-US" w:eastAsia="zh-CN" w:bidi="ar"/>
                    </w:rPr>
                    <w:t>单位</w:t>
                  </w:r>
                </w:p>
              </w:tc>
            </w:tr>
            <w:tr w14:paraId="3778CA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3A41A50B">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一</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53E9C6B2">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主要生产设备</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024A6D94">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en-US" w:eastAsia="zh-CN" w:bidi="ar"/>
                    </w:rPr>
                  </w:pP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7144CC86">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en-US" w:eastAsia="zh-CN" w:bidi="ar"/>
                    </w:rPr>
                  </w:pP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23D83FB2">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en-US" w:eastAsia="zh-CN" w:bidi="ar"/>
                    </w:rPr>
                  </w:pPr>
                </w:p>
              </w:tc>
            </w:tr>
            <w:tr w14:paraId="605FEB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66CFBA78">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1</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6CFE41ED">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直读光谱仪</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32E1D8E9">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Df-100和 ZY-905A</w:t>
                  </w: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7B468801">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1</w:t>
                  </w: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42864E29">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台</w:t>
                  </w:r>
                </w:p>
              </w:tc>
            </w:tr>
            <w:tr w14:paraId="58E636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6E9FE80C">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2</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49B0A437">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洛氏硬度机</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6A3E410A">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HR150</w:t>
                  </w: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5E0E0D80">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1</w:t>
                  </w: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7C8CA980">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台</w:t>
                  </w:r>
                </w:p>
              </w:tc>
            </w:tr>
            <w:tr w14:paraId="659E85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15685240">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3</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7CA2B93A">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变压器</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0233DEA5">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630kva（干式）、800kva（干式）、1250kva（干式）</w:t>
                  </w: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201FCB67">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6</w:t>
                  </w: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3446045B">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台</w:t>
                  </w:r>
                </w:p>
              </w:tc>
            </w:tr>
            <w:tr w14:paraId="75E6DD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5A6AE919">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4</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64824BDE">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中频感应电炉</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2103D127">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1T</w:t>
                  </w:r>
                  <w:r>
                    <w:rPr>
                      <w:rFonts w:hint="eastAsia" w:ascii="Times New Roman" w:hAnsi="Times New Roman" w:cs="Times New Roman"/>
                      <w:bCs/>
                      <w:color w:val="auto"/>
                      <w:kern w:val="2"/>
                      <w:sz w:val="21"/>
                      <w:szCs w:val="21"/>
                      <w:lang w:val="en-US" w:eastAsia="zh-CN" w:bidi="ar"/>
                    </w:rPr>
                    <w:t>(</w:t>
                  </w:r>
                  <w:r>
                    <w:rPr>
                      <w:rFonts w:hint="eastAsia" w:ascii="Times New Roman" w:hAnsi="Times New Roman" w:eastAsia="宋体" w:cs="Times New Roman"/>
                      <w:bCs/>
                      <w:color w:val="auto"/>
                      <w:kern w:val="2"/>
                      <w:sz w:val="21"/>
                      <w:szCs w:val="21"/>
                      <w:lang w:val="en-US" w:eastAsia="zh-CN" w:bidi="ar"/>
                    </w:rPr>
                    <w:t>800</w:t>
                  </w:r>
                  <w:r>
                    <w:rPr>
                      <w:rFonts w:hint="eastAsia" w:ascii="Times New Roman" w:hAnsi="Times New Roman" w:cs="Times New Roman"/>
                      <w:bCs/>
                      <w:color w:val="auto"/>
                      <w:kern w:val="2"/>
                      <w:sz w:val="21"/>
                      <w:szCs w:val="21"/>
                      <w:lang w:val="en-US" w:eastAsia="zh-CN" w:bidi="ar"/>
                    </w:rPr>
                    <w:t>kW)</w:t>
                  </w: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53CD3B4C">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2</w:t>
                  </w: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1BE74444">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台</w:t>
                  </w:r>
                </w:p>
              </w:tc>
            </w:tr>
            <w:tr w14:paraId="1DF2B4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544C9D95">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5</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79739F0B">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淬火线、回火线</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1D609E81">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推杆式</w:t>
                  </w: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2670D6CD">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2</w:t>
                  </w: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7EF5F316">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条</w:t>
                  </w:r>
                </w:p>
              </w:tc>
            </w:tr>
            <w:tr w14:paraId="4EC0A1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06F840AE">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6</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19852D94">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滚筒式滚球机</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22430190">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en-US" w:eastAsia="zh-CN" w:bidi="ar"/>
                    </w:rPr>
                  </w:pPr>
                  <w:r>
                    <w:rPr>
                      <w:rFonts w:hint="default" w:ascii="Times New Roman" w:hAnsi="Times New Roman" w:eastAsia="宋体" w:cs="Times New Roman"/>
                      <w:bCs/>
                      <w:color w:val="auto"/>
                      <w:kern w:val="2"/>
                      <w:sz w:val="21"/>
                      <w:szCs w:val="21"/>
                      <w:lang w:val="en-US" w:eastAsia="zh-CN" w:bidi="ar"/>
                    </w:rPr>
                    <w:t>18.5</w:t>
                  </w:r>
                  <w:r>
                    <w:rPr>
                      <w:rFonts w:hint="eastAsia" w:ascii="Times New Roman" w:hAnsi="Times New Roman" w:cs="Times New Roman"/>
                      <w:bCs/>
                      <w:color w:val="auto"/>
                      <w:kern w:val="2"/>
                      <w:sz w:val="21"/>
                      <w:szCs w:val="21"/>
                      <w:lang w:val="en-US" w:eastAsia="zh-CN" w:bidi="ar"/>
                    </w:rPr>
                    <w:t>kW</w:t>
                  </w: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68C68BD9">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1</w:t>
                  </w: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0A8CC09D">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套</w:t>
                  </w:r>
                </w:p>
              </w:tc>
            </w:tr>
            <w:tr w14:paraId="117E44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4C6BD628">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7</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7D590AF9">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环保除尘系统</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26A59E2F">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FMD-96</w:t>
                  </w: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796C601F">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2</w:t>
                  </w: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11B50EC5">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套</w:t>
                  </w:r>
                </w:p>
              </w:tc>
            </w:tr>
            <w:tr w14:paraId="5C8B23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3535389B">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8</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689632CA">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水冷却系统</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3E44648E">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JNL3</w:t>
                  </w: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4D347ABA">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2</w:t>
                  </w: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4E9FE2A1">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套</w:t>
                  </w:r>
                </w:p>
              </w:tc>
            </w:tr>
            <w:tr w14:paraId="10D904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011C9825">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9</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24976CF0">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碾砂</w:t>
                  </w:r>
                  <w:r>
                    <w:rPr>
                      <w:rFonts w:hint="eastAsia" w:ascii="Times New Roman" w:hAnsi="Times New Roman" w:cs="Times New Roman"/>
                      <w:bCs/>
                      <w:color w:val="auto"/>
                      <w:kern w:val="2"/>
                      <w:sz w:val="21"/>
                      <w:szCs w:val="21"/>
                      <w:lang w:val="en-US" w:eastAsia="zh-CN" w:bidi="ar"/>
                    </w:rPr>
                    <w:t>一体</w:t>
                  </w:r>
                  <w:r>
                    <w:rPr>
                      <w:rFonts w:hint="eastAsia" w:ascii="Times New Roman" w:hAnsi="Times New Roman" w:eastAsia="宋体" w:cs="Times New Roman"/>
                      <w:bCs/>
                      <w:color w:val="auto"/>
                      <w:kern w:val="2"/>
                      <w:sz w:val="21"/>
                      <w:szCs w:val="21"/>
                      <w:lang w:val="en-US" w:eastAsia="zh-CN" w:bidi="ar"/>
                    </w:rPr>
                    <w:t>机</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4E4B55C1">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en-US" w:eastAsia="zh-CN" w:bidi="ar"/>
                    </w:rPr>
                  </w:pPr>
                  <w:r>
                    <w:rPr>
                      <w:rFonts w:hint="default" w:ascii="Times New Roman" w:hAnsi="Times New Roman" w:eastAsia="宋体" w:cs="Times New Roman"/>
                      <w:bCs/>
                      <w:color w:val="auto"/>
                      <w:kern w:val="2"/>
                      <w:sz w:val="21"/>
                      <w:szCs w:val="21"/>
                      <w:lang w:val="en-US" w:eastAsia="zh-CN" w:bidi="ar"/>
                    </w:rPr>
                    <w:t>5.5</w:t>
                  </w:r>
                  <w:r>
                    <w:rPr>
                      <w:rFonts w:hint="eastAsia" w:ascii="Times New Roman" w:hAnsi="Times New Roman" w:cs="Times New Roman"/>
                      <w:bCs/>
                      <w:color w:val="auto"/>
                      <w:kern w:val="2"/>
                      <w:sz w:val="21"/>
                      <w:szCs w:val="21"/>
                      <w:lang w:val="en-US" w:eastAsia="zh-CN" w:bidi="ar"/>
                    </w:rPr>
                    <w:t>kW</w:t>
                  </w: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4AE89CAF">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cs="Times New Roman"/>
                      <w:bCs/>
                      <w:color w:val="auto"/>
                      <w:kern w:val="2"/>
                      <w:sz w:val="21"/>
                      <w:szCs w:val="21"/>
                      <w:lang w:val="en-US" w:eastAsia="zh-CN" w:bidi="ar"/>
                    </w:rPr>
                    <w:t>1</w:t>
                  </w: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3A8815CA">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套</w:t>
                  </w:r>
                </w:p>
              </w:tc>
            </w:tr>
            <w:tr w14:paraId="2A1AE3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33922168">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10</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37AC19F5">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模具</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6CFB4DCD">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120-40</w:t>
                  </w: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119BBBD5">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600</w:t>
                  </w: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52F82AE4">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副</w:t>
                  </w:r>
                </w:p>
              </w:tc>
            </w:tr>
            <w:tr w14:paraId="22D248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5078B890">
                  <w:pPr>
                    <w:keepNext w:val="0"/>
                    <w:keepLines w:val="0"/>
                    <w:widowControl w:val="0"/>
                    <w:suppressLineNumbers w:val="0"/>
                    <w:autoSpaceDE w:val="0"/>
                    <w:autoSpaceDN/>
                    <w:spacing w:before="0" w:beforeAutospacing="0" w:after="0" w:afterAutospacing="0" w:line="240" w:lineRule="auto"/>
                    <w:ind w:left="0" w:leftChars="0" w:right="0" w:rightChars="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11</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786687F5">
                  <w:pPr>
                    <w:keepNext w:val="0"/>
                    <w:keepLines w:val="0"/>
                    <w:widowControl w:val="0"/>
                    <w:suppressLineNumbers w:val="0"/>
                    <w:autoSpaceDE w:val="0"/>
                    <w:autoSpaceDN/>
                    <w:spacing w:before="0" w:beforeAutospacing="0" w:after="0" w:afterAutospacing="0" w:line="240" w:lineRule="auto"/>
                    <w:ind w:left="0" w:leftChars="0" w:right="0" w:rightChars="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挑球器</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64BE5EAE">
                  <w:pPr>
                    <w:keepNext w:val="0"/>
                    <w:keepLines w:val="0"/>
                    <w:widowControl w:val="0"/>
                    <w:suppressLineNumbers w:val="0"/>
                    <w:autoSpaceDE w:val="0"/>
                    <w:autoSpaceDN/>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
                    </w:rPr>
                  </w:pP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2D4BCAC8">
                  <w:pPr>
                    <w:keepNext w:val="0"/>
                    <w:keepLines w:val="0"/>
                    <w:widowControl w:val="0"/>
                    <w:suppressLineNumbers w:val="0"/>
                    <w:autoSpaceDE w:val="0"/>
                    <w:autoSpaceDN/>
                    <w:spacing w:before="0" w:beforeAutospacing="0" w:after="0" w:afterAutospacing="0" w:line="240" w:lineRule="auto"/>
                    <w:ind w:left="0" w:leftChars="0" w:right="0" w:rightChars="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3</w:t>
                  </w: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386DEA8D">
                  <w:pPr>
                    <w:keepNext w:val="0"/>
                    <w:keepLines w:val="0"/>
                    <w:widowControl w:val="0"/>
                    <w:suppressLineNumbers w:val="0"/>
                    <w:autoSpaceDE w:val="0"/>
                    <w:autoSpaceDN/>
                    <w:spacing w:before="0" w:beforeAutospacing="0" w:after="0" w:afterAutospacing="0" w:line="240" w:lineRule="auto"/>
                    <w:ind w:left="0" w:leftChars="0" w:right="0" w:rightChars="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套</w:t>
                  </w:r>
                </w:p>
              </w:tc>
            </w:tr>
            <w:tr w14:paraId="74EDC8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527D511D">
                  <w:pPr>
                    <w:keepNext w:val="0"/>
                    <w:keepLines w:val="0"/>
                    <w:widowControl w:val="0"/>
                    <w:suppressLineNumbers w:val="0"/>
                    <w:autoSpaceDE w:val="0"/>
                    <w:autoSpaceDN/>
                    <w:spacing w:before="0" w:beforeAutospacing="0" w:after="0" w:afterAutospacing="0" w:line="240" w:lineRule="auto"/>
                    <w:ind w:left="0" w:leftChars="0" w:right="0" w:rightChars="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12</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3BD5D095">
                  <w:pPr>
                    <w:keepNext w:val="0"/>
                    <w:keepLines w:val="0"/>
                    <w:widowControl w:val="0"/>
                    <w:suppressLineNumbers w:val="0"/>
                    <w:autoSpaceDE w:val="0"/>
                    <w:autoSpaceDN/>
                    <w:spacing w:before="0" w:beforeAutospacing="0" w:after="0" w:afterAutospacing="0" w:line="240" w:lineRule="auto"/>
                    <w:ind w:left="0" w:leftChars="0" w:right="0" w:rightChars="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装球平台</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005F8712">
                  <w:pPr>
                    <w:keepNext w:val="0"/>
                    <w:keepLines w:val="0"/>
                    <w:widowControl w:val="0"/>
                    <w:suppressLineNumbers w:val="0"/>
                    <w:autoSpaceDE w:val="0"/>
                    <w:autoSpaceDN/>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
                    </w:rPr>
                  </w:pP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37F42856">
                  <w:pPr>
                    <w:keepNext w:val="0"/>
                    <w:keepLines w:val="0"/>
                    <w:widowControl w:val="0"/>
                    <w:suppressLineNumbers w:val="0"/>
                    <w:autoSpaceDE w:val="0"/>
                    <w:autoSpaceDN/>
                    <w:spacing w:before="0" w:beforeAutospacing="0" w:after="0" w:afterAutospacing="0" w:line="240" w:lineRule="auto"/>
                    <w:ind w:left="0" w:leftChars="0" w:right="0" w:rightChars="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4</w:t>
                  </w: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1B9E7C95">
                  <w:pPr>
                    <w:keepNext w:val="0"/>
                    <w:keepLines w:val="0"/>
                    <w:widowControl w:val="0"/>
                    <w:suppressLineNumbers w:val="0"/>
                    <w:autoSpaceDE w:val="0"/>
                    <w:autoSpaceDN/>
                    <w:spacing w:before="0" w:beforeAutospacing="0" w:after="0" w:afterAutospacing="0" w:line="240" w:lineRule="auto"/>
                    <w:ind w:left="0" w:leftChars="0" w:right="0" w:rightChars="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套</w:t>
                  </w:r>
                </w:p>
              </w:tc>
            </w:tr>
            <w:tr w14:paraId="007593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74DFCF2E">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13</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3CD4B1B0">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射芯机</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7EB3DC90">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en-US" w:eastAsia="zh-CN" w:bidi="ar"/>
                    </w:rPr>
                  </w:pPr>
                  <w:r>
                    <w:rPr>
                      <w:rFonts w:hint="default" w:ascii="Times New Roman" w:hAnsi="Times New Roman" w:eastAsia="宋体" w:cs="Times New Roman"/>
                      <w:bCs/>
                      <w:color w:val="auto"/>
                      <w:kern w:val="2"/>
                      <w:sz w:val="21"/>
                      <w:szCs w:val="21"/>
                      <w:lang w:val="en-US" w:eastAsia="zh-CN" w:bidi="ar"/>
                    </w:rPr>
                    <w:t>30kW</w:t>
                  </w: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0DAF7445">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1</w:t>
                  </w: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4F290155">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台</w:t>
                  </w:r>
                </w:p>
              </w:tc>
            </w:tr>
            <w:tr w14:paraId="1F2A97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3DC7B25B">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二</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6214FB8A">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辅助设备</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1BF6B6F6">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en-US" w:eastAsia="zh-CN" w:bidi="ar"/>
                    </w:rPr>
                  </w:pP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0DEAA7D9">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en-US" w:eastAsia="zh-CN" w:bidi="ar"/>
                    </w:rPr>
                  </w:pP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661185AC">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lang w:val="en-US" w:eastAsia="zh-CN" w:bidi="ar"/>
                    </w:rPr>
                  </w:pPr>
                </w:p>
              </w:tc>
            </w:tr>
            <w:tr w14:paraId="3FF7AC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4BD0D19B">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1</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69110899">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起重设备</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2C35EB1D">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5吨、10吨行吊车</w:t>
                  </w: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7708BCF2">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4</w:t>
                  </w: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0EC62587">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台</w:t>
                  </w:r>
                </w:p>
              </w:tc>
            </w:tr>
            <w:tr w14:paraId="6E72E7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535D4759">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2</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67623C9D">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计量设备</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459E715F">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汽车衡</w:t>
                  </w: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16180CD6">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1</w:t>
                  </w: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3897950C">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套</w:t>
                  </w:r>
                </w:p>
              </w:tc>
            </w:tr>
            <w:tr w14:paraId="4F9218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5ED63116">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3</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6CEEBABB">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变配电系统</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63821B07">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高压低配电室，变配电系统</w:t>
                  </w: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1D097975">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1</w:t>
                  </w: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28661271">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套</w:t>
                  </w:r>
                </w:p>
              </w:tc>
            </w:tr>
            <w:tr w14:paraId="025550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12C9DA87">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4</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18349E7B">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压缩空气系统</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70AAF547">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空压机及罐体</w:t>
                  </w: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632C680B">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2</w:t>
                  </w: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1E7B7831">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套</w:t>
                  </w:r>
                </w:p>
              </w:tc>
            </w:tr>
            <w:tr w14:paraId="006540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4B4F2928">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5</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1EA1CAAF">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机修设备</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45512AEA">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cs="Times New Roman"/>
                      <w:bCs/>
                      <w:color w:val="auto"/>
                      <w:kern w:val="2"/>
                      <w:sz w:val="21"/>
                      <w:szCs w:val="21"/>
                      <w:lang w:val="en-US" w:eastAsia="zh-CN" w:bidi="ar"/>
                    </w:rPr>
                    <w:t>/</w:t>
                  </w: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01309CAA">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3</w:t>
                  </w: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5AD99C3E">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台</w:t>
                  </w:r>
                </w:p>
              </w:tc>
            </w:tr>
            <w:tr w14:paraId="27AFC9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7B3D8B91">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6</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6D077AB6">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运输设备</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3FCE6462">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装载机、叉车</w:t>
                  </w: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054EEC36">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5</w:t>
                  </w: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67C20DDA">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辆</w:t>
                  </w:r>
                </w:p>
              </w:tc>
            </w:tr>
            <w:tr w14:paraId="2A2CE1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77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0AF9EB08">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7</w:t>
                  </w:r>
                </w:p>
              </w:tc>
              <w:tc>
                <w:tcPr>
                  <w:tcW w:w="2712" w:type="dxa"/>
                  <w:tcBorders>
                    <w:top w:val="single" w:color="000000" w:sz="2" w:space="0"/>
                    <w:left w:val="single" w:color="000000" w:sz="2" w:space="0"/>
                    <w:bottom w:val="single" w:color="000000" w:sz="2" w:space="0"/>
                    <w:right w:val="single" w:color="000000" w:sz="2" w:space="0"/>
                  </w:tcBorders>
                  <w:shd w:val="clear" w:color="auto" w:fill="auto"/>
                  <w:vAlign w:val="center"/>
                </w:tcPr>
                <w:p w14:paraId="11BDE2DA">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安全防火设施</w:t>
                  </w:r>
                </w:p>
              </w:tc>
              <w:tc>
                <w:tcPr>
                  <w:tcW w:w="3371" w:type="dxa"/>
                  <w:tcBorders>
                    <w:top w:val="single" w:color="000000" w:sz="2" w:space="0"/>
                    <w:left w:val="single" w:color="000000" w:sz="2" w:space="0"/>
                    <w:bottom w:val="single" w:color="000000" w:sz="2" w:space="0"/>
                    <w:right w:val="single" w:color="000000" w:sz="2" w:space="0"/>
                  </w:tcBorders>
                  <w:shd w:val="clear" w:color="auto" w:fill="auto"/>
                  <w:vAlign w:val="center"/>
                </w:tcPr>
                <w:p w14:paraId="270802E3">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监控</w:t>
                  </w:r>
                </w:p>
              </w:tc>
              <w:tc>
                <w:tcPr>
                  <w:tcW w:w="767" w:type="dxa"/>
                  <w:tcBorders>
                    <w:top w:val="single" w:color="000000" w:sz="2" w:space="0"/>
                    <w:left w:val="single" w:color="000000" w:sz="2" w:space="0"/>
                    <w:bottom w:val="single" w:color="000000" w:sz="2" w:space="0"/>
                    <w:right w:val="single" w:color="000000" w:sz="2" w:space="0"/>
                  </w:tcBorders>
                  <w:shd w:val="clear" w:color="auto" w:fill="auto"/>
                  <w:vAlign w:val="center"/>
                </w:tcPr>
                <w:p w14:paraId="5BC55692">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5</w:t>
                  </w:r>
                </w:p>
              </w:tc>
              <w:tc>
                <w:tcPr>
                  <w:tcW w:w="804" w:type="dxa"/>
                  <w:tcBorders>
                    <w:top w:val="single" w:color="000000" w:sz="2" w:space="0"/>
                    <w:left w:val="single" w:color="000000" w:sz="2" w:space="0"/>
                    <w:bottom w:val="single" w:color="000000" w:sz="2" w:space="0"/>
                    <w:right w:val="single" w:color="000000" w:sz="2" w:space="0"/>
                  </w:tcBorders>
                  <w:shd w:val="clear" w:color="auto" w:fill="auto"/>
                  <w:vAlign w:val="center"/>
                </w:tcPr>
                <w:p w14:paraId="06397CC1">
                  <w:pPr>
                    <w:keepNext w:val="0"/>
                    <w:keepLines w:val="0"/>
                    <w:widowControl w:val="0"/>
                    <w:suppressLineNumbers w:val="0"/>
                    <w:autoSpaceDE w:val="0"/>
                    <w:autoSpaceDN/>
                    <w:spacing w:before="0" w:beforeAutospacing="0" w:after="0" w:afterAutospacing="0" w:line="240" w:lineRule="auto"/>
                    <w:ind w:left="0" w:right="0"/>
                    <w:jc w:val="center"/>
                    <w:rPr>
                      <w:rFonts w:hint="eastAsia" w:ascii="Times New Roman" w:hAnsi="Times New Roman" w:eastAsia="宋体" w:cs="Times New Roman"/>
                      <w:bCs/>
                      <w:color w:val="auto"/>
                      <w:kern w:val="2"/>
                      <w:sz w:val="21"/>
                      <w:szCs w:val="21"/>
                      <w:lang w:val="en-US" w:eastAsia="zh-CN" w:bidi="ar"/>
                    </w:rPr>
                  </w:pPr>
                  <w:r>
                    <w:rPr>
                      <w:rFonts w:hint="eastAsia" w:ascii="Times New Roman" w:hAnsi="Times New Roman" w:eastAsia="宋体" w:cs="Times New Roman"/>
                      <w:bCs/>
                      <w:color w:val="auto"/>
                      <w:kern w:val="2"/>
                      <w:sz w:val="21"/>
                      <w:szCs w:val="21"/>
                      <w:lang w:val="en-US" w:eastAsia="zh-CN" w:bidi="ar"/>
                    </w:rPr>
                    <w:t>台</w:t>
                  </w:r>
                </w:p>
              </w:tc>
            </w:tr>
            <w:tr w14:paraId="776C1F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40" w:hRule="atLeast"/>
                <w:jc w:val="center"/>
              </w:trPr>
              <w:tc>
                <w:tcPr>
                  <w:tcW w:w="8428" w:type="dxa"/>
                  <w:gridSpan w:val="5"/>
                  <w:tcBorders>
                    <w:top w:val="single" w:color="000000" w:sz="2" w:space="0"/>
                    <w:left w:val="single" w:color="000000" w:sz="2" w:space="0"/>
                    <w:bottom w:val="single" w:color="000000" w:sz="2" w:space="0"/>
                    <w:right w:val="single" w:color="000000" w:sz="2" w:space="0"/>
                  </w:tcBorders>
                  <w:shd w:val="clear" w:color="auto" w:fill="auto"/>
                  <w:vAlign w:val="center"/>
                </w:tcPr>
                <w:p w14:paraId="4FDA08C4">
                  <w:pPr>
                    <w:keepNext w:val="0"/>
                    <w:keepLines w:val="0"/>
                    <w:widowControl w:val="0"/>
                    <w:suppressLineNumbers w:val="0"/>
                    <w:autoSpaceDE w:val="0"/>
                    <w:autoSpaceDN/>
                    <w:spacing w:before="0" w:beforeAutospacing="0" w:after="0" w:afterAutospacing="0" w:line="240" w:lineRule="auto"/>
                    <w:ind w:left="0" w:right="0"/>
                    <w:jc w:val="both"/>
                    <w:rPr>
                      <w:rFonts w:hint="eastAsia" w:ascii="Times New Roman" w:hAnsi="Times New Roman" w:eastAsia="宋体" w:cs="Times New Roman"/>
                      <w:bCs/>
                      <w:color w:val="auto"/>
                      <w:kern w:val="2"/>
                      <w:sz w:val="21"/>
                      <w:szCs w:val="21"/>
                      <w:lang w:val="en-US" w:eastAsia="zh-CN" w:bidi="ar"/>
                    </w:rPr>
                  </w:pPr>
                  <w:r>
                    <w:rPr>
                      <w:rFonts w:hint="default" w:ascii="Times New Roman" w:hAnsi="Times New Roman" w:eastAsia="宋体" w:cs="Times New Roman"/>
                      <w:b/>
                      <w:bCs w:val="0"/>
                      <w:color w:val="auto"/>
                      <w:kern w:val="0"/>
                      <w:sz w:val="21"/>
                      <w:szCs w:val="21"/>
                      <w:lang w:val="en-US" w:eastAsia="zh-CN" w:bidi="ar"/>
                    </w:rPr>
                    <w:t>注：本项目不使用无芯感应炉</w:t>
                  </w:r>
                </w:p>
              </w:tc>
            </w:tr>
          </w:tbl>
          <w:p w14:paraId="496DDFA9">
            <w:pPr>
              <w:keepNext w:val="0"/>
              <w:keepLines w:val="0"/>
              <w:pageBreakBefore w:val="0"/>
              <w:widowControl w:val="0"/>
              <w:suppressLineNumbers w:val="0"/>
              <w:kinsoku/>
              <w:wordWrap/>
              <w:overflowPunct/>
              <w:topLinePunct w:val="0"/>
              <w:autoSpaceDE/>
              <w:autoSpaceDN/>
              <w:bidi w:val="0"/>
              <w:adjustRightInd w:val="0"/>
              <w:snapToGrid w:val="0"/>
              <w:spacing w:before="0" w:beforeLines="5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由《产业结构调整指导目录（2024年本）》和《部分工业行业淘汰落后生产工艺装备和产品指导目录（2016年本）》可知，项目所选设备均不属于国家淘汰和限制的产业类型，可满足正常生产的需要且符合国家产业政策。</w:t>
            </w:r>
          </w:p>
          <w:p w14:paraId="2BD299B2">
            <w:pPr>
              <w:keepNext w:val="0"/>
              <w:keepLines w:val="0"/>
              <w:widowControl w:val="0"/>
              <w:suppressLineNumbers w:val="0"/>
              <w:adjustRightInd w:val="0"/>
              <w:snapToGrid w:val="0"/>
              <w:spacing w:before="0" w:beforeAutospacing="0" w:after="0" w:afterAutospacing="0" w:line="360" w:lineRule="auto"/>
              <w:ind w:left="0" w:right="0" w:firstLine="562" w:firstLineChars="200"/>
              <w:jc w:val="both"/>
              <w:rPr>
                <w:rFonts w:hint="default" w:ascii="Times New Roman" w:hAnsi="Times New Roman" w:eastAsia="宋体" w:cs="Times New Roman"/>
                <w:b/>
                <w:bCs/>
                <w:color w:val="auto"/>
                <w:kern w:val="2"/>
                <w:sz w:val="28"/>
                <w:szCs w:val="28"/>
              </w:rPr>
            </w:pPr>
            <w:r>
              <w:rPr>
                <w:rFonts w:hint="default" w:ascii="Times New Roman" w:hAnsi="Times New Roman" w:eastAsia="宋体" w:cs="Times New Roman"/>
                <w:b/>
                <w:bCs/>
                <w:color w:val="auto"/>
                <w:kern w:val="2"/>
                <w:sz w:val="28"/>
                <w:szCs w:val="28"/>
                <w:lang w:val="en-US" w:eastAsia="zh-CN" w:bidi="ar"/>
              </w:rPr>
              <w:t>2.5项目原辅材料消耗情况</w:t>
            </w:r>
          </w:p>
          <w:p w14:paraId="69C8FF5A">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本项目主要原材料为废钢、不锈钢边角料、</w:t>
            </w:r>
            <w:r>
              <w:rPr>
                <w:rFonts w:hint="default" w:ascii="Times New Roman" w:hAnsi="Times New Roman" w:cs="Times New Roman"/>
                <w:color w:val="auto"/>
                <w:kern w:val="2"/>
                <w:sz w:val="24"/>
                <w:szCs w:val="24"/>
                <w:lang w:val="en-US" w:eastAsia="zh-CN" w:bidi="ar"/>
              </w:rPr>
              <w:t>生</w:t>
            </w:r>
            <w:r>
              <w:rPr>
                <w:rFonts w:hint="default" w:ascii="Times New Roman" w:hAnsi="Times New Roman" w:eastAsia="宋体" w:cs="Times New Roman"/>
                <w:color w:val="auto"/>
                <w:kern w:val="2"/>
                <w:sz w:val="24"/>
                <w:szCs w:val="24"/>
                <w:lang w:val="en-US" w:eastAsia="zh-CN" w:bidi="ar"/>
              </w:rPr>
              <w:t>铁边角余料等，来自</w:t>
            </w:r>
            <w:r>
              <w:rPr>
                <w:rFonts w:hint="default" w:ascii="Times New Roman" w:hAnsi="Times New Roman" w:cs="Times New Roman"/>
                <w:color w:val="auto"/>
                <w:kern w:val="2"/>
                <w:sz w:val="24"/>
                <w:szCs w:val="24"/>
                <w:lang w:val="en-US" w:eastAsia="zh-CN" w:bidi="ar"/>
              </w:rPr>
              <w:t>铁力</w:t>
            </w:r>
            <w:r>
              <w:rPr>
                <w:rFonts w:hint="default" w:ascii="Times New Roman" w:hAnsi="Times New Roman" w:eastAsia="宋体" w:cs="Times New Roman"/>
                <w:color w:val="auto"/>
                <w:kern w:val="2"/>
                <w:sz w:val="24"/>
                <w:szCs w:val="24"/>
                <w:lang w:val="en-US" w:eastAsia="zh-CN" w:bidi="ar"/>
              </w:rPr>
              <w:t>市及周边地区，按照本项目的生产规模，本项目所涉及的主要原辅材料及能源消耗情况见表2-</w:t>
            </w:r>
            <w:r>
              <w:rPr>
                <w:rFonts w:hint="eastAsia" w:ascii="Times New Roman" w:hAnsi="Times New Roman" w:cs="Times New Roman"/>
                <w:color w:val="auto"/>
                <w:kern w:val="2"/>
                <w:sz w:val="24"/>
                <w:szCs w:val="24"/>
                <w:lang w:val="en-US" w:eastAsia="zh-CN" w:bidi="ar"/>
              </w:rPr>
              <w:t>6</w:t>
            </w:r>
            <w:r>
              <w:rPr>
                <w:rFonts w:hint="default" w:ascii="Times New Roman" w:hAnsi="Times New Roman" w:eastAsia="宋体" w:cs="Times New Roman"/>
                <w:color w:val="auto"/>
                <w:kern w:val="2"/>
                <w:sz w:val="24"/>
                <w:szCs w:val="24"/>
                <w:lang w:val="en-US" w:eastAsia="zh-CN" w:bidi="ar"/>
              </w:rPr>
              <w:t>。</w:t>
            </w:r>
          </w:p>
          <w:p w14:paraId="6693442A">
            <w:pPr>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表2-</w:t>
            </w:r>
            <w:r>
              <w:rPr>
                <w:rFonts w:hint="eastAsia" w:ascii="Times New Roman" w:hAnsi="Times New Roman" w:cs="Times New Roman"/>
                <w:b/>
                <w:color w:val="auto"/>
                <w:szCs w:val="21"/>
                <w:highlight w:val="none"/>
                <w:lang w:val="en-US" w:eastAsia="zh-CN"/>
              </w:rPr>
              <w:t>6</w:t>
            </w:r>
            <w:r>
              <w:rPr>
                <w:rFonts w:hint="default" w:ascii="Times New Roman" w:hAnsi="Times New Roman" w:eastAsia="宋体" w:cs="Times New Roman"/>
                <w:b/>
                <w:color w:val="auto"/>
                <w:szCs w:val="21"/>
                <w:highlight w:val="none"/>
                <w:lang w:val="en-US" w:eastAsia="zh-CN"/>
              </w:rPr>
              <w:t xml:space="preserve"> 主要原辅材料及能源消耗</w:t>
            </w:r>
          </w:p>
          <w:tbl>
            <w:tblPr>
              <w:tblStyle w:val="56"/>
              <w:tblW w:w="4949"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Layout w:type="fixed"/>
              <w:tblCellMar>
                <w:top w:w="0" w:type="dxa"/>
                <w:left w:w="0" w:type="dxa"/>
                <w:bottom w:w="0" w:type="dxa"/>
                <w:right w:w="0" w:type="dxa"/>
              </w:tblCellMar>
            </w:tblPr>
            <w:tblGrid>
              <w:gridCol w:w="646"/>
              <w:gridCol w:w="1049"/>
              <w:gridCol w:w="1576"/>
              <w:gridCol w:w="1775"/>
              <w:gridCol w:w="863"/>
              <w:gridCol w:w="963"/>
              <w:gridCol w:w="1505"/>
            </w:tblGrid>
            <w:tr w14:paraId="59C86E0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0" w:type="dxa"/>
                  <w:bottom w:w="0" w:type="dxa"/>
                  <w:right w:w="0" w:type="dxa"/>
                </w:tblCellMar>
              </w:tblPrEx>
              <w:trPr>
                <w:trHeight w:val="23" w:hRule="atLeast"/>
                <w:jc w:val="center"/>
              </w:trPr>
              <w:tc>
                <w:tcPr>
                  <w:tcW w:w="649" w:type="dxa"/>
                  <w:tcBorders>
                    <w:tl2br w:val="nil"/>
                    <w:tr2bl w:val="nil"/>
                  </w:tcBorders>
                  <w:shd w:val="clear" w:color="auto" w:fill="auto"/>
                  <w:tcMar>
                    <w:top w:w="60" w:type="dxa"/>
                    <w:left w:w="120" w:type="dxa"/>
                    <w:bottom w:w="30" w:type="dxa"/>
                    <w:right w:w="120" w:type="dxa"/>
                  </w:tcMar>
                  <w:vAlign w:val="center"/>
                </w:tcPr>
                <w:p w14:paraId="139136C1">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bidi="ar"/>
                    </w:rPr>
                  </w:pPr>
                  <w:r>
                    <w:rPr>
                      <w:rFonts w:hint="eastAsia" w:ascii="Times New Roman" w:hAnsi="Times New Roman" w:eastAsia="宋体" w:cs="Times New Roman"/>
                      <w:b/>
                      <w:bCs/>
                      <w:color w:val="auto"/>
                      <w:kern w:val="2"/>
                      <w:sz w:val="21"/>
                      <w:szCs w:val="21"/>
                      <w:lang w:val="en-US" w:eastAsia="zh-CN" w:bidi="ar"/>
                    </w:rPr>
                    <w:t>序号</w:t>
                  </w:r>
                </w:p>
              </w:tc>
              <w:tc>
                <w:tcPr>
                  <w:tcW w:w="1054" w:type="dxa"/>
                  <w:tcBorders>
                    <w:tl2br w:val="nil"/>
                    <w:tr2bl w:val="nil"/>
                  </w:tcBorders>
                  <w:shd w:val="clear" w:color="auto" w:fill="auto"/>
                  <w:tcMar>
                    <w:top w:w="60" w:type="dxa"/>
                    <w:left w:w="120" w:type="dxa"/>
                    <w:bottom w:w="30" w:type="dxa"/>
                    <w:right w:w="120" w:type="dxa"/>
                  </w:tcMar>
                  <w:vAlign w:val="center"/>
                </w:tcPr>
                <w:p w14:paraId="41D9DF7D">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bidi="ar"/>
                    </w:rPr>
                  </w:pPr>
                  <w:r>
                    <w:rPr>
                      <w:rFonts w:hint="eastAsia" w:ascii="Times New Roman" w:hAnsi="Times New Roman" w:eastAsia="宋体" w:cs="Times New Roman"/>
                      <w:b/>
                      <w:bCs/>
                      <w:color w:val="auto"/>
                      <w:kern w:val="2"/>
                      <w:sz w:val="21"/>
                      <w:szCs w:val="21"/>
                      <w:lang w:val="en-US" w:eastAsia="zh-CN" w:bidi="ar"/>
                    </w:rPr>
                    <w:t>原辅材料名称</w:t>
                  </w:r>
                </w:p>
              </w:tc>
              <w:tc>
                <w:tcPr>
                  <w:tcW w:w="1583" w:type="dxa"/>
                  <w:tcBorders>
                    <w:tl2br w:val="nil"/>
                    <w:tr2bl w:val="nil"/>
                  </w:tcBorders>
                  <w:shd w:val="clear" w:color="auto" w:fill="auto"/>
                  <w:tcMar>
                    <w:top w:w="60" w:type="dxa"/>
                    <w:left w:w="120" w:type="dxa"/>
                    <w:bottom w:w="30" w:type="dxa"/>
                    <w:right w:w="120" w:type="dxa"/>
                  </w:tcMar>
                  <w:vAlign w:val="center"/>
                </w:tcPr>
                <w:p w14:paraId="364BAEA3">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bidi="ar"/>
                    </w:rPr>
                  </w:pPr>
                  <w:r>
                    <w:rPr>
                      <w:rFonts w:hint="eastAsia" w:ascii="Times New Roman" w:hAnsi="Times New Roman" w:eastAsia="宋体" w:cs="Times New Roman"/>
                      <w:b/>
                      <w:bCs/>
                      <w:color w:val="auto"/>
                      <w:kern w:val="2"/>
                      <w:sz w:val="21"/>
                      <w:szCs w:val="21"/>
                      <w:lang w:val="en-US" w:eastAsia="zh-CN" w:bidi="ar"/>
                    </w:rPr>
                    <w:t>规格型号</w:t>
                  </w:r>
                </w:p>
              </w:tc>
              <w:tc>
                <w:tcPr>
                  <w:tcW w:w="1783" w:type="dxa"/>
                  <w:tcBorders>
                    <w:tl2br w:val="nil"/>
                    <w:tr2bl w:val="nil"/>
                  </w:tcBorders>
                  <w:shd w:val="clear" w:color="auto" w:fill="auto"/>
                  <w:tcMar>
                    <w:top w:w="60" w:type="dxa"/>
                    <w:left w:w="120" w:type="dxa"/>
                    <w:bottom w:w="30" w:type="dxa"/>
                    <w:right w:w="120" w:type="dxa"/>
                  </w:tcMar>
                  <w:vAlign w:val="center"/>
                </w:tcPr>
                <w:p w14:paraId="4FFEF59D">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bidi="ar"/>
                    </w:rPr>
                  </w:pPr>
                  <w:r>
                    <w:rPr>
                      <w:rFonts w:hint="eastAsia" w:ascii="Times New Roman" w:hAnsi="Times New Roman" w:eastAsia="宋体" w:cs="Times New Roman"/>
                      <w:b/>
                      <w:bCs/>
                      <w:color w:val="auto"/>
                      <w:kern w:val="2"/>
                      <w:sz w:val="21"/>
                      <w:szCs w:val="21"/>
                      <w:lang w:val="en-US" w:eastAsia="zh-CN" w:bidi="ar"/>
                    </w:rPr>
                    <w:t>用途（适配</w:t>
                  </w:r>
                  <w:r>
                    <w:rPr>
                      <w:rFonts w:hint="eastAsia" w:ascii="Times New Roman" w:hAnsi="Times New Roman" w:cs="Times New Roman"/>
                      <w:b/>
                      <w:bCs/>
                      <w:color w:val="auto"/>
                      <w:kern w:val="2"/>
                      <w:sz w:val="21"/>
                      <w:szCs w:val="21"/>
                      <w:lang w:val="en-US" w:eastAsia="zh-CN" w:bidi="ar"/>
                    </w:rPr>
                    <w:t>铁模覆砂</w:t>
                  </w:r>
                  <w:r>
                    <w:rPr>
                      <w:rFonts w:hint="eastAsia" w:ascii="Times New Roman" w:hAnsi="Times New Roman" w:eastAsia="宋体" w:cs="Times New Roman"/>
                      <w:b/>
                      <w:bCs/>
                      <w:color w:val="auto"/>
                      <w:kern w:val="2"/>
                      <w:sz w:val="21"/>
                      <w:szCs w:val="21"/>
                      <w:lang w:val="en-US" w:eastAsia="zh-CN" w:bidi="ar"/>
                    </w:rPr>
                    <w:t>铸造工艺）</w:t>
                  </w:r>
                </w:p>
              </w:tc>
              <w:tc>
                <w:tcPr>
                  <w:tcW w:w="867" w:type="dxa"/>
                  <w:tcBorders>
                    <w:tl2br w:val="nil"/>
                    <w:tr2bl w:val="nil"/>
                  </w:tcBorders>
                  <w:shd w:val="clear" w:color="auto" w:fill="auto"/>
                  <w:tcMar>
                    <w:top w:w="60" w:type="dxa"/>
                    <w:left w:w="120" w:type="dxa"/>
                    <w:bottom w:w="30" w:type="dxa"/>
                    <w:right w:w="120" w:type="dxa"/>
                  </w:tcMar>
                  <w:vAlign w:val="center"/>
                </w:tcPr>
                <w:p w14:paraId="3C8363F0">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bidi="ar"/>
                    </w:rPr>
                  </w:pPr>
                  <w:r>
                    <w:rPr>
                      <w:rFonts w:hint="eastAsia" w:ascii="Times New Roman" w:hAnsi="Times New Roman" w:eastAsia="宋体" w:cs="Times New Roman"/>
                      <w:b/>
                      <w:bCs/>
                      <w:color w:val="auto"/>
                      <w:kern w:val="2"/>
                      <w:sz w:val="21"/>
                      <w:szCs w:val="21"/>
                      <w:lang w:val="en-US" w:eastAsia="zh-CN" w:bidi="ar"/>
                    </w:rPr>
                    <w:t>年消耗量</w:t>
                  </w:r>
                </w:p>
              </w:tc>
              <w:tc>
                <w:tcPr>
                  <w:tcW w:w="967" w:type="dxa"/>
                  <w:tcBorders>
                    <w:tl2br w:val="nil"/>
                    <w:tr2bl w:val="nil"/>
                  </w:tcBorders>
                  <w:shd w:val="clear" w:color="auto" w:fill="auto"/>
                  <w:tcMar>
                    <w:top w:w="60" w:type="dxa"/>
                    <w:left w:w="120" w:type="dxa"/>
                    <w:bottom w:w="30" w:type="dxa"/>
                    <w:right w:w="120" w:type="dxa"/>
                  </w:tcMar>
                  <w:vAlign w:val="center"/>
                </w:tcPr>
                <w:p w14:paraId="13B2943A">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bidi="ar"/>
                    </w:rPr>
                  </w:pPr>
                  <w:r>
                    <w:rPr>
                      <w:rFonts w:hint="eastAsia" w:ascii="Times New Roman" w:hAnsi="Times New Roman" w:eastAsia="宋体" w:cs="Times New Roman"/>
                      <w:b/>
                      <w:bCs/>
                      <w:color w:val="auto"/>
                      <w:kern w:val="2"/>
                      <w:sz w:val="21"/>
                      <w:szCs w:val="21"/>
                      <w:lang w:val="en-US" w:eastAsia="zh-CN" w:bidi="ar"/>
                    </w:rPr>
                    <w:t>来源</w:t>
                  </w:r>
                </w:p>
              </w:tc>
              <w:tc>
                <w:tcPr>
                  <w:tcW w:w="1512" w:type="dxa"/>
                  <w:tcBorders>
                    <w:tl2br w:val="nil"/>
                    <w:tr2bl w:val="nil"/>
                  </w:tcBorders>
                  <w:shd w:val="clear" w:color="auto" w:fill="auto"/>
                  <w:tcMar>
                    <w:top w:w="60" w:type="dxa"/>
                    <w:left w:w="120" w:type="dxa"/>
                    <w:bottom w:w="30" w:type="dxa"/>
                    <w:right w:w="120" w:type="dxa"/>
                  </w:tcMar>
                  <w:vAlign w:val="center"/>
                </w:tcPr>
                <w:p w14:paraId="2A0501BB">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bidi="ar"/>
                    </w:rPr>
                  </w:pPr>
                  <w:r>
                    <w:rPr>
                      <w:rFonts w:hint="eastAsia" w:ascii="Times New Roman" w:hAnsi="Times New Roman" w:eastAsia="宋体" w:cs="Times New Roman"/>
                      <w:b/>
                      <w:bCs/>
                      <w:color w:val="auto"/>
                      <w:kern w:val="2"/>
                      <w:sz w:val="21"/>
                      <w:szCs w:val="21"/>
                      <w:lang w:val="en-US" w:eastAsia="zh-CN" w:bidi="ar"/>
                    </w:rPr>
                    <w:t>备注</w:t>
                  </w:r>
                </w:p>
              </w:tc>
            </w:tr>
            <w:tr w14:paraId="0836387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0" w:type="dxa"/>
                  <w:bottom w:w="0" w:type="dxa"/>
                  <w:right w:w="0" w:type="dxa"/>
                </w:tblCellMar>
              </w:tblPrEx>
              <w:trPr>
                <w:trHeight w:val="23" w:hRule="atLeast"/>
                <w:jc w:val="center"/>
              </w:trPr>
              <w:tc>
                <w:tcPr>
                  <w:tcW w:w="649" w:type="dxa"/>
                  <w:tcBorders>
                    <w:tl2br w:val="nil"/>
                    <w:tr2bl w:val="nil"/>
                  </w:tcBorders>
                  <w:shd w:val="clear" w:color="auto" w:fill="auto"/>
                  <w:tcMar>
                    <w:top w:w="60" w:type="dxa"/>
                    <w:left w:w="120" w:type="dxa"/>
                    <w:bottom w:w="30" w:type="dxa"/>
                    <w:right w:w="120" w:type="dxa"/>
                  </w:tcMar>
                  <w:vAlign w:val="center"/>
                </w:tcPr>
                <w:p w14:paraId="0D67358C">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1</w:t>
                  </w:r>
                </w:p>
              </w:tc>
              <w:tc>
                <w:tcPr>
                  <w:tcW w:w="1054" w:type="dxa"/>
                  <w:tcBorders>
                    <w:tl2br w:val="nil"/>
                    <w:tr2bl w:val="nil"/>
                  </w:tcBorders>
                  <w:shd w:val="clear" w:color="auto" w:fill="auto"/>
                  <w:tcMar>
                    <w:top w:w="60" w:type="dxa"/>
                    <w:left w:w="120" w:type="dxa"/>
                    <w:bottom w:w="30" w:type="dxa"/>
                    <w:right w:w="120" w:type="dxa"/>
                  </w:tcMar>
                  <w:vAlign w:val="center"/>
                </w:tcPr>
                <w:p w14:paraId="20D9BBA7">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生铁边角余料</w:t>
                  </w:r>
                </w:p>
              </w:tc>
              <w:tc>
                <w:tcPr>
                  <w:tcW w:w="1583" w:type="dxa"/>
                  <w:tcBorders>
                    <w:tl2br w:val="nil"/>
                    <w:tr2bl w:val="nil"/>
                  </w:tcBorders>
                  <w:shd w:val="clear" w:color="auto" w:fill="auto"/>
                  <w:tcMar>
                    <w:top w:w="60" w:type="dxa"/>
                    <w:left w:w="120" w:type="dxa"/>
                    <w:bottom w:w="30" w:type="dxa"/>
                    <w:right w:w="120" w:type="dxa"/>
                  </w:tcMar>
                  <w:vAlign w:val="center"/>
                </w:tcPr>
                <w:p w14:paraId="31368414">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工业级，球墨铸铁生铁，符合</w:t>
                  </w:r>
                  <w:r>
                    <w:rPr>
                      <w:rFonts w:hint="eastAsia" w:ascii="Times New Roman" w:hAnsi="Times New Roman" w:cs="Times New Roman"/>
                      <w:color w:val="auto"/>
                      <w:kern w:val="2"/>
                      <w:sz w:val="21"/>
                      <w:szCs w:val="21"/>
                      <w:lang w:val="en-US" w:eastAsia="zh-CN" w:bidi="ar"/>
                    </w:rPr>
                    <w:t>GB/T 718-2024</w:t>
                  </w:r>
                  <w:r>
                    <w:rPr>
                      <w:rFonts w:hint="eastAsia" w:ascii="Times New Roman" w:hAnsi="Times New Roman" w:eastAsia="宋体" w:cs="Times New Roman"/>
                      <w:color w:val="auto"/>
                      <w:kern w:val="2"/>
                      <w:sz w:val="21"/>
                      <w:szCs w:val="21"/>
                      <w:lang w:val="en-US" w:eastAsia="zh-CN" w:bidi="ar"/>
                    </w:rPr>
                    <w:t xml:space="preserve">，含C </w:t>
                  </w:r>
                  <w:r>
                    <w:rPr>
                      <w:rFonts w:hint="eastAsia" w:ascii="Times New Roman" w:hAnsi="Times New Roman" w:cs="Times New Roman"/>
                      <w:color w:val="auto"/>
                      <w:kern w:val="2"/>
                      <w:sz w:val="21"/>
                      <w:szCs w:val="21"/>
                      <w:lang w:val="en-US" w:eastAsia="zh-CN" w:bidi="ar"/>
                    </w:rPr>
                    <w:t>3.4%—3.8%</w:t>
                  </w:r>
                  <w:r>
                    <w:rPr>
                      <w:rFonts w:hint="eastAsia" w:ascii="Times New Roman" w:hAnsi="Times New Roman" w:eastAsia="宋体" w:cs="Times New Roman"/>
                      <w:color w:val="auto"/>
                      <w:kern w:val="2"/>
                      <w:sz w:val="21"/>
                      <w:szCs w:val="21"/>
                      <w:lang w:val="en-US" w:eastAsia="zh-CN" w:bidi="ar"/>
                    </w:rPr>
                    <w:t xml:space="preserve">、Si </w:t>
                  </w:r>
                  <w:r>
                    <w:rPr>
                      <w:rFonts w:hint="eastAsia" w:ascii="Times New Roman" w:hAnsi="Times New Roman" w:cs="Times New Roman"/>
                      <w:color w:val="auto"/>
                      <w:kern w:val="2"/>
                      <w:sz w:val="21"/>
                      <w:szCs w:val="21"/>
                      <w:lang w:val="en-US" w:eastAsia="zh-CN" w:bidi="ar"/>
                    </w:rPr>
                    <w:t>1.8%—2.2%</w:t>
                  </w:r>
                </w:p>
              </w:tc>
              <w:tc>
                <w:tcPr>
                  <w:tcW w:w="1783" w:type="dxa"/>
                  <w:tcBorders>
                    <w:tl2br w:val="nil"/>
                    <w:tr2bl w:val="nil"/>
                  </w:tcBorders>
                  <w:shd w:val="clear" w:color="auto" w:fill="auto"/>
                  <w:tcMar>
                    <w:top w:w="60" w:type="dxa"/>
                    <w:left w:w="120" w:type="dxa"/>
                    <w:bottom w:w="30" w:type="dxa"/>
                    <w:right w:w="120" w:type="dxa"/>
                  </w:tcMar>
                  <w:vAlign w:val="center"/>
                </w:tcPr>
                <w:p w14:paraId="13F2AFF8">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与废钢搭配熔炼，调整钢液成分，提升铸件韧性和成型性能</w:t>
                  </w:r>
                </w:p>
              </w:tc>
              <w:tc>
                <w:tcPr>
                  <w:tcW w:w="867" w:type="dxa"/>
                  <w:tcBorders>
                    <w:tl2br w:val="nil"/>
                    <w:tr2bl w:val="nil"/>
                  </w:tcBorders>
                  <w:shd w:val="clear" w:color="auto" w:fill="auto"/>
                  <w:tcMar>
                    <w:top w:w="60" w:type="dxa"/>
                    <w:left w:w="120" w:type="dxa"/>
                    <w:bottom w:w="30" w:type="dxa"/>
                    <w:right w:w="120" w:type="dxa"/>
                  </w:tcMar>
                  <w:vAlign w:val="center"/>
                </w:tcPr>
                <w:p w14:paraId="55D640B2">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1850t/a</w:t>
                  </w:r>
                </w:p>
              </w:tc>
              <w:tc>
                <w:tcPr>
                  <w:tcW w:w="967" w:type="dxa"/>
                  <w:tcBorders>
                    <w:tl2br w:val="nil"/>
                    <w:tr2bl w:val="nil"/>
                  </w:tcBorders>
                  <w:shd w:val="clear" w:color="auto" w:fill="auto"/>
                  <w:tcMar>
                    <w:top w:w="60" w:type="dxa"/>
                    <w:left w:w="120" w:type="dxa"/>
                    <w:bottom w:w="30" w:type="dxa"/>
                    <w:right w:w="120" w:type="dxa"/>
                  </w:tcMar>
                  <w:vAlign w:val="center"/>
                </w:tcPr>
                <w:p w14:paraId="17BC7585">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外购</w:t>
                  </w:r>
                </w:p>
              </w:tc>
              <w:tc>
                <w:tcPr>
                  <w:tcW w:w="1512" w:type="dxa"/>
                  <w:tcBorders>
                    <w:tl2br w:val="nil"/>
                    <w:tr2bl w:val="nil"/>
                  </w:tcBorders>
                  <w:shd w:val="clear" w:color="auto" w:fill="auto"/>
                  <w:tcMar>
                    <w:top w:w="60" w:type="dxa"/>
                    <w:left w:w="120" w:type="dxa"/>
                    <w:bottom w:w="30" w:type="dxa"/>
                    <w:right w:w="120" w:type="dxa"/>
                  </w:tcMar>
                  <w:vAlign w:val="center"/>
                </w:tcPr>
                <w:p w14:paraId="6866558E">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可根据订单产品型号调整成分</w:t>
                  </w:r>
                </w:p>
              </w:tc>
            </w:tr>
            <w:tr w14:paraId="46BCD83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0" w:type="dxa"/>
                  <w:bottom w:w="0" w:type="dxa"/>
                  <w:right w:w="0" w:type="dxa"/>
                </w:tblCellMar>
              </w:tblPrEx>
              <w:trPr>
                <w:trHeight w:val="23" w:hRule="atLeast"/>
                <w:jc w:val="center"/>
              </w:trPr>
              <w:tc>
                <w:tcPr>
                  <w:tcW w:w="649" w:type="dxa"/>
                  <w:tcBorders>
                    <w:tl2br w:val="nil"/>
                    <w:tr2bl w:val="nil"/>
                  </w:tcBorders>
                  <w:shd w:val="clear" w:color="auto" w:fill="auto"/>
                  <w:tcMar>
                    <w:top w:w="60" w:type="dxa"/>
                    <w:left w:w="120" w:type="dxa"/>
                    <w:bottom w:w="30" w:type="dxa"/>
                    <w:right w:w="120" w:type="dxa"/>
                  </w:tcMar>
                  <w:vAlign w:val="center"/>
                </w:tcPr>
                <w:p w14:paraId="6F08F608">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2</w:t>
                  </w:r>
                </w:p>
              </w:tc>
              <w:tc>
                <w:tcPr>
                  <w:tcW w:w="1054" w:type="dxa"/>
                  <w:tcBorders>
                    <w:tl2br w:val="nil"/>
                    <w:tr2bl w:val="nil"/>
                  </w:tcBorders>
                  <w:shd w:val="clear" w:color="auto" w:fill="auto"/>
                  <w:tcMar>
                    <w:top w:w="60" w:type="dxa"/>
                    <w:left w:w="120" w:type="dxa"/>
                    <w:bottom w:w="30" w:type="dxa"/>
                    <w:right w:w="120" w:type="dxa"/>
                  </w:tcMar>
                  <w:vAlign w:val="center"/>
                </w:tcPr>
                <w:p w14:paraId="54908285">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废钢、不锈钢边角料</w:t>
                  </w:r>
                </w:p>
              </w:tc>
              <w:tc>
                <w:tcPr>
                  <w:tcW w:w="1583" w:type="dxa"/>
                  <w:tcBorders>
                    <w:tl2br w:val="nil"/>
                    <w:tr2bl w:val="nil"/>
                  </w:tcBorders>
                  <w:shd w:val="clear" w:color="auto" w:fill="auto"/>
                  <w:tcMar>
                    <w:top w:w="60" w:type="dxa"/>
                    <w:left w:w="120" w:type="dxa"/>
                    <w:bottom w:w="30" w:type="dxa"/>
                    <w:right w:w="120" w:type="dxa"/>
                  </w:tcMar>
                  <w:vAlign w:val="center"/>
                </w:tcPr>
                <w:p w14:paraId="2635BC00">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符合</w:t>
                  </w:r>
                  <w:r>
                    <w:rPr>
                      <w:rFonts w:hint="default" w:ascii="Times New Roman" w:hAnsi="Times New Roman" w:eastAsia="宋体" w:cs="Times New Roman"/>
                      <w:color w:val="auto"/>
                      <w:kern w:val="2"/>
                      <w:sz w:val="21"/>
                      <w:szCs w:val="21"/>
                      <w:lang w:val="en-US" w:eastAsia="zh-CN" w:bidi="ar"/>
                    </w:rPr>
                    <w:t>GB/T 4223-2017</w:t>
                  </w:r>
                  <w:r>
                    <w:rPr>
                      <w:rFonts w:hint="eastAsia" w:ascii="Times New Roman" w:hAnsi="Times New Roman" w:eastAsia="宋体" w:cs="Times New Roman"/>
                      <w:color w:val="auto"/>
                      <w:kern w:val="2"/>
                      <w:sz w:val="21"/>
                      <w:szCs w:val="21"/>
                      <w:lang w:val="en-US" w:eastAsia="zh-CN" w:bidi="ar"/>
                    </w:rPr>
                    <w:t>，含</w:t>
                  </w:r>
                  <w:r>
                    <w:rPr>
                      <w:rFonts w:hint="default" w:ascii="Times New Roman" w:hAnsi="Times New Roman" w:eastAsia="宋体" w:cs="Times New Roman"/>
                      <w:color w:val="auto"/>
                      <w:kern w:val="2"/>
                      <w:sz w:val="21"/>
                      <w:szCs w:val="21"/>
                      <w:lang w:val="en-US" w:eastAsia="zh-CN" w:bidi="ar"/>
                    </w:rPr>
                    <w:t>Cr</w:t>
                  </w:r>
                  <w:r>
                    <w:rPr>
                      <w:rFonts w:hint="eastAsia" w:ascii="Times New Roman" w:hAnsi="Times New Roman" w:eastAsia="宋体" w:cs="Times New Roman"/>
                      <w:color w:val="auto"/>
                      <w:kern w:val="2"/>
                      <w:sz w:val="21"/>
                      <w:szCs w:val="21"/>
                      <w:lang w:val="en-US" w:eastAsia="zh-CN" w:bidi="ar"/>
                    </w:rPr>
                    <w:t>、</w:t>
                  </w:r>
                  <w:r>
                    <w:rPr>
                      <w:rFonts w:hint="default" w:ascii="Times New Roman" w:hAnsi="Times New Roman" w:eastAsia="宋体" w:cs="Times New Roman"/>
                      <w:color w:val="auto"/>
                      <w:kern w:val="2"/>
                      <w:sz w:val="21"/>
                      <w:szCs w:val="21"/>
                      <w:lang w:val="en-US" w:eastAsia="zh-CN" w:bidi="ar"/>
                    </w:rPr>
                    <w:t>Mn</w:t>
                  </w:r>
                  <w:r>
                    <w:rPr>
                      <w:rFonts w:hint="eastAsia" w:ascii="Times New Roman" w:hAnsi="Times New Roman" w:eastAsia="宋体" w:cs="Times New Roman"/>
                      <w:color w:val="auto"/>
                      <w:kern w:val="2"/>
                      <w:sz w:val="21"/>
                      <w:szCs w:val="21"/>
                      <w:lang w:val="en-US" w:eastAsia="zh-CN" w:bidi="ar"/>
                    </w:rPr>
                    <w:t>等合金元素，适配耐磨铸件材质要求</w:t>
                  </w:r>
                </w:p>
              </w:tc>
              <w:tc>
                <w:tcPr>
                  <w:tcW w:w="1783" w:type="dxa"/>
                  <w:tcBorders>
                    <w:tl2br w:val="nil"/>
                    <w:tr2bl w:val="nil"/>
                  </w:tcBorders>
                  <w:shd w:val="clear" w:color="auto" w:fill="auto"/>
                  <w:tcMar>
                    <w:top w:w="60" w:type="dxa"/>
                    <w:left w:w="120" w:type="dxa"/>
                    <w:bottom w:w="30" w:type="dxa"/>
                    <w:right w:w="120" w:type="dxa"/>
                  </w:tcMar>
                  <w:vAlign w:val="center"/>
                </w:tcPr>
                <w:p w14:paraId="0131A203">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耐磨材料铸件、耐磨耐热钢铸件及型材主料</w:t>
                  </w:r>
                </w:p>
              </w:tc>
              <w:tc>
                <w:tcPr>
                  <w:tcW w:w="867" w:type="dxa"/>
                  <w:tcBorders>
                    <w:tl2br w:val="nil"/>
                    <w:tr2bl w:val="nil"/>
                  </w:tcBorders>
                  <w:shd w:val="clear" w:color="auto" w:fill="auto"/>
                  <w:tcMar>
                    <w:top w:w="60" w:type="dxa"/>
                    <w:left w:w="120" w:type="dxa"/>
                    <w:bottom w:w="30" w:type="dxa"/>
                    <w:right w:w="120" w:type="dxa"/>
                  </w:tcMar>
                  <w:vAlign w:val="center"/>
                </w:tcPr>
                <w:p w14:paraId="45BDB0E1">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3000</w:t>
                  </w:r>
                  <w:r>
                    <w:rPr>
                      <w:rFonts w:hint="default" w:ascii="Times New Roman" w:hAnsi="Times New Roman" w:eastAsia="宋体" w:cs="Times New Roman"/>
                      <w:color w:val="auto"/>
                      <w:kern w:val="2"/>
                      <w:sz w:val="21"/>
                      <w:szCs w:val="21"/>
                      <w:lang w:val="en-US" w:eastAsia="zh-CN" w:bidi="ar"/>
                    </w:rPr>
                    <w:t xml:space="preserve"> t/a</w:t>
                  </w:r>
                </w:p>
              </w:tc>
              <w:tc>
                <w:tcPr>
                  <w:tcW w:w="967" w:type="dxa"/>
                  <w:tcBorders>
                    <w:tl2br w:val="nil"/>
                    <w:tr2bl w:val="nil"/>
                  </w:tcBorders>
                  <w:shd w:val="clear" w:color="auto" w:fill="auto"/>
                  <w:tcMar>
                    <w:top w:w="60" w:type="dxa"/>
                    <w:left w:w="120" w:type="dxa"/>
                    <w:bottom w:w="30" w:type="dxa"/>
                    <w:right w:w="120" w:type="dxa"/>
                  </w:tcMar>
                  <w:vAlign w:val="center"/>
                </w:tcPr>
                <w:p w14:paraId="08DB1B61">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外购</w:t>
                  </w:r>
                </w:p>
              </w:tc>
              <w:tc>
                <w:tcPr>
                  <w:tcW w:w="1512" w:type="dxa"/>
                  <w:tcBorders>
                    <w:tl2br w:val="nil"/>
                    <w:tr2bl w:val="nil"/>
                  </w:tcBorders>
                  <w:shd w:val="clear" w:color="auto" w:fill="auto"/>
                  <w:tcMar>
                    <w:top w:w="60" w:type="dxa"/>
                    <w:left w:w="120" w:type="dxa"/>
                    <w:bottom w:w="30" w:type="dxa"/>
                    <w:right w:w="120" w:type="dxa"/>
                  </w:tcMar>
                  <w:vAlign w:val="center"/>
                </w:tcPr>
                <w:p w14:paraId="59ED70E7">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可根据订单产品型号调整成分</w:t>
                  </w:r>
                </w:p>
              </w:tc>
            </w:tr>
            <w:tr w14:paraId="050D6E8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0" w:type="dxa"/>
                  <w:bottom w:w="0" w:type="dxa"/>
                  <w:right w:w="0" w:type="dxa"/>
                </w:tblCellMar>
              </w:tblPrEx>
              <w:trPr>
                <w:trHeight w:val="23" w:hRule="atLeast"/>
                <w:jc w:val="center"/>
              </w:trPr>
              <w:tc>
                <w:tcPr>
                  <w:tcW w:w="649" w:type="dxa"/>
                  <w:tcBorders>
                    <w:tl2br w:val="nil"/>
                    <w:tr2bl w:val="nil"/>
                  </w:tcBorders>
                  <w:shd w:val="clear" w:color="auto" w:fill="auto"/>
                  <w:tcMar>
                    <w:top w:w="60" w:type="dxa"/>
                    <w:left w:w="120" w:type="dxa"/>
                    <w:bottom w:w="30" w:type="dxa"/>
                    <w:right w:w="120" w:type="dxa"/>
                  </w:tcMar>
                  <w:vAlign w:val="center"/>
                </w:tcPr>
                <w:p w14:paraId="3D2C43D5">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3</w:t>
                  </w:r>
                </w:p>
              </w:tc>
              <w:tc>
                <w:tcPr>
                  <w:tcW w:w="1054" w:type="dxa"/>
                  <w:tcBorders>
                    <w:tl2br w:val="nil"/>
                    <w:tr2bl w:val="nil"/>
                  </w:tcBorders>
                  <w:shd w:val="clear" w:color="auto" w:fill="auto"/>
                  <w:tcMar>
                    <w:top w:w="60" w:type="dxa"/>
                    <w:left w:w="120" w:type="dxa"/>
                    <w:bottom w:w="30" w:type="dxa"/>
                    <w:right w:w="120" w:type="dxa"/>
                  </w:tcMar>
                  <w:vAlign w:val="center"/>
                </w:tcPr>
                <w:p w14:paraId="3A7C8E9C">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合金料（</w:t>
                  </w:r>
                  <w:r>
                    <w:rPr>
                      <w:rFonts w:hint="default" w:ascii="Times New Roman" w:hAnsi="Times New Roman" w:eastAsia="宋体" w:cs="Times New Roman"/>
                      <w:color w:val="auto"/>
                      <w:kern w:val="2"/>
                      <w:sz w:val="21"/>
                      <w:szCs w:val="21"/>
                      <w:lang w:val="en-US" w:eastAsia="zh-CN" w:bidi="ar"/>
                    </w:rPr>
                    <w:t>Cr</w:t>
                  </w:r>
                  <w:r>
                    <w:rPr>
                      <w:rFonts w:hint="eastAsia" w:ascii="Times New Roman" w:hAnsi="Times New Roman" w:eastAsia="宋体" w:cs="Times New Roman"/>
                      <w:color w:val="auto"/>
                      <w:kern w:val="2"/>
                      <w:sz w:val="21"/>
                      <w:szCs w:val="21"/>
                      <w:lang w:val="en-US" w:eastAsia="zh-CN" w:bidi="ar"/>
                    </w:rPr>
                    <w:t>、</w:t>
                  </w:r>
                  <w:r>
                    <w:rPr>
                      <w:rFonts w:hint="default" w:ascii="Times New Roman" w:hAnsi="Times New Roman" w:eastAsia="宋体" w:cs="Times New Roman"/>
                      <w:color w:val="auto"/>
                      <w:kern w:val="2"/>
                      <w:sz w:val="21"/>
                      <w:szCs w:val="21"/>
                      <w:lang w:val="en-US" w:eastAsia="zh-CN" w:bidi="ar"/>
                    </w:rPr>
                    <w:t>Mn</w:t>
                  </w:r>
                  <w:r>
                    <w:rPr>
                      <w:rFonts w:hint="eastAsia" w:ascii="Times New Roman" w:hAnsi="Times New Roman" w:eastAsia="宋体" w:cs="Times New Roman"/>
                      <w:color w:val="auto"/>
                      <w:kern w:val="2"/>
                      <w:sz w:val="21"/>
                      <w:szCs w:val="21"/>
                      <w:lang w:val="en-US" w:eastAsia="zh-CN" w:bidi="ar"/>
                    </w:rPr>
                    <w:t>、</w:t>
                  </w:r>
                  <w:r>
                    <w:rPr>
                      <w:rFonts w:hint="default" w:ascii="Times New Roman" w:hAnsi="Times New Roman" w:eastAsia="宋体" w:cs="Times New Roman"/>
                      <w:color w:val="auto"/>
                      <w:kern w:val="2"/>
                      <w:sz w:val="21"/>
                      <w:szCs w:val="21"/>
                      <w:lang w:val="en-US" w:eastAsia="zh-CN" w:bidi="ar"/>
                    </w:rPr>
                    <w:t>Ni</w:t>
                  </w:r>
                  <w:r>
                    <w:rPr>
                      <w:rFonts w:hint="eastAsia" w:ascii="Times New Roman" w:hAnsi="Times New Roman" w:eastAsia="宋体" w:cs="Times New Roman"/>
                      <w:color w:val="auto"/>
                      <w:kern w:val="2"/>
                      <w:sz w:val="21"/>
                      <w:szCs w:val="21"/>
                      <w:lang w:val="en-US" w:eastAsia="zh-CN" w:bidi="ar"/>
                    </w:rPr>
                    <w:t>、</w:t>
                  </w:r>
                  <w:r>
                    <w:rPr>
                      <w:rFonts w:hint="default" w:ascii="Times New Roman" w:hAnsi="Times New Roman" w:eastAsia="宋体" w:cs="Times New Roman"/>
                      <w:color w:val="auto"/>
                      <w:kern w:val="2"/>
                      <w:sz w:val="21"/>
                      <w:szCs w:val="21"/>
                      <w:lang w:val="en-US" w:eastAsia="zh-CN" w:bidi="ar"/>
                    </w:rPr>
                    <w:t>Mo</w:t>
                  </w:r>
                  <w:r>
                    <w:rPr>
                      <w:rFonts w:hint="eastAsia" w:ascii="Times New Roman" w:hAnsi="Times New Roman" w:eastAsia="宋体" w:cs="Times New Roman"/>
                      <w:color w:val="auto"/>
                      <w:kern w:val="2"/>
                      <w:sz w:val="21"/>
                      <w:szCs w:val="21"/>
                      <w:lang w:val="en-US" w:eastAsia="zh-CN" w:bidi="ar"/>
                    </w:rPr>
                    <w:t>等）</w:t>
                  </w:r>
                </w:p>
              </w:tc>
              <w:tc>
                <w:tcPr>
                  <w:tcW w:w="1583" w:type="dxa"/>
                  <w:tcBorders>
                    <w:tl2br w:val="nil"/>
                    <w:tr2bl w:val="nil"/>
                  </w:tcBorders>
                  <w:shd w:val="clear" w:color="auto" w:fill="auto"/>
                  <w:tcMar>
                    <w:top w:w="60" w:type="dxa"/>
                    <w:left w:w="120" w:type="dxa"/>
                    <w:bottom w:w="30" w:type="dxa"/>
                    <w:right w:w="120" w:type="dxa"/>
                  </w:tcMar>
                  <w:vAlign w:val="center"/>
                </w:tcPr>
                <w:p w14:paraId="7C3BABED">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工业级，纯金属或合金锭，纯度</w:t>
                  </w:r>
                  <w:r>
                    <w:rPr>
                      <w:rFonts w:hint="default" w:ascii="Times New Roman" w:hAnsi="Times New Roman" w:eastAsia="宋体" w:cs="Times New Roman"/>
                      <w:color w:val="auto"/>
                      <w:kern w:val="2"/>
                      <w:sz w:val="21"/>
                      <w:szCs w:val="21"/>
                      <w:lang w:val="en-US" w:eastAsia="zh-CN" w:bidi="ar"/>
                    </w:rPr>
                    <w:t>≥99.5%</w:t>
                  </w:r>
                </w:p>
              </w:tc>
              <w:tc>
                <w:tcPr>
                  <w:tcW w:w="1783" w:type="dxa"/>
                  <w:tcBorders>
                    <w:tl2br w:val="nil"/>
                    <w:tr2bl w:val="nil"/>
                  </w:tcBorders>
                  <w:shd w:val="clear" w:color="auto" w:fill="auto"/>
                  <w:tcMar>
                    <w:top w:w="60" w:type="dxa"/>
                    <w:left w:w="120" w:type="dxa"/>
                    <w:bottom w:w="30" w:type="dxa"/>
                    <w:right w:w="120" w:type="dxa"/>
                  </w:tcMar>
                  <w:vAlign w:val="center"/>
                </w:tcPr>
                <w:p w14:paraId="55BCF89F">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调整铸件材质硬度、耐磨性、耐热性，适配耐磨材料、耐磨耐热钢铸件及型材的性能要求</w:t>
                  </w:r>
                </w:p>
              </w:tc>
              <w:tc>
                <w:tcPr>
                  <w:tcW w:w="867" w:type="dxa"/>
                  <w:tcBorders>
                    <w:tl2br w:val="nil"/>
                    <w:tr2bl w:val="nil"/>
                  </w:tcBorders>
                  <w:shd w:val="clear" w:color="auto" w:fill="auto"/>
                  <w:tcMar>
                    <w:top w:w="60" w:type="dxa"/>
                    <w:left w:w="120" w:type="dxa"/>
                    <w:bottom w:w="30" w:type="dxa"/>
                    <w:right w:w="120" w:type="dxa"/>
                  </w:tcMar>
                  <w:vAlign w:val="center"/>
                </w:tcPr>
                <w:p w14:paraId="5A879FBE">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150 t/a</w:t>
                  </w:r>
                </w:p>
              </w:tc>
              <w:tc>
                <w:tcPr>
                  <w:tcW w:w="967" w:type="dxa"/>
                  <w:tcBorders>
                    <w:tl2br w:val="nil"/>
                    <w:tr2bl w:val="nil"/>
                  </w:tcBorders>
                  <w:shd w:val="clear" w:color="auto" w:fill="auto"/>
                  <w:tcMar>
                    <w:top w:w="60" w:type="dxa"/>
                    <w:left w:w="120" w:type="dxa"/>
                    <w:bottom w:w="30" w:type="dxa"/>
                    <w:right w:w="120" w:type="dxa"/>
                  </w:tcMar>
                  <w:vAlign w:val="center"/>
                </w:tcPr>
                <w:p w14:paraId="3463D846">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外购</w:t>
                  </w:r>
                </w:p>
              </w:tc>
              <w:tc>
                <w:tcPr>
                  <w:tcW w:w="1512" w:type="dxa"/>
                  <w:tcBorders>
                    <w:tl2br w:val="nil"/>
                    <w:tr2bl w:val="nil"/>
                  </w:tcBorders>
                  <w:shd w:val="clear" w:color="auto" w:fill="auto"/>
                  <w:tcMar>
                    <w:top w:w="60" w:type="dxa"/>
                    <w:left w:w="120" w:type="dxa"/>
                    <w:bottom w:w="30" w:type="dxa"/>
                    <w:right w:w="120" w:type="dxa"/>
                  </w:tcMar>
                  <w:vAlign w:val="center"/>
                </w:tcPr>
                <w:p w14:paraId="2E14DC96">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其中</w:t>
                  </w:r>
                  <w:r>
                    <w:rPr>
                      <w:rFonts w:hint="default" w:ascii="Times New Roman" w:hAnsi="Times New Roman" w:eastAsia="宋体" w:cs="Times New Roman"/>
                      <w:color w:val="auto"/>
                      <w:kern w:val="2"/>
                      <w:sz w:val="21"/>
                      <w:szCs w:val="21"/>
                      <w:lang w:val="en-US" w:eastAsia="zh-CN" w:bidi="ar"/>
                    </w:rPr>
                    <w:t>Cr 60t</w:t>
                  </w:r>
                  <w:r>
                    <w:rPr>
                      <w:rFonts w:hint="eastAsia" w:ascii="Times New Roman" w:hAnsi="Times New Roman" w:eastAsia="宋体" w:cs="Times New Roman"/>
                      <w:color w:val="auto"/>
                      <w:kern w:val="2"/>
                      <w:sz w:val="21"/>
                      <w:szCs w:val="21"/>
                      <w:lang w:val="en-US" w:eastAsia="zh-CN" w:bidi="ar"/>
                    </w:rPr>
                    <w:t>、</w:t>
                  </w:r>
                  <w:r>
                    <w:rPr>
                      <w:rFonts w:hint="default" w:ascii="Times New Roman" w:hAnsi="Times New Roman" w:eastAsia="宋体" w:cs="Times New Roman"/>
                      <w:color w:val="auto"/>
                      <w:kern w:val="2"/>
                      <w:sz w:val="21"/>
                      <w:szCs w:val="21"/>
                      <w:lang w:val="en-US" w:eastAsia="zh-CN" w:bidi="ar"/>
                    </w:rPr>
                    <w:t>Mn 50t</w:t>
                  </w:r>
                  <w:r>
                    <w:rPr>
                      <w:rFonts w:hint="eastAsia" w:ascii="Times New Roman" w:hAnsi="Times New Roman" w:eastAsia="宋体" w:cs="Times New Roman"/>
                      <w:color w:val="auto"/>
                      <w:kern w:val="2"/>
                      <w:sz w:val="21"/>
                      <w:szCs w:val="21"/>
                      <w:lang w:val="en-US" w:eastAsia="zh-CN" w:bidi="ar"/>
                    </w:rPr>
                    <w:t>、</w:t>
                  </w:r>
                  <w:r>
                    <w:rPr>
                      <w:rFonts w:hint="default" w:ascii="Times New Roman" w:hAnsi="Times New Roman" w:eastAsia="宋体" w:cs="Times New Roman"/>
                      <w:color w:val="auto"/>
                      <w:kern w:val="2"/>
                      <w:sz w:val="21"/>
                      <w:szCs w:val="21"/>
                      <w:lang w:val="en-US" w:eastAsia="zh-CN" w:bidi="ar"/>
                    </w:rPr>
                    <w:t>Ni 20t</w:t>
                  </w:r>
                  <w:r>
                    <w:rPr>
                      <w:rFonts w:hint="eastAsia" w:ascii="Times New Roman" w:hAnsi="Times New Roman" w:eastAsia="宋体" w:cs="Times New Roman"/>
                      <w:color w:val="auto"/>
                      <w:kern w:val="2"/>
                      <w:sz w:val="21"/>
                      <w:szCs w:val="21"/>
                      <w:lang w:val="en-US" w:eastAsia="zh-CN" w:bidi="ar"/>
                    </w:rPr>
                    <w:t>、</w:t>
                  </w:r>
                  <w:r>
                    <w:rPr>
                      <w:rFonts w:hint="default" w:ascii="Times New Roman" w:hAnsi="Times New Roman" w:eastAsia="宋体" w:cs="Times New Roman"/>
                      <w:color w:val="auto"/>
                      <w:kern w:val="2"/>
                      <w:sz w:val="21"/>
                      <w:szCs w:val="21"/>
                      <w:lang w:val="en-US" w:eastAsia="zh-CN" w:bidi="ar"/>
                    </w:rPr>
                    <w:t>Mo 20t</w:t>
                  </w:r>
                  <w:r>
                    <w:rPr>
                      <w:rFonts w:hint="eastAsia" w:ascii="Times New Roman" w:hAnsi="Times New Roman" w:eastAsia="宋体" w:cs="Times New Roman"/>
                      <w:color w:val="auto"/>
                      <w:kern w:val="2"/>
                      <w:sz w:val="21"/>
                      <w:szCs w:val="21"/>
                      <w:lang w:val="en-US" w:eastAsia="zh-CN" w:bidi="ar"/>
                    </w:rPr>
                    <w:t>，按需配比，无有毒有害杂质，储存于专用原料库房</w:t>
                  </w:r>
                </w:p>
              </w:tc>
            </w:tr>
            <w:tr w14:paraId="3B730A7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0" w:type="dxa"/>
                  <w:bottom w:w="0" w:type="dxa"/>
                  <w:right w:w="0" w:type="dxa"/>
                </w:tblCellMar>
              </w:tblPrEx>
              <w:trPr>
                <w:trHeight w:val="23" w:hRule="atLeast"/>
                <w:jc w:val="center"/>
              </w:trPr>
              <w:tc>
                <w:tcPr>
                  <w:tcW w:w="649" w:type="dxa"/>
                  <w:tcBorders>
                    <w:tl2br w:val="nil"/>
                    <w:tr2bl w:val="nil"/>
                  </w:tcBorders>
                  <w:shd w:val="clear" w:color="auto" w:fill="auto"/>
                  <w:tcMar>
                    <w:top w:w="60" w:type="dxa"/>
                    <w:left w:w="120" w:type="dxa"/>
                    <w:bottom w:w="30" w:type="dxa"/>
                    <w:right w:w="120" w:type="dxa"/>
                  </w:tcMar>
                  <w:vAlign w:val="center"/>
                </w:tcPr>
                <w:p w14:paraId="2C37D72F">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4</w:t>
                  </w:r>
                </w:p>
              </w:tc>
              <w:tc>
                <w:tcPr>
                  <w:tcW w:w="1054" w:type="dxa"/>
                  <w:tcBorders>
                    <w:tl2br w:val="nil"/>
                    <w:tr2bl w:val="nil"/>
                  </w:tcBorders>
                  <w:shd w:val="clear" w:color="auto" w:fill="auto"/>
                  <w:tcMar>
                    <w:top w:w="60" w:type="dxa"/>
                    <w:left w:w="120" w:type="dxa"/>
                    <w:bottom w:w="30" w:type="dxa"/>
                    <w:right w:w="120" w:type="dxa"/>
                  </w:tcMar>
                  <w:vAlign w:val="center"/>
                </w:tcPr>
                <w:p w14:paraId="2B015B54">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石英砂</w:t>
                  </w:r>
                </w:p>
              </w:tc>
              <w:tc>
                <w:tcPr>
                  <w:tcW w:w="1583" w:type="dxa"/>
                  <w:tcBorders>
                    <w:tl2br w:val="nil"/>
                    <w:tr2bl w:val="nil"/>
                  </w:tcBorders>
                  <w:shd w:val="clear" w:color="auto" w:fill="auto"/>
                  <w:tcMar>
                    <w:top w:w="60" w:type="dxa"/>
                    <w:left w:w="120" w:type="dxa"/>
                    <w:bottom w:w="30" w:type="dxa"/>
                    <w:right w:w="120" w:type="dxa"/>
                  </w:tcMar>
                  <w:vAlign w:val="center"/>
                </w:tcPr>
                <w:p w14:paraId="4484EBE8">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石英</w:t>
                  </w:r>
                  <w:r>
                    <w:rPr>
                      <w:rFonts w:hint="eastAsia" w:ascii="Times New Roman" w:hAnsi="Times New Roman" w:eastAsia="宋体" w:cs="Times New Roman"/>
                      <w:color w:val="auto"/>
                      <w:kern w:val="2"/>
                      <w:sz w:val="21"/>
                      <w:szCs w:val="21"/>
                      <w:lang w:val="en-US" w:eastAsia="zh-CN" w:bidi="ar"/>
                    </w:rPr>
                    <w:t>砂</w:t>
                  </w:r>
                  <w:r>
                    <w:rPr>
                      <w:rFonts w:hint="eastAsia" w:ascii="Times New Roman" w:hAnsi="Times New Roman" w:cs="Times New Roman"/>
                      <w:color w:val="auto"/>
                      <w:kern w:val="2"/>
                      <w:sz w:val="21"/>
                      <w:szCs w:val="21"/>
                      <w:lang w:val="en-US" w:eastAsia="zh-CN" w:bidi="ar"/>
                    </w:rPr>
                    <w:t>，</w:t>
                  </w:r>
                  <w:r>
                    <w:rPr>
                      <w:rFonts w:hint="eastAsia" w:ascii="Times New Roman" w:hAnsi="Times New Roman" w:eastAsia="宋体" w:cs="Times New Roman"/>
                      <w:color w:val="auto"/>
                      <w:kern w:val="2"/>
                      <w:sz w:val="21"/>
                      <w:szCs w:val="21"/>
                      <w:lang w:val="en-US" w:eastAsia="zh-CN" w:bidi="ar"/>
                    </w:rPr>
                    <w:t>70/140 目，适配</w:t>
                  </w:r>
                  <w:r>
                    <w:rPr>
                      <w:rFonts w:hint="eastAsia" w:ascii="Times New Roman" w:hAnsi="Times New Roman" w:cs="Times New Roman"/>
                      <w:color w:val="auto"/>
                      <w:kern w:val="2"/>
                      <w:sz w:val="21"/>
                      <w:szCs w:val="21"/>
                      <w:lang w:val="en-US" w:eastAsia="zh-CN" w:bidi="ar"/>
                    </w:rPr>
                    <w:t>铁模覆砂（水玻璃砂）</w:t>
                  </w:r>
                  <w:r>
                    <w:rPr>
                      <w:rFonts w:hint="eastAsia" w:ascii="Times New Roman" w:hAnsi="Times New Roman" w:eastAsia="宋体" w:cs="Times New Roman"/>
                      <w:color w:val="auto"/>
                      <w:kern w:val="2"/>
                      <w:sz w:val="21"/>
                      <w:szCs w:val="21"/>
                      <w:lang w:val="en-US" w:eastAsia="zh-CN" w:bidi="ar"/>
                    </w:rPr>
                    <w:t>工艺</w:t>
                  </w:r>
                </w:p>
              </w:tc>
              <w:tc>
                <w:tcPr>
                  <w:tcW w:w="1783" w:type="dxa"/>
                  <w:tcBorders>
                    <w:tl2br w:val="nil"/>
                    <w:tr2bl w:val="nil"/>
                  </w:tcBorders>
                  <w:shd w:val="clear" w:color="auto" w:fill="auto"/>
                  <w:tcMar>
                    <w:top w:w="60" w:type="dxa"/>
                    <w:left w:w="120" w:type="dxa"/>
                    <w:bottom w:w="30" w:type="dxa"/>
                    <w:right w:w="120" w:type="dxa"/>
                  </w:tcMar>
                  <w:vAlign w:val="center"/>
                </w:tcPr>
                <w:p w14:paraId="6C495130">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铁模覆砂</w:t>
                  </w:r>
                  <w:r>
                    <w:rPr>
                      <w:rFonts w:hint="eastAsia" w:ascii="Times New Roman" w:hAnsi="Times New Roman" w:eastAsia="宋体" w:cs="Times New Roman"/>
                      <w:color w:val="auto"/>
                      <w:kern w:val="2"/>
                      <w:sz w:val="21"/>
                      <w:szCs w:val="21"/>
                      <w:lang w:val="en-US" w:eastAsia="zh-CN" w:bidi="ar"/>
                    </w:rPr>
                    <w:t>的填充砂</w:t>
                  </w:r>
                </w:p>
              </w:tc>
              <w:tc>
                <w:tcPr>
                  <w:tcW w:w="867" w:type="dxa"/>
                  <w:tcBorders>
                    <w:tl2br w:val="nil"/>
                    <w:tr2bl w:val="nil"/>
                  </w:tcBorders>
                  <w:shd w:val="clear" w:color="auto" w:fill="auto"/>
                  <w:tcMar>
                    <w:top w:w="60" w:type="dxa"/>
                    <w:left w:w="120" w:type="dxa"/>
                    <w:bottom w:w="30" w:type="dxa"/>
                    <w:right w:w="120" w:type="dxa"/>
                  </w:tcMar>
                  <w:vAlign w:val="center"/>
                </w:tcPr>
                <w:p w14:paraId="4892AEB1">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300 t/a</w:t>
                  </w:r>
                  <w:r>
                    <w:rPr>
                      <w:rFonts w:hint="eastAsia" w:ascii="Times New Roman" w:hAnsi="Times New Roman" w:eastAsia="宋体" w:cs="Times New Roman"/>
                      <w:color w:val="auto"/>
                      <w:kern w:val="2"/>
                      <w:sz w:val="21"/>
                      <w:szCs w:val="21"/>
                      <w:lang w:val="en-US" w:eastAsia="zh-CN" w:bidi="ar"/>
                    </w:rPr>
                    <w:t>（新增）</w:t>
                  </w:r>
                </w:p>
              </w:tc>
              <w:tc>
                <w:tcPr>
                  <w:tcW w:w="967" w:type="dxa"/>
                  <w:tcBorders>
                    <w:tl2br w:val="nil"/>
                    <w:tr2bl w:val="nil"/>
                  </w:tcBorders>
                  <w:shd w:val="clear" w:color="auto" w:fill="auto"/>
                  <w:tcMar>
                    <w:top w:w="60" w:type="dxa"/>
                    <w:left w:w="120" w:type="dxa"/>
                    <w:bottom w:w="30" w:type="dxa"/>
                    <w:right w:w="120" w:type="dxa"/>
                  </w:tcMar>
                  <w:vAlign w:val="center"/>
                </w:tcPr>
                <w:p w14:paraId="02F34799">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专业砂生产厂家采购，符合环保要求</w:t>
                  </w:r>
                </w:p>
              </w:tc>
              <w:tc>
                <w:tcPr>
                  <w:tcW w:w="1512" w:type="dxa"/>
                  <w:tcBorders>
                    <w:tl2br w:val="nil"/>
                    <w:tr2bl w:val="nil"/>
                  </w:tcBorders>
                  <w:shd w:val="clear" w:color="auto" w:fill="auto"/>
                  <w:tcMar>
                    <w:top w:w="60" w:type="dxa"/>
                    <w:left w:w="120" w:type="dxa"/>
                    <w:bottom w:w="30" w:type="dxa"/>
                    <w:right w:w="120" w:type="dxa"/>
                  </w:tcMar>
                  <w:vAlign w:val="center"/>
                </w:tcPr>
                <w:p w14:paraId="501277AF">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可回收利用，回收率约</w:t>
                  </w:r>
                  <w:r>
                    <w:rPr>
                      <w:rFonts w:hint="default" w:ascii="Times New Roman" w:hAnsi="Times New Roman" w:eastAsia="宋体" w:cs="Times New Roman"/>
                      <w:color w:val="auto"/>
                      <w:kern w:val="2"/>
                      <w:sz w:val="21"/>
                      <w:szCs w:val="21"/>
                      <w:lang w:val="en-US" w:eastAsia="zh-CN" w:bidi="ar"/>
                    </w:rPr>
                    <w:t>80%</w:t>
                  </w:r>
                  <w:r>
                    <w:rPr>
                      <w:rFonts w:hint="eastAsia" w:ascii="Times New Roman" w:hAnsi="Times New Roman" w:eastAsia="宋体" w:cs="Times New Roman"/>
                      <w:color w:val="auto"/>
                      <w:kern w:val="2"/>
                      <w:sz w:val="21"/>
                      <w:szCs w:val="21"/>
                      <w:lang w:val="en-US" w:eastAsia="zh-CN" w:bidi="ar"/>
                    </w:rPr>
                    <w:t>（年回收</w:t>
                  </w:r>
                  <w:r>
                    <w:rPr>
                      <w:rFonts w:hint="default" w:ascii="Times New Roman" w:hAnsi="Times New Roman" w:eastAsia="宋体" w:cs="Times New Roman"/>
                      <w:color w:val="auto"/>
                      <w:kern w:val="2"/>
                      <w:sz w:val="21"/>
                      <w:szCs w:val="21"/>
                      <w:lang w:val="en-US" w:eastAsia="zh-CN" w:bidi="ar"/>
                    </w:rPr>
                    <w:t>1200t/a</w:t>
                  </w:r>
                  <w:r>
                    <w:rPr>
                      <w:rFonts w:hint="eastAsia" w:ascii="Times New Roman" w:hAnsi="Times New Roman" w:eastAsia="宋体" w:cs="Times New Roman"/>
                      <w:color w:val="auto"/>
                      <w:kern w:val="2"/>
                      <w:sz w:val="21"/>
                      <w:szCs w:val="21"/>
                      <w:lang w:val="en-US" w:eastAsia="zh-CN" w:bidi="ar"/>
                    </w:rPr>
                    <w:t>），回收后经筛分处理重复使用，减少固废产生</w:t>
                  </w:r>
                </w:p>
              </w:tc>
            </w:tr>
            <w:tr w14:paraId="4A04A79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0" w:type="dxa"/>
                  <w:bottom w:w="0" w:type="dxa"/>
                  <w:right w:w="0" w:type="dxa"/>
                </w:tblCellMar>
              </w:tblPrEx>
              <w:trPr>
                <w:trHeight w:val="23" w:hRule="atLeast"/>
                <w:jc w:val="center"/>
              </w:trPr>
              <w:tc>
                <w:tcPr>
                  <w:tcW w:w="649" w:type="dxa"/>
                  <w:tcBorders>
                    <w:tl2br w:val="nil"/>
                    <w:tr2bl w:val="nil"/>
                  </w:tcBorders>
                  <w:shd w:val="clear" w:color="auto" w:fill="auto"/>
                  <w:tcMar>
                    <w:top w:w="60" w:type="dxa"/>
                    <w:left w:w="120" w:type="dxa"/>
                    <w:bottom w:w="30" w:type="dxa"/>
                    <w:right w:w="120" w:type="dxa"/>
                  </w:tcMar>
                  <w:vAlign w:val="center"/>
                </w:tcPr>
                <w:p w14:paraId="2031CF8A">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5</w:t>
                  </w:r>
                </w:p>
              </w:tc>
              <w:tc>
                <w:tcPr>
                  <w:tcW w:w="1054" w:type="dxa"/>
                  <w:tcBorders>
                    <w:tl2br w:val="nil"/>
                    <w:tr2bl w:val="nil"/>
                  </w:tcBorders>
                  <w:shd w:val="clear" w:color="auto" w:fill="auto"/>
                  <w:tcMar>
                    <w:top w:w="60" w:type="dxa"/>
                    <w:left w:w="120" w:type="dxa"/>
                    <w:bottom w:w="30" w:type="dxa"/>
                    <w:right w:w="120" w:type="dxa"/>
                  </w:tcMar>
                  <w:vAlign w:val="center"/>
                </w:tcPr>
                <w:p w14:paraId="4AD12CAF">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旧砂</w:t>
                  </w:r>
                </w:p>
              </w:tc>
              <w:tc>
                <w:tcPr>
                  <w:tcW w:w="1583" w:type="dxa"/>
                  <w:tcBorders>
                    <w:tl2br w:val="nil"/>
                    <w:tr2bl w:val="nil"/>
                  </w:tcBorders>
                  <w:shd w:val="clear" w:color="auto" w:fill="auto"/>
                  <w:tcMar>
                    <w:top w:w="60" w:type="dxa"/>
                    <w:left w:w="120" w:type="dxa"/>
                    <w:bottom w:w="30" w:type="dxa"/>
                    <w:right w:w="120" w:type="dxa"/>
                  </w:tcMar>
                  <w:vAlign w:val="top"/>
                </w:tcPr>
                <w:p w14:paraId="12AAE5EF">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本项目</w:t>
                  </w:r>
                  <w:r>
                    <w:rPr>
                      <w:rFonts w:hint="eastAsia" w:ascii="Times New Roman" w:hAnsi="Times New Roman" w:cs="Times New Roman"/>
                      <w:color w:val="auto"/>
                      <w:kern w:val="2"/>
                      <w:sz w:val="21"/>
                      <w:szCs w:val="21"/>
                      <w:lang w:val="en-US" w:eastAsia="zh-CN" w:bidi="ar"/>
                    </w:rPr>
                    <w:t>铁模覆砂</w:t>
                  </w:r>
                  <w:r>
                    <w:rPr>
                      <w:rFonts w:hint="eastAsia" w:ascii="Times New Roman" w:hAnsi="Times New Roman" w:eastAsia="宋体" w:cs="Times New Roman"/>
                      <w:color w:val="auto"/>
                      <w:kern w:val="2"/>
                      <w:sz w:val="21"/>
                      <w:szCs w:val="21"/>
                      <w:lang w:val="en-US" w:eastAsia="zh-CN" w:bidi="ar"/>
                    </w:rPr>
                    <w:t>铸造清砂工序产生，经砂处理系统（磁选、筛选）去除杂质、金属碎屑后回用</w:t>
                  </w:r>
                </w:p>
              </w:tc>
              <w:tc>
                <w:tcPr>
                  <w:tcW w:w="1783" w:type="dxa"/>
                  <w:tcBorders>
                    <w:tl2br w:val="nil"/>
                    <w:tr2bl w:val="nil"/>
                  </w:tcBorders>
                  <w:shd w:val="clear" w:color="auto" w:fill="auto"/>
                  <w:tcMar>
                    <w:top w:w="60" w:type="dxa"/>
                    <w:left w:w="120" w:type="dxa"/>
                    <w:bottom w:w="30" w:type="dxa"/>
                    <w:right w:w="120" w:type="dxa"/>
                  </w:tcMar>
                  <w:vAlign w:val="top"/>
                </w:tcPr>
                <w:p w14:paraId="558A20C1">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铁模覆砂</w:t>
                  </w:r>
                  <w:r>
                    <w:rPr>
                      <w:rFonts w:hint="eastAsia" w:ascii="Times New Roman" w:hAnsi="Times New Roman" w:eastAsia="宋体" w:cs="Times New Roman"/>
                      <w:color w:val="auto"/>
                      <w:kern w:val="2"/>
                      <w:sz w:val="21"/>
                      <w:szCs w:val="21"/>
                      <w:lang w:val="en-US" w:eastAsia="zh-CN" w:bidi="ar"/>
                    </w:rPr>
                    <w:t>工艺专用，用于制作铸型型腔，保证铸件表面精度，适配各类铸件成型需求</w:t>
                  </w:r>
                </w:p>
              </w:tc>
              <w:tc>
                <w:tcPr>
                  <w:tcW w:w="867" w:type="dxa"/>
                  <w:tcBorders>
                    <w:tl2br w:val="nil"/>
                    <w:tr2bl w:val="nil"/>
                  </w:tcBorders>
                  <w:shd w:val="clear" w:color="auto" w:fill="auto"/>
                  <w:tcMar>
                    <w:top w:w="60" w:type="dxa"/>
                    <w:left w:w="120" w:type="dxa"/>
                    <w:bottom w:w="30" w:type="dxa"/>
                    <w:right w:w="120" w:type="dxa"/>
                  </w:tcMar>
                  <w:vAlign w:val="top"/>
                </w:tcPr>
                <w:p w14:paraId="375C433B">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1200t/a</w:t>
                  </w:r>
                </w:p>
              </w:tc>
              <w:tc>
                <w:tcPr>
                  <w:tcW w:w="967" w:type="dxa"/>
                  <w:tcBorders>
                    <w:tl2br w:val="nil"/>
                    <w:tr2bl w:val="nil"/>
                  </w:tcBorders>
                  <w:shd w:val="clear" w:color="auto" w:fill="auto"/>
                  <w:tcMar>
                    <w:top w:w="60" w:type="dxa"/>
                    <w:left w:w="120" w:type="dxa"/>
                    <w:bottom w:w="30" w:type="dxa"/>
                    <w:right w:w="120" w:type="dxa"/>
                  </w:tcMar>
                  <w:vAlign w:val="top"/>
                </w:tcPr>
                <w:p w14:paraId="580EA4FF">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项目自身产生，经预处理达标后回用</w:t>
                  </w:r>
                </w:p>
              </w:tc>
              <w:tc>
                <w:tcPr>
                  <w:tcW w:w="1512" w:type="dxa"/>
                  <w:tcBorders>
                    <w:tl2br w:val="nil"/>
                    <w:tr2bl w:val="nil"/>
                  </w:tcBorders>
                  <w:shd w:val="clear" w:color="auto" w:fill="auto"/>
                  <w:tcMar>
                    <w:top w:w="60" w:type="dxa"/>
                    <w:left w:w="120" w:type="dxa"/>
                    <w:bottom w:w="30" w:type="dxa"/>
                    <w:right w:w="120" w:type="dxa"/>
                  </w:tcMar>
                  <w:vAlign w:val="top"/>
                </w:tcPr>
                <w:p w14:paraId="187A830F">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贮存于专用旧砂库，密闭存放</w:t>
                  </w:r>
                </w:p>
              </w:tc>
            </w:tr>
            <w:tr w14:paraId="613E284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0" w:type="dxa"/>
                  <w:bottom w:w="0" w:type="dxa"/>
                  <w:right w:w="0" w:type="dxa"/>
                </w:tblCellMar>
              </w:tblPrEx>
              <w:trPr>
                <w:trHeight w:val="23" w:hRule="atLeast"/>
                <w:jc w:val="center"/>
              </w:trPr>
              <w:tc>
                <w:tcPr>
                  <w:tcW w:w="649" w:type="dxa"/>
                  <w:tcBorders>
                    <w:tl2br w:val="nil"/>
                    <w:tr2bl w:val="nil"/>
                  </w:tcBorders>
                  <w:shd w:val="clear" w:color="auto" w:fill="auto"/>
                  <w:tcMar>
                    <w:top w:w="60" w:type="dxa"/>
                    <w:left w:w="120" w:type="dxa"/>
                    <w:bottom w:w="30" w:type="dxa"/>
                    <w:right w:w="120" w:type="dxa"/>
                  </w:tcMar>
                  <w:vAlign w:val="center"/>
                </w:tcPr>
                <w:p w14:paraId="3652C00A">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6</w:t>
                  </w:r>
                </w:p>
              </w:tc>
              <w:tc>
                <w:tcPr>
                  <w:tcW w:w="1054" w:type="dxa"/>
                  <w:tcBorders>
                    <w:tl2br w:val="nil"/>
                    <w:tr2bl w:val="nil"/>
                  </w:tcBorders>
                  <w:shd w:val="clear" w:color="auto" w:fill="auto"/>
                  <w:tcMar>
                    <w:top w:w="60" w:type="dxa"/>
                    <w:left w:w="120" w:type="dxa"/>
                    <w:bottom w:w="30" w:type="dxa"/>
                    <w:right w:w="120" w:type="dxa"/>
                  </w:tcMar>
                  <w:vAlign w:val="center"/>
                </w:tcPr>
                <w:p w14:paraId="45C3753D">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白粘土</w:t>
                  </w:r>
                </w:p>
              </w:tc>
              <w:tc>
                <w:tcPr>
                  <w:tcW w:w="1583" w:type="dxa"/>
                  <w:tcBorders>
                    <w:tl2br w:val="nil"/>
                    <w:tr2bl w:val="nil"/>
                  </w:tcBorders>
                  <w:shd w:val="clear" w:color="auto" w:fill="auto"/>
                  <w:tcMar>
                    <w:top w:w="60" w:type="dxa"/>
                    <w:left w:w="120" w:type="dxa"/>
                    <w:bottom w:w="30" w:type="dxa"/>
                    <w:right w:w="120" w:type="dxa"/>
                  </w:tcMar>
                  <w:vAlign w:val="center"/>
                </w:tcPr>
                <w:p w14:paraId="4D2BC33E">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粉状，细度均匀，无结块，符合铸造辅料标准</w:t>
                  </w:r>
                </w:p>
              </w:tc>
              <w:tc>
                <w:tcPr>
                  <w:tcW w:w="1783" w:type="dxa"/>
                  <w:tcBorders>
                    <w:tl2br w:val="nil"/>
                    <w:tr2bl w:val="nil"/>
                  </w:tcBorders>
                  <w:shd w:val="clear" w:color="auto" w:fill="auto"/>
                  <w:tcMar>
                    <w:top w:w="60" w:type="dxa"/>
                    <w:left w:w="120" w:type="dxa"/>
                    <w:bottom w:w="30" w:type="dxa"/>
                    <w:right w:w="120" w:type="dxa"/>
                  </w:tcMar>
                  <w:vAlign w:val="center"/>
                </w:tcPr>
                <w:p w14:paraId="722832F0">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辅助粘结剂，改善型砂强度及透气性，用量占干砂总量0.8%</w:t>
                  </w:r>
                </w:p>
              </w:tc>
              <w:tc>
                <w:tcPr>
                  <w:tcW w:w="867" w:type="dxa"/>
                  <w:tcBorders>
                    <w:tl2br w:val="nil"/>
                    <w:tr2bl w:val="nil"/>
                  </w:tcBorders>
                  <w:shd w:val="clear" w:color="auto" w:fill="auto"/>
                  <w:tcMar>
                    <w:top w:w="60" w:type="dxa"/>
                    <w:left w:w="120" w:type="dxa"/>
                    <w:bottom w:w="30" w:type="dxa"/>
                    <w:right w:w="120" w:type="dxa"/>
                  </w:tcMar>
                  <w:vAlign w:val="center"/>
                </w:tcPr>
                <w:p w14:paraId="2077468A">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12t/a</w:t>
                  </w:r>
                </w:p>
              </w:tc>
              <w:tc>
                <w:tcPr>
                  <w:tcW w:w="967" w:type="dxa"/>
                  <w:tcBorders>
                    <w:tl2br w:val="nil"/>
                    <w:tr2bl w:val="nil"/>
                  </w:tcBorders>
                  <w:shd w:val="clear" w:color="auto" w:fill="auto"/>
                  <w:tcMar>
                    <w:top w:w="60" w:type="dxa"/>
                    <w:left w:w="120" w:type="dxa"/>
                    <w:bottom w:w="30" w:type="dxa"/>
                    <w:right w:w="120" w:type="dxa"/>
                  </w:tcMar>
                  <w:vAlign w:val="center"/>
                </w:tcPr>
                <w:p w14:paraId="6CEEE24D">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外购，选用环保型产品，供应商提供产品质量检测报告</w:t>
                  </w:r>
                </w:p>
              </w:tc>
              <w:tc>
                <w:tcPr>
                  <w:tcW w:w="1512" w:type="dxa"/>
                  <w:tcBorders>
                    <w:tl2br w:val="nil"/>
                    <w:tr2bl w:val="nil"/>
                  </w:tcBorders>
                  <w:shd w:val="clear" w:color="auto" w:fill="auto"/>
                  <w:tcMar>
                    <w:top w:w="60" w:type="dxa"/>
                    <w:left w:w="120" w:type="dxa"/>
                    <w:bottom w:w="30" w:type="dxa"/>
                    <w:right w:w="120" w:type="dxa"/>
                  </w:tcMar>
                  <w:vAlign w:val="center"/>
                </w:tcPr>
                <w:p w14:paraId="6798114A">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贮存于密闭式原料仓库，采用防潮包装，放置于干燥通风区域，防止受潮结块</w:t>
                  </w:r>
                </w:p>
              </w:tc>
            </w:tr>
            <w:tr w14:paraId="4C2CF39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0" w:type="dxa"/>
                  <w:bottom w:w="0" w:type="dxa"/>
                  <w:right w:w="0" w:type="dxa"/>
                </w:tblCellMar>
              </w:tblPrEx>
              <w:trPr>
                <w:trHeight w:val="23" w:hRule="atLeast"/>
                <w:jc w:val="center"/>
              </w:trPr>
              <w:tc>
                <w:tcPr>
                  <w:tcW w:w="649" w:type="dxa"/>
                  <w:tcBorders>
                    <w:tl2br w:val="nil"/>
                    <w:tr2bl w:val="nil"/>
                  </w:tcBorders>
                  <w:shd w:val="clear" w:color="auto" w:fill="auto"/>
                  <w:tcMar>
                    <w:top w:w="60" w:type="dxa"/>
                    <w:left w:w="120" w:type="dxa"/>
                    <w:bottom w:w="30" w:type="dxa"/>
                    <w:right w:w="120" w:type="dxa"/>
                  </w:tcMar>
                  <w:vAlign w:val="center"/>
                </w:tcPr>
                <w:p w14:paraId="65F31817">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7</w:t>
                  </w:r>
                </w:p>
              </w:tc>
              <w:tc>
                <w:tcPr>
                  <w:tcW w:w="1054" w:type="dxa"/>
                  <w:tcBorders>
                    <w:tl2br w:val="nil"/>
                    <w:tr2bl w:val="nil"/>
                  </w:tcBorders>
                  <w:shd w:val="clear" w:color="auto" w:fill="auto"/>
                  <w:tcMar>
                    <w:top w:w="60" w:type="dxa"/>
                    <w:left w:w="120" w:type="dxa"/>
                    <w:bottom w:w="30" w:type="dxa"/>
                    <w:right w:w="120" w:type="dxa"/>
                  </w:tcMar>
                  <w:vAlign w:val="center"/>
                </w:tcPr>
                <w:p w14:paraId="699491C3">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膨润土</w:t>
                  </w:r>
                </w:p>
              </w:tc>
              <w:tc>
                <w:tcPr>
                  <w:tcW w:w="1583" w:type="dxa"/>
                  <w:tcBorders>
                    <w:tl2br w:val="nil"/>
                    <w:tr2bl w:val="nil"/>
                  </w:tcBorders>
                  <w:shd w:val="clear" w:color="auto" w:fill="auto"/>
                  <w:tcMar>
                    <w:top w:w="60" w:type="dxa"/>
                    <w:left w:w="120" w:type="dxa"/>
                    <w:bottom w:w="30" w:type="dxa"/>
                    <w:right w:w="120" w:type="dxa"/>
                  </w:tcMar>
                  <w:vAlign w:val="center"/>
                </w:tcPr>
                <w:p w14:paraId="6CA6C488">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辅助粘结剂，提高砂料湿强度及抗夹砂能力，用量占干砂总量1.2%</w:t>
                  </w:r>
                </w:p>
              </w:tc>
              <w:tc>
                <w:tcPr>
                  <w:tcW w:w="1783" w:type="dxa"/>
                  <w:tcBorders>
                    <w:tl2br w:val="nil"/>
                    <w:tr2bl w:val="nil"/>
                  </w:tcBorders>
                  <w:shd w:val="clear" w:color="auto" w:fill="auto"/>
                  <w:tcMar>
                    <w:top w:w="60" w:type="dxa"/>
                    <w:left w:w="120" w:type="dxa"/>
                    <w:bottom w:w="30" w:type="dxa"/>
                    <w:right w:w="120" w:type="dxa"/>
                  </w:tcMar>
                  <w:vAlign w:val="center"/>
                </w:tcPr>
                <w:p w14:paraId="06DFF22F">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铸造专用膨润土，粘性好，耐高温，无有害杂质</w:t>
                  </w:r>
                </w:p>
              </w:tc>
              <w:tc>
                <w:tcPr>
                  <w:tcW w:w="867" w:type="dxa"/>
                  <w:tcBorders>
                    <w:tl2br w:val="nil"/>
                    <w:tr2bl w:val="nil"/>
                  </w:tcBorders>
                  <w:shd w:val="clear" w:color="auto" w:fill="auto"/>
                  <w:tcMar>
                    <w:top w:w="60" w:type="dxa"/>
                    <w:left w:w="120" w:type="dxa"/>
                    <w:bottom w:w="30" w:type="dxa"/>
                    <w:right w:w="120" w:type="dxa"/>
                  </w:tcMar>
                  <w:vAlign w:val="center"/>
                </w:tcPr>
                <w:p w14:paraId="2B2312FE">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18t/a</w:t>
                  </w:r>
                </w:p>
              </w:tc>
              <w:tc>
                <w:tcPr>
                  <w:tcW w:w="967" w:type="dxa"/>
                  <w:tcBorders>
                    <w:tl2br w:val="nil"/>
                    <w:tr2bl w:val="nil"/>
                  </w:tcBorders>
                  <w:shd w:val="clear" w:color="auto" w:fill="auto"/>
                  <w:tcMar>
                    <w:top w:w="60" w:type="dxa"/>
                    <w:left w:w="120" w:type="dxa"/>
                    <w:bottom w:w="30" w:type="dxa"/>
                    <w:right w:w="120" w:type="dxa"/>
                  </w:tcMar>
                  <w:vAlign w:val="center"/>
                </w:tcPr>
                <w:p w14:paraId="05E2BB81">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外购</w:t>
                  </w:r>
                </w:p>
              </w:tc>
              <w:tc>
                <w:tcPr>
                  <w:tcW w:w="1512" w:type="dxa"/>
                  <w:tcBorders>
                    <w:tl2br w:val="nil"/>
                    <w:tr2bl w:val="nil"/>
                  </w:tcBorders>
                  <w:shd w:val="clear" w:color="auto" w:fill="auto"/>
                  <w:tcMar>
                    <w:top w:w="60" w:type="dxa"/>
                    <w:left w:w="120" w:type="dxa"/>
                    <w:bottom w:w="30" w:type="dxa"/>
                    <w:right w:w="120" w:type="dxa"/>
                  </w:tcMar>
                  <w:vAlign w:val="center"/>
                </w:tcPr>
                <w:p w14:paraId="7EF8F24E">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贮存于密闭式原料仓库，采用防潮包装</w:t>
                  </w:r>
                </w:p>
              </w:tc>
            </w:tr>
            <w:tr w14:paraId="3011DC2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0" w:type="dxa"/>
                  <w:bottom w:w="0" w:type="dxa"/>
                  <w:right w:w="0" w:type="dxa"/>
                </w:tblCellMar>
              </w:tblPrEx>
              <w:trPr>
                <w:trHeight w:val="23" w:hRule="atLeast"/>
                <w:jc w:val="center"/>
              </w:trPr>
              <w:tc>
                <w:tcPr>
                  <w:tcW w:w="649" w:type="dxa"/>
                  <w:tcBorders>
                    <w:tl2br w:val="nil"/>
                    <w:tr2bl w:val="nil"/>
                  </w:tcBorders>
                  <w:shd w:val="clear" w:color="auto" w:fill="auto"/>
                  <w:tcMar>
                    <w:top w:w="60" w:type="dxa"/>
                    <w:left w:w="120" w:type="dxa"/>
                    <w:bottom w:w="30" w:type="dxa"/>
                    <w:right w:w="120" w:type="dxa"/>
                  </w:tcMar>
                  <w:vAlign w:val="center"/>
                </w:tcPr>
                <w:p w14:paraId="6EB2A47C">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8</w:t>
                  </w:r>
                </w:p>
              </w:tc>
              <w:tc>
                <w:tcPr>
                  <w:tcW w:w="1054" w:type="dxa"/>
                  <w:tcBorders>
                    <w:tl2br w:val="nil"/>
                    <w:tr2bl w:val="nil"/>
                  </w:tcBorders>
                  <w:shd w:val="clear" w:color="auto" w:fill="auto"/>
                  <w:tcMar>
                    <w:top w:w="60" w:type="dxa"/>
                    <w:left w:w="120" w:type="dxa"/>
                    <w:bottom w:w="30" w:type="dxa"/>
                    <w:right w:w="120" w:type="dxa"/>
                  </w:tcMar>
                  <w:vAlign w:val="center"/>
                </w:tcPr>
                <w:p w14:paraId="67D29D75">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水玻璃（硅酸钠溶液）</w:t>
                  </w:r>
                </w:p>
              </w:tc>
              <w:tc>
                <w:tcPr>
                  <w:tcW w:w="1583" w:type="dxa"/>
                  <w:tcBorders>
                    <w:tl2br w:val="nil"/>
                    <w:tr2bl w:val="nil"/>
                  </w:tcBorders>
                  <w:shd w:val="clear" w:color="auto" w:fill="auto"/>
                  <w:tcMar>
                    <w:top w:w="60" w:type="dxa"/>
                    <w:left w:w="120" w:type="dxa"/>
                    <w:bottom w:w="30" w:type="dxa"/>
                    <w:right w:w="120" w:type="dxa"/>
                  </w:tcMar>
                  <w:vAlign w:val="center"/>
                </w:tcPr>
                <w:p w14:paraId="4FAA37E1">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液态，浓度适中，无明显异味，符合环保要求</w:t>
                  </w:r>
                </w:p>
              </w:tc>
              <w:tc>
                <w:tcPr>
                  <w:tcW w:w="1783" w:type="dxa"/>
                  <w:tcBorders>
                    <w:tl2br w:val="nil"/>
                    <w:tr2bl w:val="nil"/>
                  </w:tcBorders>
                  <w:shd w:val="clear" w:color="auto" w:fill="auto"/>
                  <w:tcMar>
                    <w:top w:w="60" w:type="dxa"/>
                    <w:left w:w="120" w:type="dxa"/>
                    <w:bottom w:w="30" w:type="dxa"/>
                    <w:right w:w="120" w:type="dxa"/>
                  </w:tcMar>
                  <w:vAlign w:val="center"/>
                </w:tcPr>
                <w:p w14:paraId="7DE30829">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湿混专用，起湿润、粘结作用，改善砂料流动性，用量占干砂总量1.8%</w:t>
                  </w:r>
                </w:p>
              </w:tc>
              <w:tc>
                <w:tcPr>
                  <w:tcW w:w="867" w:type="dxa"/>
                  <w:tcBorders>
                    <w:tl2br w:val="nil"/>
                    <w:tr2bl w:val="nil"/>
                  </w:tcBorders>
                  <w:shd w:val="clear" w:color="auto" w:fill="auto"/>
                  <w:tcMar>
                    <w:top w:w="60" w:type="dxa"/>
                    <w:left w:w="120" w:type="dxa"/>
                    <w:bottom w:w="30" w:type="dxa"/>
                    <w:right w:w="120" w:type="dxa"/>
                  </w:tcMar>
                  <w:vAlign w:val="center"/>
                </w:tcPr>
                <w:p w14:paraId="199D76F5">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27t/a</w:t>
                  </w:r>
                </w:p>
              </w:tc>
              <w:tc>
                <w:tcPr>
                  <w:tcW w:w="967" w:type="dxa"/>
                  <w:tcBorders>
                    <w:tl2br w:val="nil"/>
                    <w:tr2bl w:val="nil"/>
                  </w:tcBorders>
                  <w:shd w:val="clear" w:color="auto" w:fill="auto"/>
                  <w:tcMar>
                    <w:top w:w="60" w:type="dxa"/>
                    <w:left w:w="120" w:type="dxa"/>
                    <w:bottom w:w="30" w:type="dxa"/>
                    <w:right w:w="120" w:type="dxa"/>
                  </w:tcMar>
                  <w:vAlign w:val="center"/>
                </w:tcPr>
                <w:p w14:paraId="19BD19A9">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外购，选用低污染、环保型硅酸钠溶液</w:t>
                  </w:r>
                </w:p>
              </w:tc>
              <w:tc>
                <w:tcPr>
                  <w:tcW w:w="1512" w:type="dxa"/>
                  <w:tcBorders>
                    <w:tl2br w:val="nil"/>
                    <w:tr2bl w:val="nil"/>
                  </w:tcBorders>
                  <w:shd w:val="clear" w:color="auto" w:fill="auto"/>
                  <w:tcMar>
                    <w:top w:w="60" w:type="dxa"/>
                    <w:left w:w="120" w:type="dxa"/>
                    <w:bottom w:w="30" w:type="dxa"/>
                    <w:right w:w="120" w:type="dxa"/>
                  </w:tcMar>
                  <w:vAlign w:val="center"/>
                </w:tcPr>
                <w:p w14:paraId="752907DE">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贮存于专用密闭储罐，放置于阴凉通风区域</w:t>
                  </w:r>
                </w:p>
              </w:tc>
            </w:tr>
            <w:tr w14:paraId="2383F4F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0" w:type="dxa"/>
                  <w:bottom w:w="0" w:type="dxa"/>
                  <w:right w:w="0" w:type="dxa"/>
                </w:tblCellMar>
              </w:tblPrEx>
              <w:trPr>
                <w:trHeight w:val="23" w:hRule="atLeast"/>
                <w:jc w:val="center"/>
              </w:trPr>
              <w:tc>
                <w:tcPr>
                  <w:tcW w:w="649" w:type="dxa"/>
                  <w:tcBorders>
                    <w:tl2br w:val="nil"/>
                    <w:tr2bl w:val="nil"/>
                  </w:tcBorders>
                  <w:shd w:val="clear" w:color="auto" w:fill="auto"/>
                  <w:tcMar>
                    <w:top w:w="60" w:type="dxa"/>
                    <w:left w:w="120" w:type="dxa"/>
                    <w:bottom w:w="30" w:type="dxa"/>
                    <w:right w:w="120" w:type="dxa"/>
                  </w:tcMar>
                  <w:vAlign w:val="center"/>
                </w:tcPr>
                <w:p w14:paraId="7D87DA1B">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9</w:t>
                  </w:r>
                </w:p>
              </w:tc>
              <w:tc>
                <w:tcPr>
                  <w:tcW w:w="1054" w:type="dxa"/>
                  <w:tcBorders>
                    <w:tl2br w:val="nil"/>
                    <w:tr2bl w:val="nil"/>
                  </w:tcBorders>
                  <w:shd w:val="clear" w:color="auto" w:fill="auto"/>
                  <w:tcMar>
                    <w:top w:w="60" w:type="dxa"/>
                    <w:left w:w="120" w:type="dxa"/>
                    <w:bottom w:w="30" w:type="dxa"/>
                    <w:right w:w="120" w:type="dxa"/>
                  </w:tcMar>
                  <w:vAlign w:val="center"/>
                </w:tcPr>
                <w:p w14:paraId="1C1F23FC">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脱模剂</w:t>
                  </w:r>
                </w:p>
              </w:tc>
              <w:tc>
                <w:tcPr>
                  <w:tcW w:w="1583" w:type="dxa"/>
                  <w:tcBorders>
                    <w:tl2br w:val="nil"/>
                    <w:tr2bl w:val="nil"/>
                  </w:tcBorders>
                  <w:shd w:val="clear" w:color="auto" w:fill="auto"/>
                  <w:tcMar>
                    <w:top w:w="60" w:type="dxa"/>
                    <w:left w:w="120" w:type="dxa"/>
                    <w:bottom w:w="30" w:type="dxa"/>
                    <w:right w:w="120" w:type="dxa"/>
                  </w:tcMar>
                  <w:vAlign w:val="center"/>
                </w:tcPr>
                <w:p w14:paraId="07949192">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水基脱模剂，不含重金属、苯系物，符合</w:t>
                  </w:r>
                  <w:r>
                    <w:rPr>
                      <w:rFonts w:hint="default" w:ascii="Times New Roman" w:hAnsi="Times New Roman" w:eastAsia="宋体" w:cs="Times New Roman"/>
                      <w:color w:val="auto"/>
                      <w:kern w:val="2"/>
                      <w:sz w:val="21"/>
                      <w:szCs w:val="21"/>
                      <w:lang w:val="en-US" w:eastAsia="zh-CN" w:bidi="ar"/>
                    </w:rPr>
                    <w:t>GB/T 25133-2010</w:t>
                  </w:r>
                </w:p>
              </w:tc>
              <w:tc>
                <w:tcPr>
                  <w:tcW w:w="1783" w:type="dxa"/>
                  <w:tcBorders>
                    <w:tl2br w:val="nil"/>
                    <w:tr2bl w:val="nil"/>
                  </w:tcBorders>
                  <w:shd w:val="clear" w:color="auto" w:fill="auto"/>
                  <w:tcMar>
                    <w:top w:w="60" w:type="dxa"/>
                    <w:left w:w="120" w:type="dxa"/>
                    <w:bottom w:w="30" w:type="dxa"/>
                    <w:right w:w="120" w:type="dxa"/>
                  </w:tcMar>
                  <w:vAlign w:val="center"/>
                </w:tcPr>
                <w:p w14:paraId="5BFD141B">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浇筑前涂抹于</w:t>
                  </w:r>
                  <w:r>
                    <w:rPr>
                      <w:rFonts w:hint="eastAsia" w:ascii="Times New Roman" w:hAnsi="Times New Roman" w:cs="Times New Roman"/>
                      <w:color w:val="auto"/>
                      <w:kern w:val="2"/>
                      <w:sz w:val="21"/>
                      <w:szCs w:val="21"/>
                      <w:lang w:val="en-US" w:eastAsia="zh-CN" w:bidi="ar"/>
                    </w:rPr>
                    <w:t>铁模</w:t>
                  </w:r>
                  <w:r>
                    <w:rPr>
                      <w:rFonts w:hint="eastAsia" w:ascii="Times New Roman" w:hAnsi="Times New Roman" w:eastAsia="宋体" w:cs="Times New Roman"/>
                      <w:color w:val="auto"/>
                      <w:kern w:val="2"/>
                      <w:sz w:val="21"/>
                      <w:szCs w:val="21"/>
                      <w:lang w:val="en-US" w:eastAsia="zh-CN" w:bidi="ar"/>
                    </w:rPr>
                    <w:t>铸型表面，防止铸件与铸型粘连，便于脱模，保护铸件表面质量</w:t>
                  </w:r>
                </w:p>
              </w:tc>
              <w:tc>
                <w:tcPr>
                  <w:tcW w:w="867" w:type="dxa"/>
                  <w:tcBorders>
                    <w:tl2br w:val="nil"/>
                    <w:tr2bl w:val="nil"/>
                  </w:tcBorders>
                  <w:shd w:val="clear" w:color="auto" w:fill="auto"/>
                  <w:tcMar>
                    <w:top w:w="60" w:type="dxa"/>
                    <w:left w:w="120" w:type="dxa"/>
                    <w:bottom w:w="30" w:type="dxa"/>
                    <w:right w:w="120" w:type="dxa"/>
                  </w:tcMar>
                  <w:vAlign w:val="center"/>
                </w:tcPr>
                <w:p w14:paraId="19129701">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5 t/a</w:t>
                  </w:r>
                </w:p>
              </w:tc>
              <w:tc>
                <w:tcPr>
                  <w:tcW w:w="967" w:type="dxa"/>
                  <w:tcBorders>
                    <w:tl2br w:val="nil"/>
                    <w:tr2bl w:val="nil"/>
                  </w:tcBorders>
                  <w:shd w:val="clear" w:color="auto" w:fill="auto"/>
                  <w:tcMar>
                    <w:top w:w="60" w:type="dxa"/>
                    <w:left w:w="120" w:type="dxa"/>
                    <w:bottom w:w="30" w:type="dxa"/>
                    <w:right w:w="120" w:type="dxa"/>
                  </w:tcMar>
                  <w:vAlign w:val="center"/>
                </w:tcPr>
                <w:p w14:paraId="4381322A">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外购</w:t>
                  </w:r>
                </w:p>
              </w:tc>
              <w:tc>
                <w:tcPr>
                  <w:tcW w:w="1512" w:type="dxa"/>
                  <w:tcBorders>
                    <w:tl2br w:val="nil"/>
                    <w:tr2bl w:val="nil"/>
                  </w:tcBorders>
                  <w:shd w:val="clear" w:color="auto" w:fill="auto"/>
                  <w:tcMar>
                    <w:top w:w="60" w:type="dxa"/>
                    <w:left w:w="120" w:type="dxa"/>
                    <w:bottom w:w="30" w:type="dxa"/>
                    <w:right w:w="120" w:type="dxa"/>
                  </w:tcMar>
                  <w:vAlign w:val="center"/>
                </w:tcPr>
                <w:p w14:paraId="21346A39">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贮存于专用密闭储罐，库房单独分区存放</w:t>
                  </w:r>
                </w:p>
              </w:tc>
            </w:tr>
            <w:tr w14:paraId="3A70B69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0" w:type="dxa"/>
                  <w:bottom w:w="0" w:type="dxa"/>
                  <w:right w:w="0" w:type="dxa"/>
                </w:tblCellMar>
              </w:tblPrEx>
              <w:trPr>
                <w:trHeight w:val="23" w:hRule="atLeast"/>
                <w:jc w:val="center"/>
              </w:trPr>
              <w:tc>
                <w:tcPr>
                  <w:tcW w:w="649" w:type="dxa"/>
                  <w:tcBorders>
                    <w:tl2br w:val="nil"/>
                    <w:tr2bl w:val="nil"/>
                  </w:tcBorders>
                  <w:shd w:val="clear" w:color="auto" w:fill="auto"/>
                  <w:tcMar>
                    <w:top w:w="60" w:type="dxa"/>
                    <w:left w:w="120" w:type="dxa"/>
                    <w:bottom w:w="30" w:type="dxa"/>
                    <w:right w:w="120" w:type="dxa"/>
                  </w:tcMar>
                  <w:vAlign w:val="center"/>
                </w:tcPr>
                <w:p w14:paraId="12EEF7AF">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1</w:t>
                  </w:r>
                  <w:r>
                    <w:rPr>
                      <w:rFonts w:hint="eastAsia" w:ascii="Times New Roman" w:hAnsi="Times New Roman" w:cs="Times New Roman"/>
                      <w:color w:val="auto"/>
                      <w:kern w:val="2"/>
                      <w:sz w:val="21"/>
                      <w:szCs w:val="21"/>
                      <w:lang w:val="en-US" w:eastAsia="zh-CN" w:bidi="ar"/>
                    </w:rPr>
                    <w:t>0</w:t>
                  </w:r>
                </w:p>
              </w:tc>
              <w:tc>
                <w:tcPr>
                  <w:tcW w:w="1054" w:type="dxa"/>
                  <w:tcBorders>
                    <w:tl2br w:val="nil"/>
                    <w:tr2bl w:val="nil"/>
                  </w:tcBorders>
                  <w:shd w:val="clear" w:color="auto" w:fill="auto"/>
                  <w:tcMar>
                    <w:top w:w="60" w:type="dxa"/>
                    <w:left w:w="120" w:type="dxa"/>
                    <w:bottom w:w="30" w:type="dxa"/>
                    <w:right w:w="120" w:type="dxa"/>
                  </w:tcMar>
                  <w:vAlign w:val="center"/>
                </w:tcPr>
                <w:p w14:paraId="78F68821">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孕育剂（硅铁）</w:t>
                  </w:r>
                </w:p>
              </w:tc>
              <w:tc>
                <w:tcPr>
                  <w:tcW w:w="1583" w:type="dxa"/>
                  <w:tcBorders>
                    <w:tl2br w:val="nil"/>
                    <w:tr2bl w:val="nil"/>
                  </w:tcBorders>
                  <w:shd w:val="clear" w:color="auto" w:fill="auto"/>
                  <w:tcMar>
                    <w:top w:w="60" w:type="dxa"/>
                    <w:left w:w="120" w:type="dxa"/>
                    <w:bottom w:w="30" w:type="dxa"/>
                    <w:right w:w="120" w:type="dxa"/>
                  </w:tcMar>
                  <w:vAlign w:val="center"/>
                </w:tcPr>
                <w:p w14:paraId="3A5CDC40">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Si</w:t>
                  </w:r>
                  <w:r>
                    <w:rPr>
                      <w:rFonts w:hint="eastAsia" w:ascii="Times New Roman" w:hAnsi="Times New Roman" w:eastAsia="宋体" w:cs="Times New Roman"/>
                      <w:color w:val="auto"/>
                      <w:kern w:val="2"/>
                      <w:sz w:val="21"/>
                      <w:szCs w:val="21"/>
                      <w:lang w:val="en-US" w:eastAsia="zh-CN" w:bidi="ar"/>
                    </w:rPr>
                    <w:t>含量</w:t>
                  </w:r>
                  <w:r>
                    <w:rPr>
                      <w:rFonts w:hint="default" w:ascii="Times New Roman" w:hAnsi="Times New Roman" w:eastAsia="宋体" w:cs="Times New Roman"/>
                      <w:color w:val="auto"/>
                      <w:kern w:val="2"/>
                      <w:sz w:val="21"/>
                      <w:szCs w:val="21"/>
                      <w:lang w:val="en-US" w:eastAsia="zh-CN" w:bidi="ar"/>
                    </w:rPr>
                    <w:t>75%</w:t>
                  </w:r>
                  <w:r>
                    <w:rPr>
                      <w:rFonts w:hint="eastAsia" w:ascii="Times New Roman" w:hAnsi="Times New Roman" w:eastAsia="宋体" w:cs="Times New Roman"/>
                      <w:color w:val="auto"/>
                      <w:kern w:val="2"/>
                      <w:sz w:val="21"/>
                      <w:szCs w:val="21"/>
                      <w:lang w:val="en-US" w:eastAsia="zh-CN" w:bidi="ar"/>
                    </w:rPr>
                    <w:t>，工业级，无杂质，适配铸造工艺要求</w:t>
                  </w:r>
                </w:p>
              </w:tc>
              <w:tc>
                <w:tcPr>
                  <w:tcW w:w="1783" w:type="dxa"/>
                  <w:tcBorders>
                    <w:tl2br w:val="nil"/>
                    <w:tr2bl w:val="nil"/>
                  </w:tcBorders>
                  <w:shd w:val="clear" w:color="auto" w:fill="auto"/>
                  <w:tcMar>
                    <w:top w:w="60" w:type="dxa"/>
                    <w:left w:w="120" w:type="dxa"/>
                    <w:bottom w:w="30" w:type="dxa"/>
                    <w:right w:w="120" w:type="dxa"/>
                  </w:tcMar>
                  <w:vAlign w:val="center"/>
                </w:tcPr>
                <w:p w14:paraId="5168B32E">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改善铸件金相组织，提高铸件力学性能，减少铸件气孔、缩孔等缺陷，适配各类铸件生产</w:t>
                  </w:r>
                </w:p>
              </w:tc>
              <w:tc>
                <w:tcPr>
                  <w:tcW w:w="867" w:type="dxa"/>
                  <w:tcBorders>
                    <w:tl2br w:val="nil"/>
                    <w:tr2bl w:val="nil"/>
                  </w:tcBorders>
                  <w:shd w:val="clear" w:color="auto" w:fill="auto"/>
                  <w:tcMar>
                    <w:top w:w="60" w:type="dxa"/>
                    <w:left w:w="120" w:type="dxa"/>
                    <w:bottom w:w="30" w:type="dxa"/>
                    <w:right w:w="120" w:type="dxa"/>
                  </w:tcMar>
                  <w:vAlign w:val="center"/>
                </w:tcPr>
                <w:p w14:paraId="5D907D9F">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25 t/a</w:t>
                  </w:r>
                </w:p>
              </w:tc>
              <w:tc>
                <w:tcPr>
                  <w:tcW w:w="967" w:type="dxa"/>
                  <w:tcBorders>
                    <w:tl2br w:val="nil"/>
                    <w:tr2bl w:val="nil"/>
                  </w:tcBorders>
                  <w:shd w:val="clear" w:color="auto" w:fill="auto"/>
                  <w:tcMar>
                    <w:top w:w="60" w:type="dxa"/>
                    <w:left w:w="120" w:type="dxa"/>
                    <w:bottom w:w="30" w:type="dxa"/>
                    <w:right w:w="120" w:type="dxa"/>
                  </w:tcMar>
                  <w:vAlign w:val="center"/>
                </w:tcPr>
                <w:p w14:paraId="65E2F4EA">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外购</w:t>
                  </w:r>
                </w:p>
              </w:tc>
              <w:tc>
                <w:tcPr>
                  <w:tcW w:w="1512" w:type="dxa"/>
                  <w:tcBorders>
                    <w:tl2br w:val="nil"/>
                    <w:tr2bl w:val="nil"/>
                  </w:tcBorders>
                  <w:shd w:val="clear" w:color="auto" w:fill="auto"/>
                  <w:tcMar>
                    <w:top w:w="60" w:type="dxa"/>
                    <w:left w:w="120" w:type="dxa"/>
                    <w:bottom w:w="30" w:type="dxa"/>
                    <w:right w:w="120" w:type="dxa"/>
                  </w:tcMar>
                  <w:vAlign w:val="center"/>
                </w:tcPr>
                <w:p w14:paraId="5479EFD5">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浇筑前加入钢液中均匀混合，无有毒有害气体产生，剩余物料密封储存</w:t>
                  </w:r>
                </w:p>
              </w:tc>
            </w:tr>
            <w:tr w14:paraId="1EF2B35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0" w:type="dxa"/>
                  <w:bottom w:w="0" w:type="dxa"/>
                  <w:right w:w="0" w:type="dxa"/>
                </w:tblCellMar>
              </w:tblPrEx>
              <w:trPr>
                <w:trHeight w:val="23" w:hRule="atLeast"/>
                <w:jc w:val="center"/>
              </w:trPr>
              <w:tc>
                <w:tcPr>
                  <w:tcW w:w="649" w:type="dxa"/>
                  <w:tcBorders>
                    <w:tl2br w:val="nil"/>
                    <w:tr2bl w:val="nil"/>
                  </w:tcBorders>
                  <w:shd w:val="clear" w:color="auto" w:fill="auto"/>
                  <w:tcMar>
                    <w:top w:w="60" w:type="dxa"/>
                    <w:left w:w="120" w:type="dxa"/>
                    <w:bottom w:w="30" w:type="dxa"/>
                    <w:right w:w="120" w:type="dxa"/>
                  </w:tcMar>
                  <w:vAlign w:val="center"/>
                </w:tcPr>
                <w:p w14:paraId="08CC9EAC">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1</w:t>
                  </w:r>
                  <w:r>
                    <w:rPr>
                      <w:rFonts w:hint="eastAsia" w:ascii="Times New Roman" w:hAnsi="Times New Roman" w:cs="Times New Roman"/>
                      <w:color w:val="auto"/>
                      <w:kern w:val="2"/>
                      <w:sz w:val="21"/>
                      <w:szCs w:val="21"/>
                      <w:lang w:val="en-US" w:eastAsia="zh-CN" w:bidi="ar"/>
                    </w:rPr>
                    <w:t>1</w:t>
                  </w:r>
                </w:p>
              </w:tc>
              <w:tc>
                <w:tcPr>
                  <w:tcW w:w="1054" w:type="dxa"/>
                  <w:tcBorders>
                    <w:tl2br w:val="nil"/>
                    <w:tr2bl w:val="nil"/>
                  </w:tcBorders>
                  <w:shd w:val="clear" w:color="auto" w:fill="auto"/>
                  <w:tcMar>
                    <w:top w:w="60" w:type="dxa"/>
                    <w:left w:w="120" w:type="dxa"/>
                    <w:bottom w:w="30" w:type="dxa"/>
                    <w:right w:w="120" w:type="dxa"/>
                  </w:tcMar>
                  <w:vAlign w:val="center"/>
                </w:tcPr>
                <w:p w14:paraId="1045BBAF">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球化剂（稀土镁合金）</w:t>
                  </w:r>
                </w:p>
              </w:tc>
              <w:tc>
                <w:tcPr>
                  <w:tcW w:w="1583" w:type="dxa"/>
                  <w:tcBorders>
                    <w:tl2br w:val="nil"/>
                    <w:tr2bl w:val="nil"/>
                  </w:tcBorders>
                  <w:shd w:val="clear" w:color="auto" w:fill="auto"/>
                  <w:tcMar>
                    <w:top w:w="60" w:type="dxa"/>
                    <w:left w:w="120" w:type="dxa"/>
                    <w:bottom w:w="30" w:type="dxa"/>
                    <w:right w:w="120" w:type="dxa"/>
                  </w:tcMar>
                  <w:vAlign w:val="center"/>
                </w:tcPr>
                <w:p w14:paraId="22D276A4">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Mg</w:t>
                  </w:r>
                  <w:r>
                    <w:rPr>
                      <w:rFonts w:hint="eastAsia" w:ascii="Times New Roman" w:hAnsi="Times New Roman" w:eastAsia="宋体" w:cs="Times New Roman"/>
                      <w:color w:val="auto"/>
                      <w:kern w:val="2"/>
                      <w:sz w:val="21"/>
                      <w:szCs w:val="21"/>
                      <w:lang w:val="en-US" w:eastAsia="zh-CN" w:bidi="ar"/>
                    </w:rPr>
                    <w:t>含量</w:t>
                  </w:r>
                  <w:r>
                    <w:rPr>
                      <w:rFonts w:hint="eastAsia" w:ascii="Times New Roman" w:hAnsi="Times New Roman" w:cs="Times New Roman"/>
                      <w:color w:val="auto"/>
                      <w:kern w:val="2"/>
                      <w:sz w:val="21"/>
                      <w:szCs w:val="21"/>
                      <w:lang w:val="en-US" w:eastAsia="zh-CN" w:bidi="ar"/>
                    </w:rPr>
                    <w:t>8%—10%</w:t>
                  </w:r>
                  <w:r>
                    <w:rPr>
                      <w:rFonts w:hint="eastAsia" w:ascii="Times New Roman" w:hAnsi="Times New Roman" w:eastAsia="宋体" w:cs="Times New Roman"/>
                      <w:color w:val="auto"/>
                      <w:kern w:val="2"/>
                      <w:sz w:val="21"/>
                      <w:szCs w:val="21"/>
                      <w:lang w:val="en-US" w:eastAsia="zh-CN" w:bidi="ar"/>
                    </w:rPr>
                    <w:t>，稀土含量</w:t>
                  </w:r>
                  <w:r>
                    <w:rPr>
                      <w:rFonts w:hint="eastAsia" w:ascii="Times New Roman" w:hAnsi="Times New Roman" w:cs="Times New Roman"/>
                      <w:color w:val="auto"/>
                      <w:kern w:val="2"/>
                      <w:sz w:val="21"/>
                      <w:szCs w:val="21"/>
                      <w:lang w:val="en-US" w:eastAsia="zh-CN" w:bidi="ar"/>
                    </w:rPr>
                    <w:t>2%—3%</w:t>
                  </w:r>
                  <w:r>
                    <w:rPr>
                      <w:rFonts w:hint="eastAsia" w:ascii="Times New Roman" w:hAnsi="Times New Roman" w:eastAsia="宋体" w:cs="Times New Roman"/>
                      <w:color w:val="auto"/>
                      <w:kern w:val="2"/>
                      <w:sz w:val="21"/>
                      <w:szCs w:val="21"/>
                      <w:lang w:val="en-US" w:eastAsia="zh-CN" w:bidi="ar"/>
                    </w:rPr>
                    <w:t>，工业级，适配耐磨铸件球化要求</w:t>
                  </w:r>
                </w:p>
              </w:tc>
              <w:tc>
                <w:tcPr>
                  <w:tcW w:w="1783" w:type="dxa"/>
                  <w:tcBorders>
                    <w:tl2br w:val="nil"/>
                    <w:tr2bl w:val="nil"/>
                  </w:tcBorders>
                  <w:shd w:val="clear" w:color="auto" w:fill="auto"/>
                  <w:tcMar>
                    <w:top w:w="60" w:type="dxa"/>
                    <w:left w:w="120" w:type="dxa"/>
                    <w:bottom w:w="30" w:type="dxa"/>
                    <w:right w:w="120" w:type="dxa"/>
                  </w:tcMar>
                  <w:vAlign w:val="center"/>
                </w:tcPr>
                <w:p w14:paraId="6C5F0937">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专门用于磨球等耐磨材料铸件生产，使铸件球化，显著提高铸件耐磨性和韧性</w:t>
                  </w:r>
                </w:p>
              </w:tc>
              <w:tc>
                <w:tcPr>
                  <w:tcW w:w="867" w:type="dxa"/>
                  <w:tcBorders>
                    <w:tl2br w:val="nil"/>
                    <w:tr2bl w:val="nil"/>
                  </w:tcBorders>
                  <w:shd w:val="clear" w:color="auto" w:fill="auto"/>
                  <w:tcMar>
                    <w:top w:w="60" w:type="dxa"/>
                    <w:left w:w="120" w:type="dxa"/>
                    <w:bottom w:w="30" w:type="dxa"/>
                    <w:right w:w="120" w:type="dxa"/>
                  </w:tcMar>
                  <w:vAlign w:val="center"/>
                </w:tcPr>
                <w:p w14:paraId="39795EA8">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20 t/a</w:t>
                  </w:r>
                </w:p>
              </w:tc>
              <w:tc>
                <w:tcPr>
                  <w:tcW w:w="967" w:type="dxa"/>
                  <w:tcBorders>
                    <w:tl2br w:val="nil"/>
                    <w:tr2bl w:val="nil"/>
                  </w:tcBorders>
                  <w:shd w:val="clear" w:color="auto" w:fill="auto"/>
                  <w:tcMar>
                    <w:top w:w="60" w:type="dxa"/>
                    <w:left w:w="120" w:type="dxa"/>
                    <w:bottom w:w="30" w:type="dxa"/>
                    <w:right w:w="120" w:type="dxa"/>
                  </w:tcMar>
                  <w:vAlign w:val="center"/>
                </w:tcPr>
                <w:p w14:paraId="54058378">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外购</w:t>
                  </w:r>
                </w:p>
              </w:tc>
              <w:tc>
                <w:tcPr>
                  <w:tcW w:w="1512" w:type="dxa"/>
                  <w:tcBorders>
                    <w:tl2br w:val="nil"/>
                    <w:tr2bl w:val="nil"/>
                  </w:tcBorders>
                  <w:shd w:val="clear" w:color="auto" w:fill="auto"/>
                  <w:tcMar>
                    <w:top w:w="60" w:type="dxa"/>
                    <w:left w:w="120" w:type="dxa"/>
                    <w:bottom w:w="30" w:type="dxa"/>
                    <w:right w:w="120" w:type="dxa"/>
                  </w:tcMar>
                  <w:vAlign w:val="center"/>
                </w:tcPr>
                <w:p w14:paraId="702FB87D">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仅用于耐磨材料铸件（磨球）生产，按需添加，储存于防潮库房，避免受潮失效</w:t>
                  </w:r>
                </w:p>
              </w:tc>
            </w:tr>
            <w:tr w14:paraId="2073511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0" w:type="dxa"/>
                  <w:bottom w:w="0" w:type="dxa"/>
                  <w:right w:w="0" w:type="dxa"/>
                </w:tblCellMar>
              </w:tblPrEx>
              <w:trPr>
                <w:trHeight w:val="23" w:hRule="atLeast"/>
                <w:jc w:val="center"/>
              </w:trPr>
              <w:tc>
                <w:tcPr>
                  <w:tcW w:w="649" w:type="dxa"/>
                  <w:tcBorders>
                    <w:tl2br w:val="nil"/>
                    <w:tr2bl w:val="nil"/>
                  </w:tcBorders>
                  <w:shd w:val="clear" w:color="auto" w:fill="auto"/>
                  <w:tcMar>
                    <w:top w:w="60" w:type="dxa"/>
                    <w:left w:w="120" w:type="dxa"/>
                    <w:bottom w:w="30" w:type="dxa"/>
                    <w:right w:w="120" w:type="dxa"/>
                  </w:tcMar>
                  <w:vAlign w:val="center"/>
                </w:tcPr>
                <w:p w14:paraId="79032227">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1</w:t>
                  </w:r>
                  <w:r>
                    <w:rPr>
                      <w:rFonts w:hint="eastAsia" w:ascii="Times New Roman" w:hAnsi="Times New Roman" w:cs="Times New Roman"/>
                      <w:color w:val="auto"/>
                      <w:kern w:val="2"/>
                      <w:sz w:val="21"/>
                      <w:szCs w:val="21"/>
                      <w:lang w:val="en-US" w:eastAsia="zh-CN" w:bidi="ar"/>
                    </w:rPr>
                    <w:t>2</w:t>
                  </w:r>
                </w:p>
              </w:tc>
              <w:tc>
                <w:tcPr>
                  <w:tcW w:w="1054" w:type="dxa"/>
                  <w:tcBorders>
                    <w:tl2br w:val="nil"/>
                    <w:tr2bl w:val="nil"/>
                  </w:tcBorders>
                  <w:shd w:val="clear" w:color="auto" w:fill="auto"/>
                  <w:tcMar>
                    <w:top w:w="60" w:type="dxa"/>
                    <w:left w:w="120" w:type="dxa"/>
                    <w:bottom w:w="30" w:type="dxa"/>
                    <w:right w:w="120" w:type="dxa"/>
                  </w:tcMar>
                  <w:vAlign w:val="center"/>
                </w:tcPr>
                <w:p w14:paraId="4BC41EE4">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淬火油</w:t>
                  </w:r>
                </w:p>
              </w:tc>
              <w:tc>
                <w:tcPr>
                  <w:tcW w:w="1583" w:type="dxa"/>
                  <w:tcBorders>
                    <w:tl2br w:val="nil"/>
                    <w:tr2bl w:val="nil"/>
                  </w:tcBorders>
                  <w:shd w:val="clear" w:color="auto" w:fill="auto"/>
                  <w:tcMar>
                    <w:top w:w="60" w:type="dxa"/>
                    <w:left w:w="120" w:type="dxa"/>
                    <w:bottom w:w="30" w:type="dxa"/>
                    <w:right w:w="120" w:type="dxa"/>
                  </w:tcMar>
                  <w:vAlign w:val="center"/>
                </w:tcPr>
                <w:p w14:paraId="37EAE20C">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淬火油是一种工艺用油，用于金属材料淬火工艺</w:t>
                  </w:r>
                </w:p>
              </w:tc>
              <w:tc>
                <w:tcPr>
                  <w:tcW w:w="1783" w:type="dxa"/>
                  <w:tcBorders>
                    <w:tl2br w:val="nil"/>
                    <w:tr2bl w:val="nil"/>
                  </w:tcBorders>
                  <w:shd w:val="clear" w:color="auto" w:fill="auto"/>
                  <w:tcMar>
                    <w:top w:w="60" w:type="dxa"/>
                    <w:left w:w="120" w:type="dxa"/>
                    <w:bottom w:w="30" w:type="dxa"/>
                    <w:right w:w="120" w:type="dxa"/>
                  </w:tcMar>
                  <w:vAlign w:val="center"/>
                </w:tcPr>
                <w:p w14:paraId="3B86DD5D">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用于金属材料淬火工艺</w:t>
                  </w:r>
                </w:p>
              </w:tc>
              <w:tc>
                <w:tcPr>
                  <w:tcW w:w="867" w:type="dxa"/>
                  <w:tcBorders>
                    <w:tl2br w:val="nil"/>
                    <w:tr2bl w:val="nil"/>
                  </w:tcBorders>
                  <w:shd w:val="clear" w:color="auto" w:fill="auto"/>
                  <w:tcMar>
                    <w:top w:w="60" w:type="dxa"/>
                    <w:left w:w="120" w:type="dxa"/>
                    <w:bottom w:w="30" w:type="dxa"/>
                    <w:right w:w="120" w:type="dxa"/>
                  </w:tcMar>
                  <w:vAlign w:val="center"/>
                </w:tcPr>
                <w:p w14:paraId="21520F61">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1.5t/a（补充量）</w:t>
                  </w:r>
                </w:p>
              </w:tc>
              <w:tc>
                <w:tcPr>
                  <w:tcW w:w="967" w:type="dxa"/>
                  <w:tcBorders>
                    <w:tl2br w:val="nil"/>
                    <w:tr2bl w:val="nil"/>
                  </w:tcBorders>
                  <w:shd w:val="clear" w:color="auto" w:fill="auto"/>
                  <w:tcMar>
                    <w:top w:w="60" w:type="dxa"/>
                    <w:left w:w="120" w:type="dxa"/>
                    <w:bottom w:w="30" w:type="dxa"/>
                    <w:right w:w="120" w:type="dxa"/>
                  </w:tcMar>
                  <w:vAlign w:val="center"/>
                </w:tcPr>
                <w:p w14:paraId="14B66728">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外购</w:t>
                  </w:r>
                </w:p>
              </w:tc>
              <w:tc>
                <w:tcPr>
                  <w:tcW w:w="1512" w:type="dxa"/>
                  <w:tcBorders>
                    <w:tl2br w:val="nil"/>
                    <w:tr2bl w:val="nil"/>
                  </w:tcBorders>
                  <w:shd w:val="clear" w:color="auto" w:fill="auto"/>
                  <w:tcMar>
                    <w:top w:w="60" w:type="dxa"/>
                    <w:left w:w="120" w:type="dxa"/>
                    <w:bottom w:w="30" w:type="dxa"/>
                    <w:right w:w="120" w:type="dxa"/>
                  </w:tcMar>
                  <w:vAlign w:val="center"/>
                </w:tcPr>
                <w:p w14:paraId="75C18ACE">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按需添加，储存于专用库房</w:t>
                  </w:r>
                </w:p>
              </w:tc>
            </w:tr>
            <w:tr w14:paraId="57A7DB0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0" w:type="dxa"/>
                  <w:bottom w:w="0" w:type="dxa"/>
                  <w:right w:w="0" w:type="dxa"/>
                </w:tblCellMar>
              </w:tblPrEx>
              <w:trPr>
                <w:trHeight w:val="23" w:hRule="atLeast"/>
                <w:jc w:val="center"/>
              </w:trPr>
              <w:tc>
                <w:tcPr>
                  <w:tcW w:w="649" w:type="dxa"/>
                  <w:tcBorders>
                    <w:tl2br w:val="nil"/>
                    <w:tr2bl w:val="nil"/>
                  </w:tcBorders>
                  <w:shd w:val="clear" w:color="auto" w:fill="auto"/>
                  <w:tcMar>
                    <w:top w:w="60" w:type="dxa"/>
                    <w:left w:w="120" w:type="dxa"/>
                    <w:bottom w:w="30" w:type="dxa"/>
                    <w:right w:w="120" w:type="dxa"/>
                  </w:tcMar>
                  <w:vAlign w:val="center"/>
                </w:tcPr>
                <w:p w14:paraId="00A037D9">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1</w:t>
                  </w:r>
                  <w:r>
                    <w:rPr>
                      <w:rFonts w:hint="eastAsia" w:ascii="Times New Roman" w:hAnsi="Times New Roman" w:cs="Times New Roman"/>
                      <w:color w:val="auto"/>
                      <w:kern w:val="2"/>
                      <w:sz w:val="21"/>
                      <w:szCs w:val="21"/>
                      <w:lang w:val="en-US" w:eastAsia="zh-CN" w:bidi="ar"/>
                    </w:rPr>
                    <w:t>3</w:t>
                  </w:r>
                </w:p>
              </w:tc>
              <w:tc>
                <w:tcPr>
                  <w:tcW w:w="1054" w:type="dxa"/>
                  <w:tcBorders>
                    <w:tl2br w:val="nil"/>
                    <w:tr2bl w:val="nil"/>
                  </w:tcBorders>
                  <w:shd w:val="clear" w:color="auto" w:fill="auto"/>
                  <w:tcMar>
                    <w:top w:w="60" w:type="dxa"/>
                    <w:left w:w="120" w:type="dxa"/>
                    <w:bottom w:w="30" w:type="dxa"/>
                    <w:right w:w="120" w:type="dxa"/>
                  </w:tcMar>
                  <w:vAlign w:val="center"/>
                </w:tcPr>
                <w:p w14:paraId="1D95C827">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铁水包</w:t>
                  </w:r>
                </w:p>
              </w:tc>
              <w:tc>
                <w:tcPr>
                  <w:tcW w:w="1583" w:type="dxa"/>
                  <w:tcBorders>
                    <w:tl2br w:val="nil"/>
                    <w:tr2bl w:val="nil"/>
                  </w:tcBorders>
                  <w:shd w:val="clear" w:color="auto" w:fill="auto"/>
                  <w:tcMar>
                    <w:top w:w="60" w:type="dxa"/>
                    <w:left w:w="120" w:type="dxa"/>
                    <w:bottom w:w="30" w:type="dxa"/>
                    <w:right w:w="120" w:type="dxa"/>
                  </w:tcMar>
                  <w:vAlign w:val="center"/>
                </w:tcPr>
                <w:p w14:paraId="354F9FF5">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1t</w:t>
                  </w:r>
                </w:p>
              </w:tc>
              <w:tc>
                <w:tcPr>
                  <w:tcW w:w="1783" w:type="dxa"/>
                  <w:tcBorders>
                    <w:tl2br w:val="nil"/>
                    <w:tr2bl w:val="nil"/>
                  </w:tcBorders>
                  <w:shd w:val="clear" w:color="auto" w:fill="auto"/>
                  <w:tcMar>
                    <w:top w:w="60" w:type="dxa"/>
                    <w:left w:w="120" w:type="dxa"/>
                    <w:bottom w:w="30" w:type="dxa"/>
                    <w:right w:w="120" w:type="dxa"/>
                  </w:tcMar>
                  <w:vAlign w:val="center"/>
                </w:tcPr>
                <w:p w14:paraId="5842A2F5">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在熔炼炉前承接高温铁液</w:t>
                  </w:r>
                </w:p>
              </w:tc>
              <w:tc>
                <w:tcPr>
                  <w:tcW w:w="867" w:type="dxa"/>
                  <w:tcBorders>
                    <w:tl2br w:val="nil"/>
                    <w:tr2bl w:val="nil"/>
                  </w:tcBorders>
                  <w:shd w:val="clear" w:color="auto" w:fill="auto"/>
                  <w:tcMar>
                    <w:top w:w="60" w:type="dxa"/>
                    <w:left w:w="120" w:type="dxa"/>
                    <w:bottom w:w="30" w:type="dxa"/>
                    <w:right w:w="120" w:type="dxa"/>
                  </w:tcMar>
                  <w:vAlign w:val="center"/>
                </w:tcPr>
                <w:p w14:paraId="3C84149E">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4个</w:t>
                  </w:r>
                </w:p>
              </w:tc>
              <w:tc>
                <w:tcPr>
                  <w:tcW w:w="967" w:type="dxa"/>
                  <w:tcBorders>
                    <w:tl2br w:val="nil"/>
                    <w:tr2bl w:val="nil"/>
                  </w:tcBorders>
                  <w:shd w:val="clear" w:color="auto" w:fill="auto"/>
                  <w:tcMar>
                    <w:top w:w="60" w:type="dxa"/>
                    <w:left w:w="120" w:type="dxa"/>
                    <w:bottom w:w="30" w:type="dxa"/>
                    <w:right w:w="120" w:type="dxa"/>
                  </w:tcMar>
                  <w:vAlign w:val="center"/>
                </w:tcPr>
                <w:p w14:paraId="24AEF92B">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外购</w:t>
                  </w:r>
                </w:p>
              </w:tc>
              <w:tc>
                <w:tcPr>
                  <w:tcW w:w="1512" w:type="dxa"/>
                  <w:tcBorders>
                    <w:tl2br w:val="nil"/>
                    <w:tr2bl w:val="nil"/>
                  </w:tcBorders>
                  <w:shd w:val="clear" w:color="auto" w:fill="auto"/>
                  <w:tcMar>
                    <w:top w:w="60" w:type="dxa"/>
                    <w:left w:w="120" w:type="dxa"/>
                    <w:bottom w:w="30" w:type="dxa"/>
                    <w:right w:w="120" w:type="dxa"/>
                  </w:tcMar>
                  <w:vAlign w:val="center"/>
                </w:tcPr>
                <w:p w14:paraId="325B5E02">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w:t>
                  </w:r>
                </w:p>
              </w:tc>
            </w:tr>
            <w:tr w14:paraId="3E14B9C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0" w:type="dxa"/>
                  <w:bottom w:w="0" w:type="dxa"/>
                  <w:right w:w="0" w:type="dxa"/>
                </w:tblCellMar>
              </w:tblPrEx>
              <w:trPr>
                <w:trHeight w:val="23" w:hRule="atLeast"/>
                <w:jc w:val="center"/>
              </w:trPr>
              <w:tc>
                <w:tcPr>
                  <w:tcW w:w="649" w:type="dxa"/>
                  <w:tcBorders>
                    <w:tl2br w:val="nil"/>
                    <w:tr2bl w:val="nil"/>
                  </w:tcBorders>
                  <w:shd w:val="clear" w:color="auto" w:fill="auto"/>
                  <w:tcMar>
                    <w:top w:w="60" w:type="dxa"/>
                    <w:left w:w="120" w:type="dxa"/>
                    <w:bottom w:w="30" w:type="dxa"/>
                    <w:right w:w="120" w:type="dxa"/>
                  </w:tcMar>
                  <w:vAlign w:val="center"/>
                </w:tcPr>
                <w:p w14:paraId="5686C3A7">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1</w:t>
                  </w:r>
                  <w:r>
                    <w:rPr>
                      <w:rFonts w:hint="eastAsia" w:ascii="Times New Roman" w:hAnsi="Times New Roman" w:cs="Times New Roman"/>
                      <w:color w:val="auto"/>
                      <w:kern w:val="2"/>
                      <w:sz w:val="21"/>
                      <w:szCs w:val="21"/>
                      <w:lang w:val="en-US" w:eastAsia="zh-CN" w:bidi="ar"/>
                    </w:rPr>
                    <w:t>4</w:t>
                  </w:r>
                </w:p>
              </w:tc>
              <w:tc>
                <w:tcPr>
                  <w:tcW w:w="1054" w:type="dxa"/>
                  <w:tcBorders>
                    <w:tl2br w:val="nil"/>
                    <w:tr2bl w:val="nil"/>
                  </w:tcBorders>
                  <w:shd w:val="clear" w:color="auto" w:fill="auto"/>
                  <w:tcMar>
                    <w:top w:w="60" w:type="dxa"/>
                    <w:left w:w="120" w:type="dxa"/>
                    <w:bottom w:w="30" w:type="dxa"/>
                    <w:right w:w="120" w:type="dxa"/>
                  </w:tcMar>
                  <w:vAlign w:val="center"/>
                </w:tcPr>
                <w:p w14:paraId="1C8C7538">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电力</w:t>
                  </w:r>
                </w:p>
              </w:tc>
              <w:tc>
                <w:tcPr>
                  <w:tcW w:w="1583" w:type="dxa"/>
                  <w:tcBorders>
                    <w:tl2br w:val="nil"/>
                    <w:tr2bl w:val="nil"/>
                  </w:tcBorders>
                  <w:shd w:val="clear" w:color="auto" w:fill="auto"/>
                  <w:tcMar>
                    <w:top w:w="60" w:type="dxa"/>
                    <w:left w:w="120" w:type="dxa"/>
                    <w:bottom w:w="30" w:type="dxa"/>
                    <w:right w:w="120" w:type="dxa"/>
                  </w:tcMar>
                  <w:vAlign w:val="center"/>
                </w:tcPr>
                <w:p w14:paraId="5DB2F831">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工业用电，</w:t>
                  </w:r>
                  <w:r>
                    <w:rPr>
                      <w:rFonts w:hint="default" w:ascii="Times New Roman" w:hAnsi="Times New Roman" w:eastAsia="宋体" w:cs="Times New Roman"/>
                      <w:color w:val="auto"/>
                      <w:kern w:val="2"/>
                      <w:sz w:val="21"/>
                      <w:szCs w:val="21"/>
                      <w:lang w:val="en-US" w:eastAsia="zh-CN" w:bidi="ar"/>
                    </w:rPr>
                    <w:t>380V/220V</w:t>
                  </w:r>
                  <w:r>
                    <w:rPr>
                      <w:rFonts w:hint="eastAsia" w:ascii="Times New Roman" w:hAnsi="Times New Roman" w:eastAsia="宋体" w:cs="Times New Roman"/>
                      <w:color w:val="auto"/>
                      <w:kern w:val="2"/>
                      <w:sz w:val="21"/>
                      <w:szCs w:val="21"/>
                      <w:lang w:val="en-US" w:eastAsia="zh-CN" w:bidi="ar"/>
                    </w:rPr>
                    <w:t>，稳定供电，适配生产设备需求</w:t>
                  </w:r>
                </w:p>
              </w:tc>
              <w:tc>
                <w:tcPr>
                  <w:tcW w:w="1783" w:type="dxa"/>
                  <w:tcBorders>
                    <w:tl2br w:val="nil"/>
                    <w:tr2bl w:val="nil"/>
                  </w:tcBorders>
                  <w:shd w:val="clear" w:color="auto" w:fill="auto"/>
                  <w:tcMar>
                    <w:top w:w="60" w:type="dxa"/>
                    <w:left w:w="120" w:type="dxa"/>
                    <w:bottom w:w="30" w:type="dxa"/>
                    <w:right w:w="120" w:type="dxa"/>
                  </w:tcMar>
                  <w:vAlign w:val="center"/>
                </w:tcPr>
                <w:p w14:paraId="12204209">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供熔炼炉、砂制备、铸件加工、通风除尘等设备运行，保障</w:t>
                  </w:r>
                  <w:r>
                    <w:rPr>
                      <w:rFonts w:hint="eastAsia" w:ascii="Times New Roman" w:hAnsi="Times New Roman" w:cs="Times New Roman"/>
                      <w:color w:val="auto"/>
                      <w:kern w:val="2"/>
                      <w:sz w:val="21"/>
                      <w:szCs w:val="21"/>
                      <w:lang w:val="en-US" w:eastAsia="zh-CN" w:bidi="ar"/>
                    </w:rPr>
                    <w:t>铁模覆砂</w:t>
                  </w:r>
                  <w:r>
                    <w:rPr>
                      <w:rFonts w:hint="eastAsia" w:ascii="Times New Roman" w:hAnsi="Times New Roman" w:eastAsia="宋体" w:cs="Times New Roman"/>
                      <w:color w:val="auto"/>
                      <w:kern w:val="2"/>
                      <w:sz w:val="21"/>
                      <w:szCs w:val="21"/>
                      <w:lang w:val="en-US" w:eastAsia="zh-CN" w:bidi="ar"/>
                    </w:rPr>
                    <w:t>工艺顺畅开展</w:t>
                  </w:r>
                </w:p>
              </w:tc>
              <w:tc>
                <w:tcPr>
                  <w:tcW w:w="867" w:type="dxa"/>
                  <w:tcBorders>
                    <w:tl2br w:val="nil"/>
                    <w:tr2bl w:val="nil"/>
                  </w:tcBorders>
                  <w:shd w:val="clear" w:color="auto" w:fill="auto"/>
                  <w:tcMar>
                    <w:top w:w="60" w:type="dxa"/>
                    <w:left w:w="120" w:type="dxa"/>
                    <w:bottom w:w="30" w:type="dxa"/>
                    <w:right w:w="120" w:type="dxa"/>
                  </w:tcMar>
                  <w:vAlign w:val="center"/>
                </w:tcPr>
                <w:p w14:paraId="017F7494">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650</w:t>
                  </w:r>
                  <w:r>
                    <w:rPr>
                      <w:rFonts w:hint="eastAsia" w:ascii="Times New Roman" w:hAnsi="Times New Roman" w:eastAsia="宋体" w:cs="Times New Roman"/>
                      <w:color w:val="auto"/>
                      <w:kern w:val="2"/>
                      <w:sz w:val="21"/>
                      <w:szCs w:val="21"/>
                      <w:lang w:val="en-US" w:eastAsia="zh-CN" w:bidi="ar"/>
                    </w:rPr>
                    <w:t>万</w:t>
                  </w:r>
                  <w:r>
                    <w:rPr>
                      <w:rFonts w:hint="default" w:ascii="Times New Roman" w:hAnsi="Times New Roman" w:eastAsia="宋体" w:cs="Times New Roman"/>
                      <w:color w:val="auto"/>
                      <w:kern w:val="2"/>
                      <w:sz w:val="21"/>
                      <w:szCs w:val="21"/>
                      <w:lang w:val="en-US" w:eastAsia="zh-CN" w:bidi="ar"/>
                    </w:rPr>
                    <w:t>kWh/a</w:t>
                  </w:r>
                </w:p>
              </w:tc>
              <w:tc>
                <w:tcPr>
                  <w:tcW w:w="967" w:type="dxa"/>
                  <w:tcBorders>
                    <w:tl2br w:val="nil"/>
                    <w:tr2bl w:val="nil"/>
                  </w:tcBorders>
                  <w:shd w:val="clear" w:color="auto" w:fill="auto"/>
                  <w:tcMar>
                    <w:top w:w="60" w:type="dxa"/>
                    <w:left w:w="120" w:type="dxa"/>
                    <w:bottom w:w="30" w:type="dxa"/>
                    <w:right w:w="120" w:type="dxa"/>
                  </w:tcMar>
                  <w:vAlign w:val="center"/>
                </w:tcPr>
                <w:p w14:paraId="57617D84">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铁力市电网，符合工业用电标准</w:t>
                  </w:r>
                </w:p>
              </w:tc>
              <w:tc>
                <w:tcPr>
                  <w:tcW w:w="1512" w:type="dxa"/>
                  <w:tcBorders>
                    <w:tl2br w:val="nil"/>
                    <w:tr2bl w:val="nil"/>
                  </w:tcBorders>
                  <w:shd w:val="clear" w:color="auto" w:fill="auto"/>
                  <w:tcMar>
                    <w:top w:w="60" w:type="dxa"/>
                    <w:left w:w="120" w:type="dxa"/>
                    <w:bottom w:w="30" w:type="dxa"/>
                    <w:right w:w="120" w:type="dxa"/>
                  </w:tcMar>
                  <w:vAlign w:val="center"/>
                </w:tcPr>
                <w:p w14:paraId="3E3DA085">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设备选用节能型，降低能耗</w:t>
                  </w:r>
                </w:p>
              </w:tc>
            </w:tr>
          </w:tbl>
          <w:p w14:paraId="4E33F17E">
            <w:pPr>
              <w:keepNext w:val="0"/>
              <w:keepLines w:val="0"/>
              <w:widowControl w:val="0"/>
              <w:suppressLineNumbers w:val="0"/>
              <w:spacing w:before="36" w:beforeAutospacing="0" w:after="0" w:afterAutospacing="0"/>
              <w:ind w:left="591" w:right="0"/>
              <w:jc w:val="both"/>
              <w:rPr>
                <w:rFonts w:hint="default" w:ascii="Times New Roman" w:hAnsi="Times New Roman" w:eastAsia="宋体" w:cs="Times New Roman"/>
                <w:color w:val="auto"/>
                <w:spacing w:val="3"/>
                <w:kern w:val="2"/>
                <w:sz w:val="23"/>
                <w:szCs w:val="23"/>
              </w:rPr>
            </w:pPr>
            <w:r>
              <w:rPr>
                <w:rFonts w:hint="default" w:ascii="Times New Roman" w:hAnsi="Times New Roman" w:eastAsia="宋体" w:cs="Times New Roman"/>
                <w:color w:val="auto"/>
                <w:spacing w:val="6"/>
                <w:kern w:val="2"/>
                <w:sz w:val="23"/>
                <w:szCs w:val="23"/>
                <w:lang w:val="en-US" w:eastAsia="zh-CN" w:bidi="ar"/>
              </w:rPr>
              <w:t>主要</w:t>
            </w:r>
            <w:r>
              <w:rPr>
                <w:rFonts w:hint="default" w:ascii="Times New Roman" w:hAnsi="Times New Roman" w:eastAsia="宋体" w:cs="Times New Roman"/>
                <w:color w:val="auto"/>
                <w:spacing w:val="5"/>
                <w:kern w:val="2"/>
                <w:sz w:val="23"/>
                <w:szCs w:val="23"/>
                <w:lang w:val="en-US" w:eastAsia="zh-CN" w:bidi="ar"/>
              </w:rPr>
              <w:t>物</w:t>
            </w:r>
            <w:r>
              <w:rPr>
                <w:rFonts w:hint="default" w:ascii="Times New Roman" w:hAnsi="Times New Roman" w:eastAsia="宋体" w:cs="Times New Roman"/>
                <w:color w:val="auto"/>
                <w:spacing w:val="3"/>
                <w:kern w:val="2"/>
                <w:sz w:val="23"/>
                <w:szCs w:val="23"/>
                <w:lang w:val="en-US" w:eastAsia="zh-CN" w:bidi="ar"/>
              </w:rPr>
              <w:t>质理化性质见下表2-</w:t>
            </w:r>
            <w:r>
              <w:rPr>
                <w:rFonts w:hint="eastAsia" w:ascii="Times New Roman" w:hAnsi="Times New Roman" w:cs="Times New Roman"/>
                <w:color w:val="auto"/>
                <w:spacing w:val="3"/>
                <w:kern w:val="2"/>
                <w:sz w:val="23"/>
                <w:szCs w:val="23"/>
                <w:lang w:val="en-US" w:eastAsia="zh-CN" w:bidi="ar"/>
              </w:rPr>
              <w:t>7</w:t>
            </w:r>
            <w:r>
              <w:rPr>
                <w:rFonts w:hint="default" w:ascii="Times New Roman" w:hAnsi="Times New Roman" w:eastAsia="宋体" w:cs="Times New Roman"/>
                <w:color w:val="auto"/>
                <w:spacing w:val="3"/>
                <w:kern w:val="2"/>
                <w:sz w:val="23"/>
                <w:szCs w:val="23"/>
                <w:lang w:val="en-US" w:eastAsia="zh-CN" w:bidi="ar"/>
              </w:rPr>
              <w:t>。</w:t>
            </w:r>
          </w:p>
          <w:p w14:paraId="3391A715">
            <w:pPr>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表2-</w:t>
            </w:r>
            <w:r>
              <w:rPr>
                <w:rFonts w:hint="eastAsia" w:ascii="Times New Roman" w:hAnsi="Times New Roman" w:cs="Times New Roman"/>
                <w:b/>
                <w:color w:val="auto"/>
                <w:szCs w:val="21"/>
                <w:highlight w:val="none"/>
                <w:lang w:val="en-US" w:eastAsia="zh-CN"/>
              </w:rPr>
              <w:t>7</w:t>
            </w:r>
            <w:r>
              <w:rPr>
                <w:rFonts w:hint="default" w:ascii="Times New Roman" w:hAnsi="Times New Roman" w:eastAsia="宋体" w:cs="Times New Roman"/>
                <w:b/>
                <w:color w:val="auto"/>
                <w:szCs w:val="21"/>
                <w:highlight w:val="none"/>
                <w:lang w:val="en-US" w:eastAsia="zh-CN"/>
              </w:rPr>
              <w:t xml:space="preserve"> 主要原辅材料理化性质</w:t>
            </w:r>
          </w:p>
          <w:tbl>
            <w:tblPr>
              <w:tblStyle w:val="56"/>
              <w:tblW w:w="496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1702"/>
              <w:gridCol w:w="3269"/>
              <w:gridCol w:w="1683"/>
              <w:gridCol w:w="1800"/>
            </w:tblGrid>
            <w:tr w14:paraId="75743D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40" w:hRule="atLeast"/>
                <w:jc w:val="center"/>
              </w:trPr>
              <w:tc>
                <w:tcPr>
                  <w:tcW w:w="1702"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79310861">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b/>
                      <w:bCs/>
                      <w:color w:val="auto"/>
                      <w:kern w:val="2"/>
                      <w:sz w:val="21"/>
                      <w:szCs w:val="21"/>
                      <w:lang w:val="en-US" w:eastAsia="zh-CN" w:bidi="ar"/>
                    </w:rPr>
                  </w:pPr>
                  <w:r>
                    <w:rPr>
                      <w:rFonts w:hint="eastAsia" w:ascii="Times New Roman" w:hAnsi="Times New Roman" w:eastAsia="宋体" w:cs="Times New Roman"/>
                      <w:b/>
                      <w:bCs/>
                      <w:color w:val="auto"/>
                      <w:kern w:val="2"/>
                      <w:sz w:val="21"/>
                      <w:szCs w:val="21"/>
                      <w:lang w:val="en-US" w:eastAsia="zh-CN" w:bidi="ar"/>
                    </w:rPr>
                    <w:t>物料名称</w:t>
                  </w:r>
                </w:p>
              </w:tc>
              <w:tc>
                <w:tcPr>
                  <w:tcW w:w="3269"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667DC631">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b/>
                      <w:bCs/>
                      <w:color w:val="auto"/>
                      <w:kern w:val="2"/>
                      <w:sz w:val="21"/>
                      <w:szCs w:val="21"/>
                      <w:lang w:val="en-US" w:eastAsia="zh-CN" w:bidi="ar"/>
                    </w:rPr>
                  </w:pPr>
                  <w:r>
                    <w:rPr>
                      <w:rFonts w:hint="eastAsia" w:ascii="Times New Roman" w:hAnsi="Times New Roman" w:eastAsia="宋体" w:cs="Times New Roman"/>
                      <w:b/>
                      <w:bCs/>
                      <w:color w:val="auto"/>
                      <w:kern w:val="2"/>
                      <w:sz w:val="21"/>
                      <w:szCs w:val="21"/>
                      <w:lang w:val="en-US" w:eastAsia="zh-CN" w:bidi="ar"/>
                    </w:rPr>
                    <w:t>理化性质</w:t>
                  </w:r>
                </w:p>
              </w:tc>
              <w:tc>
                <w:tcPr>
                  <w:tcW w:w="1683"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12981784">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b/>
                      <w:bCs/>
                      <w:color w:val="auto"/>
                      <w:kern w:val="2"/>
                      <w:sz w:val="21"/>
                      <w:szCs w:val="21"/>
                      <w:lang w:val="en-US" w:eastAsia="zh-CN" w:bidi="ar"/>
                    </w:rPr>
                  </w:pPr>
                  <w:r>
                    <w:rPr>
                      <w:rFonts w:hint="eastAsia" w:ascii="Times New Roman" w:hAnsi="Times New Roman" w:eastAsia="宋体" w:cs="Times New Roman"/>
                      <w:b/>
                      <w:bCs/>
                      <w:color w:val="auto"/>
                      <w:kern w:val="2"/>
                      <w:sz w:val="21"/>
                      <w:szCs w:val="21"/>
                      <w:lang w:val="en-US" w:eastAsia="zh-CN" w:bidi="ar"/>
                    </w:rPr>
                    <w:t>燃烧爆炸性</w:t>
                  </w:r>
                </w:p>
              </w:tc>
              <w:tc>
                <w:tcPr>
                  <w:tcW w:w="1800"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0AA814C4">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b/>
                      <w:bCs/>
                      <w:color w:val="auto"/>
                      <w:kern w:val="2"/>
                      <w:sz w:val="21"/>
                      <w:szCs w:val="21"/>
                      <w:lang w:val="en-US" w:eastAsia="zh-CN" w:bidi="ar"/>
                    </w:rPr>
                  </w:pPr>
                  <w:r>
                    <w:rPr>
                      <w:rFonts w:hint="eastAsia" w:ascii="Times New Roman" w:hAnsi="Times New Roman" w:eastAsia="宋体" w:cs="Times New Roman"/>
                      <w:b/>
                      <w:bCs/>
                      <w:color w:val="auto"/>
                      <w:kern w:val="2"/>
                      <w:sz w:val="21"/>
                      <w:szCs w:val="21"/>
                      <w:lang w:val="en-US" w:eastAsia="zh-CN" w:bidi="ar"/>
                    </w:rPr>
                    <w:t>毒理性质</w:t>
                  </w:r>
                </w:p>
              </w:tc>
            </w:tr>
            <w:tr w14:paraId="3D02BD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40" w:hRule="atLeast"/>
                <w:jc w:val="center"/>
              </w:trPr>
              <w:tc>
                <w:tcPr>
                  <w:tcW w:w="1702"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112AFAD2">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生铁边角余料</w:t>
                  </w:r>
                </w:p>
              </w:tc>
              <w:tc>
                <w:tcPr>
                  <w:tcW w:w="3269"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7EB4F227">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灰黑块状，C2.11%–4.3%，密度7.2–7.5 g/cm³，熔点1100–1200℃，不燃不爆</w:t>
                  </w:r>
                </w:p>
              </w:tc>
              <w:tc>
                <w:tcPr>
                  <w:tcW w:w="1683"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43784B7D">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不燃不爆；高温熔融遇水突沸、喷溅</w:t>
                  </w:r>
                </w:p>
              </w:tc>
              <w:tc>
                <w:tcPr>
                  <w:tcW w:w="1800"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185B693B">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基本无毒；粉尘长期吸入致尘肺</w:t>
                  </w:r>
                </w:p>
              </w:tc>
            </w:tr>
            <w:tr w14:paraId="0D78A7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40" w:hRule="atLeast"/>
                <w:jc w:val="center"/>
              </w:trPr>
              <w:tc>
                <w:tcPr>
                  <w:tcW w:w="1702"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101F8CA6">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废钢</w:t>
                  </w:r>
                </w:p>
              </w:tc>
              <w:tc>
                <w:tcPr>
                  <w:tcW w:w="3269"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5C918E4F">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灰黑块状，C&lt;2.0%，密度7.8g/cm³ 左右，不燃不爆</w:t>
                  </w:r>
                </w:p>
              </w:tc>
              <w:tc>
                <w:tcPr>
                  <w:tcW w:w="1683"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09845254">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不燃不爆；高温遇水突沸、喷溅</w:t>
                  </w:r>
                </w:p>
              </w:tc>
              <w:tc>
                <w:tcPr>
                  <w:tcW w:w="1800"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3EA5077A">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基本无毒；粉尘长期吸入致尘肺</w:t>
                  </w:r>
                </w:p>
              </w:tc>
            </w:tr>
            <w:tr w14:paraId="6CC921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40" w:hRule="atLeast"/>
                <w:jc w:val="center"/>
              </w:trPr>
              <w:tc>
                <w:tcPr>
                  <w:tcW w:w="1702"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6C511505">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不锈钢边角料</w:t>
                  </w:r>
                </w:p>
              </w:tc>
              <w:tc>
                <w:tcPr>
                  <w:tcW w:w="3269"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282A3236">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银白/棕白，含Cr≥10.5%、Ni、Mo 等，密度7.9–8.0g/cm³，不燃不爆</w:t>
                  </w:r>
                </w:p>
              </w:tc>
              <w:tc>
                <w:tcPr>
                  <w:tcW w:w="1683"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4E4B7E7B">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不燃不爆；高温遇水突沸、喷溅</w:t>
                  </w:r>
                </w:p>
              </w:tc>
              <w:tc>
                <w:tcPr>
                  <w:tcW w:w="1800"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0DE03430">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基本无毒；粉尘长期吸入致尘肺</w:t>
                  </w:r>
                </w:p>
              </w:tc>
            </w:tr>
            <w:tr w14:paraId="5B6151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40" w:hRule="atLeast"/>
                <w:jc w:val="center"/>
              </w:trPr>
              <w:tc>
                <w:tcPr>
                  <w:tcW w:w="1702"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483F71F9">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合金料（Cr/Mn/Ni/Mo）</w:t>
                  </w:r>
                </w:p>
              </w:tc>
              <w:tc>
                <w:tcPr>
                  <w:tcW w:w="3269"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65616F86">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银灰/银白，金属光泽，密度6.7–8.9g/cm³，熔点1370–2620℃，不燃不爆</w:t>
                  </w:r>
                </w:p>
              </w:tc>
              <w:tc>
                <w:tcPr>
                  <w:tcW w:w="1683"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6897AC91">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不燃不爆；粉末遇强氧化剂可燃</w:t>
                  </w:r>
                </w:p>
              </w:tc>
              <w:tc>
                <w:tcPr>
                  <w:tcW w:w="1800"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17FA7942">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基本无毒；粉尘长期吸入致金属烟雾热、尘肺</w:t>
                  </w:r>
                </w:p>
              </w:tc>
            </w:tr>
            <w:tr w14:paraId="567897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40" w:hRule="atLeast"/>
                <w:jc w:val="center"/>
              </w:trPr>
              <w:tc>
                <w:tcPr>
                  <w:tcW w:w="1702"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3246DB9C">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旧</w:t>
                  </w:r>
                </w:p>
              </w:tc>
              <w:tc>
                <w:tcPr>
                  <w:tcW w:w="3269"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0FF6BDE6">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石英</w:t>
                  </w:r>
                  <w:r>
                    <w:rPr>
                      <w:rFonts w:hint="eastAsia" w:ascii="Times New Roman" w:hAnsi="Times New Roman" w:cs="Times New Roman"/>
                      <w:color w:val="auto"/>
                      <w:kern w:val="2"/>
                      <w:sz w:val="21"/>
                      <w:szCs w:val="21"/>
                      <w:lang w:val="en-US" w:eastAsia="zh-CN" w:bidi="ar"/>
                    </w:rPr>
                    <w:t>砂</w:t>
                  </w:r>
                  <w:r>
                    <w:rPr>
                      <w:rFonts w:hint="eastAsia" w:ascii="Times New Roman" w:hAnsi="Times New Roman" w:eastAsia="宋体" w:cs="Times New Roman"/>
                      <w:color w:val="auto"/>
                      <w:kern w:val="2"/>
                      <w:sz w:val="21"/>
                      <w:szCs w:val="21"/>
                      <w:lang w:val="en-US" w:eastAsia="zh-CN" w:bidi="ar"/>
                    </w:rPr>
                    <w:t>，灰褐粉状，吸湿结块</w:t>
                  </w:r>
                </w:p>
              </w:tc>
              <w:tc>
                <w:tcPr>
                  <w:tcW w:w="1683"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54C4507F">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不燃不爆；粉尘飞扬</w:t>
                  </w:r>
                </w:p>
              </w:tc>
              <w:tc>
                <w:tcPr>
                  <w:tcW w:w="1800"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56B033B0">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粉尘刺激呼吸道；含微量游离SiO₂</w:t>
                  </w:r>
                </w:p>
              </w:tc>
            </w:tr>
            <w:tr w14:paraId="752183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40" w:hRule="atLeast"/>
                <w:jc w:val="center"/>
              </w:trPr>
              <w:tc>
                <w:tcPr>
                  <w:tcW w:w="1702"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6F1E1166">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白粘土（高岭土）</w:t>
                  </w:r>
                </w:p>
              </w:tc>
              <w:tc>
                <w:tcPr>
                  <w:tcW w:w="3269"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7C02BD2D">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白色粉末，Al₂O₃・2SiO₂・2H₂O，不溶于水，pH 6–7，密度 2.58–2.65 g/cm³</w:t>
                  </w:r>
                </w:p>
              </w:tc>
              <w:tc>
                <w:tcPr>
                  <w:tcW w:w="1683"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26A749AA">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不燃不爆</w:t>
                  </w:r>
                </w:p>
              </w:tc>
              <w:tc>
                <w:tcPr>
                  <w:tcW w:w="1800"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3C4929D2">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基本无毒；粉尘刺激呼吸道</w:t>
                  </w:r>
                </w:p>
              </w:tc>
            </w:tr>
            <w:tr w14:paraId="67015D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40" w:hRule="atLeast"/>
                <w:jc w:val="center"/>
              </w:trPr>
              <w:tc>
                <w:tcPr>
                  <w:tcW w:w="1702"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5CAC26E0">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膨润土</w:t>
                  </w:r>
                </w:p>
              </w:tc>
              <w:tc>
                <w:tcPr>
                  <w:tcW w:w="3269"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6DEC6B4A">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蒙脱石为主，灰白/粉，吸水膨胀，胶体性，密度2.0–2.7g/cm³</w:t>
                  </w:r>
                </w:p>
              </w:tc>
              <w:tc>
                <w:tcPr>
                  <w:tcW w:w="1683"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1E3B0D12">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不燃不爆</w:t>
                  </w:r>
                </w:p>
              </w:tc>
              <w:tc>
                <w:tcPr>
                  <w:tcW w:w="1800"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62B7D400">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基本无毒；粉尘刺激呼吸道</w:t>
                  </w:r>
                </w:p>
              </w:tc>
            </w:tr>
            <w:tr w14:paraId="5697B2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40" w:hRule="atLeast"/>
                <w:jc w:val="center"/>
              </w:trPr>
              <w:tc>
                <w:tcPr>
                  <w:tcW w:w="1702"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6A285317">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玻璃水（硅酸钠溶液）</w:t>
                  </w:r>
                </w:p>
              </w:tc>
              <w:tc>
                <w:tcPr>
                  <w:tcW w:w="3269"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2FB9DDF1">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无色透明粘稠液，模数2.0–3.5，pH 10–12，强碱性</w:t>
                  </w:r>
                </w:p>
              </w:tc>
              <w:tc>
                <w:tcPr>
                  <w:tcW w:w="1683"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5E716827">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不燃不爆</w:t>
                  </w:r>
                </w:p>
              </w:tc>
              <w:tc>
                <w:tcPr>
                  <w:tcW w:w="1800"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7D58E289">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碱性腐蚀皮肤/眼；误服致消化道灼伤</w:t>
                  </w:r>
                </w:p>
              </w:tc>
            </w:tr>
            <w:tr w14:paraId="72138D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40" w:hRule="atLeast"/>
                <w:jc w:val="center"/>
              </w:trPr>
              <w:tc>
                <w:tcPr>
                  <w:tcW w:w="1702"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140AE707">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脱模剂</w:t>
                  </w:r>
                </w:p>
              </w:tc>
              <w:tc>
                <w:tcPr>
                  <w:tcW w:w="3269"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5723485C">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主要成分为高级脂肪酸、表面活性剂、石油溶剂、水，不属于易燃液体，使用安全性高</w:t>
                  </w:r>
                </w:p>
              </w:tc>
              <w:tc>
                <w:tcPr>
                  <w:tcW w:w="1683"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5C20636D">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不易燃</w:t>
                  </w:r>
                </w:p>
              </w:tc>
              <w:tc>
                <w:tcPr>
                  <w:tcW w:w="1800"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0BF9FBC8">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低毒；刺激皮肤/眼；通风不良致头晕</w:t>
                  </w:r>
                </w:p>
              </w:tc>
            </w:tr>
            <w:tr w14:paraId="7666D8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40" w:hRule="atLeast"/>
                <w:jc w:val="center"/>
              </w:trPr>
              <w:tc>
                <w:tcPr>
                  <w:tcW w:w="1702"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2EE178C8">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孕育剂（硅铁）</w:t>
                  </w:r>
                </w:p>
              </w:tc>
              <w:tc>
                <w:tcPr>
                  <w:tcW w:w="3269"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14F718A9">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灰黑颗粒，FeSi₂，不溶于水，密度4.75 g/cm³，熔点～1360℃</w:t>
                  </w:r>
                </w:p>
              </w:tc>
              <w:tc>
                <w:tcPr>
                  <w:tcW w:w="1683"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4F909A61">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不燃不爆</w:t>
                  </w:r>
                </w:p>
              </w:tc>
              <w:tc>
                <w:tcPr>
                  <w:tcW w:w="1800"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070B1387">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粉尘刺激呼吸道；误服致胃肠不适</w:t>
                  </w:r>
                </w:p>
              </w:tc>
            </w:tr>
            <w:tr w14:paraId="132769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40" w:hRule="atLeast"/>
                <w:jc w:val="center"/>
              </w:trPr>
              <w:tc>
                <w:tcPr>
                  <w:tcW w:w="1702"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2350C212">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球化剂（稀土镁合金）</w:t>
                  </w:r>
                </w:p>
              </w:tc>
              <w:tc>
                <w:tcPr>
                  <w:tcW w:w="3269"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1F41DC01">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灰黑颗粒，Mg+RE+Si+Fe，遇水放 H₂，高温反应剧烈</w:t>
                  </w:r>
                </w:p>
              </w:tc>
              <w:tc>
                <w:tcPr>
                  <w:tcW w:w="1683"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67C349CC">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遇湿易燃；高温遇氧可燃</w:t>
                  </w:r>
                </w:p>
              </w:tc>
              <w:tc>
                <w:tcPr>
                  <w:tcW w:w="1800"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4F12B416">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粉尘刺激呼吸道；镁烟致金属烟雾热</w:t>
                  </w:r>
                </w:p>
              </w:tc>
            </w:tr>
            <w:tr w14:paraId="17B924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40" w:hRule="atLeast"/>
                <w:jc w:val="center"/>
              </w:trPr>
              <w:tc>
                <w:tcPr>
                  <w:tcW w:w="1702"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5A0B304D">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淬火油</w:t>
                  </w:r>
                </w:p>
              </w:tc>
              <w:tc>
                <w:tcPr>
                  <w:tcW w:w="3269"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7A772B80">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矿物油基，闪点170–230℃，运动粘度18–107 mm²/s</w:t>
                  </w:r>
                  <w:r>
                    <w:rPr>
                      <w:rFonts w:hint="eastAsia" w:ascii="Times New Roman" w:hAnsi="Times New Roman" w:cs="Times New Roman"/>
                      <w:color w:val="auto"/>
                      <w:kern w:val="2"/>
                      <w:sz w:val="21"/>
                      <w:szCs w:val="21"/>
                      <w:lang w:val="en-US" w:eastAsia="zh-CN" w:bidi="ar"/>
                    </w:rPr>
                    <w:t>（</w:t>
                  </w:r>
                  <w:r>
                    <w:rPr>
                      <w:rFonts w:hint="eastAsia" w:ascii="Times New Roman" w:hAnsi="Times New Roman" w:eastAsia="宋体" w:cs="Times New Roman"/>
                      <w:color w:val="auto"/>
                      <w:kern w:val="2"/>
                      <w:sz w:val="21"/>
                      <w:szCs w:val="21"/>
                      <w:lang w:val="en-US" w:eastAsia="zh-CN" w:bidi="ar"/>
                    </w:rPr>
                    <w:t>40℃</w:t>
                  </w:r>
                  <w:r>
                    <w:rPr>
                      <w:rFonts w:hint="eastAsia" w:ascii="Times New Roman" w:hAnsi="Times New Roman" w:cs="Times New Roman"/>
                      <w:color w:val="auto"/>
                      <w:kern w:val="2"/>
                      <w:sz w:val="21"/>
                      <w:szCs w:val="21"/>
                      <w:lang w:val="en-US" w:eastAsia="zh-CN" w:bidi="ar"/>
                    </w:rPr>
                    <w:t>）</w:t>
                  </w:r>
                  <w:r>
                    <w:rPr>
                      <w:rFonts w:hint="eastAsia" w:ascii="Times New Roman" w:hAnsi="Times New Roman" w:eastAsia="宋体" w:cs="Times New Roman"/>
                      <w:color w:val="auto"/>
                      <w:kern w:val="2"/>
                      <w:sz w:val="21"/>
                      <w:szCs w:val="21"/>
                      <w:lang w:val="en-US" w:eastAsia="zh-CN" w:bidi="ar"/>
                    </w:rPr>
                    <w:t>，高温油烟</w:t>
                  </w:r>
                </w:p>
              </w:tc>
              <w:tc>
                <w:tcPr>
                  <w:tcW w:w="1683"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48F598F4">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可燃；高温明火可燃；油烟可爆</w:t>
                  </w:r>
                </w:p>
              </w:tc>
              <w:tc>
                <w:tcPr>
                  <w:tcW w:w="1800" w:type="dxa"/>
                  <w:tcBorders>
                    <w:top w:val="single" w:color="000000" w:sz="6" w:space="0"/>
                    <w:left w:val="single" w:color="000000" w:sz="6" w:space="0"/>
                    <w:bottom w:val="single" w:color="000000" w:sz="6" w:space="0"/>
                    <w:right w:val="single" w:color="000000" w:sz="6" w:space="0"/>
                  </w:tcBorders>
                  <w:shd w:val="clear" w:color="auto" w:fill="auto"/>
                  <w:noWrap/>
                  <w:vAlign w:val="center"/>
                </w:tcPr>
                <w:p w14:paraId="56FB2EA6">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吸入油烟刺激呼吸道；长期暴露</w:t>
                  </w:r>
                  <w:r>
                    <w:rPr>
                      <w:rFonts w:hint="eastAsia" w:ascii="Times New Roman" w:hAnsi="Times New Roman" w:cs="Times New Roman"/>
                      <w:color w:val="auto"/>
                      <w:kern w:val="2"/>
                      <w:sz w:val="21"/>
                      <w:szCs w:val="21"/>
                      <w:lang w:val="en-US" w:eastAsia="zh-CN" w:bidi="ar"/>
                    </w:rPr>
                    <w:t>增加</w:t>
                  </w:r>
                  <w:r>
                    <w:rPr>
                      <w:rFonts w:hint="eastAsia" w:ascii="Times New Roman" w:hAnsi="Times New Roman" w:eastAsia="宋体" w:cs="Times New Roman"/>
                      <w:color w:val="auto"/>
                      <w:kern w:val="2"/>
                      <w:sz w:val="21"/>
                      <w:szCs w:val="21"/>
                      <w:lang w:val="en-US" w:eastAsia="zh-CN" w:bidi="ar"/>
                    </w:rPr>
                    <w:t>健康风险</w:t>
                  </w:r>
                </w:p>
              </w:tc>
            </w:tr>
          </w:tbl>
          <w:p w14:paraId="41063CE2">
            <w:pPr>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w:t>
            </w:r>
            <w:r>
              <w:rPr>
                <w:rFonts w:hint="eastAsia" w:ascii="Times New Roman" w:hAnsi="Times New Roman" w:eastAsia="宋体" w:cs="Times New Roman"/>
                <w:b/>
                <w:color w:val="auto"/>
                <w:szCs w:val="21"/>
                <w:highlight w:val="none"/>
                <w:lang w:val="en-US" w:eastAsia="zh-CN"/>
              </w:rPr>
              <w:t>2-</w:t>
            </w:r>
            <w:r>
              <w:rPr>
                <w:rFonts w:hint="eastAsia" w:ascii="Times New Roman" w:hAnsi="Times New Roman" w:cs="Times New Roman"/>
                <w:b/>
                <w:color w:val="auto"/>
                <w:szCs w:val="21"/>
                <w:highlight w:val="none"/>
                <w:lang w:val="en-US" w:eastAsia="zh-CN"/>
              </w:rPr>
              <w:t>8</w:t>
            </w:r>
            <w:r>
              <w:rPr>
                <w:rFonts w:hint="default" w:ascii="Times New Roman" w:hAnsi="Times New Roman" w:eastAsia="宋体" w:cs="Times New Roman"/>
                <w:b/>
                <w:color w:val="auto"/>
                <w:szCs w:val="21"/>
                <w:highlight w:val="none"/>
                <w:lang w:val="en-US" w:eastAsia="zh-CN"/>
              </w:rPr>
              <w:t xml:space="preserve"> 产品原辅助材料消耗情况一览表</w:t>
            </w:r>
          </w:p>
          <w:tbl>
            <w:tblPr>
              <w:tblStyle w:val="384"/>
              <w:tblW w:w="494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69"/>
              <w:gridCol w:w="1783"/>
              <w:gridCol w:w="2056"/>
              <w:gridCol w:w="2019"/>
              <w:gridCol w:w="1761"/>
            </w:tblGrid>
            <w:tr w14:paraId="6A6FFC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8" w:hRule="atLeast"/>
                <w:jc w:val="center"/>
              </w:trPr>
              <w:tc>
                <w:tcPr>
                  <w:tcW w:w="772" w:type="dxa"/>
                  <w:vMerge w:val="restart"/>
                  <w:tcBorders>
                    <w:bottom w:val="nil"/>
                  </w:tcBorders>
                  <w:vAlign w:val="center"/>
                </w:tcPr>
                <w:p w14:paraId="371B450E">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b/>
                      <w:bCs/>
                      <w:color w:val="auto"/>
                      <w:kern w:val="2"/>
                      <w:sz w:val="21"/>
                      <w:szCs w:val="21"/>
                      <w:lang w:val="en-US" w:eastAsia="zh-CN" w:bidi="ar"/>
                    </w:rPr>
                  </w:pPr>
                  <w:r>
                    <w:rPr>
                      <w:rFonts w:hint="eastAsia" w:ascii="Times New Roman" w:hAnsi="Times New Roman" w:eastAsia="宋体" w:cs="Times New Roman"/>
                      <w:b/>
                      <w:bCs/>
                      <w:color w:val="auto"/>
                      <w:kern w:val="2"/>
                      <w:sz w:val="21"/>
                      <w:szCs w:val="21"/>
                      <w:lang w:val="en-US" w:eastAsia="zh-CN" w:bidi="ar"/>
                    </w:rPr>
                    <w:t>序号</w:t>
                  </w:r>
                </w:p>
              </w:tc>
              <w:tc>
                <w:tcPr>
                  <w:tcW w:w="3857" w:type="dxa"/>
                  <w:gridSpan w:val="2"/>
                  <w:vAlign w:val="center"/>
                </w:tcPr>
                <w:p w14:paraId="40D83F00">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b/>
                      <w:bCs/>
                      <w:color w:val="auto"/>
                      <w:kern w:val="2"/>
                      <w:sz w:val="21"/>
                      <w:szCs w:val="21"/>
                      <w:lang w:val="en-US" w:eastAsia="zh-CN" w:bidi="ar"/>
                    </w:rPr>
                  </w:pPr>
                  <w:r>
                    <w:rPr>
                      <w:rFonts w:hint="eastAsia" w:ascii="Times New Roman" w:hAnsi="Times New Roman" w:eastAsia="宋体" w:cs="Times New Roman"/>
                      <w:b/>
                      <w:bCs/>
                      <w:color w:val="auto"/>
                      <w:kern w:val="2"/>
                      <w:sz w:val="21"/>
                      <w:szCs w:val="21"/>
                      <w:lang w:val="en-US" w:eastAsia="zh-CN" w:bidi="ar"/>
                    </w:rPr>
                    <w:t>投入项</w:t>
                  </w:r>
                </w:p>
              </w:tc>
              <w:tc>
                <w:tcPr>
                  <w:tcW w:w="3798" w:type="dxa"/>
                  <w:gridSpan w:val="2"/>
                  <w:vAlign w:val="center"/>
                </w:tcPr>
                <w:p w14:paraId="1E38A20A">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b/>
                      <w:bCs/>
                      <w:color w:val="auto"/>
                      <w:kern w:val="2"/>
                      <w:sz w:val="21"/>
                      <w:szCs w:val="21"/>
                      <w:lang w:val="en-US" w:eastAsia="zh-CN" w:bidi="ar"/>
                    </w:rPr>
                  </w:pPr>
                  <w:r>
                    <w:rPr>
                      <w:rFonts w:hint="eastAsia" w:ascii="Times New Roman" w:hAnsi="Times New Roman" w:eastAsia="宋体" w:cs="Times New Roman"/>
                      <w:b/>
                      <w:bCs/>
                      <w:color w:val="auto"/>
                      <w:kern w:val="2"/>
                      <w:sz w:val="21"/>
                      <w:szCs w:val="21"/>
                      <w:lang w:val="en-US" w:eastAsia="zh-CN" w:bidi="ar"/>
                    </w:rPr>
                    <w:t>产出项</w:t>
                  </w:r>
                </w:p>
              </w:tc>
            </w:tr>
            <w:tr w14:paraId="036E47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0" w:hRule="atLeast"/>
                <w:jc w:val="center"/>
              </w:trPr>
              <w:tc>
                <w:tcPr>
                  <w:tcW w:w="772" w:type="dxa"/>
                  <w:vMerge w:val="continue"/>
                  <w:tcBorders>
                    <w:top w:val="nil"/>
                  </w:tcBorders>
                  <w:vAlign w:val="center"/>
                </w:tcPr>
                <w:p w14:paraId="36B700C0">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b/>
                      <w:bCs/>
                      <w:color w:val="auto"/>
                      <w:kern w:val="2"/>
                      <w:sz w:val="21"/>
                      <w:szCs w:val="21"/>
                      <w:lang w:val="en-US" w:eastAsia="zh-CN" w:bidi="ar"/>
                    </w:rPr>
                  </w:pPr>
                </w:p>
              </w:tc>
              <w:tc>
                <w:tcPr>
                  <w:tcW w:w="1792" w:type="dxa"/>
                  <w:vAlign w:val="center"/>
                </w:tcPr>
                <w:p w14:paraId="50354702">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b/>
                      <w:bCs/>
                      <w:color w:val="auto"/>
                      <w:kern w:val="2"/>
                      <w:sz w:val="21"/>
                      <w:szCs w:val="21"/>
                      <w:lang w:val="en-US" w:eastAsia="zh-CN" w:bidi="ar"/>
                    </w:rPr>
                  </w:pPr>
                  <w:r>
                    <w:rPr>
                      <w:rFonts w:hint="eastAsia" w:ascii="Times New Roman" w:hAnsi="Times New Roman" w:eastAsia="宋体" w:cs="Times New Roman"/>
                      <w:b/>
                      <w:bCs/>
                      <w:color w:val="auto"/>
                      <w:kern w:val="2"/>
                      <w:sz w:val="21"/>
                      <w:szCs w:val="21"/>
                      <w:lang w:val="en-US" w:eastAsia="zh-CN" w:bidi="ar"/>
                    </w:rPr>
                    <w:t>名称</w:t>
                  </w:r>
                </w:p>
              </w:tc>
              <w:tc>
                <w:tcPr>
                  <w:tcW w:w="2065" w:type="dxa"/>
                  <w:vAlign w:val="center"/>
                </w:tcPr>
                <w:p w14:paraId="182ED8DC">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b/>
                      <w:bCs/>
                      <w:color w:val="auto"/>
                      <w:kern w:val="2"/>
                      <w:sz w:val="21"/>
                      <w:szCs w:val="21"/>
                      <w:lang w:val="en-US" w:eastAsia="zh-CN" w:bidi="ar"/>
                    </w:rPr>
                  </w:pPr>
                  <w:r>
                    <w:rPr>
                      <w:rFonts w:hint="eastAsia" w:ascii="Times New Roman" w:hAnsi="Times New Roman" w:eastAsia="宋体" w:cs="Times New Roman"/>
                      <w:b/>
                      <w:bCs/>
                      <w:color w:val="auto"/>
                      <w:kern w:val="2"/>
                      <w:sz w:val="21"/>
                      <w:szCs w:val="21"/>
                      <w:lang w:val="en-US" w:eastAsia="zh-CN" w:bidi="ar"/>
                    </w:rPr>
                    <w:t>进料量（t）</w:t>
                  </w:r>
                </w:p>
              </w:tc>
              <w:tc>
                <w:tcPr>
                  <w:tcW w:w="2029" w:type="dxa"/>
                  <w:vAlign w:val="center"/>
                </w:tcPr>
                <w:p w14:paraId="243C5F58">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b/>
                      <w:bCs/>
                      <w:color w:val="auto"/>
                      <w:kern w:val="2"/>
                      <w:sz w:val="21"/>
                      <w:szCs w:val="21"/>
                      <w:lang w:val="en-US" w:eastAsia="zh-CN" w:bidi="ar"/>
                    </w:rPr>
                  </w:pPr>
                  <w:r>
                    <w:rPr>
                      <w:rFonts w:hint="eastAsia" w:ascii="Times New Roman" w:hAnsi="Times New Roman" w:eastAsia="宋体" w:cs="Times New Roman"/>
                      <w:b/>
                      <w:bCs/>
                      <w:color w:val="auto"/>
                      <w:kern w:val="2"/>
                      <w:sz w:val="21"/>
                      <w:szCs w:val="21"/>
                      <w:lang w:val="en-US" w:eastAsia="zh-CN" w:bidi="ar"/>
                    </w:rPr>
                    <w:t>名称</w:t>
                  </w:r>
                </w:p>
              </w:tc>
              <w:tc>
                <w:tcPr>
                  <w:tcW w:w="1769" w:type="dxa"/>
                  <w:vAlign w:val="center"/>
                </w:tcPr>
                <w:p w14:paraId="582241EF">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b/>
                      <w:bCs/>
                      <w:color w:val="auto"/>
                      <w:kern w:val="2"/>
                      <w:sz w:val="21"/>
                      <w:szCs w:val="21"/>
                      <w:lang w:val="en-US" w:eastAsia="zh-CN" w:bidi="ar"/>
                    </w:rPr>
                  </w:pPr>
                  <w:r>
                    <w:rPr>
                      <w:rFonts w:hint="eastAsia" w:ascii="Times New Roman" w:hAnsi="Times New Roman" w:eastAsia="宋体" w:cs="Times New Roman"/>
                      <w:b/>
                      <w:bCs/>
                      <w:color w:val="auto"/>
                      <w:kern w:val="2"/>
                      <w:sz w:val="21"/>
                      <w:szCs w:val="21"/>
                      <w:lang w:val="en-US" w:eastAsia="zh-CN" w:bidi="ar"/>
                    </w:rPr>
                    <w:t>出料量（t）</w:t>
                  </w:r>
                </w:p>
              </w:tc>
            </w:tr>
            <w:tr w14:paraId="3C84A9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jc w:val="center"/>
              </w:trPr>
              <w:tc>
                <w:tcPr>
                  <w:tcW w:w="772" w:type="dxa"/>
                  <w:vAlign w:val="center"/>
                </w:tcPr>
                <w:p w14:paraId="20AA7734">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1</w:t>
                  </w:r>
                </w:p>
              </w:tc>
              <w:tc>
                <w:tcPr>
                  <w:tcW w:w="1792" w:type="dxa"/>
                  <w:shd w:val="clear" w:color="auto" w:fill="auto"/>
                  <w:vAlign w:val="center"/>
                </w:tcPr>
                <w:p w14:paraId="61171702">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生铁边角余料</w:t>
                  </w:r>
                </w:p>
              </w:tc>
              <w:tc>
                <w:tcPr>
                  <w:tcW w:w="2065" w:type="dxa"/>
                  <w:shd w:val="clear" w:color="auto" w:fill="auto"/>
                  <w:vAlign w:val="center"/>
                </w:tcPr>
                <w:p w14:paraId="4DB47FF2">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18</w:t>
                  </w:r>
                  <w:r>
                    <w:rPr>
                      <w:rFonts w:hint="eastAsia" w:ascii="Times New Roman" w:hAnsi="Times New Roman" w:cs="Times New Roman"/>
                      <w:color w:val="auto"/>
                      <w:kern w:val="2"/>
                      <w:sz w:val="21"/>
                      <w:szCs w:val="21"/>
                      <w:lang w:val="en-US" w:eastAsia="zh-CN" w:bidi="ar"/>
                    </w:rPr>
                    <w:t>9</w:t>
                  </w:r>
                  <w:r>
                    <w:rPr>
                      <w:rFonts w:hint="default" w:ascii="Times New Roman" w:hAnsi="Times New Roman" w:eastAsia="宋体" w:cs="Times New Roman"/>
                      <w:color w:val="auto"/>
                      <w:kern w:val="2"/>
                      <w:sz w:val="21"/>
                      <w:szCs w:val="21"/>
                      <w:lang w:val="en-US" w:eastAsia="zh-CN" w:bidi="ar"/>
                    </w:rPr>
                    <w:t>0</w:t>
                  </w:r>
                </w:p>
              </w:tc>
              <w:tc>
                <w:tcPr>
                  <w:tcW w:w="2029" w:type="dxa"/>
                  <w:shd w:val="clear" w:color="auto" w:fill="auto"/>
                  <w:vAlign w:val="center"/>
                </w:tcPr>
                <w:p w14:paraId="0DB6FC67">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合格产品</w:t>
                  </w:r>
                </w:p>
              </w:tc>
              <w:tc>
                <w:tcPr>
                  <w:tcW w:w="1769" w:type="dxa"/>
                  <w:shd w:val="clear" w:color="auto" w:fill="auto"/>
                  <w:vAlign w:val="center"/>
                </w:tcPr>
                <w:p w14:paraId="4F504492">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5000</w:t>
                  </w:r>
                </w:p>
              </w:tc>
            </w:tr>
            <w:tr w14:paraId="564C46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jc w:val="center"/>
              </w:trPr>
              <w:tc>
                <w:tcPr>
                  <w:tcW w:w="772" w:type="dxa"/>
                  <w:vAlign w:val="center"/>
                </w:tcPr>
                <w:p w14:paraId="73F3D287">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2</w:t>
                  </w:r>
                </w:p>
              </w:tc>
              <w:tc>
                <w:tcPr>
                  <w:tcW w:w="1792" w:type="dxa"/>
                  <w:shd w:val="clear" w:color="auto" w:fill="auto"/>
                  <w:vAlign w:val="center"/>
                </w:tcPr>
                <w:p w14:paraId="01596692">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废钢、不锈钢边角料</w:t>
                  </w:r>
                </w:p>
              </w:tc>
              <w:tc>
                <w:tcPr>
                  <w:tcW w:w="2065" w:type="dxa"/>
                  <w:shd w:val="clear" w:color="auto" w:fill="auto"/>
                  <w:vAlign w:val="center"/>
                </w:tcPr>
                <w:p w14:paraId="3F6D5749">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3000</w:t>
                  </w:r>
                </w:p>
              </w:tc>
              <w:tc>
                <w:tcPr>
                  <w:tcW w:w="2029" w:type="dxa"/>
                  <w:shd w:val="clear" w:color="auto" w:fill="auto"/>
                  <w:vAlign w:val="center"/>
                </w:tcPr>
                <w:p w14:paraId="072FEA93">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熔炼损耗（渣、屑、烟尘</w:t>
                  </w:r>
                  <w:r>
                    <w:rPr>
                      <w:rFonts w:hint="eastAsia" w:ascii="Times New Roman" w:hAnsi="Times New Roman" w:cs="Times New Roman"/>
                      <w:color w:val="auto"/>
                      <w:kern w:val="2"/>
                      <w:sz w:val="21"/>
                      <w:szCs w:val="21"/>
                      <w:lang w:val="en-US" w:eastAsia="zh-CN" w:bidi="ar"/>
                    </w:rPr>
                    <w:t>等</w:t>
                  </w:r>
                  <w:r>
                    <w:rPr>
                      <w:rFonts w:hint="eastAsia" w:ascii="Times New Roman" w:hAnsi="Times New Roman" w:eastAsia="宋体" w:cs="Times New Roman"/>
                      <w:color w:val="auto"/>
                      <w:kern w:val="2"/>
                      <w:sz w:val="21"/>
                      <w:szCs w:val="21"/>
                      <w:lang w:val="en-US" w:eastAsia="zh-CN" w:bidi="ar"/>
                    </w:rPr>
                    <w:t>）</w:t>
                  </w:r>
                </w:p>
              </w:tc>
              <w:tc>
                <w:tcPr>
                  <w:tcW w:w="1769" w:type="dxa"/>
                  <w:shd w:val="clear" w:color="auto" w:fill="auto"/>
                  <w:vAlign w:val="center"/>
                </w:tcPr>
                <w:p w14:paraId="4D6C713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37.217</w:t>
                  </w:r>
                </w:p>
              </w:tc>
            </w:tr>
            <w:tr w14:paraId="3F4794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jc w:val="center"/>
              </w:trPr>
              <w:tc>
                <w:tcPr>
                  <w:tcW w:w="772" w:type="dxa"/>
                  <w:vAlign w:val="center"/>
                </w:tcPr>
                <w:p w14:paraId="502A6F96">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3</w:t>
                  </w:r>
                </w:p>
              </w:tc>
              <w:tc>
                <w:tcPr>
                  <w:tcW w:w="1792" w:type="dxa"/>
                  <w:shd w:val="clear" w:color="auto" w:fill="auto"/>
                  <w:vAlign w:val="center"/>
                </w:tcPr>
                <w:p w14:paraId="61509B3A">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合金料</w:t>
                  </w:r>
                </w:p>
              </w:tc>
              <w:tc>
                <w:tcPr>
                  <w:tcW w:w="2065" w:type="dxa"/>
                  <w:shd w:val="clear" w:color="auto" w:fill="auto"/>
                  <w:vAlign w:val="center"/>
                </w:tcPr>
                <w:p w14:paraId="478A8DB7">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150</w:t>
                  </w:r>
                </w:p>
              </w:tc>
              <w:tc>
                <w:tcPr>
                  <w:tcW w:w="2029" w:type="dxa"/>
                  <w:shd w:val="clear" w:color="auto" w:fill="auto"/>
                  <w:vAlign w:val="center"/>
                </w:tcPr>
                <w:p w14:paraId="1E0FAF20">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旧砂（回用）</w:t>
                  </w:r>
                </w:p>
              </w:tc>
              <w:tc>
                <w:tcPr>
                  <w:tcW w:w="1769" w:type="dxa"/>
                  <w:shd w:val="clear" w:color="auto" w:fill="auto"/>
                  <w:vAlign w:val="center"/>
                </w:tcPr>
                <w:p w14:paraId="06BFDC46">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1200</w:t>
                  </w:r>
                </w:p>
              </w:tc>
            </w:tr>
            <w:tr w14:paraId="772903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72" w:type="dxa"/>
                  <w:vAlign w:val="center"/>
                </w:tcPr>
                <w:p w14:paraId="7F9FB735">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4</w:t>
                  </w:r>
                </w:p>
              </w:tc>
              <w:tc>
                <w:tcPr>
                  <w:tcW w:w="1792" w:type="dxa"/>
                  <w:shd w:val="clear" w:color="auto" w:fill="auto"/>
                  <w:vAlign w:val="center"/>
                </w:tcPr>
                <w:p w14:paraId="3813117B">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新砂</w:t>
                  </w:r>
                </w:p>
              </w:tc>
              <w:tc>
                <w:tcPr>
                  <w:tcW w:w="2065" w:type="dxa"/>
                  <w:shd w:val="clear" w:color="auto" w:fill="auto"/>
                  <w:vAlign w:val="center"/>
                </w:tcPr>
                <w:p w14:paraId="291FAEF5">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300</w:t>
                  </w:r>
                </w:p>
              </w:tc>
              <w:tc>
                <w:tcPr>
                  <w:tcW w:w="2029" w:type="dxa"/>
                  <w:shd w:val="clear" w:color="auto" w:fill="auto"/>
                  <w:vAlign w:val="center"/>
                </w:tcPr>
                <w:p w14:paraId="781E8C8D">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覆砂相关损耗（热解</w:t>
                  </w:r>
                  <w:r>
                    <w:rPr>
                      <w:rFonts w:hint="default" w:ascii="Times New Roman" w:hAnsi="Times New Roman" w:eastAsia="宋体" w:cs="Times New Roman"/>
                      <w:color w:val="auto"/>
                      <w:kern w:val="2"/>
                      <w:sz w:val="21"/>
                      <w:szCs w:val="21"/>
                      <w:lang w:val="en-US" w:eastAsia="zh-CN" w:bidi="ar"/>
                    </w:rPr>
                    <w:t>+</w:t>
                  </w:r>
                  <w:r>
                    <w:rPr>
                      <w:rFonts w:hint="eastAsia" w:ascii="Times New Roman" w:hAnsi="Times New Roman" w:eastAsia="宋体" w:cs="Times New Roman"/>
                      <w:color w:val="auto"/>
                      <w:kern w:val="2"/>
                      <w:sz w:val="21"/>
                      <w:szCs w:val="21"/>
                      <w:lang w:val="en-US" w:eastAsia="zh-CN" w:bidi="ar"/>
                    </w:rPr>
                    <w:t>废砂）</w:t>
                  </w:r>
                </w:p>
              </w:tc>
              <w:tc>
                <w:tcPr>
                  <w:tcW w:w="1769" w:type="dxa"/>
                  <w:shd w:val="clear" w:color="auto" w:fill="auto"/>
                  <w:vAlign w:val="center"/>
                </w:tcPr>
                <w:p w14:paraId="5C5E179A">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334.783</w:t>
                  </w:r>
                </w:p>
              </w:tc>
            </w:tr>
            <w:tr w14:paraId="16686C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jc w:val="center"/>
              </w:trPr>
              <w:tc>
                <w:tcPr>
                  <w:tcW w:w="772" w:type="dxa"/>
                  <w:vAlign w:val="center"/>
                </w:tcPr>
                <w:p w14:paraId="6F5573BB">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5</w:t>
                  </w:r>
                </w:p>
              </w:tc>
              <w:tc>
                <w:tcPr>
                  <w:tcW w:w="1792" w:type="dxa"/>
                  <w:shd w:val="clear" w:color="auto" w:fill="auto"/>
                  <w:vAlign w:val="center"/>
                </w:tcPr>
                <w:p w14:paraId="5D1664FD">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旧砂（回用）</w:t>
                  </w:r>
                </w:p>
              </w:tc>
              <w:tc>
                <w:tcPr>
                  <w:tcW w:w="2065" w:type="dxa"/>
                  <w:shd w:val="clear" w:color="auto" w:fill="auto"/>
                  <w:vAlign w:val="center"/>
                </w:tcPr>
                <w:p w14:paraId="5562F1DC">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1200</w:t>
                  </w:r>
                </w:p>
              </w:tc>
              <w:tc>
                <w:tcPr>
                  <w:tcW w:w="2029" w:type="dxa"/>
                  <w:shd w:val="clear" w:color="auto" w:fill="auto"/>
                  <w:vAlign w:val="center"/>
                </w:tcPr>
                <w:p w14:paraId="4A2E1762">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脱模剂损耗</w:t>
                  </w:r>
                </w:p>
              </w:tc>
              <w:tc>
                <w:tcPr>
                  <w:tcW w:w="1769" w:type="dxa"/>
                  <w:shd w:val="clear" w:color="auto" w:fill="auto"/>
                  <w:vAlign w:val="center"/>
                </w:tcPr>
                <w:p w14:paraId="79C2AC93">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w:t>
                  </w:r>
                </w:p>
              </w:tc>
            </w:tr>
            <w:tr w14:paraId="4AD81A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jc w:val="center"/>
              </w:trPr>
              <w:tc>
                <w:tcPr>
                  <w:tcW w:w="772" w:type="dxa"/>
                  <w:vAlign w:val="center"/>
                </w:tcPr>
                <w:p w14:paraId="33894534">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6</w:t>
                  </w:r>
                </w:p>
              </w:tc>
              <w:tc>
                <w:tcPr>
                  <w:tcW w:w="1792" w:type="dxa"/>
                  <w:shd w:val="clear" w:color="auto" w:fill="auto"/>
                  <w:vAlign w:val="center"/>
                </w:tcPr>
                <w:p w14:paraId="14AB0646">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白粘土</w:t>
                  </w:r>
                </w:p>
              </w:tc>
              <w:tc>
                <w:tcPr>
                  <w:tcW w:w="2065" w:type="dxa"/>
                  <w:shd w:val="clear" w:color="auto" w:fill="auto"/>
                  <w:vAlign w:val="center"/>
                </w:tcPr>
                <w:p w14:paraId="3721598E">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12</w:t>
                  </w:r>
                </w:p>
              </w:tc>
              <w:tc>
                <w:tcPr>
                  <w:tcW w:w="2029" w:type="dxa"/>
                  <w:shd w:val="clear" w:color="auto" w:fill="auto"/>
                  <w:vAlign w:val="center"/>
                </w:tcPr>
                <w:p w14:paraId="72CE8AA0">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废边角料、分拣杂物</w:t>
                  </w:r>
                </w:p>
              </w:tc>
              <w:tc>
                <w:tcPr>
                  <w:tcW w:w="1769" w:type="dxa"/>
                  <w:shd w:val="clear" w:color="auto" w:fill="auto"/>
                  <w:vAlign w:val="center"/>
                </w:tcPr>
                <w:p w14:paraId="4123493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30</w:t>
                  </w:r>
                </w:p>
              </w:tc>
            </w:tr>
            <w:tr w14:paraId="7536BA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72" w:type="dxa"/>
                  <w:vAlign w:val="center"/>
                </w:tcPr>
                <w:p w14:paraId="4AE6B091">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7</w:t>
                  </w:r>
                </w:p>
              </w:tc>
              <w:tc>
                <w:tcPr>
                  <w:tcW w:w="1792" w:type="dxa"/>
                  <w:shd w:val="clear" w:color="auto" w:fill="auto"/>
                  <w:vAlign w:val="center"/>
                </w:tcPr>
                <w:p w14:paraId="0883A0D2">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膨润土</w:t>
                  </w:r>
                </w:p>
              </w:tc>
              <w:tc>
                <w:tcPr>
                  <w:tcW w:w="2065" w:type="dxa"/>
                  <w:shd w:val="clear" w:color="auto" w:fill="auto"/>
                  <w:vAlign w:val="center"/>
                </w:tcPr>
                <w:p w14:paraId="226AD99D">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18</w:t>
                  </w:r>
                </w:p>
              </w:tc>
              <w:tc>
                <w:tcPr>
                  <w:tcW w:w="2029" w:type="dxa"/>
                  <w:shd w:val="clear" w:color="auto" w:fill="auto"/>
                  <w:vAlign w:val="center"/>
                </w:tcPr>
                <w:p w14:paraId="44B6B20C">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p>
              </w:tc>
              <w:tc>
                <w:tcPr>
                  <w:tcW w:w="1769" w:type="dxa"/>
                  <w:shd w:val="clear" w:color="auto" w:fill="auto"/>
                  <w:vAlign w:val="center"/>
                </w:tcPr>
                <w:p w14:paraId="03151ED1">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p>
              </w:tc>
            </w:tr>
            <w:tr w14:paraId="47A8B6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72" w:type="dxa"/>
                  <w:vAlign w:val="center"/>
                </w:tcPr>
                <w:p w14:paraId="581245B4">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8</w:t>
                  </w:r>
                </w:p>
              </w:tc>
              <w:tc>
                <w:tcPr>
                  <w:tcW w:w="1792" w:type="dxa"/>
                  <w:shd w:val="clear" w:color="auto" w:fill="auto"/>
                  <w:vAlign w:val="center"/>
                </w:tcPr>
                <w:p w14:paraId="32416600">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水玻璃（硅酸钠溶液）</w:t>
                  </w:r>
                </w:p>
              </w:tc>
              <w:tc>
                <w:tcPr>
                  <w:tcW w:w="2065" w:type="dxa"/>
                  <w:shd w:val="clear" w:color="auto" w:fill="auto"/>
                  <w:vAlign w:val="center"/>
                </w:tcPr>
                <w:p w14:paraId="1CC9AE0F">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27</w:t>
                  </w:r>
                </w:p>
              </w:tc>
              <w:tc>
                <w:tcPr>
                  <w:tcW w:w="2029" w:type="dxa"/>
                  <w:shd w:val="clear" w:color="auto" w:fill="auto"/>
                  <w:vAlign w:val="center"/>
                </w:tcPr>
                <w:p w14:paraId="35E36BB2">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p>
              </w:tc>
              <w:tc>
                <w:tcPr>
                  <w:tcW w:w="1769" w:type="dxa"/>
                  <w:shd w:val="clear" w:color="auto" w:fill="auto"/>
                  <w:vAlign w:val="center"/>
                </w:tcPr>
                <w:p w14:paraId="6F6B0EFF">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p>
              </w:tc>
            </w:tr>
            <w:tr w14:paraId="253612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jc w:val="center"/>
              </w:trPr>
              <w:tc>
                <w:tcPr>
                  <w:tcW w:w="772" w:type="dxa"/>
                  <w:vAlign w:val="center"/>
                </w:tcPr>
                <w:p w14:paraId="738ACE56">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9</w:t>
                  </w:r>
                </w:p>
              </w:tc>
              <w:tc>
                <w:tcPr>
                  <w:tcW w:w="1792" w:type="dxa"/>
                  <w:shd w:val="clear" w:color="auto" w:fill="auto"/>
                  <w:vAlign w:val="center"/>
                </w:tcPr>
                <w:p w14:paraId="54618BD1">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脱模剂</w:t>
                  </w:r>
                </w:p>
              </w:tc>
              <w:tc>
                <w:tcPr>
                  <w:tcW w:w="2065" w:type="dxa"/>
                  <w:shd w:val="clear" w:color="auto" w:fill="auto"/>
                  <w:vAlign w:val="center"/>
                </w:tcPr>
                <w:p w14:paraId="5E4BA484">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5</w:t>
                  </w:r>
                </w:p>
              </w:tc>
              <w:tc>
                <w:tcPr>
                  <w:tcW w:w="2029" w:type="dxa"/>
                  <w:shd w:val="clear" w:color="auto" w:fill="auto"/>
                  <w:vAlign w:val="center"/>
                </w:tcPr>
                <w:p w14:paraId="3DCE335F">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p>
              </w:tc>
              <w:tc>
                <w:tcPr>
                  <w:tcW w:w="1769" w:type="dxa"/>
                  <w:shd w:val="clear" w:color="auto" w:fill="auto"/>
                  <w:vAlign w:val="center"/>
                </w:tcPr>
                <w:p w14:paraId="133B5412">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p>
              </w:tc>
            </w:tr>
            <w:tr w14:paraId="3A4AB9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72" w:type="dxa"/>
                  <w:vAlign w:val="center"/>
                </w:tcPr>
                <w:p w14:paraId="242F6B63">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10</w:t>
                  </w:r>
                </w:p>
              </w:tc>
              <w:tc>
                <w:tcPr>
                  <w:tcW w:w="1792" w:type="dxa"/>
                  <w:shd w:val="clear" w:color="auto" w:fill="auto"/>
                  <w:vAlign w:val="center"/>
                </w:tcPr>
                <w:p w14:paraId="033C9DE7">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孕育剂</w:t>
                  </w:r>
                </w:p>
              </w:tc>
              <w:tc>
                <w:tcPr>
                  <w:tcW w:w="2065" w:type="dxa"/>
                  <w:shd w:val="clear" w:color="auto" w:fill="auto"/>
                  <w:vAlign w:val="center"/>
                </w:tcPr>
                <w:p w14:paraId="167DA759">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25</w:t>
                  </w:r>
                </w:p>
              </w:tc>
              <w:tc>
                <w:tcPr>
                  <w:tcW w:w="2029" w:type="dxa"/>
                  <w:shd w:val="clear" w:color="auto" w:fill="auto"/>
                  <w:vAlign w:val="center"/>
                </w:tcPr>
                <w:p w14:paraId="144F3621">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p>
              </w:tc>
              <w:tc>
                <w:tcPr>
                  <w:tcW w:w="1769" w:type="dxa"/>
                  <w:shd w:val="clear" w:color="auto" w:fill="auto"/>
                  <w:vAlign w:val="center"/>
                </w:tcPr>
                <w:p w14:paraId="055CC31B">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p>
              </w:tc>
            </w:tr>
            <w:tr w14:paraId="3C28F7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72" w:type="dxa"/>
                  <w:vAlign w:val="center"/>
                </w:tcPr>
                <w:p w14:paraId="5652363D">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1</w:t>
                  </w:r>
                  <w:r>
                    <w:rPr>
                      <w:rFonts w:hint="eastAsia" w:ascii="Times New Roman" w:hAnsi="Times New Roman" w:cs="Times New Roman"/>
                      <w:color w:val="auto"/>
                      <w:kern w:val="2"/>
                      <w:sz w:val="21"/>
                      <w:szCs w:val="21"/>
                      <w:lang w:val="en-US" w:eastAsia="zh-CN" w:bidi="ar"/>
                    </w:rPr>
                    <w:t>1</w:t>
                  </w:r>
                </w:p>
              </w:tc>
              <w:tc>
                <w:tcPr>
                  <w:tcW w:w="1792" w:type="dxa"/>
                  <w:shd w:val="clear" w:color="auto" w:fill="auto"/>
                  <w:vAlign w:val="center"/>
                </w:tcPr>
                <w:p w14:paraId="0AC3ADB5">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球化剂</w:t>
                  </w:r>
                </w:p>
              </w:tc>
              <w:tc>
                <w:tcPr>
                  <w:tcW w:w="2065" w:type="dxa"/>
                  <w:shd w:val="clear" w:color="auto" w:fill="auto"/>
                  <w:vAlign w:val="center"/>
                </w:tcPr>
                <w:p w14:paraId="5AEC4663">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20</w:t>
                  </w:r>
                </w:p>
              </w:tc>
              <w:tc>
                <w:tcPr>
                  <w:tcW w:w="2029" w:type="dxa"/>
                  <w:shd w:val="clear" w:color="auto" w:fill="auto"/>
                  <w:vAlign w:val="center"/>
                </w:tcPr>
                <w:p w14:paraId="77418E32">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p>
              </w:tc>
              <w:tc>
                <w:tcPr>
                  <w:tcW w:w="1769" w:type="dxa"/>
                  <w:shd w:val="clear" w:color="auto" w:fill="auto"/>
                  <w:vAlign w:val="center"/>
                </w:tcPr>
                <w:p w14:paraId="74BF943F">
                  <w:pPr>
                    <w:keepNext w:val="0"/>
                    <w:keepLines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bidi="ar"/>
                    </w:rPr>
                  </w:pPr>
                </w:p>
              </w:tc>
            </w:tr>
            <w:tr w14:paraId="387DF1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2564" w:type="dxa"/>
                  <w:gridSpan w:val="2"/>
                  <w:vAlign w:val="center"/>
                </w:tcPr>
                <w:p w14:paraId="63A8F474">
                  <w:pPr>
                    <w:keepNext w:val="0"/>
                    <w:keepLines w:val="0"/>
                    <w:pageBreakBefore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autoSpaceDE w:val="0"/>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合计</w:t>
                  </w:r>
                </w:p>
              </w:tc>
              <w:tc>
                <w:tcPr>
                  <w:tcW w:w="2065" w:type="dxa"/>
                  <w:vAlign w:val="center"/>
                </w:tcPr>
                <w:p w14:paraId="4276D19F">
                  <w:pPr>
                    <w:keepNext w:val="0"/>
                    <w:keepLines w:val="0"/>
                    <w:pageBreakBefore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autoSpaceDE w:val="0"/>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66</w:t>
                  </w:r>
                  <w:r>
                    <w:rPr>
                      <w:rFonts w:hint="eastAsia" w:ascii="Times New Roman" w:hAnsi="Times New Roman" w:cs="Times New Roman"/>
                      <w:color w:val="auto"/>
                      <w:kern w:val="2"/>
                      <w:sz w:val="21"/>
                      <w:szCs w:val="21"/>
                      <w:lang w:val="en-US" w:eastAsia="zh-CN" w:bidi="ar"/>
                    </w:rPr>
                    <w:t>0</w:t>
                  </w:r>
                  <w:r>
                    <w:rPr>
                      <w:rFonts w:hint="eastAsia" w:ascii="Times New Roman" w:hAnsi="Times New Roman" w:eastAsia="宋体" w:cs="Times New Roman"/>
                      <w:color w:val="auto"/>
                      <w:kern w:val="2"/>
                      <w:sz w:val="21"/>
                      <w:szCs w:val="21"/>
                      <w:lang w:val="en-US" w:eastAsia="zh-CN" w:bidi="ar"/>
                    </w:rPr>
                    <w:t>7</w:t>
                  </w:r>
                </w:p>
              </w:tc>
              <w:tc>
                <w:tcPr>
                  <w:tcW w:w="3798" w:type="dxa"/>
                  <w:gridSpan w:val="2"/>
                  <w:vAlign w:val="center"/>
                </w:tcPr>
                <w:p w14:paraId="021A89A4">
                  <w:pPr>
                    <w:keepNext w:val="0"/>
                    <w:keepLines w:val="0"/>
                    <w:pageBreakBefore w:val="0"/>
                    <w:widowControl w:val="0"/>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autoSpaceDE w:val="0"/>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66</w:t>
                  </w:r>
                  <w:r>
                    <w:rPr>
                      <w:rFonts w:hint="eastAsia" w:ascii="Times New Roman" w:hAnsi="Times New Roman" w:cs="Times New Roman"/>
                      <w:color w:val="auto"/>
                      <w:kern w:val="2"/>
                      <w:sz w:val="21"/>
                      <w:szCs w:val="21"/>
                      <w:lang w:val="en-US" w:eastAsia="zh-CN" w:bidi="ar"/>
                    </w:rPr>
                    <w:t>07</w:t>
                  </w:r>
                </w:p>
              </w:tc>
            </w:tr>
          </w:tbl>
          <w:p w14:paraId="4DD9F0A5">
            <w:pPr>
              <w:keepNext w:val="0"/>
              <w:keepLines w:val="0"/>
              <w:pageBreakBefore w:val="0"/>
              <w:widowControl w:val="0"/>
              <w:suppressLineNumbers w:val="0"/>
              <w:kinsoku/>
              <w:wordWrap/>
              <w:overflowPunct/>
              <w:topLinePunct w:val="0"/>
              <w:autoSpaceDE/>
              <w:autoSpaceDN/>
              <w:bidi w:val="0"/>
              <w:adjustRightInd w:val="0"/>
              <w:snapToGrid w:val="0"/>
              <w:spacing w:before="0" w:beforeLines="50" w:beforeAutospacing="0" w:after="0" w:afterAutospacing="0" w:line="360" w:lineRule="auto"/>
              <w:ind w:left="0" w:right="0" w:firstLine="562" w:firstLineChars="200"/>
              <w:jc w:val="both"/>
              <w:textAlignment w:val="auto"/>
              <w:rPr>
                <w:rFonts w:hint="default" w:ascii="Times New Roman" w:hAnsi="Times New Roman" w:eastAsia="宋体" w:cs="Times New Roman"/>
                <w:b/>
                <w:bCs/>
                <w:color w:val="auto"/>
                <w:kern w:val="2"/>
                <w:sz w:val="28"/>
                <w:szCs w:val="28"/>
                <w:lang w:val="en-US" w:eastAsia="zh-CN" w:bidi="ar"/>
              </w:rPr>
            </w:pPr>
            <w:r>
              <w:rPr>
                <w:rFonts w:hint="default" w:ascii="Times New Roman" w:hAnsi="Times New Roman" w:eastAsia="宋体" w:cs="Times New Roman"/>
                <w:b/>
                <w:bCs/>
                <w:color w:val="auto"/>
                <w:kern w:val="2"/>
                <w:sz w:val="28"/>
                <w:szCs w:val="28"/>
                <w:lang w:val="en-US" w:eastAsia="zh-CN" w:bidi="ar"/>
              </w:rPr>
              <w:t>2.</w:t>
            </w:r>
            <w:r>
              <w:rPr>
                <w:rFonts w:hint="default" w:ascii="Times New Roman" w:hAnsi="Times New Roman" w:cs="Times New Roman"/>
                <w:b/>
                <w:bCs/>
                <w:color w:val="auto"/>
                <w:kern w:val="2"/>
                <w:sz w:val="28"/>
                <w:szCs w:val="28"/>
                <w:lang w:val="en-US" w:eastAsia="zh-CN" w:bidi="ar"/>
              </w:rPr>
              <w:t>6</w:t>
            </w:r>
            <w:r>
              <w:rPr>
                <w:rFonts w:hint="default" w:ascii="Times New Roman" w:hAnsi="Times New Roman" w:eastAsia="宋体" w:cs="Times New Roman"/>
                <w:b/>
                <w:bCs/>
                <w:color w:val="auto"/>
                <w:kern w:val="2"/>
                <w:sz w:val="28"/>
                <w:szCs w:val="28"/>
                <w:lang w:val="en-US" w:eastAsia="zh-CN" w:bidi="ar"/>
              </w:rPr>
              <w:t>公用工程</w:t>
            </w:r>
          </w:p>
          <w:p w14:paraId="5DC118FE">
            <w:pPr>
              <w:pStyle w:val="53"/>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jc w:val="left"/>
              <w:textAlignment w:val="auto"/>
              <w:rPr>
                <w:rFonts w:hint="default" w:ascii="Times New Roman" w:hAnsi="Times New Roman" w:eastAsia="宋体" w:cs="Times New Roman"/>
                <w:b/>
                <w:bCs/>
                <w:snapToGrid/>
                <w:color w:val="auto"/>
                <w:kern w:val="2"/>
                <w:sz w:val="24"/>
                <w:szCs w:val="24"/>
                <w:lang w:val="en-US" w:eastAsia="zh-CN" w:bidi="ar"/>
              </w:rPr>
            </w:pPr>
            <w:r>
              <w:rPr>
                <w:rFonts w:hint="default" w:ascii="Times New Roman" w:hAnsi="Times New Roman" w:eastAsia="宋体" w:cs="Times New Roman"/>
                <w:b/>
                <w:bCs/>
                <w:snapToGrid/>
                <w:color w:val="auto"/>
                <w:kern w:val="2"/>
                <w:sz w:val="24"/>
                <w:szCs w:val="24"/>
                <w:lang w:val="en-US" w:eastAsia="zh-CN" w:bidi="ar"/>
              </w:rPr>
              <w:t>2.</w:t>
            </w:r>
            <w:r>
              <w:rPr>
                <w:rFonts w:hint="default" w:ascii="Times New Roman" w:hAnsi="Times New Roman" w:cs="Times New Roman"/>
                <w:b/>
                <w:bCs/>
                <w:snapToGrid/>
                <w:color w:val="auto"/>
                <w:kern w:val="2"/>
                <w:sz w:val="24"/>
                <w:szCs w:val="24"/>
                <w:lang w:val="en-US" w:eastAsia="zh-CN" w:bidi="ar"/>
              </w:rPr>
              <w:t>6</w:t>
            </w:r>
            <w:r>
              <w:rPr>
                <w:rFonts w:hint="default" w:ascii="Times New Roman" w:hAnsi="Times New Roman" w:eastAsia="宋体" w:cs="Times New Roman"/>
                <w:b/>
                <w:bCs/>
                <w:snapToGrid/>
                <w:color w:val="auto"/>
                <w:kern w:val="2"/>
                <w:sz w:val="24"/>
                <w:szCs w:val="24"/>
                <w:lang w:val="en-US" w:eastAsia="zh-CN" w:bidi="ar"/>
              </w:rPr>
              <w:t>.1给排水工程</w:t>
            </w:r>
          </w:p>
          <w:p w14:paraId="1BC01361">
            <w:pPr>
              <w:pStyle w:val="53"/>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jc w:val="left"/>
              <w:textAlignment w:val="auto"/>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b/>
                <w:bCs/>
                <w:snapToGrid/>
                <w:color w:val="auto"/>
                <w:kern w:val="2"/>
                <w:sz w:val="24"/>
                <w:szCs w:val="24"/>
                <w:lang w:val="en-US" w:eastAsia="zh-CN" w:bidi="ar"/>
              </w:rPr>
              <w:t>（1）给水</w:t>
            </w:r>
          </w:p>
          <w:p w14:paraId="2342CE73">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①给水系统</w:t>
            </w:r>
            <w:r>
              <w:rPr>
                <w:rFonts w:hint="default" w:ascii="Times New Roman" w:hAnsi="Times New Roman" w:cs="Times New Roman"/>
                <w:color w:val="auto"/>
                <w:kern w:val="2"/>
                <w:sz w:val="24"/>
                <w:szCs w:val="24"/>
                <w:lang w:val="en-US" w:eastAsia="zh-CN" w:bidi="ar"/>
              </w:rPr>
              <w:t>：</w:t>
            </w:r>
            <w:r>
              <w:rPr>
                <w:rFonts w:hint="default" w:ascii="Times New Roman" w:hAnsi="Times New Roman" w:eastAsia="宋体" w:cs="Times New Roman"/>
                <w:color w:val="auto"/>
                <w:kern w:val="2"/>
                <w:sz w:val="24"/>
                <w:szCs w:val="24"/>
                <w:lang w:val="en-US" w:eastAsia="zh-CN" w:bidi="ar"/>
              </w:rPr>
              <w:t>本项目用水为自来水。</w:t>
            </w:r>
          </w:p>
          <w:p w14:paraId="2C6976AE">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②给水量</w:t>
            </w:r>
            <w:r>
              <w:rPr>
                <w:rFonts w:hint="default" w:ascii="Times New Roman" w:hAnsi="Times New Roman" w:cs="Times New Roman"/>
                <w:color w:val="auto"/>
                <w:kern w:val="2"/>
                <w:sz w:val="24"/>
                <w:szCs w:val="24"/>
                <w:lang w:val="en-US" w:eastAsia="zh-CN" w:bidi="ar"/>
              </w:rPr>
              <w:t>：</w:t>
            </w:r>
            <w:r>
              <w:rPr>
                <w:rFonts w:hint="default" w:ascii="Times New Roman" w:hAnsi="Times New Roman" w:eastAsia="宋体" w:cs="Times New Roman"/>
                <w:color w:val="auto"/>
                <w:kern w:val="2"/>
                <w:sz w:val="24"/>
                <w:szCs w:val="24"/>
                <w:lang w:val="en-US" w:eastAsia="zh-CN" w:bidi="ar"/>
              </w:rPr>
              <w:t>本项目用水包括生活用水及生产用水。</w:t>
            </w:r>
          </w:p>
          <w:p w14:paraId="1C28940E">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生活用水</w:t>
            </w:r>
            <w:r>
              <w:rPr>
                <w:rFonts w:hint="default" w:ascii="Times New Roman" w:hAnsi="Times New Roman" w:cs="Times New Roman"/>
                <w:color w:val="auto"/>
                <w:kern w:val="2"/>
                <w:sz w:val="24"/>
                <w:szCs w:val="24"/>
                <w:lang w:val="en-US" w:eastAsia="zh-CN" w:bidi="ar"/>
              </w:rPr>
              <w:t>：</w:t>
            </w:r>
            <w:r>
              <w:rPr>
                <w:rFonts w:hint="default" w:ascii="Times New Roman" w:hAnsi="Times New Roman" w:eastAsia="宋体" w:cs="Times New Roman"/>
                <w:color w:val="auto"/>
                <w:kern w:val="2"/>
                <w:sz w:val="24"/>
                <w:szCs w:val="24"/>
                <w:lang w:val="en-US" w:eastAsia="zh-CN" w:bidi="ar"/>
              </w:rPr>
              <w:t>厂区</w:t>
            </w:r>
            <w:r>
              <w:rPr>
                <w:rFonts w:hint="default" w:ascii="Times New Roman" w:hAnsi="Times New Roman" w:cs="Times New Roman"/>
                <w:color w:val="auto"/>
                <w:kern w:val="2"/>
                <w:sz w:val="24"/>
                <w:szCs w:val="24"/>
                <w:lang w:val="en-US" w:eastAsia="zh-CN" w:bidi="ar"/>
              </w:rPr>
              <w:t>仅提供住宿，无食堂，</w:t>
            </w:r>
            <w:r>
              <w:rPr>
                <w:rFonts w:hint="default" w:ascii="Times New Roman" w:hAnsi="Times New Roman" w:eastAsia="宋体" w:cs="Times New Roman"/>
                <w:color w:val="auto"/>
                <w:kern w:val="2"/>
                <w:sz w:val="24"/>
                <w:szCs w:val="24"/>
                <w:lang w:val="en-US" w:eastAsia="zh-CN" w:bidi="ar"/>
              </w:rPr>
              <w:t>不提供食宿，根据《用水定额》（DB 23/T 727-2025）的指标计算，员工用水量按</w:t>
            </w:r>
            <w:r>
              <w:rPr>
                <w:rFonts w:hint="default" w:ascii="Times New Roman" w:hAnsi="Times New Roman" w:cs="Times New Roman"/>
                <w:color w:val="auto"/>
                <w:kern w:val="2"/>
                <w:sz w:val="24"/>
                <w:szCs w:val="24"/>
                <w:lang w:val="en-US" w:eastAsia="zh-CN" w:bidi="ar"/>
              </w:rPr>
              <w:t>25</w:t>
            </w:r>
            <w:r>
              <w:rPr>
                <w:rFonts w:hint="default" w:ascii="Times New Roman" w:hAnsi="Times New Roman" w:eastAsia="宋体" w:cs="Times New Roman"/>
                <w:color w:val="auto"/>
                <w:kern w:val="2"/>
                <w:sz w:val="24"/>
                <w:szCs w:val="24"/>
                <w:lang w:val="en-US" w:eastAsia="zh-CN" w:bidi="ar"/>
              </w:rPr>
              <w:t>m³/人·a计，项目职工人数为</w:t>
            </w:r>
            <w:r>
              <w:rPr>
                <w:rFonts w:hint="default" w:ascii="Times New Roman" w:hAnsi="Times New Roman" w:cs="Times New Roman"/>
                <w:color w:val="auto"/>
                <w:kern w:val="2"/>
                <w:sz w:val="24"/>
                <w:szCs w:val="24"/>
                <w:lang w:val="en-US" w:eastAsia="zh-CN" w:bidi="ar"/>
              </w:rPr>
              <w:t>25</w:t>
            </w:r>
            <w:r>
              <w:rPr>
                <w:rFonts w:hint="default" w:ascii="Times New Roman" w:hAnsi="Times New Roman" w:eastAsia="宋体" w:cs="Times New Roman"/>
                <w:color w:val="auto"/>
                <w:kern w:val="2"/>
                <w:sz w:val="24"/>
                <w:szCs w:val="24"/>
                <w:lang w:val="en-US" w:eastAsia="zh-CN" w:bidi="ar"/>
              </w:rPr>
              <w:t>人，则本项目生活用水量为</w:t>
            </w:r>
            <w:r>
              <w:rPr>
                <w:rFonts w:hint="default" w:ascii="Times New Roman" w:hAnsi="Times New Roman" w:cs="Times New Roman"/>
                <w:color w:val="auto"/>
                <w:kern w:val="2"/>
                <w:sz w:val="24"/>
                <w:szCs w:val="24"/>
                <w:lang w:val="en-US" w:eastAsia="zh-CN" w:bidi="ar"/>
              </w:rPr>
              <w:t>625</w:t>
            </w:r>
            <w:r>
              <w:rPr>
                <w:rFonts w:hint="default" w:ascii="Times New Roman" w:hAnsi="Times New Roman" w:eastAsia="宋体" w:cs="Times New Roman"/>
                <w:color w:val="auto"/>
                <w:kern w:val="2"/>
                <w:sz w:val="24"/>
                <w:szCs w:val="24"/>
                <w:lang w:val="en-US" w:eastAsia="zh-CN" w:bidi="ar"/>
              </w:rPr>
              <w:t>m³/a（折合</w:t>
            </w:r>
            <w:r>
              <w:rPr>
                <w:rFonts w:hint="default" w:ascii="Times New Roman" w:hAnsi="Times New Roman" w:cs="Times New Roman"/>
                <w:color w:val="auto"/>
                <w:kern w:val="2"/>
                <w:sz w:val="24"/>
                <w:szCs w:val="24"/>
                <w:lang w:val="en-US" w:eastAsia="zh-CN" w:bidi="ar"/>
              </w:rPr>
              <w:t>2.08</w:t>
            </w:r>
            <w:r>
              <w:rPr>
                <w:rFonts w:hint="default" w:ascii="Times New Roman" w:hAnsi="Times New Roman" w:eastAsia="宋体" w:cs="Times New Roman"/>
                <w:color w:val="auto"/>
                <w:kern w:val="2"/>
                <w:sz w:val="24"/>
                <w:szCs w:val="24"/>
                <w:lang w:val="en-US" w:eastAsia="zh-CN" w:bidi="ar"/>
              </w:rPr>
              <w:t>m³/d）。</w:t>
            </w:r>
          </w:p>
          <w:p w14:paraId="176886D0">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间接冷却水：根据建设单位提供资料，中频炉设备</w:t>
            </w:r>
            <w:r>
              <w:rPr>
                <w:rFonts w:hint="default" w:ascii="Times New Roman" w:hAnsi="Times New Roman" w:cs="Times New Roman"/>
                <w:color w:val="auto"/>
                <w:kern w:val="2"/>
                <w:sz w:val="24"/>
                <w:szCs w:val="24"/>
                <w:lang w:val="en-US" w:eastAsia="zh-CN" w:bidi="ar"/>
              </w:rPr>
              <w:t>、淬火、回火设备</w:t>
            </w:r>
            <w:r>
              <w:rPr>
                <w:rFonts w:hint="default" w:ascii="Times New Roman" w:hAnsi="Times New Roman" w:eastAsia="宋体" w:cs="Times New Roman"/>
                <w:color w:val="auto"/>
                <w:kern w:val="2"/>
                <w:sz w:val="24"/>
                <w:szCs w:val="24"/>
                <w:lang w:val="en-US" w:eastAsia="zh-CN" w:bidi="ar"/>
              </w:rPr>
              <w:t>自带循环冷却水管连接循环水池，循环水量为</w:t>
            </w:r>
            <w:r>
              <w:rPr>
                <w:rFonts w:hint="default" w:ascii="Times New Roman" w:hAnsi="Times New Roman" w:cs="Times New Roman"/>
                <w:color w:val="auto"/>
                <w:kern w:val="2"/>
                <w:sz w:val="24"/>
                <w:szCs w:val="24"/>
                <w:lang w:val="en-US" w:eastAsia="zh-CN" w:bidi="ar"/>
              </w:rPr>
              <w:t>12.5</w:t>
            </w:r>
            <w:r>
              <w:rPr>
                <w:rFonts w:hint="default" w:ascii="Times New Roman" w:hAnsi="Times New Roman" w:eastAsia="宋体" w:cs="Times New Roman"/>
                <w:color w:val="auto"/>
                <w:kern w:val="2"/>
                <w:sz w:val="24"/>
                <w:szCs w:val="24"/>
                <w:lang w:val="en-US" w:eastAsia="zh-CN" w:bidi="ar"/>
              </w:rPr>
              <w:t>m³/</w:t>
            </w:r>
            <w:r>
              <w:rPr>
                <w:rFonts w:hint="default" w:ascii="Times New Roman" w:hAnsi="Times New Roman" w:cs="Times New Roman"/>
                <w:color w:val="auto"/>
                <w:kern w:val="2"/>
                <w:sz w:val="24"/>
                <w:szCs w:val="24"/>
                <w:lang w:val="en-US" w:eastAsia="zh-CN" w:bidi="ar"/>
              </w:rPr>
              <w:t>h</w:t>
            </w:r>
            <w:r>
              <w:rPr>
                <w:rFonts w:hint="default" w:ascii="Times New Roman" w:hAnsi="Times New Roman" w:eastAsia="宋体" w:cs="Times New Roman"/>
                <w:color w:val="auto"/>
                <w:kern w:val="2"/>
                <w:sz w:val="24"/>
                <w:szCs w:val="24"/>
                <w:lang w:val="en-US" w:eastAsia="zh-CN" w:bidi="ar"/>
              </w:rPr>
              <w:t>，由于蒸发等原因损耗，需定期进行补水。损耗量按照用水量的2%计算，则平均补充量约为</w:t>
            </w:r>
            <w:r>
              <w:rPr>
                <w:rFonts w:hint="default" w:ascii="Times New Roman" w:hAnsi="Times New Roman" w:cs="Times New Roman"/>
                <w:color w:val="auto"/>
                <w:kern w:val="2"/>
                <w:sz w:val="24"/>
                <w:szCs w:val="24"/>
                <w:lang w:val="en-US" w:eastAsia="zh-CN" w:bidi="ar"/>
              </w:rPr>
              <w:t>4</w:t>
            </w:r>
            <w:r>
              <w:rPr>
                <w:rFonts w:hint="default" w:ascii="Times New Roman" w:hAnsi="Times New Roman" w:eastAsia="宋体" w:cs="Times New Roman"/>
                <w:color w:val="auto"/>
                <w:kern w:val="2"/>
                <w:sz w:val="24"/>
                <w:szCs w:val="24"/>
                <w:lang w:val="en-US" w:eastAsia="zh-CN" w:bidi="ar"/>
              </w:rPr>
              <w:t>m</w:t>
            </w:r>
            <w:r>
              <w:rPr>
                <w:rFonts w:hint="default" w:ascii="Times New Roman" w:hAnsi="Times New Roman" w:eastAsia="宋体" w:cs="Times New Roman"/>
                <w:color w:val="auto"/>
                <w:kern w:val="2"/>
                <w:sz w:val="24"/>
                <w:szCs w:val="24"/>
                <w:vertAlign w:val="superscript"/>
                <w:lang w:val="en-US" w:eastAsia="zh-CN" w:bidi="ar"/>
              </w:rPr>
              <w:t>3</w:t>
            </w:r>
            <w:r>
              <w:rPr>
                <w:rFonts w:hint="default" w:ascii="Times New Roman" w:hAnsi="Times New Roman" w:eastAsia="宋体" w:cs="Times New Roman"/>
                <w:color w:val="auto"/>
                <w:kern w:val="2"/>
                <w:sz w:val="24"/>
                <w:szCs w:val="24"/>
                <w:lang w:val="en-US" w:eastAsia="zh-CN" w:bidi="ar"/>
              </w:rPr>
              <w:t>/d（约合</w:t>
            </w:r>
            <w:r>
              <w:rPr>
                <w:rFonts w:hint="default" w:ascii="Times New Roman" w:hAnsi="Times New Roman" w:cs="Times New Roman"/>
                <w:color w:val="auto"/>
                <w:kern w:val="2"/>
                <w:sz w:val="24"/>
                <w:szCs w:val="24"/>
                <w:lang w:val="en-US" w:eastAsia="zh-CN" w:bidi="ar"/>
              </w:rPr>
              <w:t>1200</w:t>
            </w:r>
            <w:r>
              <w:rPr>
                <w:rFonts w:hint="default" w:ascii="Times New Roman" w:hAnsi="Times New Roman" w:eastAsia="宋体" w:cs="Times New Roman"/>
                <w:color w:val="auto"/>
                <w:kern w:val="2"/>
                <w:sz w:val="24"/>
                <w:szCs w:val="24"/>
                <w:lang w:val="en-US" w:eastAsia="zh-CN" w:bidi="ar"/>
              </w:rPr>
              <w:t>m</w:t>
            </w:r>
            <w:r>
              <w:rPr>
                <w:rFonts w:hint="default" w:ascii="Times New Roman" w:hAnsi="Times New Roman" w:eastAsia="宋体" w:cs="Times New Roman"/>
                <w:color w:val="auto"/>
                <w:kern w:val="2"/>
                <w:sz w:val="24"/>
                <w:szCs w:val="24"/>
                <w:vertAlign w:val="superscript"/>
                <w:lang w:val="en-US" w:eastAsia="zh-CN" w:bidi="ar"/>
              </w:rPr>
              <w:t>3</w:t>
            </w:r>
            <w:r>
              <w:rPr>
                <w:rFonts w:hint="default" w:ascii="Times New Roman" w:hAnsi="Times New Roman" w:eastAsia="宋体" w:cs="Times New Roman"/>
                <w:color w:val="auto"/>
                <w:kern w:val="2"/>
                <w:sz w:val="24"/>
                <w:szCs w:val="24"/>
                <w:lang w:val="en-US" w:eastAsia="zh-CN" w:bidi="ar"/>
              </w:rPr>
              <w:t>/a），</w:t>
            </w:r>
            <w:r>
              <w:rPr>
                <w:rFonts w:hint="default" w:ascii="Times New Roman" w:hAnsi="Times New Roman" w:cs="Times New Roman"/>
                <w:color w:val="auto"/>
                <w:kern w:val="2"/>
                <w:sz w:val="24"/>
                <w:szCs w:val="24"/>
                <w:lang w:val="en-US" w:eastAsia="zh-CN" w:bidi="ar"/>
              </w:rPr>
              <w:t>间接冷却水循环利用</w:t>
            </w:r>
            <w:r>
              <w:rPr>
                <w:rFonts w:hint="default" w:ascii="Times New Roman" w:hAnsi="Times New Roman" w:eastAsia="宋体" w:cs="Times New Roman"/>
                <w:color w:val="auto"/>
                <w:kern w:val="2"/>
                <w:sz w:val="24"/>
                <w:szCs w:val="24"/>
                <w:lang w:val="en-US" w:eastAsia="zh-CN" w:bidi="ar"/>
              </w:rPr>
              <w:t>不外排，循环冷却水系统用水约</w:t>
            </w:r>
            <w:r>
              <w:rPr>
                <w:rFonts w:hint="default" w:ascii="Times New Roman" w:hAnsi="Times New Roman" w:cs="Times New Roman"/>
                <w:color w:val="auto"/>
                <w:kern w:val="2"/>
                <w:sz w:val="24"/>
                <w:szCs w:val="24"/>
                <w:lang w:val="en-US" w:eastAsia="zh-CN" w:bidi="ar"/>
              </w:rPr>
              <w:t>1200</w:t>
            </w:r>
            <w:r>
              <w:rPr>
                <w:rFonts w:hint="default" w:ascii="Times New Roman" w:hAnsi="Times New Roman" w:eastAsia="宋体" w:cs="Times New Roman"/>
                <w:color w:val="auto"/>
                <w:kern w:val="2"/>
                <w:sz w:val="24"/>
                <w:szCs w:val="24"/>
                <w:lang w:val="en-US" w:eastAsia="zh-CN" w:bidi="ar"/>
              </w:rPr>
              <w:t>m</w:t>
            </w:r>
            <w:r>
              <w:rPr>
                <w:rFonts w:hint="default" w:ascii="Times New Roman" w:hAnsi="Times New Roman" w:eastAsia="宋体" w:cs="Times New Roman"/>
                <w:color w:val="auto"/>
                <w:kern w:val="2"/>
                <w:sz w:val="24"/>
                <w:szCs w:val="24"/>
                <w:vertAlign w:val="superscript"/>
                <w:lang w:val="en-US" w:eastAsia="zh-CN" w:bidi="ar"/>
              </w:rPr>
              <w:t>3</w:t>
            </w:r>
            <w:r>
              <w:rPr>
                <w:rFonts w:hint="default" w:ascii="Times New Roman" w:hAnsi="Times New Roman" w:eastAsia="宋体" w:cs="Times New Roman"/>
                <w:color w:val="auto"/>
                <w:kern w:val="2"/>
                <w:sz w:val="24"/>
                <w:szCs w:val="24"/>
                <w:lang w:val="en-US" w:eastAsia="zh-CN" w:bidi="ar"/>
              </w:rPr>
              <w:t>/a。该部分水采用自来水。</w:t>
            </w:r>
          </w:p>
          <w:p w14:paraId="3DEC8FC3">
            <w:pPr>
              <w:pStyle w:val="53"/>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val="0"/>
                <w:bCs w:val="0"/>
                <w:snapToGrid/>
                <w:color w:val="auto"/>
                <w:kern w:val="2"/>
                <w:sz w:val="24"/>
                <w:szCs w:val="24"/>
                <w:lang w:val="en-US" w:eastAsia="zh-CN" w:bidi="ar"/>
              </w:rPr>
            </w:pPr>
            <w:r>
              <w:rPr>
                <w:rFonts w:hint="default" w:ascii="Times New Roman" w:hAnsi="Times New Roman" w:eastAsia="宋体" w:cs="Times New Roman"/>
                <w:b w:val="0"/>
                <w:bCs w:val="0"/>
                <w:snapToGrid/>
                <w:color w:val="auto"/>
                <w:kern w:val="2"/>
                <w:sz w:val="24"/>
                <w:szCs w:val="24"/>
                <w:lang w:val="en-US" w:eastAsia="zh-CN" w:bidi="ar"/>
              </w:rPr>
              <w:t>淬火工件清洗用水</w:t>
            </w:r>
            <w:r>
              <w:rPr>
                <w:rFonts w:hint="default" w:ascii="Times New Roman" w:hAnsi="Times New Roman" w:cs="Times New Roman"/>
                <w:b w:val="0"/>
                <w:bCs w:val="0"/>
                <w:snapToGrid/>
                <w:color w:val="auto"/>
                <w:kern w:val="2"/>
                <w:sz w:val="24"/>
                <w:szCs w:val="24"/>
                <w:lang w:val="en-US" w:eastAsia="zh-CN" w:bidi="ar"/>
              </w:rPr>
              <w:t>：</w:t>
            </w:r>
            <w:r>
              <w:rPr>
                <w:rFonts w:hint="default" w:ascii="Times New Roman" w:hAnsi="Times New Roman" w:eastAsia="宋体" w:cs="Times New Roman"/>
                <w:b w:val="0"/>
                <w:bCs w:val="0"/>
                <w:snapToGrid/>
                <w:color w:val="auto"/>
                <w:kern w:val="2"/>
                <w:sz w:val="24"/>
                <w:szCs w:val="24"/>
                <w:lang w:val="en-US" w:eastAsia="zh-CN" w:bidi="ar"/>
              </w:rPr>
              <w:t>沾染淬火油的工件需在清洗炉内进行清洗，清洗水经油水分离装置分离后循环使用，只需定期补充，补水量为0.</w:t>
            </w:r>
            <w:r>
              <w:rPr>
                <w:rFonts w:hint="default" w:ascii="Times New Roman" w:hAnsi="Times New Roman" w:cs="Times New Roman"/>
                <w:b w:val="0"/>
                <w:bCs w:val="0"/>
                <w:snapToGrid/>
                <w:color w:val="auto"/>
                <w:kern w:val="2"/>
                <w:sz w:val="24"/>
                <w:szCs w:val="24"/>
                <w:lang w:val="en-US" w:eastAsia="zh-CN" w:bidi="ar"/>
              </w:rPr>
              <w:t>2</w:t>
            </w:r>
            <w:r>
              <w:rPr>
                <w:rFonts w:hint="default" w:ascii="Times New Roman" w:hAnsi="Times New Roman" w:eastAsia="宋体" w:cs="Times New Roman"/>
                <w:b w:val="0"/>
                <w:bCs w:val="0"/>
                <w:snapToGrid/>
                <w:color w:val="auto"/>
                <w:kern w:val="2"/>
                <w:sz w:val="24"/>
                <w:szCs w:val="24"/>
                <w:lang w:val="en-US" w:eastAsia="zh-CN" w:bidi="ar"/>
              </w:rPr>
              <w:t>m³/d、</w:t>
            </w:r>
            <w:r>
              <w:rPr>
                <w:rFonts w:hint="default" w:ascii="Times New Roman" w:hAnsi="Times New Roman" w:cs="Times New Roman"/>
                <w:b w:val="0"/>
                <w:bCs w:val="0"/>
                <w:snapToGrid/>
                <w:color w:val="auto"/>
                <w:kern w:val="2"/>
                <w:sz w:val="24"/>
                <w:szCs w:val="24"/>
                <w:lang w:val="en-US" w:eastAsia="zh-CN" w:bidi="ar"/>
              </w:rPr>
              <w:t>60</w:t>
            </w:r>
            <w:r>
              <w:rPr>
                <w:rFonts w:hint="default" w:ascii="Times New Roman" w:hAnsi="Times New Roman" w:eastAsia="宋体" w:cs="Times New Roman"/>
                <w:b w:val="0"/>
                <w:bCs w:val="0"/>
                <w:snapToGrid/>
                <w:color w:val="auto"/>
                <w:kern w:val="2"/>
                <w:sz w:val="24"/>
                <w:szCs w:val="24"/>
                <w:lang w:val="en-US" w:eastAsia="zh-CN" w:bidi="ar"/>
              </w:rPr>
              <w:t>m³/a。</w:t>
            </w:r>
          </w:p>
          <w:p w14:paraId="476AC6B5">
            <w:pPr>
              <w:pStyle w:val="53"/>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jc w:val="left"/>
              <w:textAlignment w:val="auto"/>
              <w:rPr>
                <w:rFonts w:hint="default" w:ascii="Times New Roman" w:hAnsi="Times New Roman" w:eastAsia="宋体" w:cs="Times New Roman"/>
                <w:b/>
                <w:bCs/>
                <w:snapToGrid/>
                <w:color w:val="auto"/>
                <w:kern w:val="2"/>
                <w:sz w:val="24"/>
                <w:szCs w:val="24"/>
                <w:lang w:val="en-US" w:eastAsia="zh-CN" w:bidi="ar"/>
              </w:rPr>
            </w:pPr>
            <w:r>
              <w:rPr>
                <w:rFonts w:hint="default" w:ascii="Times New Roman" w:hAnsi="Times New Roman" w:eastAsia="宋体" w:cs="Times New Roman"/>
                <w:b/>
                <w:bCs/>
                <w:snapToGrid/>
                <w:color w:val="auto"/>
                <w:kern w:val="2"/>
                <w:sz w:val="24"/>
                <w:szCs w:val="24"/>
                <w:lang w:val="en-US" w:eastAsia="zh-CN" w:bidi="ar"/>
              </w:rPr>
              <w:t>（2）排水</w:t>
            </w:r>
          </w:p>
          <w:p w14:paraId="6A1B56CC">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生活污水</w:t>
            </w:r>
            <w:r>
              <w:rPr>
                <w:rFonts w:hint="default" w:ascii="Times New Roman" w:hAnsi="Times New Roman" w:cs="Times New Roman"/>
                <w:color w:val="auto"/>
                <w:kern w:val="2"/>
                <w:sz w:val="24"/>
                <w:szCs w:val="24"/>
                <w:lang w:val="en-US" w:eastAsia="zh-CN" w:bidi="ar"/>
              </w:rPr>
              <w:t>：</w:t>
            </w:r>
            <w:r>
              <w:rPr>
                <w:rFonts w:hint="default" w:ascii="Times New Roman" w:hAnsi="Times New Roman" w:eastAsia="宋体" w:cs="Times New Roman"/>
                <w:color w:val="auto"/>
                <w:kern w:val="2"/>
                <w:sz w:val="24"/>
                <w:szCs w:val="24"/>
                <w:lang w:val="en-US" w:eastAsia="zh-CN" w:bidi="ar"/>
              </w:rPr>
              <w:t>生活污水产生量以用水量80%计，则生活污水产生量为</w:t>
            </w:r>
            <w:r>
              <w:rPr>
                <w:rFonts w:hint="default" w:ascii="Times New Roman" w:hAnsi="Times New Roman" w:cs="Times New Roman"/>
                <w:color w:val="auto"/>
                <w:kern w:val="2"/>
                <w:sz w:val="24"/>
                <w:szCs w:val="24"/>
                <w:lang w:val="en-US" w:eastAsia="zh-CN" w:bidi="ar"/>
              </w:rPr>
              <w:t>1.67</w:t>
            </w:r>
            <w:r>
              <w:rPr>
                <w:rFonts w:hint="default" w:ascii="Times New Roman" w:hAnsi="Times New Roman" w:eastAsia="宋体" w:cs="Times New Roman"/>
                <w:color w:val="auto"/>
                <w:kern w:val="2"/>
                <w:sz w:val="24"/>
                <w:szCs w:val="24"/>
                <w:lang w:val="en-US" w:eastAsia="zh-CN" w:bidi="ar"/>
              </w:rPr>
              <w:t>m</w:t>
            </w:r>
            <w:r>
              <w:rPr>
                <w:rFonts w:hint="default" w:ascii="Times New Roman" w:hAnsi="Times New Roman" w:eastAsia="宋体" w:cs="Times New Roman"/>
                <w:color w:val="auto"/>
                <w:kern w:val="2"/>
                <w:sz w:val="24"/>
                <w:szCs w:val="24"/>
                <w:vertAlign w:val="superscript"/>
                <w:lang w:val="en-US" w:eastAsia="zh-CN" w:bidi="ar"/>
              </w:rPr>
              <w:t>3</w:t>
            </w:r>
            <w:r>
              <w:rPr>
                <w:rFonts w:hint="default" w:ascii="Times New Roman" w:hAnsi="Times New Roman" w:eastAsia="宋体" w:cs="Times New Roman"/>
                <w:color w:val="auto"/>
                <w:kern w:val="2"/>
                <w:sz w:val="24"/>
                <w:szCs w:val="24"/>
                <w:lang w:val="en-US" w:eastAsia="zh-CN" w:bidi="ar"/>
              </w:rPr>
              <w:t>/d(</w:t>
            </w:r>
            <w:r>
              <w:rPr>
                <w:rFonts w:hint="default" w:ascii="Times New Roman" w:hAnsi="Times New Roman" w:cs="Times New Roman"/>
                <w:color w:val="auto"/>
                <w:kern w:val="2"/>
                <w:sz w:val="24"/>
                <w:szCs w:val="24"/>
                <w:lang w:val="en-US" w:eastAsia="zh-CN" w:bidi="ar"/>
              </w:rPr>
              <w:t>500</w:t>
            </w:r>
            <w:r>
              <w:rPr>
                <w:rFonts w:hint="default" w:ascii="Times New Roman" w:hAnsi="Times New Roman" w:eastAsia="宋体" w:cs="Times New Roman"/>
                <w:color w:val="auto"/>
                <w:kern w:val="2"/>
                <w:sz w:val="24"/>
                <w:szCs w:val="24"/>
                <w:lang w:val="en-US" w:eastAsia="zh-CN" w:bidi="ar"/>
              </w:rPr>
              <w:t>m</w:t>
            </w:r>
            <w:r>
              <w:rPr>
                <w:rFonts w:hint="default" w:ascii="Times New Roman" w:hAnsi="Times New Roman" w:eastAsia="宋体" w:cs="Times New Roman"/>
                <w:color w:val="auto"/>
                <w:kern w:val="2"/>
                <w:sz w:val="24"/>
                <w:szCs w:val="24"/>
                <w:vertAlign w:val="superscript"/>
                <w:lang w:val="en-US" w:eastAsia="zh-CN" w:bidi="ar"/>
              </w:rPr>
              <w:t>3</w:t>
            </w:r>
            <w:r>
              <w:rPr>
                <w:rFonts w:hint="default" w:ascii="Times New Roman" w:hAnsi="Times New Roman" w:eastAsia="宋体" w:cs="Times New Roman"/>
                <w:color w:val="auto"/>
                <w:kern w:val="2"/>
                <w:sz w:val="24"/>
                <w:szCs w:val="24"/>
                <w:lang w:val="en-US" w:eastAsia="zh-CN" w:bidi="ar"/>
              </w:rPr>
              <w:t>/a</w:t>
            </w:r>
            <w:r>
              <w:rPr>
                <w:rFonts w:hint="eastAsia" w:ascii="Times New Roman" w:hAnsi="Times New Roman" w:cs="Times New Roman"/>
                <w:color w:val="auto"/>
                <w:kern w:val="2"/>
                <w:sz w:val="24"/>
                <w:szCs w:val="24"/>
                <w:lang w:val="en-US" w:eastAsia="zh-CN" w:bidi="ar"/>
              </w:rPr>
              <w:t>)</w:t>
            </w:r>
            <w:r>
              <w:rPr>
                <w:rFonts w:hint="default" w:ascii="Times New Roman" w:hAnsi="Times New Roman" w:eastAsia="宋体" w:cs="Times New Roman"/>
                <w:color w:val="auto"/>
                <w:kern w:val="2"/>
                <w:sz w:val="24"/>
                <w:szCs w:val="24"/>
                <w:lang w:val="en-US" w:eastAsia="zh-CN" w:bidi="ar"/>
              </w:rPr>
              <w:t>，生活污水经厂区化粪池处理后</w:t>
            </w:r>
            <w:r>
              <w:rPr>
                <w:rFonts w:hint="default" w:ascii="Times New Roman" w:hAnsi="Times New Roman" w:cs="Times New Roman"/>
                <w:color w:val="auto"/>
                <w:kern w:val="2"/>
                <w:sz w:val="24"/>
                <w:szCs w:val="24"/>
                <w:lang w:val="en-US" w:eastAsia="zh-CN" w:bidi="ar"/>
              </w:rPr>
              <w:t>排入经开区污水管网进入铁力经济开发区污水处理厂进一步处理</w:t>
            </w:r>
            <w:r>
              <w:rPr>
                <w:rFonts w:hint="default" w:ascii="Times New Roman" w:hAnsi="Times New Roman" w:eastAsia="宋体" w:cs="Times New Roman"/>
                <w:color w:val="auto"/>
                <w:kern w:val="2"/>
                <w:sz w:val="24"/>
                <w:szCs w:val="24"/>
                <w:lang w:val="en-US" w:eastAsia="zh-CN" w:bidi="ar"/>
              </w:rPr>
              <w:t>。</w:t>
            </w:r>
          </w:p>
          <w:p w14:paraId="1ABA9711">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color w:val="auto"/>
                <w:kern w:val="2"/>
                <w:sz w:val="24"/>
                <w:szCs w:val="24"/>
                <w:lang w:val="en-US" w:eastAsia="zh-CN" w:bidi="ar"/>
              </w:rPr>
              <w:t>间接冷却废水：经循环水池自然冷却后循环利用，不外排。</w:t>
            </w:r>
          </w:p>
          <w:p w14:paraId="65F30D93">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水平衡图见图2-1。</w:t>
            </w:r>
          </w:p>
          <w:p w14:paraId="5930ED13">
            <w:pPr>
              <w:keepNext w:val="0"/>
              <w:keepLines w:val="0"/>
              <w:pageBreakBefore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object>
                <v:shape id="_x0000_i1025" o:spt="75" type="#_x0000_t75" style="height:253.45pt;width:432.5pt;" o:ole="t" filled="f" o:preferrelative="t" stroked="f" coordsize="21600,21600">
                  <v:path/>
                  <v:fill on="f" focussize="0,0"/>
                  <v:stroke on="f"/>
                  <v:imagedata r:id="rId22" o:title=""/>
                  <o:lock v:ext="edit" aspectratio="t"/>
                  <w10:wrap type="none"/>
                  <w10:anchorlock/>
                </v:shape>
                <o:OLEObject Type="Embed" ProgID="Visio.Drawing.11" ShapeID="_x0000_i1025" DrawAspect="Content" ObjectID="_1468075725" r:id="rId21">
                  <o:LockedField>false</o:LockedField>
                </o:OLEObject>
              </w:object>
            </w:r>
            <w:r>
              <w:rPr>
                <w:rFonts w:hint="default" w:ascii="Times New Roman" w:hAnsi="Times New Roman" w:eastAsia="宋体" w:cs="Times New Roman"/>
                <w:b/>
                <w:color w:val="auto"/>
                <w:szCs w:val="21"/>
                <w:highlight w:val="none"/>
                <w:lang w:val="en-US" w:eastAsia="zh-CN"/>
              </w:rPr>
              <w:t>图2-1  项目水平衡图  单位m³/a</w:t>
            </w:r>
          </w:p>
          <w:p w14:paraId="1AB7344A">
            <w:pPr>
              <w:pStyle w:val="53"/>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jc w:val="left"/>
              <w:textAlignment w:val="auto"/>
              <w:rPr>
                <w:rFonts w:hint="default" w:ascii="Times New Roman" w:hAnsi="Times New Roman" w:eastAsia="宋体" w:cs="Times New Roman"/>
                <w:b/>
                <w:bCs/>
                <w:snapToGrid/>
                <w:color w:val="auto"/>
                <w:kern w:val="2"/>
                <w:sz w:val="24"/>
                <w:szCs w:val="24"/>
                <w:lang w:val="en-US" w:eastAsia="zh-CN" w:bidi="ar"/>
              </w:rPr>
            </w:pPr>
            <w:r>
              <w:rPr>
                <w:rFonts w:hint="default" w:ascii="Times New Roman" w:hAnsi="Times New Roman" w:eastAsia="宋体" w:cs="Times New Roman"/>
                <w:b/>
                <w:bCs/>
                <w:snapToGrid/>
                <w:color w:val="auto"/>
                <w:kern w:val="2"/>
                <w:sz w:val="24"/>
                <w:szCs w:val="24"/>
                <w:lang w:val="en-US" w:eastAsia="zh-CN" w:bidi="ar"/>
              </w:rPr>
              <w:t>2.</w:t>
            </w:r>
            <w:r>
              <w:rPr>
                <w:rFonts w:hint="default" w:ascii="Times New Roman" w:hAnsi="Times New Roman" w:cs="Times New Roman"/>
                <w:b/>
                <w:bCs/>
                <w:snapToGrid/>
                <w:color w:val="auto"/>
                <w:kern w:val="2"/>
                <w:sz w:val="24"/>
                <w:szCs w:val="24"/>
                <w:lang w:val="en-US" w:eastAsia="zh-CN" w:bidi="ar"/>
              </w:rPr>
              <w:t>6</w:t>
            </w:r>
            <w:r>
              <w:rPr>
                <w:rFonts w:hint="default" w:ascii="Times New Roman" w:hAnsi="Times New Roman" w:eastAsia="宋体" w:cs="Times New Roman"/>
                <w:b/>
                <w:bCs/>
                <w:snapToGrid/>
                <w:color w:val="auto"/>
                <w:kern w:val="2"/>
                <w:sz w:val="24"/>
                <w:szCs w:val="24"/>
                <w:lang w:val="en-US" w:eastAsia="zh-CN" w:bidi="ar"/>
              </w:rPr>
              <w:t>.2供电</w:t>
            </w:r>
          </w:p>
          <w:p w14:paraId="0F2DF5A3">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8"/>
                <w:szCs w:val="28"/>
              </w:rPr>
            </w:pPr>
            <w:r>
              <w:rPr>
                <w:rFonts w:hint="default" w:ascii="Times New Roman" w:hAnsi="Times New Roman" w:cs="Times New Roman"/>
                <w:color w:val="auto"/>
                <w:kern w:val="0"/>
                <w:sz w:val="24"/>
                <w:szCs w:val="24"/>
                <w:lang w:val="en-US" w:eastAsia="zh-CN" w:bidi="ar"/>
              </w:rPr>
              <w:t>本</w:t>
            </w:r>
            <w:r>
              <w:rPr>
                <w:rFonts w:hint="default" w:ascii="Times New Roman" w:hAnsi="Times New Roman" w:eastAsia="宋体" w:cs="Times New Roman"/>
                <w:color w:val="auto"/>
                <w:kern w:val="0"/>
                <w:sz w:val="24"/>
                <w:szCs w:val="24"/>
                <w:lang w:val="en-US" w:eastAsia="zh-CN" w:bidi="ar"/>
              </w:rPr>
              <w:t>项目年用电量约为</w:t>
            </w:r>
            <w:r>
              <w:rPr>
                <w:rFonts w:hint="default" w:ascii="Times New Roman" w:hAnsi="Times New Roman" w:cs="Times New Roman"/>
                <w:color w:val="auto"/>
                <w:kern w:val="0"/>
                <w:sz w:val="24"/>
                <w:szCs w:val="24"/>
                <w:lang w:val="en-US" w:eastAsia="zh-CN" w:bidi="ar"/>
              </w:rPr>
              <w:t>2600</w:t>
            </w:r>
            <w:r>
              <w:rPr>
                <w:rFonts w:hint="default" w:ascii="Times New Roman" w:hAnsi="Times New Roman" w:eastAsia="宋体" w:cs="Times New Roman"/>
                <w:color w:val="auto"/>
                <w:kern w:val="0"/>
                <w:sz w:val="24"/>
                <w:szCs w:val="24"/>
                <w:lang w:val="en-US" w:eastAsia="zh-CN" w:bidi="ar"/>
              </w:rPr>
              <w:t>万kW/h，从市政供电电网引入厂区，可以满足项目用电需求。</w:t>
            </w:r>
          </w:p>
          <w:p w14:paraId="735B55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562" w:firstLineChars="200"/>
              <w:jc w:val="both"/>
              <w:textAlignment w:val="auto"/>
              <w:rPr>
                <w:rFonts w:hint="default" w:ascii="Times New Roman" w:hAnsi="Times New Roman" w:eastAsia="宋体" w:cs="Times New Roman"/>
                <w:b/>
                <w:bCs/>
                <w:color w:val="auto"/>
                <w:kern w:val="2"/>
                <w:sz w:val="28"/>
                <w:szCs w:val="28"/>
                <w:lang w:val="en-US" w:eastAsia="zh-CN" w:bidi="ar"/>
              </w:rPr>
            </w:pPr>
            <w:r>
              <w:rPr>
                <w:rFonts w:hint="default" w:ascii="Times New Roman" w:hAnsi="Times New Roman" w:eastAsia="宋体" w:cs="Times New Roman"/>
                <w:b/>
                <w:bCs/>
                <w:color w:val="auto"/>
                <w:kern w:val="2"/>
                <w:sz w:val="28"/>
                <w:szCs w:val="28"/>
                <w:lang w:val="en-US" w:eastAsia="zh-CN" w:bidi="ar"/>
              </w:rPr>
              <w:t>2.7劳动定员及劳动制度</w:t>
            </w:r>
          </w:p>
          <w:p w14:paraId="1B17F628">
            <w:pPr>
              <w:keepNext w:val="0"/>
              <w:keepLines w:val="0"/>
              <w:widowControl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kern w:val="2"/>
                <w:sz w:val="24"/>
                <w:szCs w:val="24"/>
                <w:lang w:val="en-US" w:eastAsia="zh-CN" w:bidi="ar"/>
              </w:rPr>
            </w:pPr>
            <w:r>
              <w:rPr>
                <w:rFonts w:hint="default" w:ascii="Times New Roman" w:hAnsi="Times New Roman" w:eastAsia="宋体" w:cs="Times New Roman"/>
                <w:color w:val="auto"/>
                <w:kern w:val="2"/>
                <w:sz w:val="24"/>
                <w:szCs w:val="24"/>
                <w:lang w:val="en-US" w:eastAsia="zh-CN" w:bidi="ar"/>
              </w:rPr>
              <w:t>本项目定员25人，采用两班制</w:t>
            </w:r>
            <w:r>
              <w:rPr>
                <w:rFonts w:hint="eastAsia" w:ascii="Times New Roman" w:hAnsi="Times New Roman" w:cs="Times New Roman"/>
                <w:color w:val="auto"/>
                <w:kern w:val="2"/>
                <w:sz w:val="24"/>
                <w:szCs w:val="24"/>
                <w:lang w:val="en-US" w:eastAsia="zh-CN" w:bidi="ar"/>
              </w:rPr>
              <w:t>，一</w:t>
            </w:r>
            <w:r>
              <w:rPr>
                <w:rFonts w:hint="default" w:ascii="Times New Roman" w:hAnsi="Times New Roman" w:eastAsia="宋体" w:cs="Times New Roman"/>
                <w:color w:val="auto"/>
                <w:kern w:val="2"/>
                <w:sz w:val="24"/>
                <w:szCs w:val="24"/>
                <w:lang w:val="en-US" w:eastAsia="zh-CN" w:bidi="ar"/>
              </w:rPr>
              <w:t>年工作300天，每班8小时，一年工作4800小时，项目不设置食堂。</w:t>
            </w:r>
          </w:p>
          <w:p w14:paraId="78D3FC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2" w:firstLineChars="200"/>
              <w:jc w:val="both"/>
              <w:textAlignment w:val="auto"/>
              <w:rPr>
                <w:rFonts w:hint="default" w:ascii="Times New Roman" w:hAnsi="Times New Roman" w:eastAsia="宋体" w:cs="Times New Roman"/>
                <w:b/>
                <w:bCs/>
                <w:color w:val="auto"/>
                <w:kern w:val="2"/>
                <w:sz w:val="28"/>
                <w:szCs w:val="28"/>
                <w:lang w:val="en-US" w:eastAsia="zh-CN" w:bidi="ar"/>
              </w:rPr>
            </w:pPr>
            <w:r>
              <w:rPr>
                <w:rFonts w:hint="default" w:ascii="Times New Roman" w:hAnsi="Times New Roman" w:eastAsia="宋体" w:cs="Times New Roman"/>
                <w:b/>
                <w:bCs/>
                <w:color w:val="auto"/>
                <w:kern w:val="2"/>
                <w:sz w:val="28"/>
                <w:szCs w:val="28"/>
                <w:lang w:val="en-US" w:eastAsia="zh-CN" w:bidi="ar"/>
              </w:rPr>
              <w:t>2.8项目周边概况及厂区平面布置</w:t>
            </w:r>
          </w:p>
          <w:p w14:paraId="5885AAE9">
            <w:pPr>
              <w:keepNext w:val="0"/>
              <w:keepLines w:val="0"/>
              <w:widowControl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kern w:val="2"/>
                <w:sz w:val="24"/>
                <w:szCs w:val="24"/>
                <w:lang w:val="en-US" w:eastAsia="zh-CN" w:bidi="ar"/>
              </w:rPr>
            </w:pPr>
            <w:r>
              <w:rPr>
                <w:rFonts w:hint="default" w:ascii="Times New Roman" w:hAnsi="Times New Roman" w:eastAsia="宋体" w:cs="Times New Roman"/>
                <w:color w:val="auto"/>
                <w:kern w:val="2"/>
                <w:sz w:val="24"/>
                <w:szCs w:val="24"/>
                <w:lang w:val="en-US" w:eastAsia="zh-CN" w:bidi="ar"/>
              </w:rPr>
              <w:t>本项目位于黑龙江省铁力经济开发区内，项目地理坐标为：128°06′20.95″ E、46°58′4.97″ N。本项目所在地东北侧为闲置厂房，西南侧为鸿源谷稻公司，西南侧为农用地，西北侧为喜禽药业。</w:t>
            </w:r>
          </w:p>
          <w:p w14:paraId="44AB2578">
            <w:pPr>
              <w:keepNext w:val="0"/>
              <w:keepLines w:val="0"/>
              <w:widowControl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kern w:val="2"/>
                <w:sz w:val="24"/>
                <w:szCs w:val="24"/>
                <w:lang w:val="en-US" w:eastAsia="zh-CN" w:bidi="ar"/>
              </w:rPr>
            </w:pPr>
            <w:r>
              <w:rPr>
                <w:rFonts w:hint="default" w:ascii="Times New Roman" w:hAnsi="Times New Roman" w:eastAsia="宋体" w:cs="Times New Roman"/>
                <w:color w:val="auto"/>
                <w:kern w:val="2"/>
                <w:sz w:val="24"/>
                <w:szCs w:val="24"/>
                <w:lang w:val="en-US" w:eastAsia="zh-CN" w:bidi="ar"/>
              </w:rPr>
              <w:t>本项目生产车间及办公用房均利旧，现有主厂房总占地面积15611.17m</w:t>
            </w:r>
            <w:r>
              <w:rPr>
                <w:rFonts w:hint="default" w:ascii="Times New Roman" w:hAnsi="Times New Roman" w:eastAsia="宋体" w:cs="Times New Roman"/>
                <w:color w:val="auto"/>
                <w:kern w:val="2"/>
                <w:sz w:val="24"/>
                <w:szCs w:val="24"/>
                <w:vertAlign w:val="superscript"/>
                <w:lang w:val="en-US" w:eastAsia="zh-CN" w:bidi="ar"/>
              </w:rPr>
              <w:t>2</w:t>
            </w:r>
            <w:r>
              <w:rPr>
                <w:rFonts w:hint="default" w:ascii="Times New Roman" w:hAnsi="Times New Roman" w:eastAsia="宋体" w:cs="Times New Roman"/>
                <w:color w:val="auto"/>
                <w:kern w:val="2"/>
                <w:sz w:val="24"/>
                <w:szCs w:val="24"/>
                <w:lang w:val="en-US" w:eastAsia="zh-CN" w:bidi="ar"/>
              </w:rPr>
              <w:t>，本次利用现有主厂房4000m</w:t>
            </w:r>
            <w:r>
              <w:rPr>
                <w:rFonts w:hint="default" w:ascii="Times New Roman" w:hAnsi="Times New Roman" w:eastAsia="宋体" w:cs="Times New Roman"/>
                <w:color w:val="auto"/>
                <w:kern w:val="2"/>
                <w:sz w:val="24"/>
                <w:szCs w:val="24"/>
                <w:vertAlign w:val="superscript"/>
                <w:lang w:val="en-US" w:eastAsia="zh-CN" w:bidi="ar"/>
              </w:rPr>
              <w:t>2</w:t>
            </w:r>
            <w:r>
              <w:rPr>
                <w:rFonts w:hint="default" w:ascii="Times New Roman" w:hAnsi="Times New Roman" w:eastAsia="宋体" w:cs="Times New Roman"/>
                <w:color w:val="auto"/>
                <w:kern w:val="2"/>
                <w:sz w:val="24"/>
                <w:szCs w:val="24"/>
                <w:lang w:val="en-US" w:eastAsia="zh-CN" w:bidi="ar"/>
              </w:rPr>
              <w:t>，建设</w:t>
            </w:r>
            <w:r>
              <w:rPr>
                <w:rFonts w:hint="eastAsia" w:ascii="Times New Roman" w:hAnsi="Times New Roman" w:cs="Times New Roman"/>
                <w:color w:val="auto"/>
                <w:kern w:val="2"/>
                <w:sz w:val="24"/>
                <w:szCs w:val="24"/>
                <w:lang w:val="en-US" w:eastAsia="zh-CN" w:bidi="ar"/>
              </w:rPr>
              <w:t>铁模覆砂</w:t>
            </w:r>
            <w:r>
              <w:rPr>
                <w:rFonts w:hint="default" w:ascii="Times New Roman" w:hAnsi="Times New Roman" w:eastAsia="宋体" w:cs="Times New Roman"/>
                <w:color w:val="auto"/>
                <w:kern w:val="2"/>
                <w:sz w:val="24"/>
                <w:szCs w:val="24"/>
                <w:lang w:val="en-US" w:eastAsia="zh-CN" w:bidi="ar"/>
              </w:rPr>
              <w:t>铸造生产线一条</w:t>
            </w:r>
            <w:r>
              <w:rPr>
                <w:rFonts w:hint="eastAsia" w:ascii="Times New Roman" w:hAnsi="Times New Roman" w:eastAsia="宋体" w:cs="Times New Roman"/>
                <w:color w:val="auto"/>
                <w:kern w:val="2"/>
                <w:sz w:val="24"/>
                <w:szCs w:val="24"/>
                <w:lang w:val="en-US" w:eastAsia="zh-CN" w:bidi="ar"/>
              </w:rPr>
              <w:t>。厂房西北</w:t>
            </w:r>
            <w:r>
              <w:rPr>
                <w:rFonts w:hint="default" w:ascii="Times New Roman" w:hAnsi="Times New Roman" w:eastAsia="宋体" w:cs="Times New Roman"/>
                <w:color w:val="auto"/>
                <w:kern w:val="2"/>
                <w:sz w:val="24"/>
                <w:szCs w:val="24"/>
                <w:lang w:val="en-US" w:eastAsia="zh-CN" w:bidi="ar"/>
              </w:rPr>
              <w:t>南设置办公楼用于日常办公。平面布置图见附图3。</w:t>
            </w:r>
          </w:p>
          <w:p w14:paraId="654DCF47">
            <w:pPr>
              <w:keepNext w:val="0"/>
              <w:keepLines w:val="0"/>
              <w:widowControl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该项目在确保工艺流程经济、合理的前提下，力求总平面布置紧凑、生产线路流畅、运输方便。根据各个生产工艺的要求，并按原材料、产品流向，构成一个完整的生产体系的原则进行布置。</w:t>
            </w:r>
          </w:p>
          <w:p w14:paraId="0D7783AB">
            <w:pPr>
              <w:keepNext w:val="0"/>
              <w:keepLines w:val="0"/>
              <w:suppressLineNumbers w:val="0"/>
              <w:spacing w:before="0" w:beforeAutospacing="0" w:after="0" w:afterAutospacing="0"/>
              <w:ind w:left="0" w:right="0" w:firstLine="480" w:firstLineChars="200"/>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color w:val="auto"/>
                <w:kern w:val="2"/>
                <w:sz w:val="24"/>
                <w:szCs w:val="24"/>
              </w:rPr>
              <w:t>在满足生产工艺、安全防火、卫生采光等要求前提下，适当划分厂区。各区既有明确分区，又保持一定联系。将废水、废气、噪音等污染源影响限制在局部，并在局部合理解决，总体而言，项目总平面布置紧凑、生产线路流畅，从环保角度出发，该项目平面布置基本合理。</w:t>
            </w:r>
          </w:p>
        </w:tc>
      </w:tr>
      <w:tr w14:paraId="737121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964" w:hRule="atLeast"/>
          <w:jc w:val="center"/>
        </w:trPr>
        <w:tc>
          <w:tcPr>
            <w:tcW w:w="303" w:type="pct"/>
            <w:noWrap w:val="0"/>
            <w:vAlign w:val="center"/>
          </w:tcPr>
          <w:p w14:paraId="55BE6DCE">
            <w:pPr>
              <w:pStyle w:val="53"/>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工艺流程和产排污环节</w:t>
            </w:r>
          </w:p>
        </w:tc>
        <w:tc>
          <w:tcPr>
            <w:tcW w:w="4696" w:type="pct"/>
            <w:noWrap w:val="0"/>
            <w:vAlign w:val="top"/>
          </w:tcPr>
          <w:p w14:paraId="49E66A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602" w:firstLineChars="200"/>
              <w:jc w:val="both"/>
              <w:textAlignment w:val="auto"/>
              <w:rPr>
                <w:rFonts w:hint="default" w:ascii="Times New Roman" w:hAnsi="Times New Roman" w:eastAsia="宋体" w:cs="Times New Roman"/>
                <w:b/>
                <w:bCs/>
                <w:color w:val="auto"/>
                <w:kern w:val="2"/>
                <w:sz w:val="30"/>
                <w:szCs w:val="30"/>
              </w:rPr>
            </w:pPr>
            <w:r>
              <w:rPr>
                <w:rFonts w:hint="default" w:ascii="Times New Roman" w:hAnsi="Times New Roman" w:eastAsia="宋体" w:cs="Times New Roman"/>
                <w:b/>
                <w:bCs/>
                <w:color w:val="auto"/>
                <w:kern w:val="2"/>
                <w:sz w:val="30"/>
                <w:szCs w:val="30"/>
                <w:lang w:val="en-US" w:eastAsia="zh-CN" w:bidi="ar"/>
              </w:rPr>
              <w:t>1施工期工艺流程及产排污环节</w:t>
            </w:r>
          </w:p>
          <w:p w14:paraId="281B71B2">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eastAsia="zh-CN"/>
              </w:rPr>
            </w:pPr>
            <w:r>
              <w:rPr>
                <w:rFonts w:hint="default" w:ascii="Times New Roman" w:hAnsi="Times New Roman" w:eastAsia="宋体" w:cs="Times New Roman"/>
                <w:bCs/>
                <w:color w:val="auto"/>
                <w:sz w:val="24"/>
                <w:lang w:val="en-US" w:eastAsia="zh-CN"/>
              </w:rPr>
              <w:t>本</w:t>
            </w:r>
            <w:r>
              <w:rPr>
                <w:rFonts w:hint="default" w:ascii="Times New Roman" w:hAnsi="Times New Roman" w:eastAsia="宋体" w:cs="Times New Roman"/>
                <w:bCs/>
                <w:color w:val="auto"/>
                <w:sz w:val="24"/>
                <w:lang w:eastAsia="zh-CN"/>
              </w:rPr>
              <w:t>项目</w:t>
            </w:r>
            <w:r>
              <w:rPr>
                <w:rFonts w:hint="default" w:ascii="Times New Roman" w:hAnsi="Times New Roman" w:eastAsia="宋体" w:cs="Times New Roman"/>
                <w:bCs/>
                <w:color w:val="auto"/>
                <w:sz w:val="24"/>
                <w:lang w:val="en-US" w:eastAsia="zh-CN"/>
              </w:rPr>
              <w:t>生产车间及办公用房均利旧，本</w:t>
            </w:r>
            <w:r>
              <w:rPr>
                <w:rFonts w:hint="default" w:ascii="Times New Roman" w:hAnsi="Times New Roman" w:eastAsia="宋体" w:cs="Times New Roman"/>
                <w:bCs/>
                <w:color w:val="auto"/>
                <w:sz w:val="24"/>
              </w:rPr>
              <w:t>项目</w:t>
            </w:r>
            <w:r>
              <w:rPr>
                <w:rFonts w:hint="default" w:ascii="Times New Roman" w:hAnsi="Times New Roman" w:eastAsia="宋体" w:cs="Times New Roman"/>
                <w:bCs/>
                <w:color w:val="auto"/>
                <w:sz w:val="24"/>
                <w:lang w:val="en-US" w:eastAsia="zh-CN"/>
              </w:rPr>
              <w:t>主要</w:t>
            </w:r>
            <w:r>
              <w:rPr>
                <w:rFonts w:hint="default" w:ascii="Times New Roman" w:hAnsi="Times New Roman" w:eastAsia="宋体" w:cs="Times New Roman"/>
                <w:bCs/>
                <w:color w:val="auto"/>
                <w:sz w:val="24"/>
              </w:rPr>
              <w:t>在厂房内</w:t>
            </w:r>
            <w:r>
              <w:rPr>
                <w:rFonts w:hint="eastAsia" w:ascii="Times New Roman" w:hAnsi="Times New Roman" w:eastAsia="宋体" w:cs="Times New Roman"/>
                <w:bCs/>
                <w:color w:val="auto"/>
                <w:sz w:val="24"/>
                <w:lang w:eastAsia="zh-CN"/>
              </w:rPr>
              <w:t>进行</w:t>
            </w:r>
            <w:r>
              <w:rPr>
                <w:rFonts w:hint="default" w:ascii="Times New Roman" w:hAnsi="Times New Roman" w:eastAsia="宋体" w:cs="Times New Roman"/>
                <w:bCs/>
                <w:color w:val="auto"/>
                <w:sz w:val="24"/>
              </w:rPr>
              <w:t>设备安装，本项目施工期中主要环境影响是噪音、建筑垃圾、施工废水等，安装设备的过程中会产生废包装材料，及时交由环卫部门清运</w:t>
            </w:r>
            <w:r>
              <w:rPr>
                <w:rFonts w:hint="default" w:ascii="Times New Roman" w:hAnsi="Times New Roman" w:eastAsia="宋体" w:cs="Times New Roman"/>
                <w:bCs/>
                <w:color w:val="auto"/>
                <w:sz w:val="24"/>
                <w:lang w:eastAsia="zh-CN"/>
              </w:rPr>
              <w:t>。</w:t>
            </w:r>
          </w:p>
          <w:p w14:paraId="126AEE05">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（1）施工期废气</w:t>
            </w:r>
          </w:p>
          <w:p w14:paraId="08A9EE47">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施工期废气主要为运输车辆废气和装修废气。</w:t>
            </w:r>
          </w:p>
          <w:p w14:paraId="47691448">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运输车辆废气产生量较少，建筑材料运输车辆一般都以柴油为燃料。由柴油燃烧产生的尾气中主要含有颗粒物和碳氢化合物，对环境造成污染。施工车辆尾气主要污染因子有CO、THC和NO</w:t>
            </w:r>
            <w:r>
              <w:rPr>
                <w:rFonts w:hint="default" w:ascii="Times New Roman" w:hAnsi="Times New Roman" w:eastAsia="宋体" w:cs="Times New Roman"/>
                <w:bCs/>
                <w:color w:val="auto"/>
                <w:sz w:val="24"/>
                <w:vertAlign w:val="subscript"/>
                <w:lang w:val="en-US" w:eastAsia="zh-CN"/>
              </w:rPr>
              <w:t>X</w:t>
            </w:r>
            <w:r>
              <w:rPr>
                <w:rFonts w:hint="default" w:ascii="Times New Roman" w:hAnsi="Times New Roman" w:eastAsia="宋体" w:cs="Times New Roman"/>
                <w:bCs/>
                <w:color w:val="auto"/>
                <w:sz w:val="24"/>
                <w:lang w:val="en-US" w:eastAsia="zh-CN"/>
              </w:rPr>
              <w:t>。</w:t>
            </w:r>
          </w:p>
          <w:p w14:paraId="0B34D2B7">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（2）施工废水</w:t>
            </w:r>
          </w:p>
          <w:p w14:paraId="04C027FB">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①生活污水</w:t>
            </w:r>
          </w:p>
          <w:p w14:paraId="2E678B0F">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施工期生活污水主要是施工人员产生的生活污水，施工人员按5人计，无住厂职工生活用水量平均每天按50L/人计算，则日生活用水量为0.25m</w:t>
            </w:r>
            <w:r>
              <w:rPr>
                <w:rFonts w:hint="default" w:ascii="Times New Roman" w:hAnsi="Times New Roman" w:eastAsia="宋体" w:cs="Times New Roman"/>
                <w:bCs/>
                <w:color w:val="auto"/>
                <w:sz w:val="24"/>
                <w:vertAlign w:val="superscript"/>
                <w:lang w:val="en-US" w:eastAsia="zh-CN"/>
              </w:rPr>
              <w:t>3</w:t>
            </w:r>
            <w:r>
              <w:rPr>
                <w:rFonts w:hint="default" w:ascii="Times New Roman" w:hAnsi="Times New Roman" w:eastAsia="宋体" w:cs="Times New Roman"/>
                <w:bCs/>
                <w:color w:val="auto"/>
                <w:sz w:val="24"/>
                <w:lang w:val="en-US" w:eastAsia="zh-CN"/>
              </w:rPr>
              <w:t>/d。生活污水的排放量按用水量的80%计算，则生活污水的排放量为0.2m</w:t>
            </w:r>
            <w:r>
              <w:rPr>
                <w:rFonts w:hint="default" w:ascii="Times New Roman" w:hAnsi="Times New Roman" w:eastAsia="宋体" w:cs="Times New Roman"/>
                <w:bCs/>
                <w:color w:val="auto"/>
                <w:sz w:val="24"/>
                <w:vertAlign w:val="superscript"/>
                <w:lang w:val="en-US" w:eastAsia="zh-CN"/>
              </w:rPr>
              <w:t>3</w:t>
            </w:r>
            <w:r>
              <w:rPr>
                <w:rFonts w:hint="default" w:ascii="Times New Roman" w:hAnsi="Times New Roman" w:eastAsia="宋体" w:cs="Times New Roman"/>
                <w:bCs/>
                <w:color w:val="auto"/>
                <w:sz w:val="24"/>
                <w:lang w:val="en-US" w:eastAsia="zh-CN"/>
              </w:rPr>
              <w:t>/d，主要污染因子为COD、BOD</w:t>
            </w:r>
            <w:r>
              <w:rPr>
                <w:rFonts w:hint="default" w:ascii="Times New Roman" w:hAnsi="Times New Roman" w:eastAsia="宋体" w:cs="Times New Roman"/>
                <w:bCs/>
                <w:color w:val="auto"/>
                <w:sz w:val="24"/>
                <w:vertAlign w:val="subscript"/>
                <w:lang w:val="en-US" w:eastAsia="zh-CN"/>
              </w:rPr>
              <w:t>5</w:t>
            </w:r>
            <w:r>
              <w:rPr>
                <w:rFonts w:hint="default" w:ascii="Times New Roman" w:hAnsi="Times New Roman" w:eastAsia="宋体" w:cs="Times New Roman"/>
                <w:bCs/>
                <w:color w:val="auto"/>
                <w:sz w:val="24"/>
                <w:lang w:val="en-US" w:eastAsia="zh-CN"/>
              </w:rPr>
              <w:t>和SS等。</w:t>
            </w:r>
          </w:p>
          <w:p w14:paraId="0BA5A26E">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②施工废水</w:t>
            </w:r>
          </w:p>
          <w:p w14:paraId="5DF4909F">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本项目地面已进行硬化不涉及地基开挖，不涉及大型机械的冲洗和保养，所以本项目无施工废水。</w:t>
            </w:r>
          </w:p>
          <w:p w14:paraId="033F4AB7">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（3）施工噪声</w:t>
            </w:r>
          </w:p>
          <w:p w14:paraId="68E84CAE">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本项目施工期主要进行设备安装，无需用到众多的大型机械，对外界环境造成的噪声影响较小。</w:t>
            </w:r>
          </w:p>
          <w:p w14:paraId="3DC965E1">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（4）施工期固体废物</w:t>
            </w:r>
          </w:p>
          <w:p w14:paraId="5C0CDBBC">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lang w:val="en-US" w:eastAsia="zh-CN"/>
              </w:rPr>
              <w:t>本项目施工期不涉及土石方开挖，无多余土石方，设备拆除及安装的过程中会产生废设备、废包装材料，及时外售综合利用。此外，施工人员生活垃圾产生量若按每人每日0.5kg计，施工人员5人，施工期为2个月，则共产生生活垃圾0.15t，定期运至环卫部门指定的垃圾收集点集中处理，不得随意堆放，确保其不会影响周围环境。</w:t>
            </w:r>
          </w:p>
          <w:p w14:paraId="07E0F478">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p>
          <w:p w14:paraId="4599283A">
            <w:pPr>
              <w:keepNext w:val="0"/>
              <w:keepLines w:val="0"/>
              <w:pageBreakBefore w:val="0"/>
              <w:widowControl w:val="0"/>
              <w:suppressLineNumbers w:val="0"/>
              <w:kinsoku/>
              <w:wordWrap/>
              <w:topLinePunct w:val="0"/>
              <w:autoSpaceDE w:val="0"/>
              <w:autoSpaceDN w:val="0"/>
              <w:bidi w:val="0"/>
              <w:spacing w:before="0" w:beforeAutospacing="0" w:after="0" w:afterAutospacing="0" w:line="360" w:lineRule="auto"/>
              <w:ind w:left="0" w:leftChars="0" w:right="0" w:rightChars="0" w:firstLine="480" w:firstLineChars="200"/>
              <w:jc w:val="both"/>
              <w:rPr>
                <w:rFonts w:hint="default" w:ascii="Times New Roman" w:hAnsi="Times New Roman" w:eastAsia="宋体" w:cs="Times New Roman"/>
                <w:color w:val="auto"/>
                <w:kern w:val="0"/>
                <w:sz w:val="24"/>
                <w:szCs w:val="24"/>
                <w:lang w:val="en-US" w:eastAsia="zh-CN" w:bidi="ar"/>
              </w:rPr>
            </w:pPr>
          </w:p>
          <w:p w14:paraId="639490A6">
            <w:pPr>
              <w:keepNext w:val="0"/>
              <w:keepLines w:val="0"/>
              <w:pageBreakBefore w:val="0"/>
              <w:widowControl w:val="0"/>
              <w:suppressLineNumbers w:val="0"/>
              <w:kinsoku/>
              <w:wordWrap/>
              <w:overflowPunct w:val="0"/>
              <w:topLinePunct w:val="0"/>
              <w:autoSpaceDE w:val="0"/>
              <w:autoSpaceDN/>
              <w:bidi w:val="0"/>
              <w:adjustRightInd w:val="0"/>
              <w:snapToGrid w:val="0"/>
              <w:spacing w:before="0" w:beforeAutospacing="0" w:after="0" w:afterAutospacing="0" w:line="360" w:lineRule="auto"/>
              <w:ind w:left="0" w:right="0" w:firstLine="602" w:firstLineChars="200"/>
              <w:jc w:val="both"/>
              <w:textAlignment w:val="auto"/>
              <w:rPr>
                <w:rFonts w:hint="default" w:ascii="Times New Roman" w:hAnsi="Times New Roman" w:eastAsia="宋体" w:cs="Times New Roman"/>
                <w:b/>
                <w:bCs/>
                <w:color w:val="auto"/>
                <w:kern w:val="2"/>
                <w:sz w:val="30"/>
                <w:szCs w:val="30"/>
                <w:lang w:val="en-US" w:eastAsia="zh-CN" w:bidi="ar"/>
              </w:rPr>
            </w:pPr>
            <w:r>
              <w:rPr>
                <w:rFonts w:hint="default" w:ascii="Times New Roman" w:hAnsi="Times New Roman" w:eastAsia="宋体" w:cs="Times New Roman"/>
                <w:b/>
                <w:bCs/>
                <w:color w:val="auto"/>
                <w:kern w:val="2"/>
                <w:sz w:val="30"/>
                <w:szCs w:val="30"/>
                <w:lang w:val="en-US" w:eastAsia="zh-CN" w:bidi="ar"/>
              </w:rPr>
              <w:t>2营运期工艺流程图及产排污环节</w:t>
            </w:r>
          </w:p>
          <w:p w14:paraId="2AEED338">
            <w:pPr>
              <w:keepNext w:val="0"/>
              <w:keepLines w:val="0"/>
              <w:pageBreakBefore w:val="0"/>
              <w:widowControl w:val="0"/>
              <w:suppressLineNumbers w:val="0"/>
              <w:spacing w:before="0" w:beforeAutospacing="0" w:after="0" w:afterAutospacing="0" w:line="360" w:lineRule="auto"/>
              <w:ind w:left="0" w:right="0"/>
              <w:jc w:val="center"/>
              <w:rPr>
                <w:rFonts w:hint="default" w:ascii="Times New Roman" w:hAnsi="Times New Roman"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object>
                <v:shape id="_x0000_i1026" o:spt="75" type="#_x0000_t75" style="height:390.4pt;width:395.15pt;" o:ole="t" filled="f" o:preferrelative="t" stroked="f" coordsize="21600,21600">
                  <v:path/>
                  <v:fill on="f" focussize="0,0"/>
                  <v:stroke on="f"/>
                  <v:imagedata r:id="rId24" o:title=""/>
                  <o:lock v:ext="edit" aspectratio="f"/>
                  <w10:wrap type="none"/>
                  <w10:anchorlock/>
                </v:shape>
                <o:OLEObject Type="Embed" ProgID="Visio.Drawing.11" ShapeID="_x0000_i1026" DrawAspect="Content" ObjectID="_1468075726" r:id="rId23">
                  <o:LockedField>false</o:LockedField>
                </o:OLEObject>
              </w:object>
            </w:r>
          </w:p>
          <w:p w14:paraId="04B96581">
            <w:pPr>
              <w:keepNext w:val="0"/>
              <w:keepLines w:val="0"/>
              <w:pageBreakBefore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图2-3 运营期铁模覆砂铸造工艺流程及产污节点图</w:t>
            </w:r>
          </w:p>
          <w:p w14:paraId="56A6B464">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
                <w:bCs w:val="0"/>
                <w:color w:val="auto"/>
                <w:sz w:val="24"/>
                <w:lang w:val="en-US" w:eastAsia="zh-CN"/>
              </w:rPr>
            </w:pPr>
            <w:r>
              <w:rPr>
                <w:rFonts w:hint="eastAsia" w:ascii="Times New Roman" w:hAnsi="Times New Roman" w:eastAsia="宋体" w:cs="Times New Roman"/>
                <w:b/>
                <w:bCs w:val="0"/>
                <w:color w:val="auto"/>
                <w:sz w:val="24"/>
                <w:lang w:val="en-US" w:eastAsia="zh-CN"/>
              </w:rPr>
              <w:t>（1）</w:t>
            </w:r>
            <w:r>
              <w:rPr>
                <w:rFonts w:hint="default" w:ascii="Times New Roman" w:hAnsi="Times New Roman" w:eastAsia="宋体" w:cs="Times New Roman"/>
                <w:b/>
                <w:bCs w:val="0"/>
                <w:color w:val="auto"/>
                <w:sz w:val="24"/>
                <w:lang w:val="en-US" w:eastAsia="zh-CN"/>
              </w:rPr>
              <w:t>铁模覆砂</w:t>
            </w:r>
            <w:r>
              <w:rPr>
                <w:rFonts w:hint="eastAsia" w:ascii="Times New Roman" w:hAnsi="Times New Roman" w:eastAsia="宋体" w:cs="Times New Roman"/>
                <w:b/>
                <w:bCs w:val="0"/>
                <w:color w:val="auto"/>
                <w:sz w:val="24"/>
                <w:lang w:val="en-US" w:eastAsia="zh-CN"/>
              </w:rPr>
              <w:t>（水玻璃砂）</w:t>
            </w:r>
            <w:r>
              <w:rPr>
                <w:rFonts w:hint="default" w:ascii="Times New Roman" w:hAnsi="Times New Roman" w:eastAsia="宋体" w:cs="Times New Roman"/>
                <w:b/>
                <w:bCs w:val="0"/>
                <w:color w:val="auto"/>
                <w:sz w:val="24"/>
                <w:lang w:val="en-US" w:eastAsia="zh-CN"/>
              </w:rPr>
              <w:t>铸造工艺简要说明</w:t>
            </w:r>
          </w:p>
          <w:p w14:paraId="7792C335">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1）</w:t>
            </w:r>
            <w:r>
              <w:rPr>
                <w:rFonts w:hint="default" w:ascii="Times New Roman" w:hAnsi="Times New Roman" w:eastAsia="宋体" w:cs="Times New Roman"/>
                <w:bCs/>
                <w:color w:val="auto"/>
                <w:sz w:val="24"/>
                <w:lang w:val="en-US" w:eastAsia="zh-CN"/>
              </w:rPr>
              <w:t>铁型准备</w:t>
            </w:r>
          </w:p>
          <w:p w14:paraId="75657FD5">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lang w:val="en-US" w:eastAsia="zh-CN"/>
              </w:rPr>
              <w:t>这是铁型覆砂工艺的核心步骤，目的是在金属模具内腔形成一层薄而坚固的砂壳。</w:t>
            </w:r>
          </w:p>
          <w:p w14:paraId="58F08E9D">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
                <w:bCs w:val="0"/>
                <w:color w:val="auto"/>
                <w:sz w:val="24"/>
                <w:lang w:val="en-US" w:eastAsia="zh-CN"/>
              </w:rPr>
              <w:t>模具清理</w:t>
            </w:r>
            <w:r>
              <w:rPr>
                <w:rFonts w:hint="default" w:ascii="Times New Roman" w:hAnsi="Times New Roman" w:eastAsia="宋体" w:cs="Times New Roman"/>
                <w:bCs/>
                <w:color w:val="auto"/>
                <w:sz w:val="24"/>
                <w:lang w:val="en-US" w:eastAsia="zh-CN"/>
              </w:rPr>
              <w:t>：开模取出铸件后，用压缩空气或机械方式清理金属模具型腔内的残留砂块和杂物。</w:t>
            </w:r>
            <w:r>
              <w:rPr>
                <w:rFonts w:hint="eastAsia" w:ascii="Times New Roman" w:hAnsi="Times New Roman" w:eastAsia="宋体" w:cs="Times New Roman"/>
                <w:bCs/>
                <w:color w:val="auto"/>
                <w:sz w:val="24"/>
                <w:lang w:val="en-US" w:eastAsia="zh-CN"/>
              </w:rPr>
              <w:t>采用高压气枪清理模具时，会产生少量颗粒物（主要为残留型砂粉尘），由于残留砂块颗粒较大，粉尘浓度较低。</w:t>
            </w:r>
          </w:p>
          <w:p w14:paraId="499F2110">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eastAsia" w:ascii="Times New Roman" w:hAnsi="Times New Roman" w:eastAsia="宋体" w:cs="Times New Roman"/>
                <w:b/>
                <w:bCs w:val="0"/>
                <w:color w:val="auto"/>
                <w:sz w:val="24"/>
                <w:lang w:val="en-US" w:eastAsia="zh-CN"/>
              </w:rPr>
              <w:t>造型</w:t>
            </w:r>
            <w:r>
              <w:rPr>
                <w:rFonts w:hint="default" w:ascii="Times New Roman" w:hAnsi="Times New Roman" w:eastAsia="宋体" w:cs="Times New Roman"/>
                <w:bCs/>
                <w:color w:val="auto"/>
                <w:sz w:val="24"/>
                <w:lang w:val="en-US" w:eastAsia="zh-CN"/>
              </w:rPr>
              <w:t>：将制备好的水玻璃砂送入射砂罐，通过0.3-0.6MPa的高压气体，将水玻璃砂高速射入预先清理完成的铁模型腔中，使砂粒在铁模内紧实成型，随后采用CO₂气体硬化工艺，使水玻璃砂快速固化，形成强度足够、轮廓清晰的铸型（型腔），用于承接高温熔融金属，此过程产生射砂成型</w:t>
            </w:r>
            <w:r>
              <w:rPr>
                <w:rFonts w:hint="eastAsia" w:ascii="Times New Roman" w:hAnsi="Times New Roman" w:eastAsia="宋体" w:cs="Times New Roman"/>
                <w:bCs/>
                <w:color w:val="auto"/>
                <w:sz w:val="24"/>
                <w:lang w:val="en-US" w:eastAsia="zh-CN"/>
              </w:rPr>
              <w:t>粉尘（颗粒物）及噪声。</w:t>
            </w:r>
          </w:p>
          <w:p w14:paraId="3508CF73">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
                <w:bCs w:val="0"/>
                <w:color w:val="auto"/>
                <w:sz w:val="24"/>
                <w:lang w:val="en-US" w:eastAsia="zh-CN"/>
              </w:rPr>
              <w:t>合箱：</w:t>
            </w:r>
            <w:r>
              <w:rPr>
                <w:rFonts w:hint="default" w:ascii="Times New Roman" w:hAnsi="Times New Roman" w:eastAsia="宋体" w:cs="Times New Roman"/>
                <w:bCs/>
                <w:color w:val="auto"/>
                <w:sz w:val="24"/>
                <w:lang w:val="en-US" w:eastAsia="zh-CN"/>
              </w:rPr>
              <w:t>将上下型准确合拢并锁紧，准备承接铁水。</w:t>
            </w:r>
          </w:p>
          <w:p w14:paraId="6746B064">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2）</w:t>
            </w:r>
            <w:r>
              <w:rPr>
                <w:rFonts w:hint="default" w:ascii="Times New Roman" w:hAnsi="Times New Roman" w:eastAsia="宋体" w:cs="Times New Roman"/>
                <w:bCs/>
                <w:color w:val="auto"/>
                <w:sz w:val="24"/>
                <w:lang w:val="en-US" w:eastAsia="zh-CN"/>
              </w:rPr>
              <w:t>熔炼与浇注</w:t>
            </w:r>
          </w:p>
          <w:p w14:paraId="12B6EC84">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lang w:val="en-US" w:eastAsia="zh-CN"/>
              </w:rPr>
              <w:t>这是将金属原料转化为铸件的核心环节。</w:t>
            </w:r>
          </w:p>
          <w:p w14:paraId="2BE8E68C">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
                <w:bCs w:val="0"/>
                <w:color w:val="auto"/>
                <w:sz w:val="24"/>
                <w:lang w:val="en-US" w:eastAsia="zh-CN"/>
              </w:rPr>
              <w:t>配料与熔炼</w:t>
            </w:r>
            <w:r>
              <w:rPr>
                <w:rFonts w:hint="default" w:ascii="Times New Roman" w:hAnsi="Times New Roman" w:eastAsia="宋体" w:cs="Times New Roman"/>
                <w:bCs/>
                <w:color w:val="auto"/>
                <w:sz w:val="24"/>
                <w:lang w:val="en-US" w:eastAsia="zh-CN"/>
              </w:rPr>
              <w:t>：按配方将生铁、废钢、回炉料（浇冒口、废品）及合金（如铬铁、钼铁等）</w:t>
            </w:r>
            <w:r>
              <w:rPr>
                <w:rFonts w:hint="eastAsia" w:ascii="Times New Roman" w:hAnsi="Times New Roman" w:eastAsia="宋体" w:cs="Times New Roman"/>
                <w:bCs/>
                <w:color w:val="auto"/>
                <w:sz w:val="24"/>
                <w:lang w:val="en-US" w:eastAsia="zh-CN"/>
              </w:rPr>
              <w:t>等</w:t>
            </w:r>
            <w:r>
              <w:rPr>
                <w:rFonts w:hint="default" w:ascii="Times New Roman" w:hAnsi="Times New Roman" w:eastAsia="宋体" w:cs="Times New Roman"/>
                <w:bCs/>
                <w:color w:val="auto"/>
                <w:sz w:val="24"/>
                <w:lang w:val="en-US" w:eastAsia="zh-CN"/>
              </w:rPr>
              <w:t>投入中频感应电炉中进行熔化。铁水温度通常需达到1500-1550℃。</w:t>
            </w:r>
            <w:r>
              <w:rPr>
                <w:rFonts w:hint="eastAsia" w:ascii="Times New Roman" w:hAnsi="Times New Roman" w:eastAsia="宋体" w:cs="Times New Roman"/>
                <w:bCs/>
                <w:color w:val="auto"/>
                <w:sz w:val="24"/>
                <w:lang w:val="en-US" w:eastAsia="zh-CN"/>
              </w:rPr>
              <w:t>中频炉熔炼金属原料时，会产生大量含颗粒物（金属粉尘、氧化硅、氧化铝等）的废气。</w:t>
            </w:r>
          </w:p>
          <w:p w14:paraId="2FCF59CF">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
                <w:bCs w:val="0"/>
                <w:color w:val="auto"/>
                <w:sz w:val="24"/>
                <w:lang w:val="en-US" w:eastAsia="zh-CN"/>
              </w:rPr>
              <w:t>成分调整与出炉</w:t>
            </w:r>
            <w:r>
              <w:rPr>
                <w:rFonts w:hint="default" w:ascii="Times New Roman" w:hAnsi="Times New Roman" w:eastAsia="宋体" w:cs="Times New Roman"/>
                <w:bCs/>
                <w:color w:val="auto"/>
                <w:sz w:val="24"/>
                <w:lang w:val="en-US" w:eastAsia="zh-CN"/>
              </w:rPr>
              <w:t>：待铁水熔清后，取样进行炉前分析，根据结果补加合金</w:t>
            </w:r>
            <w:r>
              <w:rPr>
                <w:rFonts w:hint="eastAsia" w:ascii="Times New Roman" w:hAnsi="Times New Roman" w:eastAsia="宋体" w:cs="Times New Roman"/>
                <w:bCs/>
                <w:color w:val="auto"/>
                <w:sz w:val="24"/>
                <w:lang w:val="en-US" w:eastAsia="zh-CN"/>
              </w:rPr>
              <w:t>等</w:t>
            </w:r>
            <w:r>
              <w:rPr>
                <w:rFonts w:hint="default" w:ascii="Times New Roman" w:hAnsi="Times New Roman" w:eastAsia="宋体" w:cs="Times New Roman"/>
                <w:bCs/>
                <w:color w:val="auto"/>
                <w:sz w:val="24"/>
                <w:lang w:val="en-US" w:eastAsia="zh-CN"/>
              </w:rPr>
              <w:t>调整成分。调整合格后，将铁水升温至浇注温度（如1320℃以上），出炉。</w:t>
            </w:r>
          </w:p>
          <w:p w14:paraId="7589044B">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
                <w:bCs w:val="0"/>
                <w:color w:val="auto"/>
                <w:sz w:val="24"/>
                <w:lang w:val="en-US" w:eastAsia="zh-CN"/>
              </w:rPr>
              <w:t>浇注：</w:t>
            </w:r>
            <w:r>
              <w:rPr>
                <w:rFonts w:hint="default" w:ascii="Times New Roman" w:hAnsi="Times New Roman" w:eastAsia="宋体" w:cs="Times New Roman"/>
                <w:bCs/>
                <w:color w:val="auto"/>
                <w:sz w:val="24"/>
                <w:lang w:val="en-US" w:eastAsia="zh-CN"/>
              </w:rPr>
              <w:t>将铁水浇入已合箱的模具中。铁水在型腔内冷却凝固，形成</w:t>
            </w:r>
            <w:r>
              <w:rPr>
                <w:rFonts w:hint="eastAsia" w:ascii="Times New Roman" w:hAnsi="Times New Roman" w:eastAsia="宋体" w:cs="Times New Roman"/>
                <w:bCs/>
                <w:color w:val="auto"/>
                <w:sz w:val="24"/>
                <w:lang w:val="en-US" w:eastAsia="zh-CN"/>
              </w:rPr>
              <w:t>产品</w:t>
            </w:r>
            <w:r>
              <w:rPr>
                <w:rFonts w:hint="default" w:ascii="Times New Roman" w:hAnsi="Times New Roman" w:eastAsia="宋体" w:cs="Times New Roman"/>
                <w:bCs/>
                <w:color w:val="auto"/>
                <w:sz w:val="24"/>
                <w:lang w:val="en-US" w:eastAsia="zh-CN"/>
              </w:rPr>
              <w:t>。</w:t>
            </w:r>
            <w:r>
              <w:rPr>
                <w:rFonts w:hint="eastAsia" w:ascii="Times New Roman" w:hAnsi="Times New Roman" w:eastAsia="宋体" w:cs="Times New Roman"/>
                <w:bCs/>
                <w:color w:val="auto"/>
                <w:sz w:val="24"/>
                <w:lang w:val="en-US" w:eastAsia="zh-CN"/>
              </w:rPr>
              <w:t>高温金属液注入模具后，与覆砂接触产生大量热气和烟尘（颗粒物）。</w:t>
            </w:r>
          </w:p>
          <w:p w14:paraId="760E8BFC">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3）</w:t>
            </w:r>
            <w:r>
              <w:rPr>
                <w:rFonts w:hint="default" w:ascii="Times New Roman" w:hAnsi="Times New Roman" w:eastAsia="宋体" w:cs="Times New Roman"/>
                <w:bCs/>
                <w:color w:val="auto"/>
                <w:sz w:val="24"/>
                <w:lang w:val="en-US" w:eastAsia="zh-CN"/>
              </w:rPr>
              <w:t>铸件处理（落砂与清理）</w:t>
            </w:r>
          </w:p>
          <w:p w14:paraId="402708F7">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
                <w:bCs w:val="0"/>
                <w:color w:val="auto"/>
                <w:sz w:val="24"/>
                <w:lang w:val="en-US" w:eastAsia="zh-CN"/>
              </w:rPr>
              <w:t>自然冷却</w:t>
            </w:r>
            <w:r>
              <w:rPr>
                <w:rFonts w:hint="default" w:ascii="Times New Roman" w:hAnsi="Times New Roman" w:eastAsia="宋体" w:cs="Times New Roman"/>
                <w:bCs/>
                <w:color w:val="auto"/>
                <w:sz w:val="24"/>
                <w:lang w:val="en-US" w:eastAsia="zh-CN"/>
              </w:rPr>
              <w:t>：浇注后，铸件在模具中或脱模后经过一段时间的</w:t>
            </w:r>
            <w:r>
              <w:rPr>
                <w:rFonts w:hint="eastAsia" w:ascii="Times New Roman" w:hAnsi="Times New Roman" w:eastAsia="宋体" w:cs="Times New Roman"/>
                <w:bCs/>
                <w:color w:val="auto"/>
                <w:sz w:val="24"/>
                <w:lang w:val="en-US" w:eastAsia="zh-CN"/>
              </w:rPr>
              <w:t>自然</w:t>
            </w:r>
            <w:r>
              <w:rPr>
                <w:rFonts w:hint="default" w:ascii="Times New Roman" w:hAnsi="Times New Roman" w:eastAsia="宋体" w:cs="Times New Roman"/>
                <w:bCs/>
                <w:color w:val="auto"/>
                <w:sz w:val="24"/>
                <w:lang w:val="en-US" w:eastAsia="zh-CN"/>
              </w:rPr>
              <w:t>冷却，使其凝固并降至一定温度。</w:t>
            </w:r>
          </w:p>
          <w:p w14:paraId="250FEF5B">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
                <w:bCs w:val="0"/>
                <w:color w:val="auto"/>
                <w:sz w:val="24"/>
                <w:lang w:val="en-US" w:eastAsia="zh-CN"/>
              </w:rPr>
              <w:t>落砂</w:t>
            </w:r>
            <w:r>
              <w:rPr>
                <w:rFonts w:hint="default" w:ascii="Times New Roman" w:hAnsi="Times New Roman" w:eastAsia="宋体" w:cs="Times New Roman"/>
                <w:bCs/>
                <w:color w:val="auto"/>
                <w:sz w:val="24"/>
                <w:lang w:val="en-US" w:eastAsia="zh-CN"/>
              </w:rPr>
              <w:t>：打开模具，将</w:t>
            </w:r>
            <w:r>
              <w:rPr>
                <w:rFonts w:hint="eastAsia" w:ascii="Times New Roman" w:hAnsi="Times New Roman" w:eastAsia="宋体" w:cs="Times New Roman"/>
                <w:bCs/>
                <w:color w:val="auto"/>
                <w:sz w:val="24"/>
                <w:lang w:val="en-US" w:eastAsia="zh-CN"/>
              </w:rPr>
              <w:t>产品</w:t>
            </w:r>
            <w:r>
              <w:rPr>
                <w:rFonts w:hint="default" w:ascii="Times New Roman" w:hAnsi="Times New Roman" w:eastAsia="宋体" w:cs="Times New Roman"/>
                <w:bCs/>
                <w:color w:val="auto"/>
                <w:sz w:val="24"/>
                <w:lang w:val="en-US" w:eastAsia="zh-CN"/>
              </w:rPr>
              <w:t>与型砂分离。此时，部分覆砂因受热烧结而溃散，形成旧砂。铸件由行车吊到落砂区上，行车将铸件和砂子分离完成机械落砂，落下的砂子通过砂处理设备的管道吸入砂处理设备。此工序产生落砂</w:t>
            </w:r>
            <w:r>
              <w:rPr>
                <w:rFonts w:hint="eastAsia" w:ascii="Times New Roman" w:hAnsi="Times New Roman" w:eastAsia="宋体" w:cs="Times New Roman"/>
                <w:bCs/>
                <w:color w:val="auto"/>
                <w:sz w:val="24"/>
                <w:lang w:val="en-US" w:eastAsia="zh-CN"/>
              </w:rPr>
              <w:t>粉尘</w:t>
            </w:r>
            <w:r>
              <w:rPr>
                <w:rFonts w:hint="default" w:ascii="Times New Roman" w:hAnsi="Times New Roman" w:eastAsia="宋体" w:cs="Times New Roman"/>
                <w:bCs/>
                <w:color w:val="auto"/>
                <w:sz w:val="24"/>
                <w:lang w:val="en-US" w:eastAsia="zh-CN"/>
              </w:rPr>
              <w:t>及噪声。</w:t>
            </w:r>
          </w:p>
          <w:p w14:paraId="25CE3A16">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
                <w:bCs w:val="0"/>
                <w:color w:val="auto"/>
                <w:sz w:val="24"/>
                <w:lang w:val="en-US" w:eastAsia="zh-CN"/>
              </w:rPr>
              <w:t>球冒分离</w:t>
            </w:r>
            <w:r>
              <w:rPr>
                <w:rFonts w:hint="default" w:ascii="Times New Roman" w:hAnsi="Times New Roman" w:eastAsia="宋体" w:cs="Times New Roman"/>
                <w:bCs/>
                <w:color w:val="auto"/>
                <w:sz w:val="24"/>
                <w:lang w:val="en-US" w:eastAsia="zh-CN"/>
              </w:rPr>
              <w:t>：</w:t>
            </w:r>
            <w:r>
              <w:rPr>
                <w:rFonts w:hint="eastAsia" w:ascii="Times New Roman" w:hAnsi="Times New Roman" w:eastAsia="宋体" w:cs="Times New Roman"/>
                <w:bCs/>
                <w:color w:val="auto"/>
                <w:sz w:val="24"/>
                <w:lang w:val="en-US" w:eastAsia="zh-CN"/>
              </w:rPr>
              <w:t>采用</w:t>
            </w:r>
            <w:r>
              <w:rPr>
                <w:rFonts w:hint="default" w:ascii="Times New Roman" w:hAnsi="Times New Roman" w:eastAsia="宋体" w:cs="Times New Roman"/>
                <w:bCs/>
                <w:color w:val="auto"/>
                <w:sz w:val="24"/>
                <w:lang w:val="en-US" w:eastAsia="zh-CN"/>
              </w:rPr>
              <w:t>挑球器（或称自动分离分选设备）可以实现浇冒口与铸件的自动分离</w:t>
            </w:r>
            <w:r>
              <w:rPr>
                <w:rFonts w:hint="eastAsia" w:ascii="Times New Roman" w:hAnsi="Times New Roman" w:eastAsia="宋体" w:cs="Times New Roman"/>
                <w:bCs/>
                <w:color w:val="auto"/>
                <w:sz w:val="24"/>
                <w:lang w:val="en-US" w:eastAsia="zh-CN"/>
              </w:rPr>
              <w:t>，此工序会产生粉尘及噪声</w:t>
            </w:r>
            <w:r>
              <w:rPr>
                <w:rFonts w:hint="default" w:ascii="Times New Roman" w:hAnsi="Times New Roman" w:eastAsia="宋体" w:cs="Times New Roman"/>
                <w:bCs/>
                <w:color w:val="auto"/>
                <w:sz w:val="24"/>
                <w:lang w:val="en-US" w:eastAsia="zh-CN"/>
              </w:rPr>
              <w:t>。</w:t>
            </w:r>
          </w:p>
          <w:p w14:paraId="4E086A7F">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eastAsia" w:ascii="Times New Roman" w:hAnsi="Times New Roman" w:eastAsia="宋体" w:cs="Times New Roman"/>
                <w:b/>
                <w:bCs w:val="0"/>
                <w:color w:val="auto"/>
                <w:sz w:val="24"/>
                <w:lang w:val="en-US" w:eastAsia="zh-CN"/>
              </w:rPr>
              <w:t>打磨清理</w:t>
            </w:r>
            <w:r>
              <w:rPr>
                <w:rFonts w:hint="default" w:ascii="Times New Roman" w:hAnsi="Times New Roman" w:eastAsia="宋体" w:cs="Times New Roman"/>
                <w:bCs/>
                <w:color w:val="auto"/>
                <w:sz w:val="24"/>
                <w:lang w:val="en-US" w:eastAsia="zh-CN"/>
              </w:rPr>
              <w:t>：对</w:t>
            </w:r>
            <w:r>
              <w:rPr>
                <w:rFonts w:hint="eastAsia" w:ascii="Times New Roman" w:hAnsi="Times New Roman" w:eastAsia="宋体" w:cs="Times New Roman"/>
                <w:bCs/>
                <w:color w:val="auto"/>
                <w:sz w:val="24"/>
                <w:lang w:val="en-US" w:eastAsia="zh-CN"/>
              </w:rPr>
              <w:t>产品</w:t>
            </w:r>
            <w:r>
              <w:rPr>
                <w:rFonts w:hint="default" w:ascii="Times New Roman" w:hAnsi="Times New Roman" w:eastAsia="宋体" w:cs="Times New Roman"/>
                <w:bCs/>
                <w:color w:val="auto"/>
                <w:sz w:val="24"/>
                <w:lang w:val="en-US" w:eastAsia="zh-CN"/>
              </w:rPr>
              <w:t>表面残留的飞边、毛刺进行打磨清理</w:t>
            </w:r>
            <w:r>
              <w:rPr>
                <w:rFonts w:hint="eastAsia" w:ascii="Times New Roman" w:hAnsi="Times New Roman" w:eastAsia="宋体" w:cs="Times New Roman"/>
                <w:bCs/>
                <w:color w:val="auto"/>
                <w:sz w:val="24"/>
                <w:lang w:val="en-US" w:eastAsia="zh-CN"/>
              </w:rPr>
              <w:t>，此工序会产生粉尘及噪声</w:t>
            </w:r>
            <w:r>
              <w:rPr>
                <w:rFonts w:hint="default" w:ascii="Times New Roman" w:hAnsi="Times New Roman" w:eastAsia="宋体" w:cs="Times New Roman"/>
                <w:bCs/>
                <w:color w:val="auto"/>
                <w:sz w:val="24"/>
                <w:lang w:val="en-US" w:eastAsia="zh-CN"/>
              </w:rPr>
              <w:t>。</w:t>
            </w:r>
          </w:p>
          <w:p w14:paraId="7347963E">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
                <w:bCs w:val="0"/>
                <w:color w:val="auto"/>
                <w:sz w:val="24"/>
                <w:lang w:val="en-US" w:eastAsia="zh-CN"/>
              </w:rPr>
              <w:t>热处理（如需）</w:t>
            </w:r>
            <w:r>
              <w:rPr>
                <w:rFonts w:hint="default" w:ascii="Times New Roman" w:hAnsi="Times New Roman" w:eastAsia="宋体" w:cs="Times New Roman"/>
                <w:b w:val="0"/>
                <w:bCs/>
                <w:color w:val="auto"/>
                <w:sz w:val="24"/>
                <w:lang w:val="en-US" w:eastAsia="zh-CN"/>
              </w:rPr>
              <w:t>：</w:t>
            </w:r>
            <w:r>
              <w:rPr>
                <w:rFonts w:hint="default" w:ascii="Times New Roman" w:hAnsi="Times New Roman" w:eastAsia="宋体" w:cs="Times New Roman"/>
                <w:bCs/>
                <w:color w:val="auto"/>
                <w:sz w:val="24"/>
                <w:lang w:val="en-US" w:eastAsia="zh-CN"/>
              </w:rPr>
              <w:t>对于高铬铸铁等材质的磨球，需要进行淬火+回火处理，以获得高硬度和高耐磨性。</w:t>
            </w:r>
          </w:p>
          <w:p w14:paraId="0B8BAA4B">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lang w:val="en-US" w:eastAsia="zh-CN"/>
              </w:rPr>
              <w:t>热处理工艺包括淬火和回火环节，采用电加热。</w:t>
            </w:r>
          </w:p>
          <w:p w14:paraId="58D1F3A1">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lang w:val="en-US" w:eastAsia="zh-CN"/>
              </w:rPr>
              <w:t>油淬：铸件进入热处理炉（电加热）加热到700-850℃经1-2h后掉入淬火油槽内进行冷却，冷却5min左右，为了避免淬火油温度太高，淬火油设置冷却系统，设置风冷器，淬火油经冷却后循环使用。淬火过程中淬火油部分被工件带走，部分挥发，需定期进行补充。淬火使用淬火油，使用淬火油进行冷却过程中会产生挥发性有机物。挥发的淬火油经收集后引入高压静电油烟净化后15m排气筒排放。工件油淬后需在清洗炉内进行清洗，以去除表面的淬火油，清洗水经油水分离装置分离后循环使用，只需定期补充。该工序产生淬火废气、废淬火油、少量淬火废渣，隔出的废淬火油回用至油淬工序。</w:t>
            </w:r>
          </w:p>
          <w:p w14:paraId="27CFB1A0">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lang w:val="en-US" w:eastAsia="zh-CN"/>
              </w:rPr>
              <w:t>回火：淬火处理后的铸件由于硬度大、脆性大，直接使用经常发生脆断，因此需要通过回火以消除或减少内应力，降低脆性，提高韧性。回火过程为铸件经淬硬后，再回火加热至200℃左右，</w:t>
            </w:r>
            <w:r>
              <w:rPr>
                <w:rFonts w:hint="eastAsia" w:ascii="Times New Roman" w:hAnsi="Times New Roman" w:eastAsia="宋体" w:cs="Times New Roman"/>
                <w:bCs/>
                <w:color w:val="auto"/>
                <w:sz w:val="24"/>
                <w:lang w:val="en-US" w:eastAsia="zh-CN"/>
              </w:rPr>
              <w:t>此过程采用电加热，</w:t>
            </w:r>
            <w:r>
              <w:rPr>
                <w:rFonts w:hint="default" w:ascii="Times New Roman" w:hAnsi="Times New Roman" w:eastAsia="宋体" w:cs="Times New Roman"/>
                <w:bCs/>
                <w:color w:val="auto"/>
                <w:sz w:val="24"/>
                <w:lang w:val="en-US" w:eastAsia="zh-CN"/>
              </w:rPr>
              <w:t>保持四小时左右。回火冷却时产生循环冷却水。该工序产生回火废气</w:t>
            </w:r>
            <w:r>
              <w:rPr>
                <w:rFonts w:hint="eastAsia" w:ascii="Times New Roman" w:hAnsi="Times New Roman" w:eastAsia="宋体" w:cs="Times New Roman"/>
                <w:bCs/>
                <w:color w:val="auto"/>
                <w:sz w:val="24"/>
                <w:lang w:val="en-US" w:eastAsia="zh-CN"/>
              </w:rPr>
              <w:t>，主要为产品表面少量沾染的淬火油挥发产生挥发性有机物。挥发的淬火油经收集后引入高压静电油烟净化后15m排气筒排放</w:t>
            </w:r>
            <w:r>
              <w:rPr>
                <w:rFonts w:hint="default" w:ascii="Times New Roman" w:hAnsi="Times New Roman" w:eastAsia="宋体" w:cs="Times New Roman"/>
                <w:bCs/>
                <w:color w:val="auto"/>
                <w:sz w:val="24"/>
                <w:lang w:val="en-US" w:eastAsia="zh-CN"/>
              </w:rPr>
              <w:t>。</w:t>
            </w:r>
          </w:p>
          <w:p w14:paraId="51843F52">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4）</w:t>
            </w:r>
            <w:r>
              <w:rPr>
                <w:rFonts w:hint="default" w:ascii="Times New Roman" w:hAnsi="Times New Roman" w:eastAsia="宋体" w:cs="Times New Roman"/>
                <w:bCs/>
                <w:color w:val="auto"/>
                <w:sz w:val="24"/>
                <w:lang w:val="en-US" w:eastAsia="zh-CN"/>
              </w:rPr>
              <w:t>砂处理</w:t>
            </w:r>
          </w:p>
          <w:p w14:paraId="71327B75">
            <w:pPr>
              <w:pStyle w:val="407"/>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auto"/>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
                <w:bCs w:val="0"/>
                <w:color w:val="auto"/>
                <w:sz w:val="24"/>
                <w:lang w:val="en-US" w:eastAsia="zh-CN"/>
              </w:rPr>
              <w:t>碾砂</w:t>
            </w:r>
            <w:r>
              <w:rPr>
                <w:rFonts w:hint="default" w:ascii="Times New Roman" w:hAnsi="Times New Roman" w:eastAsia="宋体" w:cs="Times New Roman"/>
                <w:bCs/>
                <w:color w:val="auto"/>
                <w:sz w:val="24"/>
                <w:lang w:val="en-US" w:eastAsia="zh-CN"/>
              </w:rPr>
              <w:t>：将落砂后得到的块状旧砂进行</w:t>
            </w:r>
            <w:r>
              <w:rPr>
                <w:rFonts w:hint="eastAsia" w:ascii="Times New Roman" w:hAnsi="Times New Roman" w:eastAsia="宋体" w:cs="Times New Roman"/>
                <w:bCs/>
                <w:color w:val="auto"/>
                <w:sz w:val="24"/>
                <w:lang w:val="en-US" w:eastAsia="zh-CN"/>
              </w:rPr>
              <w:t>碾</w:t>
            </w:r>
            <w:r>
              <w:rPr>
                <w:rFonts w:hint="default" w:ascii="Times New Roman" w:hAnsi="Times New Roman" w:eastAsia="宋体" w:cs="Times New Roman"/>
                <w:bCs/>
                <w:color w:val="auto"/>
                <w:sz w:val="24"/>
                <w:lang w:val="en-US" w:eastAsia="zh-CN"/>
              </w:rPr>
              <w:t>碎、筛分，去除铁豆和粗大砂块，经筛选去除不合格旧砂后进入砂库回用</w:t>
            </w:r>
            <w:r>
              <w:rPr>
                <w:rFonts w:hint="eastAsia" w:ascii="Times New Roman" w:hAnsi="Times New Roman" w:eastAsia="宋体" w:cs="Times New Roman"/>
                <w:bCs/>
                <w:color w:val="auto"/>
                <w:sz w:val="24"/>
                <w:lang w:val="en-US" w:eastAsia="zh-CN"/>
              </w:rPr>
              <w:t>。此工序在带筛分功能的碾砂一体机（它是将碾磨、分级、混砂集成于一体的设备）中进行。此工序会产生颗粒物、废砂及噪声。</w:t>
            </w:r>
          </w:p>
          <w:p w14:paraId="69FEB0D9">
            <w:pPr>
              <w:pStyle w:val="407"/>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auto"/>
              <w:rPr>
                <w:rFonts w:hint="default" w:ascii="Times New Roman" w:hAnsi="Times New Roman" w:eastAsia="宋体" w:cs="Times New Roman"/>
                <w:bCs/>
                <w:color w:val="auto"/>
                <w:sz w:val="24"/>
                <w:lang w:val="en-US" w:eastAsia="zh-CN"/>
              </w:rPr>
            </w:pPr>
            <w:r>
              <w:rPr>
                <w:rFonts w:hint="eastAsia" w:ascii="Times New Roman" w:hAnsi="Times New Roman" w:eastAsia="宋体" w:cs="Times New Roman"/>
                <w:b/>
                <w:bCs w:val="0"/>
                <w:color w:val="auto"/>
                <w:sz w:val="24"/>
                <w:lang w:val="en-US" w:eastAsia="zh-CN"/>
              </w:rPr>
              <w:t>混砂</w:t>
            </w:r>
            <w:r>
              <w:rPr>
                <w:rFonts w:hint="eastAsia" w:ascii="Times New Roman" w:hAnsi="Times New Roman" w:eastAsia="宋体" w:cs="Times New Roman"/>
                <w:bCs/>
                <w:color w:val="auto"/>
                <w:sz w:val="24"/>
                <w:lang w:val="en-US" w:eastAsia="zh-CN"/>
              </w:rPr>
              <w:t>：将外购的成品砂与旧砂进行混合，加料及混砂顺序为：旧砂、新砂、白粘土、膨润土混碾2～3分钟（干混），加入少量玻璃水混碾4～5分钟（湿混）。此工序在碾砂一体机中进行。此工序会产生颗粒物及噪声。</w:t>
            </w:r>
          </w:p>
          <w:p w14:paraId="0F782E58">
            <w:pPr>
              <w:pStyle w:val="407"/>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eastAsia" w:ascii="Times New Roman" w:hAnsi="Times New Roman" w:eastAsia="宋体" w:cs="Times New Roman"/>
                <w:b/>
                <w:bCs w:val="0"/>
                <w:color w:val="auto"/>
                <w:sz w:val="24"/>
                <w:lang w:val="en-US" w:eastAsia="zh-CN"/>
              </w:rPr>
            </w:pPr>
            <w:r>
              <w:rPr>
                <w:rFonts w:hint="eastAsia" w:ascii="Times New Roman" w:hAnsi="Times New Roman" w:eastAsia="宋体" w:cs="Times New Roman"/>
                <w:b/>
                <w:bCs w:val="0"/>
                <w:color w:val="auto"/>
                <w:sz w:val="24"/>
                <w:lang w:val="en-US" w:eastAsia="zh-CN"/>
              </w:rPr>
              <w:t>检验</w:t>
            </w:r>
          </w:p>
          <w:p w14:paraId="4ADF3A36">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lang w:val="en-US" w:eastAsia="zh-CN"/>
              </w:rPr>
              <w:t>对产品进行抽检，</w:t>
            </w:r>
            <w:r>
              <w:rPr>
                <w:rFonts w:hint="eastAsia" w:ascii="Times New Roman" w:hAnsi="Times New Roman" w:eastAsia="宋体" w:cs="Times New Roman"/>
                <w:bCs/>
                <w:color w:val="auto"/>
                <w:sz w:val="24"/>
                <w:lang w:val="en-US" w:eastAsia="zh-CN"/>
              </w:rPr>
              <w:t>仅为物理性质检验，不产生实验室废液，</w:t>
            </w:r>
            <w:r>
              <w:rPr>
                <w:rFonts w:hint="default" w:ascii="Times New Roman" w:hAnsi="Times New Roman" w:eastAsia="宋体" w:cs="Times New Roman"/>
                <w:bCs/>
                <w:color w:val="auto"/>
                <w:sz w:val="24"/>
                <w:lang w:val="en-US" w:eastAsia="zh-CN"/>
              </w:rPr>
              <w:t>确保产品符合标准，标识入库</w:t>
            </w:r>
          </w:p>
          <w:p w14:paraId="2941E75B">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
                <w:bCs w:val="0"/>
                <w:color w:val="auto"/>
                <w:sz w:val="24"/>
                <w:lang w:val="en-US" w:eastAsia="zh-CN"/>
              </w:rPr>
            </w:pPr>
            <w:r>
              <w:rPr>
                <w:rFonts w:hint="default" w:ascii="Times New Roman" w:hAnsi="Times New Roman" w:eastAsia="宋体" w:cs="Times New Roman"/>
                <w:b/>
                <w:bCs w:val="0"/>
                <w:color w:val="auto"/>
                <w:sz w:val="24"/>
                <w:lang w:val="en-US" w:eastAsia="zh-CN"/>
              </w:rPr>
              <w:t>（</w:t>
            </w:r>
            <w:r>
              <w:rPr>
                <w:rFonts w:hint="eastAsia" w:ascii="Times New Roman" w:hAnsi="Times New Roman" w:eastAsia="宋体" w:cs="Times New Roman"/>
                <w:b/>
                <w:bCs w:val="0"/>
                <w:color w:val="auto"/>
                <w:sz w:val="24"/>
                <w:lang w:val="en-US" w:eastAsia="zh-CN"/>
              </w:rPr>
              <w:t>2</w:t>
            </w:r>
            <w:r>
              <w:rPr>
                <w:rFonts w:hint="default" w:ascii="Times New Roman" w:hAnsi="Times New Roman" w:eastAsia="宋体" w:cs="Times New Roman"/>
                <w:b/>
                <w:bCs w:val="0"/>
                <w:color w:val="auto"/>
                <w:sz w:val="24"/>
                <w:lang w:val="en-US" w:eastAsia="zh-CN"/>
              </w:rPr>
              <w:t>）产污环节</w:t>
            </w:r>
          </w:p>
          <w:p w14:paraId="1A629643">
            <w:pPr>
              <w:pStyle w:val="40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jc w:val="both"/>
              <w:textAlignment w:val="auto"/>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lang w:val="en-US" w:eastAsia="zh-CN"/>
              </w:rPr>
              <w:t>根据以上工艺流程分析可知，建设项目营运期污染物产生环节见表2-</w:t>
            </w:r>
            <w:r>
              <w:rPr>
                <w:rFonts w:hint="eastAsia" w:ascii="Times New Roman" w:hAnsi="Times New Roman" w:eastAsia="宋体" w:cs="Times New Roman"/>
                <w:bCs/>
                <w:color w:val="auto"/>
                <w:sz w:val="24"/>
                <w:lang w:val="en-US" w:eastAsia="zh-CN"/>
              </w:rPr>
              <w:t>9</w:t>
            </w:r>
            <w:r>
              <w:rPr>
                <w:rFonts w:hint="default" w:ascii="Times New Roman" w:hAnsi="Times New Roman" w:eastAsia="宋体" w:cs="Times New Roman"/>
                <w:bCs/>
                <w:color w:val="auto"/>
                <w:sz w:val="24"/>
                <w:lang w:val="en-US" w:eastAsia="zh-CN"/>
              </w:rPr>
              <w:t>。</w:t>
            </w:r>
          </w:p>
          <w:p w14:paraId="489B7031">
            <w:pPr>
              <w:keepNext w:val="0"/>
              <w:keepLines w:val="0"/>
              <w:pageBreakBefore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表2-</w:t>
            </w:r>
            <w:r>
              <w:rPr>
                <w:rFonts w:hint="eastAsia" w:ascii="Times New Roman" w:hAnsi="Times New Roman" w:cs="Times New Roman"/>
                <w:b/>
                <w:color w:val="auto"/>
                <w:szCs w:val="21"/>
                <w:highlight w:val="none"/>
                <w:lang w:val="en-US" w:eastAsia="zh-CN"/>
              </w:rPr>
              <w:t>9</w:t>
            </w:r>
            <w:r>
              <w:rPr>
                <w:rFonts w:hint="default" w:ascii="Times New Roman" w:hAnsi="Times New Roman" w:eastAsia="宋体" w:cs="Times New Roman"/>
                <w:b/>
                <w:color w:val="auto"/>
                <w:szCs w:val="21"/>
                <w:highlight w:val="none"/>
                <w:lang w:val="en-US" w:eastAsia="zh-CN"/>
              </w:rPr>
              <w:t xml:space="preserve"> 项目营运期主要产污节点</w:t>
            </w:r>
          </w:p>
          <w:tbl>
            <w:tblPr>
              <w:tblStyle w:val="57"/>
              <w:tblW w:w="495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Layout w:type="fixed"/>
              <w:tblCellMar>
                <w:top w:w="0" w:type="dxa"/>
                <w:left w:w="108" w:type="dxa"/>
                <w:bottom w:w="0" w:type="dxa"/>
                <w:right w:w="108" w:type="dxa"/>
              </w:tblCellMar>
            </w:tblPr>
            <w:tblGrid>
              <w:gridCol w:w="590"/>
              <w:gridCol w:w="983"/>
              <w:gridCol w:w="1394"/>
              <w:gridCol w:w="1375"/>
              <w:gridCol w:w="1627"/>
              <w:gridCol w:w="2410"/>
            </w:tblGrid>
            <w:tr w14:paraId="240BD36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40" w:hRule="atLeast"/>
                <w:jc w:val="center"/>
              </w:trPr>
              <w:tc>
                <w:tcPr>
                  <w:tcW w:w="352" w:type="pct"/>
                  <w:tcBorders>
                    <w:tl2br w:val="nil"/>
                    <w:tr2bl w:val="nil"/>
                  </w:tcBorders>
                  <w:shd w:val="clear" w:color="auto" w:fill="auto"/>
                  <w:vAlign w:val="center"/>
                </w:tcPr>
                <w:p w14:paraId="2247F1D3">
                  <w:pPr>
                    <w:pStyle w:val="396"/>
                    <w:keepNext w:val="0"/>
                    <w:keepLines w:val="0"/>
                    <w:widowControl w:val="0"/>
                    <w:suppressLineNumbers w:val="0"/>
                    <w:autoSpaceDE w:val="0"/>
                    <w:autoSpaceDN/>
                    <w:snapToGrid w:val="0"/>
                    <w:spacing w:line="240" w:lineRule="auto"/>
                    <w:ind w:right="0"/>
                    <w:jc w:val="center"/>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bCs/>
                      <w:color w:val="auto"/>
                      <w:kern w:val="2"/>
                      <w:sz w:val="21"/>
                      <w:szCs w:val="21"/>
                      <w:lang w:val="en-US" w:eastAsia="zh-CN"/>
                    </w:rPr>
                    <w:t>时段</w:t>
                  </w:r>
                </w:p>
              </w:tc>
              <w:tc>
                <w:tcPr>
                  <w:tcW w:w="586" w:type="pct"/>
                  <w:tcBorders>
                    <w:tl2br w:val="nil"/>
                    <w:tr2bl w:val="nil"/>
                  </w:tcBorders>
                  <w:shd w:val="clear" w:color="auto" w:fill="auto"/>
                  <w:vAlign w:val="center"/>
                </w:tcPr>
                <w:p w14:paraId="34E416AF">
                  <w:pPr>
                    <w:pStyle w:val="396"/>
                    <w:keepNext w:val="0"/>
                    <w:keepLines w:val="0"/>
                    <w:widowControl w:val="0"/>
                    <w:suppressLineNumbers w:val="0"/>
                    <w:autoSpaceDE w:val="0"/>
                    <w:autoSpaceDN/>
                    <w:snapToGrid w:val="0"/>
                    <w:spacing w:line="240" w:lineRule="auto"/>
                    <w:ind w:right="0"/>
                    <w:jc w:val="center"/>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bCs/>
                      <w:color w:val="auto"/>
                      <w:kern w:val="2"/>
                      <w:sz w:val="21"/>
                      <w:szCs w:val="21"/>
                      <w:lang w:val="en-US" w:eastAsia="zh-CN"/>
                    </w:rPr>
                    <w:t>污染源种类</w:t>
                  </w:r>
                </w:p>
              </w:tc>
              <w:tc>
                <w:tcPr>
                  <w:tcW w:w="831" w:type="pct"/>
                  <w:tcBorders>
                    <w:tl2br w:val="nil"/>
                    <w:tr2bl w:val="nil"/>
                  </w:tcBorders>
                  <w:shd w:val="clear" w:color="auto" w:fill="auto"/>
                  <w:vAlign w:val="center"/>
                </w:tcPr>
                <w:p w14:paraId="160ED84D">
                  <w:pPr>
                    <w:pStyle w:val="396"/>
                    <w:keepNext w:val="0"/>
                    <w:keepLines w:val="0"/>
                    <w:widowControl w:val="0"/>
                    <w:suppressLineNumbers w:val="0"/>
                    <w:autoSpaceDE w:val="0"/>
                    <w:autoSpaceDN/>
                    <w:snapToGrid w:val="0"/>
                    <w:spacing w:line="240" w:lineRule="auto"/>
                    <w:ind w:right="0"/>
                    <w:jc w:val="center"/>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bCs/>
                      <w:color w:val="auto"/>
                      <w:kern w:val="2"/>
                      <w:sz w:val="21"/>
                      <w:szCs w:val="21"/>
                      <w:lang w:val="en-US" w:eastAsia="zh-CN"/>
                    </w:rPr>
                    <w:t>来源</w:t>
                  </w:r>
                </w:p>
              </w:tc>
              <w:tc>
                <w:tcPr>
                  <w:tcW w:w="820" w:type="pct"/>
                  <w:tcBorders>
                    <w:tl2br w:val="nil"/>
                    <w:tr2bl w:val="nil"/>
                  </w:tcBorders>
                  <w:shd w:val="clear" w:color="auto" w:fill="auto"/>
                  <w:vAlign w:val="center"/>
                </w:tcPr>
                <w:p w14:paraId="7AD924DA">
                  <w:pPr>
                    <w:pStyle w:val="396"/>
                    <w:keepNext w:val="0"/>
                    <w:keepLines w:val="0"/>
                    <w:widowControl w:val="0"/>
                    <w:suppressLineNumbers w:val="0"/>
                    <w:autoSpaceDE w:val="0"/>
                    <w:autoSpaceDN/>
                    <w:snapToGrid w:val="0"/>
                    <w:spacing w:line="240" w:lineRule="auto"/>
                    <w:ind w:right="0"/>
                    <w:jc w:val="center"/>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bCs/>
                      <w:color w:val="auto"/>
                      <w:kern w:val="2"/>
                      <w:sz w:val="21"/>
                      <w:szCs w:val="21"/>
                      <w:lang w:val="en-US" w:eastAsia="zh-CN"/>
                    </w:rPr>
                    <w:t>污染物名称</w:t>
                  </w:r>
                </w:p>
              </w:tc>
              <w:tc>
                <w:tcPr>
                  <w:tcW w:w="970" w:type="pct"/>
                  <w:tcBorders>
                    <w:tl2br w:val="nil"/>
                    <w:tr2bl w:val="nil"/>
                  </w:tcBorders>
                  <w:shd w:val="clear" w:color="auto" w:fill="auto"/>
                  <w:vAlign w:val="center"/>
                </w:tcPr>
                <w:p w14:paraId="70174594">
                  <w:pPr>
                    <w:pStyle w:val="396"/>
                    <w:keepNext w:val="0"/>
                    <w:keepLines w:val="0"/>
                    <w:widowControl w:val="0"/>
                    <w:suppressLineNumbers w:val="0"/>
                    <w:autoSpaceDE w:val="0"/>
                    <w:autoSpaceDN/>
                    <w:snapToGrid w:val="0"/>
                    <w:spacing w:line="240" w:lineRule="auto"/>
                    <w:ind w:right="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bCs/>
                      <w:color w:val="auto"/>
                      <w:kern w:val="2"/>
                      <w:sz w:val="21"/>
                      <w:szCs w:val="21"/>
                      <w:lang w:val="en-US" w:eastAsia="zh-CN"/>
                    </w:rPr>
                    <w:t>收集措施</w:t>
                  </w:r>
                </w:p>
              </w:tc>
              <w:tc>
                <w:tcPr>
                  <w:tcW w:w="1438" w:type="pct"/>
                  <w:tcBorders>
                    <w:tl2br w:val="nil"/>
                    <w:tr2bl w:val="nil"/>
                  </w:tcBorders>
                  <w:shd w:val="clear" w:color="auto" w:fill="auto"/>
                  <w:vAlign w:val="center"/>
                </w:tcPr>
                <w:p w14:paraId="2BA15A2D">
                  <w:pPr>
                    <w:pStyle w:val="396"/>
                    <w:keepNext w:val="0"/>
                    <w:keepLines w:val="0"/>
                    <w:widowControl w:val="0"/>
                    <w:suppressLineNumbers w:val="0"/>
                    <w:autoSpaceDE w:val="0"/>
                    <w:autoSpaceDN/>
                    <w:snapToGrid w:val="0"/>
                    <w:spacing w:line="240" w:lineRule="auto"/>
                    <w:ind w:right="0"/>
                    <w:jc w:val="center"/>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bCs/>
                      <w:color w:val="auto"/>
                      <w:kern w:val="2"/>
                      <w:sz w:val="21"/>
                      <w:szCs w:val="21"/>
                      <w:lang w:val="en-US" w:eastAsia="zh-CN"/>
                    </w:rPr>
                    <w:t>环保措施</w:t>
                  </w:r>
                </w:p>
              </w:tc>
            </w:tr>
            <w:tr w14:paraId="22DCE59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40" w:hRule="atLeast"/>
                <w:jc w:val="center"/>
              </w:trPr>
              <w:tc>
                <w:tcPr>
                  <w:tcW w:w="352" w:type="pct"/>
                  <w:vMerge w:val="restart"/>
                  <w:tcBorders>
                    <w:tl2br w:val="nil"/>
                    <w:tr2bl w:val="nil"/>
                  </w:tcBorders>
                  <w:shd w:val="clear" w:color="auto" w:fill="auto"/>
                  <w:vAlign w:val="center"/>
                </w:tcPr>
                <w:p w14:paraId="02D50DF2">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bidi="ar"/>
                    </w:rPr>
                    <w:t>营运期</w:t>
                  </w:r>
                </w:p>
              </w:tc>
              <w:tc>
                <w:tcPr>
                  <w:tcW w:w="586" w:type="pct"/>
                  <w:vMerge w:val="restart"/>
                  <w:tcBorders>
                    <w:tl2br w:val="nil"/>
                    <w:tr2bl w:val="nil"/>
                  </w:tcBorders>
                  <w:shd w:val="clear" w:color="auto" w:fill="auto"/>
                  <w:vAlign w:val="center"/>
                </w:tcPr>
                <w:p w14:paraId="20D2DCF8">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Cs/>
                      <w:color w:val="auto"/>
                      <w:kern w:val="0"/>
                      <w:sz w:val="21"/>
                      <w:szCs w:val="21"/>
                      <w:lang w:val="en-US" w:eastAsia="zh-CN" w:bidi="ar"/>
                    </w:rPr>
                    <w:t>废气</w:t>
                  </w:r>
                </w:p>
              </w:tc>
              <w:tc>
                <w:tcPr>
                  <w:tcW w:w="831" w:type="pct"/>
                  <w:tcBorders>
                    <w:tl2br w:val="nil"/>
                    <w:tr2bl w:val="nil"/>
                  </w:tcBorders>
                  <w:shd w:val="clear" w:color="auto" w:fill="auto"/>
                  <w:vAlign w:val="center"/>
                </w:tcPr>
                <w:p w14:paraId="2249E5F3">
                  <w:pPr>
                    <w:pStyle w:val="397"/>
                    <w:keepNext w:val="0"/>
                    <w:keepLines w:val="0"/>
                    <w:widowControl w:val="0"/>
                    <w:suppressLineNumbers w:val="0"/>
                    <w:autoSpaceDE w:val="0"/>
                    <w:autoSpaceDN/>
                    <w:spacing w:line="240" w:lineRule="auto"/>
                    <w:ind w:left="0" w:right="0" w:firstLine="0" w:firstLineChars="0"/>
                    <w:jc w:val="center"/>
                    <w:rPr>
                      <w:rFonts w:hint="default" w:ascii="Times New Roman" w:hAnsi="Times New Roman" w:eastAsia="宋体" w:cs="Times New Roman"/>
                      <w:caps w:val="0"/>
                      <w:color w:val="auto"/>
                      <w:spacing w:val="0"/>
                      <w:kern w:val="2"/>
                      <w:sz w:val="21"/>
                      <w:szCs w:val="21"/>
                      <w:lang w:val="en-US" w:eastAsia="zh-CN"/>
                    </w:rPr>
                  </w:pPr>
                  <w:r>
                    <w:rPr>
                      <w:rFonts w:hint="default" w:ascii="Times New Roman" w:hAnsi="Times New Roman" w:eastAsia="宋体" w:cs="Times New Roman"/>
                      <w:caps w:val="0"/>
                      <w:color w:val="auto"/>
                      <w:spacing w:val="0"/>
                      <w:kern w:val="2"/>
                      <w:sz w:val="21"/>
                      <w:szCs w:val="21"/>
                      <w:lang w:val="en-US" w:eastAsia="zh-CN"/>
                    </w:rPr>
                    <w:t>模具清理</w:t>
                  </w:r>
                </w:p>
              </w:tc>
              <w:tc>
                <w:tcPr>
                  <w:tcW w:w="820" w:type="pct"/>
                  <w:tcBorders>
                    <w:tl2br w:val="nil"/>
                    <w:tr2bl w:val="nil"/>
                  </w:tcBorders>
                  <w:shd w:val="clear" w:color="auto" w:fill="auto"/>
                  <w:vAlign w:val="center"/>
                </w:tcPr>
                <w:p w14:paraId="6303C113">
                  <w:pPr>
                    <w:pStyle w:val="397"/>
                    <w:keepNext w:val="0"/>
                    <w:keepLines w:val="0"/>
                    <w:widowControl w:val="0"/>
                    <w:suppressLineNumbers w:val="0"/>
                    <w:autoSpaceDE w:val="0"/>
                    <w:autoSpaceDN/>
                    <w:spacing w:line="240" w:lineRule="auto"/>
                    <w:ind w:left="0" w:right="0" w:firstLine="0" w:firstLineChars="0"/>
                    <w:jc w:val="center"/>
                    <w:rPr>
                      <w:rFonts w:hint="default" w:ascii="Times New Roman" w:hAnsi="Times New Roman" w:eastAsia="宋体" w:cs="Times New Roman"/>
                      <w:caps w:val="0"/>
                      <w:color w:val="auto"/>
                      <w:spacing w:val="0"/>
                      <w:kern w:val="2"/>
                      <w:sz w:val="21"/>
                      <w:szCs w:val="21"/>
                      <w:lang w:val="en-US" w:eastAsia="zh-CN"/>
                    </w:rPr>
                  </w:pPr>
                  <w:r>
                    <w:rPr>
                      <w:rFonts w:hint="eastAsia" w:cs="Times New Roman"/>
                      <w:color w:val="auto"/>
                      <w:kern w:val="2"/>
                      <w:sz w:val="21"/>
                      <w:szCs w:val="21"/>
                      <w:lang w:val="en-US" w:eastAsia="zh-CN"/>
                    </w:rPr>
                    <w:t>颗粒物</w:t>
                  </w:r>
                </w:p>
              </w:tc>
              <w:tc>
                <w:tcPr>
                  <w:tcW w:w="970" w:type="pct"/>
                  <w:tcBorders>
                    <w:tl2br w:val="nil"/>
                    <w:tr2bl w:val="nil"/>
                  </w:tcBorders>
                  <w:shd w:val="clear" w:color="auto" w:fill="auto"/>
                  <w:vAlign w:val="center"/>
                </w:tcPr>
                <w:p w14:paraId="4E6426F9">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caps w:val="0"/>
                      <w:color w:val="auto"/>
                      <w:spacing w:val="0"/>
                      <w:kern w:val="2"/>
                      <w:sz w:val="21"/>
                      <w:szCs w:val="21"/>
                      <w:lang w:val="en-US" w:eastAsia="zh-CN"/>
                    </w:rPr>
                  </w:pPr>
                  <w:r>
                    <w:rPr>
                      <w:rFonts w:hint="default" w:ascii="Times New Roman" w:hAnsi="Times New Roman" w:eastAsia="宋体" w:cs="Times New Roman"/>
                      <w:caps w:val="0"/>
                      <w:color w:val="auto"/>
                      <w:spacing w:val="0"/>
                      <w:kern w:val="2"/>
                      <w:sz w:val="21"/>
                      <w:szCs w:val="21"/>
                      <w:lang w:val="en-US" w:eastAsia="zh-CN" w:bidi="ar"/>
                    </w:rPr>
                    <w:t>/</w:t>
                  </w:r>
                </w:p>
              </w:tc>
              <w:tc>
                <w:tcPr>
                  <w:tcW w:w="1438" w:type="pct"/>
                  <w:tcBorders>
                    <w:tl2br w:val="nil"/>
                    <w:tr2bl w:val="nil"/>
                  </w:tcBorders>
                  <w:shd w:val="clear" w:color="auto" w:fill="auto"/>
                  <w:vAlign w:val="center"/>
                </w:tcPr>
                <w:p w14:paraId="4530A57E">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caps w:val="0"/>
                      <w:color w:val="auto"/>
                      <w:spacing w:val="0"/>
                      <w:kern w:val="2"/>
                      <w:sz w:val="21"/>
                      <w:szCs w:val="21"/>
                      <w:lang w:val="en-US" w:eastAsia="zh-CN"/>
                    </w:rPr>
                  </w:pPr>
                  <w:r>
                    <w:rPr>
                      <w:rFonts w:hint="default" w:ascii="Times New Roman" w:hAnsi="Times New Roman" w:eastAsia="宋体" w:cs="Times New Roman"/>
                      <w:b w:val="0"/>
                      <w:bCs/>
                      <w:color w:val="auto"/>
                      <w:kern w:val="0"/>
                      <w:sz w:val="21"/>
                      <w:szCs w:val="21"/>
                      <w:lang w:val="en-US" w:eastAsia="zh-CN" w:bidi="ar"/>
                    </w:rPr>
                    <w:t>加强车间</w:t>
                  </w:r>
                  <w:r>
                    <w:rPr>
                      <w:rFonts w:hint="eastAsia" w:ascii="Times New Roman" w:hAnsi="Times New Roman" w:cs="Times New Roman"/>
                      <w:b w:val="0"/>
                      <w:bCs/>
                      <w:color w:val="auto"/>
                      <w:kern w:val="0"/>
                      <w:sz w:val="21"/>
                      <w:szCs w:val="21"/>
                      <w:lang w:val="en-US" w:eastAsia="zh-CN" w:bidi="ar"/>
                    </w:rPr>
                    <w:t>封闭、洒水抑尘</w:t>
                  </w:r>
                </w:p>
              </w:tc>
            </w:tr>
            <w:tr w14:paraId="6063CCF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52" w:type="pct"/>
                  <w:vMerge w:val="continue"/>
                  <w:tcBorders>
                    <w:tl2br w:val="nil"/>
                    <w:tr2bl w:val="nil"/>
                  </w:tcBorders>
                  <w:shd w:val="clear" w:color="auto" w:fill="auto"/>
                  <w:vAlign w:val="center"/>
                </w:tcPr>
                <w:p w14:paraId="54F0A8F7">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586" w:type="pct"/>
                  <w:vMerge w:val="continue"/>
                  <w:tcBorders>
                    <w:tl2br w:val="nil"/>
                    <w:tr2bl w:val="nil"/>
                  </w:tcBorders>
                  <w:shd w:val="clear" w:color="auto" w:fill="auto"/>
                  <w:vAlign w:val="center"/>
                </w:tcPr>
                <w:p w14:paraId="4EECF6B7">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831" w:type="pct"/>
                  <w:tcBorders>
                    <w:tl2br w:val="nil"/>
                    <w:tr2bl w:val="nil"/>
                  </w:tcBorders>
                  <w:shd w:val="clear" w:color="auto" w:fill="auto"/>
                  <w:vAlign w:val="center"/>
                </w:tcPr>
                <w:p w14:paraId="73AC5375">
                  <w:pPr>
                    <w:pStyle w:val="397"/>
                    <w:keepNext w:val="0"/>
                    <w:keepLines w:val="0"/>
                    <w:widowControl w:val="0"/>
                    <w:suppressLineNumbers w:val="0"/>
                    <w:autoSpaceDE w:val="0"/>
                    <w:autoSpaceDN/>
                    <w:spacing w:line="240" w:lineRule="auto"/>
                    <w:ind w:left="0" w:leftChars="0" w:right="0" w:rightChars="0" w:firstLine="0" w:firstLineChars="0"/>
                    <w:jc w:val="center"/>
                    <w:rPr>
                      <w:rFonts w:hint="default" w:ascii="Times New Roman" w:hAnsi="Times New Roman" w:eastAsia="宋体" w:cs="Times New Roman"/>
                      <w:caps w:val="0"/>
                      <w:color w:val="auto"/>
                      <w:spacing w:val="0"/>
                      <w:kern w:val="2"/>
                      <w:sz w:val="21"/>
                      <w:szCs w:val="21"/>
                      <w:lang w:val="en-US" w:eastAsia="zh-CN" w:bidi="ar"/>
                    </w:rPr>
                  </w:pPr>
                  <w:r>
                    <w:rPr>
                      <w:rFonts w:hint="eastAsia" w:cs="Times New Roman"/>
                      <w:caps w:val="0"/>
                      <w:color w:val="auto"/>
                      <w:spacing w:val="0"/>
                      <w:kern w:val="2"/>
                      <w:sz w:val="21"/>
                      <w:szCs w:val="21"/>
                      <w:lang w:val="en-US" w:eastAsia="zh-CN"/>
                    </w:rPr>
                    <w:t>造型</w:t>
                  </w:r>
                </w:p>
              </w:tc>
              <w:tc>
                <w:tcPr>
                  <w:tcW w:w="820" w:type="pct"/>
                  <w:tcBorders>
                    <w:tl2br w:val="nil"/>
                    <w:tr2bl w:val="nil"/>
                  </w:tcBorders>
                  <w:shd w:val="clear" w:color="auto" w:fill="auto"/>
                  <w:vAlign w:val="center"/>
                </w:tcPr>
                <w:p w14:paraId="4A732410">
                  <w:pPr>
                    <w:pStyle w:val="397"/>
                    <w:keepNext w:val="0"/>
                    <w:keepLines w:val="0"/>
                    <w:widowControl w:val="0"/>
                    <w:suppressLineNumbers w:val="0"/>
                    <w:autoSpaceDE w:val="0"/>
                    <w:autoSpaceDN/>
                    <w:spacing w:line="240" w:lineRule="auto"/>
                    <w:ind w:left="0" w:leftChars="0" w:right="0" w:rightChars="0" w:firstLine="0" w:firstLineChars="0"/>
                    <w:jc w:val="center"/>
                    <w:rPr>
                      <w:rFonts w:hint="default" w:ascii="Times New Roman" w:hAnsi="Times New Roman" w:eastAsia="宋体" w:cs="Times New Roman"/>
                      <w:caps w:val="0"/>
                      <w:color w:val="auto"/>
                      <w:spacing w:val="0"/>
                      <w:kern w:val="2"/>
                      <w:sz w:val="21"/>
                      <w:szCs w:val="21"/>
                      <w:lang w:val="en-US" w:eastAsia="zh-CN" w:bidi="ar"/>
                    </w:rPr>
                  </w:pPr>
                  <w:r>
                    <w:rPr>
                      <w:rFonts w:hint="default" w:ascii="Times New Roman" w:hAnsi="Times New Roman" w:eastAsia="宋体" w:cs="Times New Roman"/>
                      <w:caps w:val="0"/>
                      <w:color w:val="auto"/>
                      <w:spacing w:val="0"/>
                      <w:kern w:val="2"/>
                      <w:sz w:val="21"/>
                      <w:szCs w:val="21"/>
                      <w:lang w:val="en-US" w:eastAsia="zh-CN"/>
                    </w:rPr>
                    <w:t>颗粒物</w:t>
                  </w:r>
                </w:p>
              </w:tc>
              <w:tc>
                <w:tcPr>
                  <w:tcW w:w="970" w:type="pct"/>
                  <w:tcBorders>
                    <w:tl2br w:val="nil"/>
                    <w:tr2bl w:val="nil"/>
                  </w:tcBorders>
                  <w:shd w:val="clear" w:color="auto" w:fill="auto"/>
                  <w:vAlign w:val="center"/>
                </w:tcPr>
                <w:p w14:paraId="02A3AB14">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spacing w:val="0"/>
                      <w:kern w:val="2"/>
                      <w:sz w:val="21"/>
                      <w:szCs w:val="21"/>
                      <w:lang w:val="en-US" w:eastAsia="zh-CN" w:bidi="ar"/>
                    </w:rPr>
                  </w:pPr>
                  <w:r>
                    <w:rPr>
                      <w:rFonts w:hint="default" w:ascii="Times New Roman" w:hAnsi="Times New Roman" w:cs="Times New Roman"/>
                      <w:caps w:val="0"/>
                      <w:color w:val="auto"/>
                      <w:spacing w:val="0"/>
                      <w:kern w:val="2"/>
                      <w:sz w:val="21"/>
                      <w:szCs w:val="21"/>
                      <w:lang w:val="en-US" w:eastAsia="zh-CN" w:bidi="ar"/>
                    </w:rPr>
                    <w:t>集气罩收集</w:t>
                  </w:r>
                </w:p>
              </w:tc>
              <w:tc>
                <w:tcPr>
                  <w:tcW w:w="1438" w:type="pct"/>
                  <w:vMerge w:val="restart"/>
                  <w:tcBorders>
                    <w:tl2br w:val="nil"/>
                    <w:tr2bl w:val="nil"/>
                  </w:tcBorders>
                  <w:shd w:val="clear" w:color="auto" w:fill="auto"/>
                  <w:vAlign w:val="center"/>
                </w:tcPr>
                <w:p w14:paraId="2EAFF629">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bidi="ar"/>
                    </w:rPr>
                    <w:t>布袋</w:t>
                  </w:r>
                  <w:r>
                    <w:rPr>
                      <w:rFonts w:hint="default" w:ascii="Times New Roman" w:hAnsi="Times New Roman" w:eastAsia="宋体" w:cs="Times New Roman"/>
                      <w:b w:val="0"/>
                      <w:bCs/>
                      <w:color w:val="auto"/>
                      <w:kern w:val="0"/>
                      <w:sz w:val="21"/>
                      <w:szCs w:val="21"/>
                      <w:lang w:val="en-US" w:eastAsia="zh-CN" w:bidi="ar"/>
                    </w:rPr>
                    <w:t>除尘器+15m排气筒（DA001）</w:t>
                  </w:r>
                </w:p>
              </w:tc>
            </w:tr>
            <w:tr w14:paraId="047397E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40" w:hRule="atLeast"/>
                <w:jc w:val="center"/>
              </w:trPr>
              <w:tc>
                <w:tcPr>
                  <w:tcW w:w="352" w:type="pct"/>
                  <w:vMerge w:val="continue"/>
                  <w:tcBorders>
                    <w:tl2br w:val="nil"/>
                    <w:tr2bl w:val="nil"/>
                  </w:tcBorders>
                  <w:shd w:val="clear" w:color="auto" w:fill="auto"/>
                  <w:vAlign w:val="center"/>
                </w:tcPr>
                <w:p w14:paraId="4253ECEC">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586" w:type="pct"/>
                  <w:vMerge w:val="continue"/>
                  <w:tcBorders>
                    <w:tl2br w:val="nil"/>
                    <w:tr2bl w:val="nil"/>
                  </w:tcBorders>
                  <w:shd w:val="clear" w:color="auto" w:fill="auto"/>
                  <w:vAlign w:val="center"/>
                </w:tcPr>
                <w:p w14:paraId="29CB33DE">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831" w:type="pct"/>
                  <w:tcBorders>
                    <w:tl2br w:val="nil"/>
                    <w:tr2bl w:val="nil"/>
                  </w:tcBorders>
                  <w:shd w:val="clear" w:color="auto" w:fill="auto"/>
                  <w:vAlign w:val="center"/>
                </w:tcPr>
                <w:p w14:paraId="4B1A3BB7">
                  <w:pPr>
                    <w:pStyle w:val="397"/>
                    <w:keepNext w:val="0"/>
                    <w:keepLines w:val="0"/>
                    <w:widowControl w:val="0"/>
                    <w:suppressLineNumbers w:val="0"/>
                    <w:autoSpaceDE w:val="0"/>
                    <w:autoSpaceDN/>
                    <w:spacing w:line="240" w:lineRule="auto"/>
                    <w:ind w:left="0" w:leftChars="0" w:right="0" w:rightChars="0" w:firstLine="0" w:firstLineChars="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caps w:val="0"/>
                      <w:color w:val="auto"/>
                      <w:spacing w:val="0"/>
                      <w:kern w:val="2"/>
                      <w:sz w:val="21"/>
                      <w:szCs w:val="21"/>
                      <w:lang w:val="en-US" w:eastAsia="zh-CN"/>
                    </w:rPr>
                    <w:t>熔炼废气</w:t>
                  </w:r>
                </w:p>
              </w:tc>
              <w:tc>
                <w:tcPr>
                  <w:tcW w:w="820" w:type="pct"/>
                  <w:tcBorders>
                    <w:tl2br w:val="nil"/>
                    <w:tr2bl w:val="nil"/>
                  </w:tcBorders>
                  <w:shd w:val="clear" w:color="auto" w:fill="auto"/>
                  <w:vAlign w:val="center"/>
                </w:tcPr>
                <w:p w14:paraId="7FFDA72F">
                  <w:pPr>
                    <w:pStyle w:val="397"/>
                    <w:keepNext w:val="0"/>
                    <w:keepLines w:val="0"/>
                    <w:widowControl w:val="0"/>
                    <w:suppressLineNumbers w:val="0"/>
                    <w:autoSpaceDE w:val="0"/>
                    <w:autoSpaceDN/>
                    <w:spacing w:line="240" w:lineRule="auto"/>
                    <w:ind w:left="0" w:leftChars="0" w:right="0" w:rightChars="0" w:firstLine="0" w:firstLineChars="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eastAsia="宋体" w:cs="Times New Roman"/>
                      <w:caps w:val="0"/>
                      <w:color w:val="auto"/>
                      <w:spacing w:val="0"/>
                      <w:kern w:val="2"/>
                      <w:sz w:val="21"/>
                      <w:szCs w:val="21"/>
                      <w:lang w:val="en-US" w:eastAsia="zh-CN"/>
                    </w:rPr>
                    <w:t>颗粒物</w:t>
                  </w:r>
                </w:p>
              </w:tc>
              <w:tc>
                <w:tcPr>
                  <w:tcW w:w="970" w:type="pct"/>
                  <w:tcBorders>
                    <w:tl2br w:val="nil"/>
                    <w:tr2bl w:val="nil"/>
                  </w:tcBorders>
                  <w:shd w:val="clear" w:color="auto" w:fill="auto"/>
                  <w:vAlign w:val="center"/>
                </w:tcPr>
                <w:p w14:paraId="76A23863">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spacing w:val="0"/>
                      <w:kern w:val="2"/>
                      <w:sz w:val="21"/>
                      <w:szCs w:val="21"/>
                      <w:lang w:val="en-US" w:eastAsia="zh-CN" w:bidi="ar-SA"/>
                    </w:rPr>
                  </w:pPr>
                  <w:r>
                    <w:rPr>
                      <w:rFonts w:hint="eastAsia" w:ascii="Times New Roman" w:hAnsi="Times New Roman" w:cs="Times New Roman"/>
                      <w:caps w:val="0"/>
                      <w:color w:val="auto"/>
                      <w:spacing w:val="0"/>
                      <w:kern w:val="2"/>
                      <w:sz w:val="21"/>
                      <w:szCs w:val="21"/>
                      <w:lang w:val="en-US" w:eastAsia="zh-CN" w:bidi="ar"/>
                    </w:rPr>
                    <w:t>炉盖一体化装置</w:t>
                  </w:r>
                  <w:r>
                    <w:rPr>
                      <w:rFonts w:hint="default" w:ascii="Times New Roman" w:hAnsi="Times New Roman" w:cs="Times New Roman"/>
                      <w:caps w:val="0"/>
                      <w:color w:val="auto"/>
                      <w:spacing w:val="0"/>
                      <w:kern w:val="2"/>
                      <w:sz w:val="21"/>
                      <w:szCs w:val="21"/>
                      <w:lang w:val="en-US" w:eastAsia="zh-CN" w:bidi="ar"/>
                    </w:rPr>
                    <w:t>收集</w:t>
                  </w:r>
                </w:p>
              </w:tc>
              <w:tc>
                <w:tcPr>
                  <w:tcW w:w="1438" w:type="pct"/>
                  <w:vMerge w:val="continue"/>
                  <w:tcBorders>
                    <w:tl2br w:val="nil"/>
                    <w:tr2bl w:val="nil"/>
                  </w:tcBorders>
                  <w:shd w:val="clear" w:color="auto" w:fill="auto"/>
                  <w:vAlign w:val="center"/>
                </w:tcPr>
                <w:p w14:paraId="6B639D8E">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rPr>
                  </w:pPr>
                </w:p>
              </w:tc>
            </w:tr>
            <w:tr w14:paraId="4E42375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52" w:type="pct"/>
                  <w:vMerge w:val="continue"/>
                  <w:tcBorders>
                    <w:tl2br w:val="nil"/>
                    <w:tr2bl w:val="nil"/>
                  </w:tcBorders>
                  <w:shd w:val="clear" w:color="auto" w:fill="auto"/>
                  <w:vAlign w:val="center"/>
                </w:tcPr>
                <w:p w14:paraId="4736DE53">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586" w:type="pct"/>
                  <w:vMerge w:val="continue"/>
                  <w:tcBorders>
                    <w:tl2br w:val="nil"/>
                    <w:tr2bl w:val="nil"/>
                  </w:tcBorders>
                  <w:shd w:val="clear" w:color="auto" w:fill="auto"/>
                  <w:vAlign w:val="center"/>
                </w:tcPr>
                <w:p w14:paraId="00D779B1">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831" w:type="pct"/>
                  <w:tcBorders>
                    <w:tl2br w:val="nil"/>
                    <w:tr2bl w:val="nil"/>
                  </w:tcBorders>
                  <w:shd w:val="clear" w:color="auto" w:fill="auto"/>
                  <w:vAlign w:val="center"/>
                </w:tcPr>
                <w:p w14:paraId="3C041101">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打磨清理</w:t>
                  </w:r>
                </w:p>
              </w:tc>
              <w:tc>
                <w:tcPr>
                  <w:tcW w:w="820" w:type="pct"/>
                  <w:tcBorders>
                    <w:tl2br w:val="nil"/>
                    <w:tr2bl w:val="nil"/>
                  </w:tcBorders>
                  <w:shd w:val="clear" w:color="auto" w:fill="auto"/>
                  <w:vAlign w:val="center"/>
                </w:tcPr>
                <w:p w14:paraId="5A8B806E">
                  <w:pPr>
                    <w:pStyle w:val="397"/>
                    <w:keepNext w:val="0"/>
                    <w:keepLines w:val="0"/>
                    <w:widowControl w:val="0"/>
                    <w:suppressLineNumbers w:val="0"/>
                    <w:autoSpaceDE w:val="0"/>
                    <w:autoSpaceDN/>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rPr>
                    <w:t>颗粒物</w:t>
                  </w:r>
                </w:p>
              </w:tc>
              <w:tc>
                <w:tcPr>
                  <w:tcW w:w="970" w:type="pct"/>
                  <w:tcBorders>
                    <w:tl2br w:val="nil"/>
                    <w:tr2bl w:val="nil"/>
                  </w:tcBorders>
                  <w:shd w:val="clear" w:color="auto" w:fill="auto"/>
                  <w:vAlign w:val="center"/>
                </w:tcPr>
                <w:p w14:paraId="3614848F">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jc w:val="center"/>
                    <w:rPr>
                      <w:rFonts w:hint="eastAsia" w:ascii="Times New Roman" w:hAnsi="Times New Roman" w:eastAsia="宋体" w:cs="Times New Roman"/>
                      <w:caps w:val="0"/>
                      <w:color w:val="auto"/>
                      <w:spacing w:val="0"/>
                      <w:kern w:val="2"/>
                      <w:sz w:val="21"/>
                      <w:szCs w:val="21"/>
                      <w:lang w:val="en-US" w:eastAsia="zh-CN" w:bidi="ar-SA"/>
                    </w:rPr>
                  </w:pPr>
                  <w:r>
                    <w:rPr>
                      <w:rFonts w:hint="eastAsia" w:ascii="Times New Roman" w:hAnsi="Times New Roman" w:cs="Times New Roman"/>
                      <w:caps w:val="0"/>
                      <w:color w:val="auto"/>
                      <w:spacing w:val="0"/>
                      <w:kern w:val="2"/>
                      <w:sz w:val="21"/>
                      <w:szCs w:val="21"/>
                      <w:lang w:val="en-US" w:eastAsia="zh-CN" w:bidi="ar"/>
                    </w:rPr>
                    <w:t>密闭管道</w:t>
                  </w:r>
                  <w:r>
                    <w:rPr>
                      <w:rFonts w:hint="default" w:ascii="Times New Roman" w:hAnsi="Times New Roman" w:cs="Times New Roman"/>
                      <w:caps w:val="0"/>
                      <w:color w:val="auto"/>
                      <w:spacing w:val="0"/>
                      <w:kern w:val="2"/>
                      <w:sz w:val="21"/>
                      <w:szCs w:val="21"/>
                      <w:lang w:val="en-US" w:eastAsia="zh-CN" w:bidi="ar"/>
                    </w:rPr>
                    <w:t>收集</w:t>
                  </w:r>
                </w:p>
              </w:tc>
              <w:tc>
                <w:tcPr>
                  <w:tcW w:w="1438" w:type="pct"/>
                  <w:vMerge w:val="continue"/>
                  <w:tcBorders>
                    <w:tl2br w:val="nil"/>
                    <w:tr2bl w:val="nil"/>
                  </w:tcBorders>
                  <w:shd w:val="clear" w:color="auto" w:fill="auto"/>
                  <w:vAlign w:val="center"/>
                </w:tcPr>
                <w:p w14:paraId="5140877C">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r>
            <w:tr w14:paraId="01F1D68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40" w:hRule="atLeast"/>
                <w:jc w:val="center"/>
              </w:trPr>
              <w:tc>
                <w:tcPr>
                  <w:tcW w:w="352" w:type="pct"/>
                  <w:vMerge w:val="continue"/>
                  <w:tcBorders>
                    <w:tl2br w:val="nil"/>
                    <w:tr2bl w:val="nil"/>
                  </w:tcBorders>
                  <w:shd w:val="clear" w:color="auto" w:fill="auto"/>
                  <w:vAlign w:val="center"/>
                </w:tcPr>
                <w:p w14:paraId="708A4FE0">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586" w:type="pct"/>
                  <w:vMerge w:val="continue"/>
                  <w:tcBorders>
                    <w:tl2br w:val="nil"/>
                    <w:tr2bl w:val="nil"/>
                  </w:tcBorders>
                  <w:shd w:val="clear" w:color="auto" w:fill="auto"/>
                  <w:vAlign w:val="center"/>
                </w:tcPr>
                <w:p w14:paraId="4FA203C1">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831" w:type="pct"/>
                  <w:tcBorders>
                    <w:tl2br w:val="nil"/>
                    <w:tr2bl w:val="nil"/>
                  </w:tcBorders>
                  <w:shd w:val="clear" w:color="auto" w:fill="auto"/>
                  <w:vAlign w:val="center"/>
                </w:tcPr>
                <w:p w14:paraId="78043477">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砂处理</w:t>
                  </w:r>
                </w:p>
              </w:tc>
              <w:tc>
                <w:tcPr>
                  <w:tcW w:w="820" w:type="pct"/>
                  <w:tcBorders>
                    <w:tl2br w:val="nil"/>
                    <w:tr2bl w:val="nil"/>
                  </w:tcBorders>
                  <w:shd w:val="clear" w:color="auto" w:fill="auto"/>
                  <w:vAlign w:val="center"/>
                </w:tcPr>
                <w:p w14:paraId="13C213F6">
                  <w:pPr>
                    <w:pStyle w:val="397"/>
                    <w:keepNext w:val="0"/>
                    <w:keepLines w:val="0"/>
                    <w:widowControl w:val="0"/>
                    <w:suppressLineNumbers w:val="0"/>
                    <w:autoSpaceDE w:val="0"/>
                    <w:autoSpaceDN/>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颗粒物</w:t>
                  </w:r>
                </w:p>
              </w:tc>
              <w:tc>
                <w:tcPr>
                  <w:tcW w:w="970" w:type="pct"/>
                  <w:tcBorders>
                    <w:tl2br w:val="nil"/>
                    <w:tr2bl w:val="nil"/>
                  </w:tcBorders>
                  <w:shd w:val="clear" w:color="auto" w:fill="auto"/>
                  <w:vAlign w:val="center"/>
                </w:tcPr>
                <w:p w14:paraId="22F852F7">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spacing w:val="0"/>
                      <w:kern w:val="2"/>
                      <w:sz w:val="21"/>
                      <w:szCs w:val="21"/>
                      <w:lang w:val="en-US" w:eastAsia="zh-CN" w:bidi="ar-SA"/>
                    </w:rPr>
                  </w:pPr>
                  <w:r>
                    <w:rPr>
                      <w:rFonts w:hint="default" w:ascii="Times New Roman" w:hAnsi="Times New Roman" w:eastAsia="宋体" w:cs="Times New Roman"/>
                      <w:caps w:val="0"/>
                      <w:color w:val="auto"/>
                      <w:spacing w:val="0"/>
                      <w:kern w:val="2"/>
                      <w:sz w:val="21"/>
                      <w:szCs w:val="21"/>
                      <w:lang w:val="en-US" w:eastAsia="zh-CN" w:bidi="ar-SA"/>
                    </w:rPr>
                    <w:t>密闭管道收集</w:t>
                  </w:r>
                </w:p>
              </w:tc>
              <w:tc>
                <w:tcPr>
                  <w:tcW w:w="1438" w:type="pct"/>
                  <w:vMerge w:val="continue"/>
                  <w:tcBorders>
                    <w:tl2br w:val="nil"/>
                    <w:tr2bl w:val="nil"/>
                  </w:tcBorders>
                  <w:shd w:val="clear" w:color="auto" w:fill="auto"/>
                  <w:vAlign w:val="center"/>
                </w:tcPr>
                <w:p w14:paraId="7D391969">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r>
            <w:tr w14:paraId="18D22D6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52" w:type="pct"/>
                  <w:vMerge w:val="continue"/>
                  <w:tcBorders>
                    <w:tl2br w:val="nil"/>
                    <w:tr2bl w:val="nil"/>
                  </w:tcBorders>
                  <w:shd w:val="clear" w:color="auto" w:fill="auto"/>
                  <w:vAlign w:val="center"/>
                </w:tcPr>
                <w:p w14:paraId="2678888D">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586" w:type="pct"/>
                  <w:vMerge w:val="continue"/>
                  <w:tcBorders>
                    <w:tl2br w:val="nil"/>
                    <w:tr2bl w:val="nil"/>
                  </w:tcBorders>
                  <w:shd w:val="clear" w:color="auto" w:fill="auto"/>
                  <w:vAlign w:val="center"/>
                </w:tcPr>
                <w:p w14:paraId="0EE1F998">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831" w:type="pct"/>
                  <w:tcBorders>
                    <w:tl2br w:val="nil"/>
                    <w:tr2bl w:val="nil"/>
                  </w:tcBorders>
                  <w:shd w:val="clear" w:color="auto" w:fill="auto"/>
                  <w:vAlign w:val="center"/>
                </w:tcPr>
                <w:p w14:paraId="3492ACC1">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落砂</w:t>
                  </w:r>
                </w:p>
              </w:tc>
              <w:tc>
                <w:tcPr>
                  <w:tcW w:w="820" w:type="pct"/>
                  <w:tcBorders>
                    <w:tl2br w:val="nil"/>
                    <w:tr2bl w:val="nil"/>
                  </w:tcBorders>
                  <w:shd w:val="clear" w:color="auto" w:fill="auto"/>
                  <w:vAlign w:val="center"/>
                </w:tcPr>
                <w:p w14:paraId="3869C776">
                  <w:pPr>
                    <w:pStyle w:val="397"/>
                    <w:keepNext w:val="0"/>
                    <w:keepLines w:val="0"/>
                    <w:widowControl w:val="0"/>
                    <w:suppressLineNumbers w:val="0"/>
                    <w:autoSpaceDE w:val="0"/>
                    <w:autoSpaceDN/>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颗粒物</w:t>
                  </w:r>
                </w:p>
              </w:tc>
              <w:tc>
                <w:tcPr>
                  <w:tcW w:w="970" w:type="pct"/>
                  <w:tcBorders>
                    <w:tl2br w:val="nil"/>
                    <w:tr2bl w:val="nil"/>
                  </w:tcBorders>
                  <w:shd w:val="clear" w:color="auto" w:fill="auto"/>
                  <w:vAlign w:val="center"/>
                </w:tcPr>
                <w:p w14:paraId="036FB0A6">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jc w:val="center"/>
                    <w:rPr>
                      <w:rFonts w:hint="eastAsia" w:ascii="Times New Roman" w:hAnsi="Times New Roman" w:cs="Times New Roman"/>
                      <w:caps w:val="0"/>
                      <w:color w:val="auto"/>
                      <w:spacing w:val="0"/>
                      <w:kern w:val="2"/>
                      <w:sz w:val="21"/>
                      <w:szCs w:val="21"/>
                      <w:lang w:val="en-US" w:eastAsia="zh-CN" w:bidi="ar"/>
                    </w:rPr>
                  </w:pPr>
                  <w:r>
                    <w:rPr>
                      <w:rFonts w:hint="eastAsia" w:ascii="Times New Roman" w:hAnsi="Times New Roman" w:cs="Times New Roman"/>
                      <w:caps w:val="0"/>
                      <w:color w:val="auto"/>
                      <w:spacing w:val="0"/>
                      <w:kern w:val="2"/>
                      <w:sz w:val="21"/>
                      <w:szCs w:val="21"/>
                      <w:lang w:val="en-US" w:eastAsia="zh-CN" w:bidi="ar"/>
                    </w:rPr>
                    <w:t>集气罩收集</w:t>
                  </w:r>
                </w:p>
              </w:tc>
              <w:tc>
                <w:tcPr>
                  <w:tcW w:w="1438" w:type="pct"/>
                  <w:vMerge w:val="restart"/>
                  <w:tcBorders>
                    <w:tl2br w:val="nil"/>
                    <w:tr2bl w:val="nil"/>
                  </w:tcBorders>
                  <w:shd w:val="clear" w:color="auto" w:fill="auto"/>
                  <w:vAlign w:val="center"/>
                </w:tcPr>
                <w:p w14:paraId="7BC089BC">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bidi="ar"/>
                    </w:rPr>
                    <w:t>布袋除尘器</w:t>
                  </w:r>
                  <w:r>
                    <w:rPr>
                      <w:rFonts w:hint="eastAsia" w:ascii="Times New Roman" w:hAnsi="Times New Roman" w:cs="Times New Roman"/>
                      <w:b w:val="0"/>
                      <w:bCs/>
                      <w:color w:val="auto"/>
                      <w:kern w:val="0"/>
                      <w:sz w:val="21"/>
                      <w:szCs w:val="21"/>
                      <w:lang w:val="en-US" w:eastAsia="zh-CN" w:bidi="ar"/>
                    </w:rPr>
                    <w:t>+</w:t>
                  </w:r>
                  <w:r>
                    <w:rPr>
                      <w:rFonts w:hint="default" w:ascii="Times New Roman" w:hAnsi="Times New Roman" w:eastAsia="宋体" w:cs="Times New Roman"/>
                      <w:b w:val="0"/>
                      <w:bCs/>
                      <w:color w:val="auto"/>
                      <w:kern w:val="0"/>
                      <w:sz w:val="21"/>
                      <w:szCs w:val="21"/>
                      <w:lang w:val="en-US" w:eastAsia="zh-CN" w:bidi="ar"/>
                    </w:rPr>
                    <w:t>15m排气筒（DA002）</w:t>
                  </w:r>
                </w:p>
              </w:tc>
            </w:tr>
            <w:tr w14:paraId="77BCCEB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52" w:type="pct"/>
                  <w:vMerge w:val="continue"/>
                  <w:tcBorders>
                    <w:tl2br w:val="nil"/>
                    <w:tr2bl w:val="nil"/>
                  </w:tcBorders>
                  <w:shd w:val="clear" w:color="auto" w:fill="auto"/>
                  <w:vAlign w:val="center"/>
                </w:tcPr>
                <w:p w14:paraId="3BFD6DD6">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586" w:type="pct"/>
                  <w:vMerge w:val="continue"/>
                  <w:tcBorders>
                    <w:tl2br w:val="nil"/>
                    <w:tr2bl w:val="nil"/>
                  </w:tcBorders>
                  <w:shd w:val="clear" w:color="auto" w:fill="auto"/>
                  <w:vAlign w:val="center"/>
                </w:tcPr>
                <w:p w14:paraId="05F8758A">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831" w:type="pct"/>
                  <w:tcBorders>
                    <w:tl2br w:val="nil"/>
                    <w:tr2bl w:val="nil"/>
                  </w:tcBorders>
                  <w:shd w:val="clear" w:color="auto" w:fill="auto"/>
                  <w:vAlign w:val="center"/>
                </w:tcPr>
                <w:p w14:paraId="1EDC93E8">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球冒分离</w:t>
                  </w:r>
                </w:p>
              </w:tc>
              <w:tc>
                <w:tcPr>
                  <w:tcW w:w="820" w:type="pct"/>
                  <w:tcBorders>
                    <w:tl2br w:val="nil"/>
                    <w:tr2bl w:val="nil"/>
                  </w:tcBorders>
                  <w:shd w:val="clear" w:color="auto" w:fill="auto"/>
                  <w:vAlign w:val="center"/>
                </w:tcPr>
                <w:p w14:paraId="3695083B">
                  <w:pPr>
                    <w:pStyle w:val="397"/>
                    <w:keepNext w:val="0"/>
                    <w:keepLines w:val="0"/>
                    <w:widowControl w:val="0"/>
                    <w:suppressLineNumbers w:val="0"/>
                    <w:autoSpaceDE w:val="0"/>
                    <w:autoSpaceDN/>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rPr>
                    <w:t>颗粒物</w:t>
                  </w:r>
                </w:p>
              </w:tc>
              <w:tc>
                <w:tcPr>
                  <w:tcW w:w="970" w:type="pct"/>
                  <w:tcBorders>
                    <w:tl2br w:val="nil"/>
                    <w:tr2bl w:val="nil"/>
                  </w:tcBorders>
                  <w:shd w:val="clear" w:color="auto" w:fill="auto"/>
                  <w:vAlign w:val="center"/>
                </w:tcPr>
                <w:p w14:paraId="6A2C3EBF">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spacing w:val="0"/>
                      <w:kern w:val="2"/>
                      <w:sz w:val="21"/>
                      <w:szCs w:val="21"/>
                      <w:lang w:val="en-US" w:eastAsia="zh-CN" w:bidi="ar"/>
                    </w:rPr>
                  </w:pPr>
                  <w:r>
                    <w:rPr>
                      <w:rFonts w:hint="eastAsia" w:ascii="Times New Roman" w:hAnsi="Times New Roman" w:cs="Times New Roman"/>
                      <w:caps w:val="0"/>
                      <w:color w:val="auto"/>
                      <w:spacing w:val="0"/>
                      <w:kern w:val="2"/>
                      <w:sz w:val="21"/>
                      <w:szCs w:val="21"/>
                      <w:lang w:val="en-US" w:eastAsia="zh-CN" w:bidi="ar"/>
                    </w:rPr>
                    <w:t>集气罩收集</w:t>
                  </w:r>
                </w:p>
              </w:tc>
              <w:tc>
                <w:tcPr>
                  <w:tcW w:w="1438" w:type="pct"/>
                  <w:vMerge w:val="continue"/>
                  <w:tcBorders>
                    <w:tl2br w:val="nil"/>
                    <w:tr2bl w:val="nil"/>
                  </w:tcBorders>
                  <w:shd w:val="clear" w:color="auto" w:fill="auto"/>
                  <w:vAlign w:val="center"/>
                </w:tcPr>
                <w:p w14:paraId="22EF200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0"/>
                      <w:szCs w:val="20"/>
                      <w:lang w:val="en-US" w:eastAsia="zh-CN"/>
                    </w:rPr>
                  </w:pPr>
                </w:p>
              </w:tc>
            </w:tr>
            <w:tr w14:paraId="1693046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40" w:hRule="atLeast"/>
                <w:jc w:val="center"/>
              </w:trPr>
              <w:tc>
                <w:tcPr>
                  <w:tcW w:w="352" w:type="pct"/>
                  <w:vMerge w:val="continue"/>
                  <w:tcBorders>
                    <w:tl2br w:val="nil"/>
                    <w:tr2bl w:val="nil"/>
                  </w:tcBorders>
                  <w:shd w:val="clear" w:color="auto" w:fill="auto"/>
                  <w:vAlign w:val="center"/>
                </w:tcPr>
                <w:p w14:paraId="54CCDF69">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586" w:type="pct"/>
                  <w:vMerge w:val="continue"/>
                  <w:tcBorders>
                    <w:tl2br w:val="nil"/>
                    <w:tr2bl w:val="nil"/>
                  </w:tcBorders>
                  <w:shd w:val="clear" w:color="auto" w:fill="auto"/>
                  <w:vAlign w:val="center"/>
                </w:tcPr>
                <w:p w14:paraId="664045CC">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831" w:type="pct"/>
                  <w:tcBorders>
                    <w:tl2br w:val="nil"/>
                    <w:tr2bl w:val="nil"/>
                  </w:tcBorders>
                  <w:shd w:val="clear" w:color="auto" w:fill="auto"/>
                  <w:vAlign w:val="center"/>
                </w:tcPr>
                <w:p w14:paraId="374C5BD9">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
                    </w:rPr>
                    <w:t>浇注废气</w:t>
                  </w:r>
                </w:p>
              </w:tc>
              <w:tc>
                <w:tcPr>
                  <w:tcW w:w="820" w:type="pct"/>
                  <w:tcBorders>
                    <w:tl2br w:val="nil"/>
                    <w:tr2bl w:val="nil"/>
                  </w:tcBorders>
                  <w:shd w:val="clear" w:color="auto" w:fill="auto"/>
                  <w:vAlign w:val="center"/>
                </w:tcPr>
                <w:p w14:paraId="6A79D87C">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
                    </w:rPr>
                    <w:t>颗粒物</w:t>
                  </w:r>
                </w:p>
              </w:tc>
              <w:tc>
                <w:tcPr>
                  <w:tcW w:w="970" w:type="pct"/>
                  <w:tcBorders>
                    <w:tl2br w:val="nil"/>
                    <w:tr2bl w:val="nil"/>
                  </w:tcBorders>
                  <w:shd w:val="clear" w:color="auto" w:fill="auto"/>
                  <w:vAlign w:val="center"/>
                </w:tcPr>
                <w:p w14:paraId="0CEC2AC3">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bidi="ar"/>
                    </w:rPr>
                    <w:t>集气罩收集</w:t>
                  </w:r>
                </w:p>
              </w:tc>
              <w:tc>
                <w:tcPr>
                  <w:tcW w:w="1438" w:type="pct"/>
                  <w:vMerge w:val="continue"/>
                  <w:tcBorders>
                    <w:tl2br w:val="nil"/>
                    <w:tr2bl w:val="nil"/>
                  </w:tcBorders>
                  <w:shd w:val="clear" w:color="auto" w:fill="auto"/>
                  <w:vAlign w:val="center"/>
                </w:tcPr>
                <w:p w14:paraId="53C82986">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color w:val="auto"/>
                      <w:kern w:val="0"/>
                      <w:sz w:val="21"/>
                      <w:szCs w:val="21"/>
                      <w:lang w:val="en-US" w:eastAsia="zh-CN" w:bidi="ar-SA"/>
                    </w:rPr>
                  </w:pPr>
                </w:p>
              </w:tc>
            </w:tr>
            <w:tr w14:paraId="5FB9406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52" w:type="pct"/>
                  <w:vMerge w:val="continue"/>
                  <w:tcBorders>
                    <w:tl2br w:val="nil"/>
                    <w:tr2bl w:val="nil"/>
                  </w:tcBorders>
                  <w:shd w:val="clear" w:color="auto" w:fill="auto"/>
                  <w:vAlign w:val="center"/>
                </w:tcPr>
                <w:p w14:paraId="6974280C">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586" w:type="pct"/>
                  <w:vMerge w:val="continue"/>
                  <w:tcBorders>
                    <w:tl2br w:val="nil"/>
                    <w:tr2bl w:val="nil"/>
                  </w:tcBorders>
                  <w:shd w:val="clear" w:color="auto" w:fill="auto"/>
                  <w:vAlign w:val="center"/>
                </w:tcPr>
                <w:p w14:paraId="675B790E">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831" w:type="pct"/>
                  <w:tcBorders>
                    <w:tl2br w:val="nil"/>
                    <w:tr2bl w:val="nil"/>
                  </w:tcBorders>
                  <w:shd w:val="clear" w:color="auto" w:fill="auto"/>
                  <w:vAlign w:val="center"/>
                </w:tcPr>
                <w:p w14:paraId="72225548">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热处理</w:t>
                  </w:r>
                </w:p>
              </w:tc>
              <w:tc>
                <w:tcPr>
                  <w:tcW w:w="820" w:type="pct"/>
                  <w:tcBorders>
                    <w:tl2br w:val="nil"/>
                    <w:tr2bl w:val="nil"/>
                  </w:tcBorders>
                  <w:shd w:val="clear" w:color="auto" w:fill="auto"/>
                  <w:vAlign w:val="center"/>
                </w:tcPr>
                <w:p w14:paraId="1D1E988B">
                  <w:pPr>
                    <w:pStyle w:val="397"/>
                    <w:keepNext w:val="0"/>
                    <w:keepLines w:val="0"/>
                    <w:widowControl w:val="0"/>
                    <w:suppressLineNumbers w:val="0"/>
                    <w:autoSpaceDE w:val="0"/>
                    <w:autoSpaceDN/>
                    <w:spacing w:line="240" w:lineRule="auto"/>
                    <w:ind w:left="0" w:leftChars="0" w:right="0" w:rightChars="0" w:firstLine="0" w:firstLineChars="0"/>
                    <w:jc w:val="center"/>
                    <w:rPr>
                      <w:rFonts w:hint="default" w:ascii="Times New Roman" w:hAnsi="Times New Roman" w:cs="Times New Roman"/>
                      <w:b w:val="0"/>
                      <w:bCs/>
                      <w:color w:val="auto"/>
                      <w:kern w:val="2"/>
                      <w:sz w:val="21"/>
                      <w:szCs w:val="21"/>
                      <w:lang w:val="en-US" w:eastAsia="zh-CN"/>
                    </w:rPr>
                  </w:pPr>
                  <w:r>
                    <w:rPr>
                      <w:rFonts w:hint="default" w:ascii="Times New Roman" w:hAnsi="Times New Roman" w:cs="Times New Roman"/>
                      <w:b w:val="0"/>
                      <w:bCs/>
                      <w:color w:val="auto"/>
                      <w:kern w:val="2"/>
                      <w:sz w:val="21"/>
                      <w:szCs w:val="21"/>
                      <w:lang w:val="en-US" w:eastAsia="zh-CN"/>
                    </w:rPr>
                    <w:t>颗粒物</w:t>
                  </w:r>
                </w:p>
                <w:p w14:paraId="46DF19AA">
                  <w:pPr>
                    <w:pStyle w:val="397"/>
                    <w:keepNext w:val="0"/>
                    <w:keepLines w:val="0"/>
                    <w:widowControl w:val="0"/>
                    <w:suppressLineNumbers w:val="0"/>
                    <w:autoSpaceDE w:val="0"/>
                    <w:autoSpaceDN/>
                    <w:spacing w:line="240" w:lineRule="auto"/>
                    <w:ind w:left="0" w:leftChars="0" w:right="0" w:rightChars="0" w:firstLine="0" w:firstLineChars="0"/>
                    <w:jc w:val="center"/>
                    <w:rPr>
                      <w:rFonts w:hint="default" w:ascii="Times New Roman" w:hAnsi="Times New Roman" w:eastAsia="宋体" w:cs="Times New Roman"/>
                      <w:b w:val="0"/>
                      <w:bCs/>
                      <w:color w:val="auto"/>
                      <w:kern w:val="2"/>
                      <w:sz w:val="21"/>
                      <w:szCs w:val="21"/>
                      <w:lang w:val="en-US" w:eastAsia="zh-CN" w:bidi="ar"/>
                    </w:rPr>
                  </w:pPr>
                  <w:r>
                    <w:rPr>
                      <w:rFonts w:hint="eastAsia" w:cs="Times New Roman"/>
                      <w:b w:val="0"/>
                      <w:bCs/>
                      <w:color w:val="auto"/>
                      <w:kern w:val="2"/>
                      <w:sz w:val="21"/>
                      <w:szCs w:val="21"/>
                      <w:lang w:val="en-US" w:eastAsia="zh-CN"/>
                    </w:rPr>
                    <w:t>非甲烷总烃</w:t>
                  </w:r>
                </w:p>
              </w:tc>
              <w:tc>
                <w:tcPr>
                  <w:tcW w:w="970" w:type="pct"/>
                  <w:tcBorders>
                    <w:tl2br w:val="nil"/>
                    <w:tr2bl w:val="nil"/>
                  </w:tcBorders>
                  <w:shd w:val="clear" w:color="auto" w:fill="auto"/>
                  <w:vAlign w:val="center"/>
                </w:tcPr>
                <w:p w14:paraId="5A059A0A">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集气罩收集</w:t>
                  </w:r>
                </w:p>
              </w:tc>
              <w:tc>
                <w:tcPr>
                  <w:tcW w:w="1438" w:type="pct"/>
                  <w:tcBorders>
                    <w:tl2br w:val="nil"/>
                    <w:tr2bl w:val="nil"/>
                  </w:tcBorders>
                  <w:shd w:val="clear" w:color="auto" w:fill="auto"/>
                  <w:vAlign w:val="center"/>
                </w:tcPr>
                <w:p w14:paraId="1B2F5CB6">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高压静电油烟净化经15m高排气筒</w:t>
                  </w:r>
                  <w:r>
                    <w:rPr>
                      <w:rFonts w:hint="eastAsia" w:ascii="Times New Roman" w:hAnsi="Times New Roman" w:cs="Times New Roman"/>
                      <w:b w:val="0"/>
                      <w:bCs/>
                      <w:color w:val="auto"/>
                      <w:kern w:val="0"/>
                      <w:sz w:val="21"/>
                      <w:szCs w:val="21"/>
                      <w:lang w:val="en-US" w:eastAsia="zh-CN" w:bidi="ar"/>
                    </w:rPr>
                    <w:t>（DA003）</w:t>
                  </w:r>
                  <w:r>
                    <w:rPr>
                      <w:rFonts w:hint="default" w:ascii="Times New Roman" w:hAnsi="Times New Roman" w:eastAsia="宋体" w:cs="Times New Roman"/>
                      <w:b w:val="0"/>
                      <w:bCs/>
                      <w:color w:val="auto"/>
                      <w:kern w:val="0"/>
                      <w:sz w:val="21"/>
                      <w:szCs w:val="21"/>
                      <w:lang w:val="en-US" w:eastAsia="zh-CN" w:bidi="ar"/>
                    </w:rPr>
                    <w:t>排放</w:t>
                  </w:r>
                </w:p>
              </w:tc>
            </w:tr>
            <w:tr w14:paraId="425E3C8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40" w:hRule="atLeast"/>
                <w:jc w:val="center"/>
              </w:trPr>
              <w:tc>
                <w:tcPr>
                  <w:tcW w:w="352" w:type="pct"/>
                  <w:vMerge w:val="continue"/>
                  <w:tcBorders>
                    <w:tl2br w:val="nil"/>
                    <w:tr2bl w:val="nil"/>
                  </w:tcBorders>
                  <w:shd w:val="clear" w:color="auto" w:fill="auto"/>
                  <w:vAlign w:val="center"/>
                </w:tcPr>
                <w:p w14:paraId="704BB686">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586" w:type="pct"/>
                  <w:tcBorders>
                    <w:tl2br w:val="nil"/>
                    <w:tr2bl w:val="nil"/>
                  </w:tcBorders>
                  <w:shd w:val="clear" w:color="auto" w:fill="auto"/>
                  <w:vAlign w:val="center"/>
                </w:tcPr>
                <w:p w14:paraId="7563A584">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bidi="ar"/>
                    </w:rPr>
                    <w:t>噪声</w:t>
                  </w:r>
                </w:p>
              </w:tc>
              <w:tc>
                <w:tcPr>
                  <w:tcW w:w="831" w:type="pct"/>
                  <w:tcBorders>
                    <w:tl2br w:val="nil"/>
                    <w:tr2bl w:val="nil"/>
                  </w:tcBorders>
                  <w:shd w:val="clear" w:color="auto" w:fill="auto"/>
                  <w:vAlign w:val="center"/>
                </w:tcPr>
                <w:p w14:paraId="3F67D42D">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设备噪声</w:t>
                  </w:r>
                </w:p>
              </w:tc>
              <w:tc>
                <w:tcPr>
                  <w:tcW w:w="820" w:type="pct"/>
                  <w:tcBorders>
                    <w:tl2br w:val="nil"/>
                    <w:tr2bl w:val="nil"/>
                  </w:tcBorders>
                  <w:shd w:val="clear" w:color="auto" w:fill="auto"/>
                  <w:vAlign w:val="center"/>
                </w:tcPr>
                <w:p w14:paraId="25DD00C7">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噪声</w:t>
                  </w:r>
                </w:p>
              </w:tc>
              <w:tc>
                <w:tcPr>
                  <w:tcW w:w="970" w:type="pct"/>
                  <w:tcBorders>
                    <w:tl2br w:val="nil"/>
                    <w:tr2bl w:val="nil"/>
                  </w:tcBorders>
                  <w:shd w:val="clear" w:color="auto" w:fill="auto"/>
                  <w:vAlign w:val="center"/>
                </w:tcPr>
                <w:p w14:paraId="3591F02B">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bidi="ar"/>
                    </w:rPr>
                    <w:t>/</w:t>
                  </w:r>
                </w:p>
              </w:tc>
              <w:tc>
                <w:tcPr>
                  <w:tcW w:w="1438" w:type="pct"/>
                  <w:tcBorders>
                    <w:tl2br w:val="nil"/>
                    <w:tr2bl w:val="nil"/>
                  </w:tcBorders>
                  <w:shd w:val="clear" w:color="auto" w:fill="auto"/>
                  <w:vAlign w:val="center"/>
                </w:tcPr>
                <w:p w14:paraId="1BF8C42E">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bidi="ar"/>
                    </w:rPr>
                    <w:t>选用低噪设备，采取减振、吸声、隔声等措施</w:t>
                  </w:r>
                </w:p>
              </w:tc>
            </w:tr>
            <w:tr w14:paraId="62CEF88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52" w:type="pct"/>
                  <w:vMerge w:val="continue"/>
                  <w:tcBorders>
                    <w:tl2br w:val="nil"/>
                    <w:tr2bl w:val="nil"/>
                  </w:tcBorders>
                  <w:shd w:val="clear" w:color="auto" w:fill="auto"/>
                  <w:vAlign w:val="center"/>
                </w:tcPr>
                <w:p w14:paraId="09909456">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586" w:type="pct"/>
                  <w:vMerge w:val="restart"/>
                  <w:tcBorders>
                    <w:tl2br w:val="nil"/>
                    <w:tr2bl w:val="nil"/>
                  </w:tcBorders>
                  <w:shd w:val="clear" w:color="auto" w:fill="auto"/>
                  <w:vAlign w:val="center"/>
                </w:tcPr>
                <w:p w14:paraId="1CFF12C4">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一般工业固体废物</w:t>
                  </w:r>
                </w:p>
              </w:tc>
              <w:tc>
                <w:tcPr>
                  <w:tcW w:w="831" w:type="pct"/>
                  <w:tcBorders>
                    <w:tl2br w:val="nil"/>
                    <w:tr2bl w:val="nil"/>
                  </w:tcBorders>
                  <w:shd w:val="clear" w:color="auto" w:fill="auto"/>
                  <w:vAlign w:val="center"/>
                </w:tcPr>
                <w:p w14:paraId="040E60C6">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分拣</w:t>
                  </w:r>
                </w:p>
              </w:tc>
              <w:tc>
                <w:tcPr>
                  <w:tcW w:w="820" w:type="pct"/>
                  <w:tcBorders>
                    <w:tl2br w:val="nil"/>
                    <w:tr2bl w:val="nil"/>
                  </w:tcBorders>
                  <w:shd w:val="clear" w:color="auto" w:fill="auto"/>
                  <w:vAlign w:val="center"/>
                </w:tcPr>
                <w:p w14:paraId="3453B82C">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分拣杂物</w:t>
                  </w:r>
                </w:p>
              </w:tc>
              <w:tc>
                <w:tcPr>
                  <w:tcW w:w="970" w:type="pct"/>
                  <w:tcBorders>
                    <w:tl2br w:val="nil"/>
                    <w:tr2bl w:val="nil"/>
                  </w:tcBorders>
                  <w:shd w:val="clear" w:color="auto" w:fill="auto"/>
                  <w:vAlign w:val="center"/>
                </w:tcPr>
                <w:p w14:paraId="036C61F1">
                  <w:pPr>
                    <w:pStyle w:val="397"/>
                    <w:keepNext w:val="0"/>
                    <w:keepLines w:val="0"/>
                    <w:widowControl w:val="0"/>
                    <w:suppressLineNumbers w:val="0"/>
                    <w:autoSpaceDE w:val="0"/>
                    <w:autoSpaceDN/>
                    <w:spacing w:line="240" w:lineRule="auto"/>
                    <w:ind w:left="0" w:right="0" w:firstLine="0" w:firstLineChars="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w:t>
                  </w:r>
                </w:p>
              </w:tc>
              <w:tc>
                <w:tcPr>
                  <w:tcW w:w="1438" w:type="pct"/>
                  <w:tcBorders>
                    <w:tl2br w:val="nil"/>
                    <w:tr2bl w:val="nil"/>
                  </w:tcBorders>
                  <w:shd w:val="clear" w:color="auto" w:fill="auto"/>
                  <w:vAlign w:val="center"/>
                </w:tcPr>
                <w:p w14:paraId="7C03E31F">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bidi="ar"/>
                    </w:rPr>
                    <w:t>暂存在一般固废暂存间，定期外售</w:t>
                  </w:r>
                </w:p>
              </w:tc>
            </w:tr>
            <w:tr w14:paraId="2F20866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52" w:type="pct"/>
                  <w:vMerge w:val="continue"/>
                  <w:tcBorders>
                    <w:tl2br w:val="nil"/>
                    <w:tr2bl w:val="nil"/>
                  </w:tcBorders>
                  <w:shd w:val="clear" w:color="auto" w:fill="auto"/>
                  <w:vAlign w:val="center"/>
                </w:tcPr>
                <w:p w14:paraId="31D6B6CE">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586" w:type="pct"/>
                  <w:vMerge w:val="continue"/>
                  <w:tcBorders>
                    <w:tl2br w:val="nil"/>
                    <w:tr2bl w:val="nil"/>
                  </w:tcBorders>
                  <w:shd w:val="clear" w:color="auto" w:fill="auto"/>
                  <w:vAlign w:val="center"/>
                </w:tcPr>
                <w:p w14:paraId="352F6ABB">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bidi="ar"/>
                    </w:rPr>
                  </w:pPr>
                </w:p>
              </w:tc>
              <w:tc>
                <w:tcPr>
                  <w:tcW w:w="831" w:type="pct"/>
                  <w:tcBorders>
                    <w:tl2br w:val="nil"/>
                    <w:tr2bl w:val="nil"/>
                  </w:tcBorders>
                  <w:shd w:val="clear" w:color="auto" w:fill="auto"/>
                  <w:vAlign w:val="center"/>
                </w:tcPr>
                <w:p w14:paraId="5CBD86A9">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砂处理</w:t>
                  </w:r>
                </w:p>
              </w:tc>
              <w:tc>
                <w:tcPr>
                  <w:tcW w:w="820" w:type="pct"/>
                  <w:tcBorders>
                    <w:tl2br w:val="nil"/>
                    <w:tr2bl w:val="nil"/>
                  </w:tcBorders>
                  <w:shd w:val="clear" w:color="auto" w:fill="auto"/>
                  <w:vAlign w:val="center"/>
                </w:tcPr>
                <w:p w14:paraId="06CAC0E0">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废砂</w:t>
                  </w:r>
                </w:p>
              </w:tc>
              <w:tc>
                <w:tcPr>
                  <w:tcW w:w="970" w:type="pct"/>
                  <w:tcBorders>
                    <w:tl2br w:val="nil"/>
                    <w:tr2bl w:val="nil"/>
                  </w:tcBorders>
                  <w:shd w:val="clear" w:color="auto" w:fill="auto"/>
                  <w:vAlign w:val="center"/>
                </w:tcPr>
                <w:p w14:paraId="06C177D9">
                  <w:pPr>
                    <w:pStyle w:val="397"/>
                    <w:keepNext w:val="0"/>
                    <w:keepLines w:val="0"/>
                    <w:widowControl w:val="0"/>
                    <w:suppressLineNumbers w:val="0"/>
                    <w:autoSpaceDE w:val="0"/>
                    <w:autoSpaceDN/>
                    <w:spacing w:line="240" w:lineRule="auto"/>
                    <w:ind w:left="0" w:right="0" w:firstLine="0" w:firstLineChars="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w:t>
                  </w:r>
                </w:p>
              </w:tc>
              <w:tc>
                <w:tcPr>
                  <w:tcW w:w="1438" w:type="pct"/>
                  <w:tcBorders>
                    <w:tl2br w:val="nil"/>
                    <w:tr2bl w:val="nil"/>
                  </w:tcBorders>
                  <w:shd w:val="clear" w:color="auto" w:fill="auto"/>
                  <w:vAlign w:val="center"/>
                </w:tcPr>
                <w:p w14:paraId="2B77A261">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bidi="ar"/>
                    </w:rPr>
                    <w:t>收集后暂存于一般固废暂存间，定期外售</w:t>
                  </w:r>
                </w:p>
              </w:tc>
            </w:tr>
            <w:tr w14:paraId="1954E19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40" w:hRule="atLeast"/>
                <w:jc w:val="center"/>
              </w:trPr>
              <w:tc>
                <w:tcPr>
                  <w:tcW w:w="352" w:type="pct"/>
                  <w:vMerge w:val="continue"/>
                  <w:tcBorders>
                    <w:tl2br w:val="nil"/>
                    <w:tr2bl w:val="nil"/>
                  </w:tcBorders>
                  <w:shd w:val="clear" w:color="auto" w:fill="auto"/>
                  <w:vAlign w:val="center"/>
                </w:tcPr>
                <w:p w14:paraId="78AC8091">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586" w:type="pct"/>
                  <w:vMerge w:val="continue"/>
                  <w:tcBorders>
                    <w:tl2br w:val="nil"/>
                    <w:tr2bl w:val="nil"/>
                  </w:tcBorders>
                  <w:shd w:val="clear" w:color="auto" w:fill="auto"/>
                  <w:vAlign w:val="center"/>
                </w:tcPr>
                <w:p w14:paraId="2A9E337D">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bidi="ar"/>
                    </w:rPr>
                  </w:pPr>
                </w:p>
              </w:tc>
              <w:tc>
                <w:tcPr>
                  <w:tcW w:w="831" w:type="pct"/>
                  <w:tcBorders>
                    <w:tl2br w:val="nil"/>
                    <w:tr2bl w:val="nil"/>
                  </w:tcBorders>
                  <w:shd w:val="clear" w:color="auto" w:fill="auto"/>
                  <w:vAlign w:val="center"/>
                </w:tcPr>
                <w:p w14:paraId="19B417EA">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熔炼</w:t>
                  </w:r>
                </w:p>
              </w:tc>
              <w:tc>
                <w:tcPr>
                  <w:tcW w:w="820" w:type="pct"/>
                  <w:tcBorders>
                    <w:tl2br w:val="nil"/>
                    <w:tr2bl w:val="nil"/>
                  </w:tcBorders>
                  <w:shd w:val="clear" w:color="auto" w:fill="auto"/>
                  <w:vAlign w:val="center"/>
                </w:tcPr>
                <w:p w14:paraId="27E12813">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炉渣</w:t>
                  </w:r>
                  <w:r>
                    <w:rPr>
                      <w:rFonts w:hint="eastAsia" w:ascii="Times New Roman" w:hAnsi="Times New Roman" w:eastAsia="宋体" w:cs="Times New Roman"/>
                      <w:b w:val="0"/>
                      <w:bCs/>
                      <w:color w:val="auto"/>
                      <w:kern w:val="0"/>
                      <w:sz w:val="21"/>
                      <w:szCs w:val="21"/>
                      <w:lang w:val="en-US" w:eastAsia="zh-CN"/>
                    </w:rPr>
                    <w:t>、废铁水包</w:t>
                  </w:r>
                </w:p>
              </w:tc>
              <w:tc>
                <w:tcPr>
                  <w:tcW w:w="970" w:type="pct"/>
                  <w:tcBorders>
                    <w:tl2br w:val="nil"/>
                    <w:tr2bl w:val="nil"/>
                  </w:tcBorders>
                  <w:shd w:val="clear" w:color="auto" w:fill="auto"/>
                  <w:vAlign w:val="center"/>
                </w:tcPr>
                <w:p w14:paraId="14E87075">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bidi="ar"/>
                    </w:rPr>
                    <w:t>/</w:t>
                  </w:r>
                </w:p>
              </w:tc>
              <w:tc>
                <w:tcPr>
                  <w:tcW w:w="1438" w:type="pct"/>
                  <w:tcBorders>
                    <w:tl2br w:val="nil"/>
                    <w:tr2bl w:val="nil"/>
                  </w:tcBorders>
                  <w:shd w:val="clear" w:color="auto" w:fill="auto"/>
                  <w:vAlign w:val="center"/>
                </w:tcPr>
                <w:p w14:paraId="7FA922B8">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bidi="ar"/>
                    </w:rPr>
                    <w:t>收集后暂存于一般固废暂存间，定期外售</w:t>
                  </w:r>
                </w:p>
              </w:tc>
            </w:tr>
            <w:tr w14:paraId="5AE776B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52" w:type="pct"/>
                  <w:vMerge w:val="continue"/>
                  <w:tcBorders>
                    <w:tl2br w:val="nil"/>
                    <w:tr2bl w:val="nil"/>
                  </w:tcBorders>
                  <w:shd w:val="clear" w:color="auto" w:fill="auto"/>
                  <w:vAlign w:val="center"/>
                </w:tcPr>
                <w:p w14:paraId="235A436C">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586" w:type="pct"/>
                  <w:vMerge w:val="continue"/>
                  <w:tcBorders>
                    <w:tl2br w:val="nil"/>
                    <w:tr2bl w:val="nil"/>
                  </w:tcBorders>
                  <w:shd w:val="clear" w:color="auto" w:fill="auto"/>
                  <w:vAlign w:val="center"/>
                </w:tcPr>
                <w:p w14:paraId="36A03BF5">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bidi="ar"/>
                    </w:rPr>
                  </w:pPr>
                </w:p>
              </w:tc>
              <w:tc>
                <w:tcPr>
                  <w:tcW w:w="831" w:type="pct"/>
                  <w:tcBorders>
                    <w:tl2br w:val="nil"/>
                    <w:tr2bl w:val="nil"/>
                  </w:tcBorders>
                  <w:shd w:val="clear" w:color="auto" w:fill="auto"/>
                  <w:vAlign w:val="center"/>
                </w:tcPr>
                <w:p w14:paraId="32C44E65">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除尘器</w:t>
                  </w:r>
                </w:p>
              </w:tc>
              <w:tc>
                <w:tcPr>
                  <w:tcW w:w="820" w:type="pct"/>
                  <w:tcBorders>
                    <w:tl2br w:val="nil"/>
                    <w:tr2bl w:val="nil"/>
                  </w:tcBorders>
                  <w:shd w:val="clear" w:color="auto" w:fill="auto"/>
                  <w:vAlign w:val="center"/>
                </w:tcPr>
                <w:p w14:paraId="288A4BDD">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金属除尘灰</w:t>
                  </w:r>
                </w:p>
              </w:tc>
              <w:tc>
                <w:tcPr>
                  <w:tcW w:w="970" w:type="pct"/>
                  <w:tcBorders>
                    <w:tl2br w:val="nil"/>
                    <w:tr2bl w:val="nil"/>
                  </w:tcBorders>
                  <w:shd w:val="clear" w:color="auto" w:fill="auto"/>
                  <w:vAlign w:val="center"/>
                </w:tcPr>
                <w:p w14:paraId="174D5FDD">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w:t>
                  </w:r>
                </w:p>
              </w:tc>
              <w:tc>
                <w:tcPr>
                  <w:tcW w:w="1438" w:type="pct"/>
                  <w:tcBorders>
                    <w:tl2br w:val="nil"/>
                    <w:tr2bl w:val="nil"/>
                  </w:tcBorders>
                  <w:shd w:val="clear" w:color="auto" w:fill="auto"/>
                  <w:vAlign w:val="center"/>
                </w:tcPr>
                <w:p w14:paraId="7F488921">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用于回炉重造</w:t>
                  </w:r>
                </w:p>
              </w:tc>
            </w:tr>
            <w:tr w14:paraId="7B4FF28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40" w:hRule="atLeast"/>
                <w:jc w:val="center"/>
              </w:trPr>
              <w:tc>
                <w:tcPr>
                  <w:tcW w:w="352" w:type="pct"/>
                  <w:vMerge w:val="continue"/>
                  <w:tcBorders>
                    <w:tl2br w:val="nil"/>
                    <w:tr2bl w:val="nil"/>
                  </w:tcBorders>
                  <w:shd w:val="clear" w:color="auto" w:fill="auto"/>
                  <w:vAlign w:val="center"/>
                </w:tcPr>
                <w:p w14:paraId="56298D01">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586" w:type="pct"/>
                  <w:vMerge w:val="continue"/>
                  <w:tcBorders>
                    <w:tl2br w:val="nil"/>
                    <w:tr2bl w:val="nil"/>
                  </w:tcBorders>
                  <w:shd w:val="clear" w:color="auto" w:fill="auto"/>
                  <w:vAlign w:val="center"/>
                </w:tcPr>
                <w:p w14:paraId="5408E942">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bidi="ar"/>
                    </w:rPr>
                  </w:pPr>
                </w:p>
              </w:tc>
              <w:tc>
                <w:tcPr>
                  <w:tcW w:w="831" w:type="pct"/>
                  <w:tcBorders>
                    <w:tl2br w:val="nil"/>
                    <w:tr2bl w:val="nil"/>
                  </w:tcBorders>
                  <w:shd w:val="clear" w:color="auto" w:fill="auto"/>
                  <w:vAlign w:val="center"/>
                </w:tcPr>
                <w:p w14:paraId="7844C5F4">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球冒分离</w:t>
                  </w:r>
                  <w:r>
                    <w:rPr>
                      <w:rFonts w:hint="eastAsia" w:ascii="Times New Roman" w:hAnsi="Times New Roman" w:eastAsia="宋体" w:cs="Times New Roman"/>
                      <w:b w:val="0"/>
                      <w:bCs/>
                      <w:color w:val="auto"/>
                      <w:kern w:val="0"/>
                      <w:sz w:val="21"/>
                      <w:szCs w:val="21"/>
                      <w:lang w:val="en-US" w:eastAsia="zh-CN"/>
                    </w:rPr>
                    <w:t>、打磨清理</w:t>
                  </w:r>
                </w:p>
              </w:tc>
              <w:tc>
                <w:tcPr>
                  <w:tcW w:w="820" w:type="pct"/>
                  <w:tcBorders>
                    <w:tl2br w:val="nil"/>
                    <w:tr2bl w:val="nil"/>
                  </w:tcBorders>
                  <w:shd w:val="clear" w:color="auto" w:fill="auto"/>
                  <w:vAlign w:val="center"/>
                </w:tcPr>
                <w:p w14:paraId="60735EAF">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废</w:t>
                  </w:r>
                  <w:r>
                    <w:rPr>
                      <w:rFonts w:hint="eastAsia" w:ascii="Times New Roman" w:hAnsi="Times New Roman" w:eastAsia="宋体" w:cs="Times New Roman"/>
                      <w:b w:val="0"/>
                      <w:bCs/>
                      <w:color w:val="auto"/>
                      <w:kern w:val="0"/>
                      <w:sz w:val="21"/>
                      <w:szCs w:val="21"/>
                      <w:lang w:val="en-US" w:eastAsia="zh-CN"/>
                    </w:rPr>
                    <w:t>边角料</w:t>
                  </w:r>
                  <w:r>
                    <w:rPr>
                      <w:rFonts w:hint="default" w:ascii="Times New Roman" w:hAnsi="Times New Roman" w:eastAsia="宋体" w:cs="Times New Roman"/>
                      <w:b w:val="0"/>
                      <w:bCs/>
                      <w:color w:val="auto"/>
                      <w:kern w:val="0"/>
                      <w:sz w:val="21"/>
                      <w:szCs w:val="21"/>
                      <w:lang w:val="en-US" w:eastAsia="zh-CN"/>
                    </w:rPr>
                    <w:t>、</w:t>
                  </w:r>
                  <w:r>
                    <w:rPr>
                      <w:rFonts w:hint="eastAsia" w:ascii="Times New Roman" w:hAnsi="Times New Roman" w:eastAsia="宋体" w:cs="Times New Roman"/>
                      <w:b w:val="0"/>
                      <w:bCs/>
                      <w:color w:val="auto"/>
                      <w:kern w:val="0"/>
                      <w:sz w:val="21"/>
                      <w:szCs w:val="21"/>
                      <w:lang w:val="en-US" w:eastAsia="zh-CN"/>
                    </w:rPr>
                    <w:t>金属</w:t>
                  </w:r>
                  <w:r>
                    <w:rPr>
                      <w:rFonts w:hint="default" w:ascii="Times New Roman" w:hAnsi="Times New Roman" w:eastAsia="宋体" w:cs="Times New Roman"/>
                      <w:b w:val="0"/>
                      <w:bCs/>
                      <w:color w:val="auto"/>
                      <w:kern w:val="0"/>
                      <w:sz w:val="21"/>
                      <w:szCs w:val="21"/>
                      <w:lang w:val="en-US" w:eastAsia="zh-CN"/>
                    </w:rPr>
                    <w:t>屑</w:t>
                  </w:r>
                </w:p>
              </w:tc>
              <w:tc>
                <w:tcPr>
                  <w:tcW w:w="970" w:type="pct"/>
                  <w:tcBorders>
                    <w:tl2br w:val="nil"/>
                    <w:tr2bl w:val="nil"/>
                  </w:tcBorders>
                  <w:shd w:val="clear" w:color="auto" w:fill="auto"/>
                  <w:vAlign w:val="center"/>
                </w:tcPr>
                <w:p w14:paraId="0290F280">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w:t>
                  </w:r>
                </w:p>
              </w:tc>
              <w:tc>
                <w:tcPr>
                  <w:tcW w:w="1438" w:type="pct"/>
                  <w:tcBorders>
                    <w:tl2br w:val="nil"/>
                    <w:tr2bl w:val="nil"/>
                  </w:tcBorders>
                  <w:shd w:val="clear" w:color="auto" w:fill="auto"/>
                  <w:vAlign w:val="center"/>
                </w:tcPr>
                <w:p w14:paraId="4FD96EAB">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收集后暂存于一般固废暂存间，定期外售</w:t>
                  </w:r>
                </w:p>
              </w:tc>
            </w:tr>
            <w:tr w14:paraId="6D8C64B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52" w:type="pct"/>
                  <w:vMerge w:val="continue"/>
                  <w:tcBorders>
                    <w:tl2br w:val="nil"/>
                    <w:tr2bl w:val="nil"/>
                  </w:tcBorders>
                  <w:shd w:val="clear" w:color="auto" w:fill="auto"/>
                  <w:vAlign w:val="center"/>
                </w:tcPr>
                <w:p w14:paraId="39FC7B83">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586" w:type="pct"/>
                  <w:vMerge w:val="restart"/>
                  <w:tcBorders>
                    <w:tl2br w:val="nil"/>
                    <w:tr2bl w:val="nil"/>
                  </w:tcBorders>
                  <w:shd w:val="clear" w:color="auto" w:fill="auto"/>
                  <w:vAlign w:val="center"/>
                </w:tcPr>
                <w:p w14:paraId="6D8F94A4">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bidi="ar"/>
                    </w:rPr>
                    <w:t>危险废物</w:t>
                  </w:r>
                </w:p>
              </w:tc>
              <w:tc>
                <w:tcPr>
                  <w:tcW w:w="831" w:type="pct"/>
                  <w:vMerge w:val="restart"/>
                  <w:tcBorders>
                    <w:tl2br w:val="nil"/>
                    <w:tr2bl w:val="nil"/>
                  </w:tcBorders>
                  <w:shd w:val="clear" w:color="auto" w:fill="auto"/>
                  <w:vAlign w:val="center"/>
                </w:tcPr>
                <w:p w14:paraId="002287DF">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设备维修保养</w:t>
                  </w:r>
                </w:p>
              </w:tc>
              <w:tc>
                <w:tcPr>
                  <w:tcW w:w="820" w:type="pct"/>
                  <w:tcBorders>
                    <w:tl2br w:val="nil"/>
                    <w:tr2bl w:val="nil"/>
                  </w:tcBorders>
                  <w:shd w:val="clear" w:color="auto" w:fill="auto"/>
                  <w:vAlign w:val="center"/>
                </w:tcPr>
                <w:p w14:paraId="13E0EBDC">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废机油</w:t>
                  </w:r>
                </w:p>
              </w:tc>
              <w:tc>
                <w:tcPr>
                  <w:tcW w:w="970" w:type="pct"/>
                  <w:tcBorders>
                    <w:tl2br w:val="nil"/>
                    <w:tr2bl w:val="nil"/>
                  </w:tcBorders>
                  <w:shd w:val="clear" w:color="auto" w:fill="auto"/>
                  <w:vAlign w:val="center"/>
                </w:tcPr>
                <w:p w14:paraId="7F12AAEB">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bidi="ar"/>
                    </w:rPr>
                    <w:t>/</w:t>
                  </w:r>
                </w:p>
              </w:tc>
              <w:tc>
                <w:tcPr>
                  <w:tcW w:w="1438" w:type="pct"/>
                  <w:vMerge w:val="restart"/>
                  <w:tcBorders>
                    <w:tl2br w:val="nil"/>
                    <w:tr2bl w:val="nil"/>
                  </w:tcBorders>
                  <w:shd w:val="clear" w:color="auto" w:fill="auto"/>
                  <w:vAlign w:val="center"/>
                </w:tcPr>
                <w:p w14:paraId="6A4E0878">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bidi="ar"/>
                    </w:rPr>
                    <w:t>收集后暂存于危险废物</w:t>
                  </w:r>
                  <w:r>
                    <w:rPr>
                      <w:rFonts w:hint="default" w:ascii="Times New Roman" w:hAnsi="Times New Roman" w:cs="Times New Roman"/>
                      <w:b w:val="0"/>
                      <w:bCs/>
                      <w:color w:val="auto"/>
                      <w:kern w:val="0"/>
                      <w:sz w:val="21"/>
                      <w:szCs w:val="21"/>
                      <w:lang w:val="en-US" w:eastAsia="zh-CN" w:bidi="ar"/>
                    </w:rPr>
                    <w:t>贮存</w:t>
                  </w:r>
                  <w:r>
                    <w:rPr>
                      <w:rFonts w:hint="eastAsia" w:ascii="Times New Roman" w:hAnsi="Times New Roman" w:cs="Times New Roman"/>
                      <w:b w:val="0"/>
                      <w:bCs/>
                      <w:color w:val="auto"/>
                      <w:kern w:val="0"/>
                      <w:sz w:val="21"/>
                      <w:szCs w:val="21"/>
                      <w:lang w:val="en-US" w:eastAsia="zh-CN" w:bidi="ar"/>
                    </w:rPr>
                    <w:t>库</w:t>
                  </w:r>
                  <w:r>
                    <w:rPr>
                      <w:rFonts w:hint="default" w:ascii="Times New Roman" w:hAnsi="Times New Roman" w:eastAsia="宋体" w:cs="Times New Roman"/>
                      <w:b w:val="0"/>
                      <w:bCs/>
                      <w:color w:val="auto"/>
                      <w:kern w:val="0"/>
                      <w:sz w:val="21"/>
                      <w:szCs w:val="21"/>
                      <w:lang w:val="en-US" w:eastAsia="zh-CN" w:bidi="ar"/>
                    </w:rPr>
                    <w:t>，委托有资质的单位</w:t>
                  </w:r>
                  <w:r>
                    <w:rPr>
                      <w:rFonts w:hint="default" w:ascii="Times New Roman" w:hAnsi="Times New Roman" w:cs="Times New Roman"/>
                      <w:b w:val="0"/>
                      <w:bCs/>
                      <w:color w:val="auto"/>
                      <w:kern w:val="0"/>
                      <w:sz w:val="21"/>
                      <w:szCs w:val="21"/>
                      <w:lang w:val="en-US" w:eastAsia="zh-CN" w:bidi="ar"/>
                    </w:rPr>
                    <w:t>处置</w:t>
                  </w:r>
                </w:p>
              </w:tc>
            </w:tr>
            <w:tr w14:paraId="6A765EA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40" w:hRule="atLeast"/>
                <w:jc w:val="center"/>
              </w:trPr>
              <w:tc>
                <w:tcPr>
                  <w:tcW w:w="352" w:type="pct"/>
                  <w:vMerge w:val="continue"/>
                  <w:tcBorders>
                    <w:tl2br w:val="nil"/>
                    <w:tr2bl w:val="nil"/>
                  </w:tcBorders>
                  <w:shd w:val="clear" w:color="auto" w:fill="auto"/>
                  <w:vAlign w:val="center"/>
                </w:tcPr>
                <w:p w14:paraId="661437F9">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586" w:type="pct"/>
                  <w:vMerge w:val="continue"/>
                  <w:tcBorders>
                    <w:tl2br w:val="nil"/>
                    <w:tr2bl w:val="nil"/>
                  </w:tcBorders>
                  <w:shd w:val="clear" w:color="auto" w:fill="auto"/>
                  <w:vAlign w:val="center"/>
                </w:tcPr>
                <w:p w14:paraId="23EDF30A">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831" w:type="pct"/>
                  <w:vMerge w:val="continue"/>
                  <w:tcBorders>
                    <w:tl2br w:val="nil"/>
                    <w:tr2bl w:val="nil"/>
                  </w:tcBorders>
                  <w:shd w:val="clear" w:color="auto" w:fill="auto"/>
                  <w:vAlign w:val="center"/>
                </w:tcPr>
                <w:p w14:paraId="3346B89A">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rPr>
                  </w:pPr>
                </w:p>
              </w:tc>
              <w:tc>
                <w:tcPr>
                  <w:tcW w:w="820" w:type="pct"/>
                  <w:tcBorders>
                    <w:tl2br w:val="nil"/>
                    <w:tr2bl w:val="nil"/>
                  </w:tcBorders>
                  <w:shd w:val="clear" w:color="auto" w:fill="auto"/>
                  <w:vAlign w:val="center"/>
                </w:tcPr>
                <w:p w14:paraId="6D57CA8C">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废机油桶</w:t>
                  </w:r>
                </w:p>
              </w:tc>
              <w:tc>
                <w:tcPr>
                  <w:tcW w:w="970" w:type="pct"/>
                  <w:tcBorders>
                    <w:tl2br w:val="nil"/>
                    <w:tr2bl w:val="nil"/>
                  </w:tcBorders>
                  <w:shd w:val="clear" w:color="auto" w:fill="auto"/>
                  <w:vAlign w:val="center"/>
                </w:tcPr>
                <w:p w14:paraId="5FDA5D19">
                  <w:pPr>
                    <w:keepNext w:val="0"/>
                    <w:keepLines w:val="0"/>
                    <w:widowControl w:val="0"/>
                    <w:suppressLineNumbers w:val="0"/>
                    <w:autoSpaceDE w:val="0"/>
                    <w:autoSpaceDN/>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bidi="ar"/>
                    </w:rPr>
                    <w:t>/</w:t>
                  </w:r>
                </w:p>
              </w:tc>
              <w:tc>
                <w:tcPr>
                  <w:tcW w:w="1438" w:type="pct"/>
                  <w:vMerge w:val="continue"/>
                  <w:tcBorders>
                    <w:tl2br w:val="nil"/>
                    <w:tr2bl w:val="nil"/>
                  </w:tcBorders>
                  <w:shd w:val="clear" w:color="auto" w:fill="auto"/>
                  <w:vAlign w:val="center"/>
                </w:tcPr>
                <w:p w14:paraId="547A9281">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r>
            <w:tr w14:paraId="43F09C7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52" w:type="pct"/>
                  <w:vMerge w:val="continue"/>
                  <w:tcBorders>
                    <w:tl2br w:val="nil"/>
                    <w:tr2bl w:val="nil"/>
                  </w:tcBorders>
                  <w:shd w:val="clear" w:color="auto" w:fill="auto"/>
                  <w:vAlign w:val="center"/>
                </w:tcPr>
                <w:p w14:paraId="1903A973">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586" w:type="pct"/>
                  <w:vMerge w:val="continue"/>
                  <w:tcBorders>
                    <w:tl2br w:val="nil"/>
                    <w:tr2bl w:val="nil"/>
                  </w:tcBorders>
                  <w:shd w:val="clear" w:color="auto" w:fill="auto"/>
                  <w:vAlign w:val="center"/>
                </w:tcPr>
                <w:p w14:paraId="1A13CAF8">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831" w:type="pct"/>
                  <w:tcBorders>
                    <w:tl2br w:val="nil"/>
                    <w:tr2bl w:val="nil"/>
                  </w:tcBorders>
                  <w:shd w:val="clear" w:color="auto" w:fill="auto"/>
                  <w:vAlign w:val="center"/>
                </w:tcPr>
                <w:p w14:paraId="0A5832A4">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热处理</w:t>
                  </w:r>
                </w:p>
              </w:tc>
              <w:tc>
                <w:tcPr>
                  <w:tcW w:w="820" w:type="pct"/>
                  <w:tcBorders>
                    <w:tl2br w:val="nil"/>
                    <w:tr2bl w:val="nil"/>
                  </w:tcBorders>
                  <w:shd w:val="clear" w:color="auto" w:fill="auto"/>
                  <w:vAlign w:val="center"/>
                </w:tcPr>
                <w:p w14:paraId="7D672550">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废淬火油</w:t>
                  </w:r>
                </w:p>
              </w:tc>
              <w:tc>
                <w:tcPr>
                  <w:tcW w:w="970" w:type="pct"/>
                  <w:tcBorders>
                    <w:tl2br w:val="nil"/>
                    <w:tr2bl w:val="nil"/>
                  </w:tcBorders>
                  <w:shd w:val="clear" w:color="auto" w:fill="auto"/>
                  <w:vAlign w:val="center"/>
                </w:tcPr>
                <w:p w14:paraId="67932EE2">
                  <w:pPr>
                    <w:keepNext w:val="0"/>
                    <w:keepLines w:val="0"/>
                    <w:widowControl w:val="0"/>
                    <w:suppressLineNumbers w:val="0"/>
                    <w:autoSpaceDE w:val="0"/>
                    <w:autoSpaceDN/>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2"/>
                      <w:sz w:val="21"/>
                      <w:szCs w:val="21"/>
                      <w:lang w:val="en-US" w:eastAsia="zh-CN" w:bidi="ar"/>
                    </w:rPr>
                  </w:pPr>
                  <w:r>
                    <w:rPr>
                      <w:rFonts w:hint="default" w:ascii="Times New Roman" w:hAnsi="Times New Roman" w:cs="Times New Roman"/>
                      <w:b w:val="0"/>
                      <w:bCs/>
                      <w:color w:val="auto"/>
                      <w:kern w:val="2"/>
                      <w:sz w:val="21"/>
                      <w:szCs w:val="21"/>
                      <w:lang w:val="en-US" w:eastAsia="zh-CN" w:bidi="ar"/>
                    </w:rPr>
                    <w:t>/</w:t>
                  </w:r>
                </w:p>
              </w:tc>
              <w:tc>
                <w:tcPr>
                  <w:tcW w:w="1438" w:type="pct"/>
                  <w:vMerge w:val="continue"/>
                  <w:tcBorders>
                    <w:tl2br w:val="nil"/>
                    <w:tr2bl w:val="nil"/>
                  </w:tcBorders>
                  <w:shd w:val="clear" w:color="auto" w:fill="auto"/>
                  <w:vAlign w:val="center"/>
                </w:tcPr>
                <w:p w14:paraId="03729C19">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r>
            <w:tr w14:paraId="2A70FA8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52" w:type="pct"/>
                  <w:vMerge w:val="continue"/>
                  <w:tcBorders>
                    <w:tl2br w:val="nil"/>
                    <w:tr2bl w:val="nil"/>
                  </w:tcBorders>
                  <w:shd w:val="clear" w:color="auto" w:fill="auto"/>
                  <w:vAlign w:val="center"/>
                </w:tcPr>
                <w:p w14:paraId="10369B66">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586" w:type="pct"/>
                  <w:tcBorders>
                    <w:tl2br w:val="nil"/>
                    <w:tr2bl w:val="nil"/>
                  </w:tcBorders>
                  <w:shd w:val="clear" w:color="auto" w:fill="auto"/>
                  <w:vAlign w:val="center"/>
                </w:tcPr>
                <w:p w14:paraId="4C71C9BD">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bidi="ar"/>
                    </w:rPr>
                    <w:t>生活</w:t>
                  </w:r>
                </w:p>
                <w:p w14:paraId="1909E12E">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bidi="ar"/>
                    </w:rPr>
                    <w:t>垃圾</w:t>
                  </w:r>
                </w:p>
              </w:tc>
              <w:tc>
                <w:tcPr>
                  <w:tcW w:w="831" w:type="pct"/>
                  <w:tcBorders>
                    <w:tl2br w:val="nil"/>
                    <w:tr2bl w:val="nil"/>
                  </w:tcBorders>
                  <w:shd w:val="clear" w:color="auto" w:fill="auto"/>
                  <w:vAlign w:val="center"/>
                </w:tcPr>
                <w:p w14:paraId="4EFC78D7">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员工生活</w:t>
                  </w:r>
                </w:p>
              </w:tc>
              <w:tc>
                <w:tcPr>
                  <w:tcW w:w="820" w:type="pct"/>
                  <w:tcBorders>
                    <w:tl2br w:val="nil"/>
                    <w:tr2bl w:val="nil"/>
                  </w:tcBorders>
                  <w:shd w:val="clear" w:color="auto" w:fill="auto"/>
                  <w:vAlign w:val="center"/>
                </w:tcPr>
                <w:p w14:paraId="679F5AC6">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生活垃圾</w:t>
                  </w:r>
                </w:p>
              </w:tc>
              <w:tc>
                <w:tcPr>
                  <w:tcW w:w="970" w:type="pct"/>
                  <w:tcBorders>
                    <w:tl2br w:val="nil"/>
                    <w:tr2bl w:val="nil"/>
                  </w:tcBorders>
                  <w:shd w:val="clear" w:color="auto" w:fill="auto"/>
                  <w:vAlign w:val="center"/>
                </w:tcPr>
                <w:p w14:paraId="2C869CD6">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bidi="ar"/>
                    </w:rPr>
                    <w:t>/</w:t>
                  </w:r>
                </w:p>
              </w:tc>
              <w:tc>
                <w:tcPr>
                  <w:tcW w:w="1438" w:type="pct"/>
                  <w:tcBorders>
                    <w:tl2br w:val="nil"/>
                    <w:tr2bl w:val="nil"/>
                  </w:tcBorders>
                  <w:shd w:val="clear" w:color="auto" w:fill="auto"/>
                  <w:vAlign w:val="center"/>
                </w:tcPr>
                <w:p w14:paraId="28B96261">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bidi="ar"/>
                    </w:rPr>
                    <w:t>收集后，城市环卫部门定期清运</w:t>
                  </w:r>
                </w:p>
              </w:tc>
            </w:tr>
            <w:tr w14:paraId="6274FC7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52" w:type="pct"/>
                  <w:vMerge w:val="continue"/>
                  <w:tcBorders>
                    <w:tl2br w:val="nil"/>
                    <w:tr2bl w:val="nil"/>
                  </w:tcBorders>
                  <w:shd w:val="clear" w:color="auto" w:fill="auto"/>
                  <w:vAlign w:val="center"/>
                </w:tcPr>
                <w:p w14:paraId="3103E4B8">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586" w:type="pct"/>
                  <w:vMerge w:val="restart"/>
                  <w:tcBorders>
                    <w:tl2br w:val="nil"/>
                    <w:tr2bl w:val="nil"/>
                  </w:tcBorders>
                  <w:shd w:val="clear" w:color="auto" w:fill="auto"/>
                  <w:vAlign w:val="center"/>
                </w:tcPr>
                <w:p w14:paraId="034CC26E">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bidi="ar"/>
                    </w:rPr>
                    <w:t>废水</w:t>
                  </w:r>
                </w:p>
              </w:tc>
              <w:tc>
                <w:tcPr>
                  <w:tcW w:w="831" w:type="pct"/>
                  <w:tcBorders>
                    <w:tl2br w:val="nil"/>
                    <w:tr2bl w:val="nil"/>
                  </w:tcBorders>
                  <w:shd w:val="clear" w:color="auto" w:fill="auto"/>
                  <w:vAlign w:val="center"/>
                </w:tcPr>
                <w:p w14:paraId="32FF9E75">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
                    </w:rPr>
                    <w:t>员工生活</w:t>
                  </w:r>
                  <w:r>
                    <w:rPr>
                      <w:rFonts w:hint="eastAsia" w:ascii="Times New Roman" w:hAnsi="Times New Roman"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生活污水</w:t>
                  </w:r>
                </w:p>
              </w:tc>
              <w:tc>
                <w:tcPr>
                  <w:tcW w:w="820" w:type="pct"/>
                  <w:tcBorders>
                    <w:tl2br w:val="nil"/>
                    <w:tr2bl w:val="nil"/>
                  </w:tcBorders>
                  <w:shd w:val="clear" w:color="auto" w:fill="auto"/>
                  <w:vAlign w:val="center"/>
                </w:tcPr>
                <w:p w14:paraId="681BE2FE">
                  <w:pPr>
                    <w:pStyle w:val="397"/>
                    <w:keepNext w:val="0"/>
                    <w:keepLines w:val="0"/>
                    <w:widowControl w:val="0"/>
                    <w:suppressLineNumbers w:val="0"/>
                    <w:autoSpaceDE w:val="0"/>
                    <w:autoSpaceDN/>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cs="Times New Roman"/>
                      <w:color w:val="auto"/>
                      <w:kern w:val="2"/>
                      <w:sz w:val="21"/>
                      <w:szCs w:val="21"/>
                      <w:lang w:val="en-US" w:eastAsia="zh-CN"/>
                    </w:rPr>
                    <w:t>pH、</w:t>
                  </w:r>
                  <w:r>
                    <w:rPr>
                      <w:rFonts w:hint="default" w:ascii="Times New Roman" w:hAnsi="Times New Roman" w:eastAsia="宋体" w:cs="Times New Roman"/>
                      <w:color w:val="auto"/>
                      <w:kern w:val="2"/>
                      <w:sz w:val="21"/>
                      <w:szCs w:val="21"/>
                      <w:lang w:val="en-US" w:eastAsia="zh-CN"/>
                    </w:rPr>
                    <w:t>COD、SS、BOD</w:t>
                  </w:r>
                  <w:r>
                    <w:rPr>
                      <w:rFonts w:hint="default" w:ascii="Times New Roman" w:hAnsi="Times New Roman" w:eastAsia="宋体" w:cs="Times New Roman"/>
                      <w:color w:val="auto"/>
                      <w:kern w:val="2"/>
                      <w:sz w:val="21"/>
                      <w:szCs w:val="21"/>
                      <w:vertAlign w:val="subscript"/>
                      <w:lang w:val="en-US" w:eastAsia="zh-CN"/>
                    </w:rPr>
                    <w:t>5</w:t>
                  </w:r>
                  <w:r>
                    <w:rPr>
                      <w:rFonts w:hint="default" w:ascii="Times New Roman" w:hAnsi="Times New Roman" w:eastAsia="宋体" w:cs="Times New Roman"/>
                      <w:color w:val="auto"/>
                      <w:kern w:val="2"/>
                      <w:sz w:val="21"/>
                      <w:szCs w:val="21"/>
                      <w:lang w:val="en-US" w:eastAsia="zh-CN"/>
                    </w:rPr>
                    <w:t>、氨氮</w:t>
                  </w:r>
                  <w:r>
                    <w:rPr>
                      <w:rFonts w:hint="default" w:ascii="Times New Roman" w:hAnsi="Times New Roman" w:cs="Times New Roman"/>
                      <w:color w:val="auto"/>
                      <w:kern w:val="2"/>
                      <w:sz w:val="21"/>
                      <w:szCs w:val="21"/>
                      <w:lang w:val="en-US" w:eastAsia="zh-CN"/>
                    </w:rPr>
                    <w:t>、动植物油</w:t>
                  </w:r>
                </w:p>
              </w:tc>
              <w:tc>
                <w:tcPr>
                  <w:tcW w:w="970" w:type="pct"/>
                  <w:tcBorders>
                    <w:tl2br w:val="nil"/>
                    <w:tr2bl w:val="nil"/>
                  </w:tcBorders>
                  <w:shd w:val="clear" w:color="auto" w:fill="auto"/>
                  <w:vAlign w:val="center"/>
                </w:tcPr>
                <w:p w14:paraId="442F9D24">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bidi="ar"/>
                    </w:rPr>
                    <w:t>/</w:t>
                  </w:r>
                </w:p>
              </w:tc>
              <w:tc>
                <w:tcPr>
                  <w:tcW w:w="1438" w:type="pct"/>
                  <w:tcBorders>
                    <w:tl2br w:val="nil"/>
                    <w:tr2bl w:val="nil"/>
                  </w:tcBorders>
                  <w:shd w:val="clear" w:color="auto" w:fill="auto"/>
                  <w:vAlign w:val="center"/>
                </w:tcPr>
                <w:p w14:paraId="4ED89EF8">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cs="Times New Roman"/>
                      <w:b w:val="0"/>
                      <w:bCs/>
                      <w:color w:val="auto"/>
                      <w:kern w:val="0"/>
                      <w:sz w:val="21"/>
                      <w:szCs w:val="21"/>
                      <w:lang w:val="en-US" w:eastAsia="zh-CN" w:bidi="ar"/>
                    </w:rPr>
                    <w:t>经</w:t>
                  </w:r>
                  <w:r>
                    <w:rPr>
                      <w:rFonts w:hint="default" w:ascii="Times New Roman" w:hAnsi="Times New Roman" w:eastAsia="宋体" w:cs="Times New Roman"/>
                      <w:b w:val="0"/>
                      <w:bCs/>
                      <w:color w:val="auto"/>
                      <w:kern w:val="0"/>
                      <w:sz w:val="21"/>
                      <w:szCs w:val="21"/>
                      <w:lang w:val="en-US" w:eastAsia="zh-CN" w:bidi="ar"/>
                    </w:rPr>
                    <w:t>化粪池</w:t>
                  </w:r>
                  <w:r>
                    <w:rPr>
                      <w:rFonts w:hint="default" w:ascii="Times New Roman" w:hAnsi="Times New Roman" w:cs="Times New Roman"/>
                      <w:b w:val="0"/>
                      <w:bCs/>
                      <w:color w:val="auto"/>
                      <w:kern w:val="0"/>
                      <w:sz w:val="21"/>
                      <w:szCs w:val="21"/>
                      <w:lang w:val="en-US" w:eastAsia="zh-CN" w:bidi="ar"/>
                    </w:rPr>
                    <w:t>预处理后进入开发区污水处理厂</w:t>
                  </w:r>
                </w:p>
              </w:tc>
            </w:tr>
            <w:tr w14:paraId="5A9D172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03" w:hRule="atLeast"/>
                <w:jc w:val="center"/>
              </w:trPr>
              <w:tc>
                <w:tcPr>
                  <w:tcW w:w="352" w:type="pct"/>
                  <w:vMerge w:val="continue"/>
                  <w:tcBorders>
                    <w:tl2br w:val="nil"/>
                    <w:tr2bl w:val="nil"/>
                  </w:tcBorders>
                  <w:shd w:val="clear" w:color="auto" w:fill="auto"/>
                  <w:vAlign w:val="center"/>
                </w:tcPr>
                <w:p w14:paraId="342E72CB">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586" w:type="pct"/>
                  <w:vMerge w:val="continue"/>
                  <w:tcBorders>
                    <w:tl2br w:val="nil"/>
                    <w:tr2bl w:val="nil"/>
                  </w:tcBorders>
                  <w:shd w:val="clear" w:color="auto" w:fill="auto"/>
                  <w:vAlign w:val="center"/>
                </w:tcPr>
                <w:p w14:paraId="50C78C35">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bidi="ar"/>
                    </w:rPr>
                  </w:pPr>
                </w:p>
              </w:tc>
              <w:tc>
                <w:tcPr>
                  <w:tcW w:w="831" w:type="pct"/>
                  <w:tcBorders>
                    <w:tl2br w:val="nil"/>
                    <w:tr2bl w:val="nil"/>
                  </w:tcBorders>
                  <w:shd w:val="clear" w:color="auto" w:fill="auto"/>
                  <w:vAlign w:val="center"/>
                </w:tcPr>
                <w:p w14:paraId="776D4B59">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熔炼设备</w:t>
                  </w:r>
                  <w:r>
                    <w:rPr>
                      <w:rFonts w:hint="eastAsia" w:ascii="Times New Roman" w:hAnsi="Times New Roman" w:cs="Times New Roman"/>
                      <w:color w:val="auto"/>
                      <w:kern w:val="0"/>
                      <w:sz w:val="21"/>
                      <w:szCs w:val="21"/>
                      <w:lang w:val="en-US" w:eastAsia="zh-CN" w:bidi="ar"/>
                    </w:rPr>
                    <w:t>－</w:t>
                  </w:r>
                  <w:r>
                    <w:rPr>
                      <w:rFonts w:hint="default" w:ascii="Times New Roman" w:hAnsi="Times New Roman" w:cs="Times New Roman"/>
                      <w:color w:val="auto"/>
                      <w:kern w:val="2"/>
                      <w:sz w:val="21"/>
                      <w:szCs w:val="21"/>
                      <w:lang w:val="en-US" w:eastAsia="zh-CN"/>
                    </w:rPr>
                    <w:t>设备冷却水</w:t>
                  </w:r>
                </w:p>
              </w:tc>
              <w:tc>
                <w:tcPr>
                  <w:tcW w:w="820" w:type="pct"/>
                  <w:tcBorders>
                    <w:tl2br w:val="nil"/>
                    <w:tr2bl w:val="nil"/>
                  </w:tcBorders>
                  <w:shd w:val="clear" w:color="auto" w:fill="auto"/>
                  <w:vAlign w:val="center"/>
                </w:tcPr>
                <w:p w14:paraId="4738A5E8">
                  <w:pPr>
                    <w:pStyle w:val="397"/>
                    <w:keepNext w:val="0"/>
                    <w:keepLines w:val="0"/>
                    <w:widowControl w:val="0"/>
                    <w:suppressLineNumbers w:val="0"/>
                    <w:autoSpaceDE w:val="0"/>
                    <w:autoSpaceDN/>
                    <w:spacing w:line="240" w:lineRule="auto"/>
                    <w:ind w:left="0" w:right="0" w:firstLine="0" w:firstLineChars="0"/>
                    <w:jc w:val="center"/>
                    <w:rPr>
                      <w:rFonts w:hint="default" w:ascii="Times New Roman" w:hAnsi="Times New Roman" w:cs="Times New Roman"/>
                      <w:color w:val="auto"/>
                      <w:kern w:val="2"/>
                      <w:sz w:val="21"/>
                      <w:szCs w:val="21"/>
                      <w:lang w:val="en-US" w:eastAsia="zh-CN"/>
                    </w:rPr>
                  </w:pPr>
                  <w:r>
                    <w:rPr>
                      <w:rFonts w:hint="default" w:ascii="Times New Roman" w:hAnsi="Times New Roman" w:cs="Times New Roman"/>
                      <w:color w:val="auto"/>
                      <w:kern w:val="2"/>
                      <w:sz w:val="21"/>
                      <w:szCs w:val="21"/>
                      <w:lang w:val="en-US" w:eastAsia="zh-CN"/>
                    </w:rPr>
                    <w:t>COD、SS、氨氮、含盐量</w:t>
                  </w:r>
                </w:p>
              </w:tc>
              <w:tc>
                <w:tcPr>
                  <w:tcW w:w="970" w:type="pct"/>
                  <w:tcBorders>
                    <w:tl2br w:val="nil"/>
                    <w:tr2bl w:val="nil"/>
                  </w:tcBorders>
                  <w:shd w:val="clear" w:color="auto" w:fill="auto"/>
                  <w:vAlign w:val="center"/>
                </w:tcPr>
                <w:p w14:paraId="4697B0CE">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cs="Times New Roman"/>
                      <w:b w:val="0"/>
                      <w:bCs/>
                      <w:color w:val="auto"/>
                      <w:kern w:val="0"/>
                      <w:sz w:val="21"/>
                      <w:szCs w:val="21"/>
                      <w:lang w:val="en-US" w:eastAsia="zh-CN" w:bidi="ar"/>
                    </w:rPr>
                    <w:t>/</w:t>
                  </w:r>
                </w:p>
              </w:tc>
              <w:tc>
                <w:tcPr>
                  <w:tcW w:w="1438" w:type="pct"/>
                  <w:tcBorders>
                    <w:tl2br w:val="nil"/>
                    <w:tr2bl w:val="nil"/>
                  </w:tcBorders>
                  <w:shd w:val="clear" w:color="auto" w:fill="auto"/>
                  <w:vAlign w:val="center"/>
                </w:tcPr>
                <w:p w14:paraId="4522DC44">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cs="Times New Roman"/>
                      <w:b w:val="0"/>
                      <w:bCs/>
                      <w:color w:val="auto"/>
                      <w:kern w:val="0"/>
                      <w:sz w:val="21"/>
                      <w:szCs w:val="21"/>
                      <w:lang w:val="en-US" w:eastAsia="zh-CN" w:bidi="ar"/>
                    </w:rPr>
                  </w:pPr>
                  <w:r>
                    <w:rPr>
                      <w:rFonts w:hint="default" w:ascii="Times New Roman" w:hAnsi="Times New Roman" w:cs="Times New Roman"/>
                      <w:b w:val="0"/>
                      <w:bCs/>
                      <w:color w:val="auto"/>
                      <w:kern w:val="0"/>
                      <w:sz w:val="21"/>
                      <w:szCs w:val="21"/>
                      <w:lang w:val="en-US" w:eastAsia="zh-CN" w:bidi="ar"/>
                    </w:rPr>
                    <w:t>循环冷却水定期补充，循环利用不外排</w:t>
                  </w:r>
                </w:p>
              </w:tc>
            </w:tr>
            <w:tr w14:paraId="10B6486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52" w:type="pct"/>
                  <w:vMerge w:val="continue"/>
                  <w:tcBorders>
                    <w:tl2br w:val="nil"/>
                    <w:tr2bl w:val="nil"/>
                  </w:tcBorders>
                  <w:shd w:val="clear" w:color="auto" w:fill="auto"/>
                  <w:vAlign w:val="center"/>
                </w:tcPr>
                <w:p w14:paraId="50DE3893">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586" w:type="pct"/>
                  <w:vMerge w:val="continue"/>
                  <w:tcBorders>
                    <w:tl2br w:val="nil"/>
                    <w:tr2bl w:val="nil"/>
                  </w:tcBorders>
                  <w:shd w:val="clear" w:color="auto" w:fill="auto"/>
                  <w:vAlign w:val="center"/>
                </w:tcPr>
                <w:p w14:paraId="045C7474">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rPr>
                  </w:pPr>
                </w:p>
              </w:tc>
              <w:tc>
                <w:tcPr>
                  <w:tcW w:w="831" w:type="pct"/>
                  <w:tcBorders>
                    <w:tl2br w:val="nil"/>
                    <w:tr2bl w:val="nil"/>
                  </w:tcBorders>
                  <w:shd w:val="clear" w:color="auto" w:fill="auto"/>
                  <w:vAlign w:val="center"/>
                </w:tcPr>
                <w:p w14:paraId="343958E3">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lang w:val="en-US" w:eastAsia="zh-CN"/>
                    </w:rPr>
                    <w:t>淬火回火</w:t>
                  </w:r>
                  <w:r>
                    <w:rPr>
                      <w:rFonts w:hint="eastAsia" w:ascii="Times New Roman" w:hAnsi="Times New Roman" w:cs="Times New Roman"/>
                      <w:color w:val="auto"/>
                      <w:kern w:val="0"/>
                      <w:sz w:val="21"/>
                      <w:szCs w:val="21"/>
                      <w:lang w:val="en-US" w:eastAsia="zh-CN"/>
                    </w:rPr>
                    <w:t>－</w:t>
                  </w:r>
                  <w:r>
                    <w:rPr>
                      <w:rFonts w:hint="default" w:ascii="Times New Roman" w:hAnsi="Times New Roman" w:cs="Times New Roman"/>
                      <w:color w:val="auto"/>
                      <w:kern w:val="0"/>
                      <w:sz w:val="21"/>
                      <w:szCs w:val="21"/>
                      <w:lang w:val="en-US" w:eastAsia="zh-CN"/>
                    </w:rPr>
                    <w:t>冷却水</w:t>
                  </w:r>
                </w:p>
              </w:tc>
              <w:tc>
                <w:tcPr>
                  <w:tcW w:w="820" w:type="pct"/>
                  <w:tcBorders>
                    <w:tl2br w:val="nil"/>
                    <w:tr2bl w:val="nil"/>
                  </w:tcBorders>
                  <w:shd w:val="clear" w:color="auto" w:fill="auto"/>
                  <w:vAlign w:val="center"/>
                </w:tcPr>
                <w:p w14:paraId="03C0D3AD">
                  <w:pPr>
                    <w:pStyle w:val="397"/>
                    <w:keepNext w:val="0"/>
                    <w:keepLines w:val="0"/>
                    <w:widowControl w:val="0"/>
                    <w:suppressLineNumbers w:val="0"/>
                    <w:autoSpaceDE w:val="0"/>
                    <w:autoSpaceDN/>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rPr>
                    <w:t>COD、SS、氨氮、含盐量</w:t>
                  </w:r>
                </w:p>
              </w:tc>
              <w:tc>
                <w:tcPr>
                  <w:tcW w:w="970" w:type="pct"/>
                  <w:tcBorders>
                    <w:tl2br w:val="nil"/>
                    <w:tr2bl w:val="nil"/>
                  </w:tcBorders>
                  <w:shd w:val="clear" w:color="auto" w:fill="auto"/>
                  <w:vAlign w:val="center"/>
                </w:tcPr>
                <w:p w14:paraId="65D731F0">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cs="Times New Roman"/>
                      <w:b w:val="0"/>
                      <w:bCs/>
                      <w:color w:val="auto"/>
                      <w:kern w:val="0"/>
                      <w:sz w:val="21"/>
                      <w:szCs w:val="21"/>
                      <w:lang w:val="en-US" w:eastAsia="zh-CN" w:bidi="ar-SA"/>
                    </w:rPr>
                    <w:t>/</w:t>
                  </w:r>
                </w:p>
              </w:tc>
              <w:tc>
                <w:tcPr>
                  <w:tcW w:w="1438" w:type="pct"/>
                  <w:tcBorders>
                    <w:tl2br w:val="nil"/>
                    <w:tr2bl w:val="nil"/>
                  </w:tcBorders>
                  <w:shd w:val="clear" w:color="auto" w:fill="auto"/>
                  <w:vAlign w:val="center"/>
                </w:tcPr>
                <w:p w14:paraId="71879280">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循环冷却水定期补充，循环利用不外排</w:t>
                  </w:r>
                </w:p>
              </w:tc>
            </w:tr>
            <w:tr w14:paraId="393932F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3" w:hRule="atLeast"/>
                <w:jc w:val="center"/>
              </w:trPr>
              <w:tc>
                <w:tcPr>
                  <w:tcW w:w="352" w:type="pct"/>
                  <w:vMerge w:val="continue"/>
                  <w:tcBorders>
                    <w:tl2br w:val="nil"/>
                    <w:tr2bl w:val="nil"/>
                  </w:tcBorders>
                  <w:shd w:val="clear" w:color="auto" w:fill="auto"/>
                  <w:vAlign w:val="center"/>
                </w:tcPr>
                <w:p w14:paraId="65AF01D2">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lang w:val="en-US" w:eastAsia="zh-CN"/>
                    </w:rPr>
                  </w:pPr>
                </w:p>
              </w:tc>
              <w:tc>
                <w:tcPr>
                  <w:tcW w:w="586" w:type="pct"/>
                  <w:vMerge w:val="continue"/>
                  <w:tcBorders>
                    <w:tl2br w:val="nil"/>
                    <w:tr2bl w:val="nil"/>
                  </w:tcBorders>
                  <w:shd w:val="clear" w:color="auto" w:fill="auto"/>
                  <w:vAlign w:val="center"/>
                </w:tcPr>
                <w:p w14:paraId="13B128C5">
                  <w:pPr>
                    <w:pStyle w:val="53"/>
                    <w:keepNext w:val="0"/>
                    <w:keepLines w:val="0"/>
                    <w:widowControl w:val="0"/>
                    <w:suppressLineNumbers w:val="0"/>
                    <w:autoSpaceDE w:val="0"/>
                    <w:autoSpaceDN/>
                    <w:snapToGrid w:val="0"/>
                    <w:spacing w:before="0" w:beforeAutospacing="0" w:after="0" w:afterAutospacing="0" w:line="240" w:lineRule="auto"/>
                    <w:ind w:left="0" w:right="0" w:rightChars="0"/>
                    <w:jc w:val="center"/>
                    <w:rPr>
                      <w:rFonts w:hint="default" w:ascii="Times New Roman" w:hAnsi="Times New Roman" w:eastAsia="宋体" w:cs="Times New Roman"/>
                      <w:b w:val="0"/>
                      <w:bCs/>
                      <w:color w:val="auto"/>
                      <w:kern w:val="0"/>
                      <w:sz w:val="21"/>
                      <w:szCs w:val="21"/>
                      <w:lang w:val="en-US" w:eastAsia="zh-CN"/>
                    </w:rPr>
                  </w:pPr>
                </w:p>
              </w:tc>
              <w:tc>
                <w:tcPr>
                  <w:tcW w:w="831" w:type="pct"/>
                  <w:tcBorders>
                    <w:tl2br w:val="nil"/>
                    <w:tr2bl w:val="nil"/>
                  </w:tcBorders>
                  <w:shd w:val="clear" w:color="auto" w:fill="auto"/>
                  <w:vAlign w:val="center"/>
                </w:tcPr>
                <w:p w14:paraId="1D75ACD6">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lang w:val="en-US" w:eastAsia="zh-CN"/>
                    </w:rPr>
                    <w:t>油淬工序</w:t>
                  </w:r>
                  <w:r>
                    <w:rPr>
                      <w:rFonts w:hint="eastAsia" w:ascii="Times New Roman" w:hAnsi="Times New Roman" w:cs="Times New Roman"/>
                      <w:color w:val="auto"/>
                      <w:kern w:val="0"/>
                      <w:sz w:val="21"/>
                      <w:szCs w:val="21"/>
                      <w:lang w:val="en-US" w:eastAsia="zh-CN"/>
                    </w:rPr>
                    <w:t>－</w:t>
                  </w:r>
                  <w:r>
                    <w:rPr>
                      <w:rFonts w:hint="default" w:ascii="Times New Roman" w:hAnsi="Times New Roman" w:cs="Times New Roman"/>
                      <w:color w:val="auto"/>
                      <w:kern w:val="0"/>
                      <w:sz w:val="21"/>
                      <w:szCs w:val="21"/>
                      <w:lang w:val="en-US" w:eastAsia="zh-CN"/>
                    </w:rPr>
                    <w:t>工件清洗废水</w:t>
                  </w:r>
                </w:p>
              </w:tc>
              <w:tc>
                <w:tcPr>
                  <w:tcW w:w="820" w:type="pct"/>
                  <w:tcBorders>
                    <w:tl2br w:val="nil"/>
                    <w:tr2bl w:val="nil"/>
                  </w:tcBorders>
                  <w:shd w:val="clear" w:color="auto" w:fill="auto"/>
                  <w:vAlign w:val="center"/>
                </w:tcPr>
                <w:p w14:paraId="5D215CCB">
                  <w:pPr>
                    <w:pStyle w:val="397"/>
                    <w:keepNext w:val="0"/>
                    <w:keepLines w:val="0"/>
                    <w:widowControl w:val="0"/>
                    <w:suppressLineNumbers w:val="0"/>
                    <w:autoSpaceDE w:val="0"/>
                    <w:autoSpaceDN/>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rPr>
                    <w:t>pH、SS</w:t>
                  </w:r>
                  <w:r>
                    <w:rPr>
                      <w:rFonts w:hint="default" w:ascii="Times New Roman" w:hAnsi="Times New Roman" w:cs="Times New Roman"/>
                      <w:color w:val="auto"/>
                      <w:kern w:val="2"/>
                      <w:sz w:val="21"/>
                      <w:szCs w:val="21"/>
                      <w:lang w:val="en-US" w:eastAsia="zh-CN"/>
                    </w:rPr>
                    <w:t>、石油类</w:t>
                  </w:r>
                </w:p>
              </w:tc>
              <w:tc>
                <w:tcPr>
                  <w:tcW w:w="970" w:type="pct"/>
                  <w:tcBorders>
                    <w:tl2br w:val="nil"/>
                    <w:tr2bl w:val="nil"/>
                  </w:tcBorders>
                  <w:shd w:val="clear" w:color="auto" w:fill="auto"/>
                  <w:vAlign w:val="center"/>
                </w:tcPr>
                <w:p w14:paraId="2A5FE0C8">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cs="Times New Roman"/>
                      <w:b w:val="0"/>
                      <w:bCs/>
                      <w:color w:val="auto"/>
                      <w:kern w:val="0"/>
                      <w:sz w:val="21"/>
                      <w:szCs w:val="21"/>
                      <w:lang w:val="en-US" w:eastAsia="zh-CN"/>
                    </w:rPr>
                    <w:t>/</w:t>
                  </w:r>
                </w:p>
              </w:tc>
              <w:tc>
                <w:tcPr>
                  <w:tcW w:w="1438" w:type="pct"/>
                  <w:tcBorders>
                    <w:tl2br w:val="nil"/>
                    <w:tr2bl w:val="nil"/>
                  </w:tcBorders>
                  <w:shd w:val="clear" w:color="auto" w:fill="auto"/>
                  <w:vAlign w:val="center"/>
                </w:tcPr>
                <w:p w14:paraId="7F9171B2">
                  <w:pPr>
                    <w:pStyle w:val="53"/>
                    <w:keepNext w:val="0"/>
                    <w:keepLines w:val="0"/>
                    <w:widowControl w:val="0"/>
                    <w:suppressLineNumbers w:val="0"/>
                    <w:autoSpaceDE w:val="0"/>
                    <w:autoSpaceDN/>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经油水分离装置分离后循环使用，只需定期补充，分离出的淬火油回用于淬火工序</w:t>
                  </w:r>
                </w:p>
              </w:tc>
            </w:tr>
          </w:tbl>
          <w:p w14:paraId="36FF7B39">
            <w:pPr>
              <w:keepNext w:val="0"/>
              <w:keepLines w:val="0"/>
              <w:suppressLineNumbers w:val="0"/>
              <w:spacing w:before="0" w:beforeAutospacing="0" w:after="0" w:afterAutospacing="0" w:line="440" w:lineRule="exact"/>
              <w:ind w:left="0" w:right="0"/>
              <w:rPr>
                <w:rFonts w:hint="default" w:ascii="Times New Roman" w:hAnsi="Times New Roman" w:eastAsia="宋体" w:cs="Times New Roman"/>
                <w:bCs/>
                <w:color w:val="auto"/>
                <w:highlight w:val="none"/>
              </w:rPr>
            </w:pPr>
          </w:p>
          <w:p w14:paraId="5644934C">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bCs/>
                <w:color w:val="auto"/>
                <w:highlight w:val="none"/>
              </w:rPr>
            </w:pPr>
          </w:p>
        </w:tc>
      </w:tr>
      <w:tr w14:paraId="63F1EE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763" w:hRule="atLeast"/>
          <w:jc w:val="center"/>
        </w:trPr>
        <w:tc>
          <w:tcPr>
            <w:tcW w:w="303" w:type="pct"/>
            <w:noWrap w:val="0"/>
            <w:vAlign w:val="center"/>
          </w:tcPr>
          <w:p w14:paraId="72C20855">
            <w:pPr>
              <w:keepNext w:val="0"/>
              <w:keepLines w:val="0"/>
              <w:suppressLineNumbers w:val="0"/>
              <w:spacing w:before="0" w:beforeAutospacing="0" w:after="0" w:afterAutospacing="0" w:line="440" w:lineRule="exact"/>
              <w:ind w:left="0" w:right="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与项目有关的原有环境污染问题</w:t>
            </w:r>
          </w:p>
        </w:tc>
        <w:tc>
          <w:tcPr>
            <w:tcW w:w="4696" w:type="pct"/>
            <w:noWrap w:val="0"/>
            <w:vAlign w:val="top"/>
          </w:tcPr>
          <w:p w14:paraId="170E4990">
            <w:pPr>
              <w:keepNext w:val="0"/>
              <w:keepLines w:val="0"/>
              <w:pageBreakBefore w:val="0"/>
              <w:widowControl/>
              <w:suppressLineNumbers w:val="0"/>
              <w:spacing w:before="0" w:beforeAutospacing="0" w:after="0" w:afterAutospacing="0"/>
              <w:ind w:left="0" w:right="0" w:firstLine="480"/>
              <w:jc w:val="both"/>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铁力泓旭机械制造有限公司于2015委托第三方单位编制了《高速、快速列车制动盘生产线建设项目环境影响报告表》，该项目于2015年12月3日获得了原铁力市环境保护局批复（铁环发</w:t>
            </w:r>
            <w:r>
              <w:rPr>
                <w:rFonts w:hint="eastAsia" w:ascii="Times New Roman" w:hAnsi="Times New Roman" w:cs="Times New Roman"/>
                <w:color w:val="auto"/>
                <w:sz w:val="24"/>
                <w:szCs w:val="24"/>
                <w:highlight w:val="none"/>
                <w:lang w:val="en-US" w:eastAsia="zh-CN"/>
              </w:rPr>
              <w:t>〔2015〕91号</w:t>
            </w:r>
            <w:r>
              <w:rPr>
                <w:rFonts w:hint="default" w:ascii="Times New Roman" w:hAnsi="Times New Roman" w:eastAsia="宋体" w:cs="Times New Roman"/>
                <w:color w:val="auto"/>
                <w:sz w:val="24"/>
                <w:szCs w:val="24"/>
                <w:highlight w:val="none"/>
                <w:lang w:val="en-US" w:eastAsia="zh-CN"/>
              </w:rPr>
              <w:t>），批复建设内容为该项目建设地点位于黑龙江省伊春市铁力工业园区，总占地面积95698m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建设内容为新建一条高速、快速列车制动盘生产线，主要包括预发成型车间、涂装车间、熔铸车间等主体工程以及办公用房等辅助工程，总投资32100.46万元。该项目目前已完成生产车间及办公用房等建筑建设，基于市场原因该项目</w:t>
            </w:r>
            <w:r>
              <w:rPr>
                <w:rFonts w:hint="eastAsia" w:ascii="Times New Roman" w:hAnsi="Times New Roman" w:cs="Times New Roman"/>
                <w:color w:val="auto"/>
                <w:sz w:val="24"/>
                <w:szCs w:val="24"/>
                <w:highlight w:val="none"/>
                <w:lang w:val="en-US" w:eastAsia="zh-CN"/>
              </w:rPr>
              <w:t>尚未</w:t>
            </w:r>
            <w:r>
              <w:rPr>
                <w:rFonts w:hint="default" w:ascii="Times New Roman" w:hAnsi="Times New Roman" w:eastAsia="宋体" w:cs="Times New Roman"/>
                <w:color w:val="auto"/>
                <w:sz w:val="24"/>
                <w:szCs w:val="24"/>
                <w:highlight w:val="none"/>
                <w:lang w:val="en-US" w:eastAsia="zh-CN"/>
              </w:rPr>
              <w:t>竣工投产，并不再建设。</w:t>
            </w:r>
            <w:r>
              <w:rPr>
                <w:rFonts w:hint="default" w:ascii="Times New Roman" w:hAnsi="Times New Roman" w:cs="Times New Roman"/>
                <w:color w:val="auto"/>
                <w:sz w:val="24"/>
                <w:szCs w:val="24"/>
                <w:highlight w:val="none"/>
                <w:lang w:val="en-US" w:eastAsia="zh-CN"/>
              </w:rPr>
              <w:t>不存在与项目有关的原有环境污染问题</w:t>
            </w:r>
            <w:r>
              <w:rPr>
                <w:rFonts w:hint="eastAsia" w:ascii="Times New Roman" w:hAnsi="Times New Roman" w:cs="Times New Roman"/>
                <w:color w:val="auto"/>
                <w:sz w:val="24"/>
                <w:szCs w:val="24"/>
                <w:highlight w:val="none"/>
                <w:lang w:val="en-US" w:eastAsia="zh-CN"/>
              </w:rPr>
              <w:t>。</w:t>
            </w:r>
          </w:p>
          <w:p w14:paraId="55D977E9">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val="0"/>
                <w:color w:val="auto"/>
                <w:sz w:val="21"/>
                <w:szCs w:val="21"/>
              </w:rPr>
            </w:pPr>
            <w:r>
              <w:rPr>
                <w:rFonts w:hint="eastAsia" w:ascii="宋体" w:hAnsi="宋体" w:eastAsia="宋体" w:cs="宋体"/>
                <w:b/>
                <w:bCs w:val="0"/>
                <w:color w:val="auto"/>
                <w:kern w:val="0"/>
                <w:sz w:val="21"/>
                <w:szCs w:val="21"/>
                <w:lang w:val="en-US" w:eastAsia="zh-CN" w:bidi="ar"/>
              </w:rPr>
              <w:t>表</w:t>
            </w:r>
            <w:r>
              <w:rPr>
                <w:rFonts w:hint="default" w:ascii="Times New Roman" w:hAnsi="Times New Roman" w:eastAsia="宋体" w:cs="Times New Roman"/>
                <w:b/>
                <w:bCs w:val="0"/>
                <w:color w:val="auto"/>
                <w:kern w:val="0"/>
                <w:sz w:val="21"/>
                <w:szCs w:val="21"/>
                <w:lang w:val="en-US" w:eastAsia="zh-CN" w:bidi="ar"/>
              </w:rPr>
              <w:t xml:space="preserve">2-3 </w:t>
            </w:r>
            <w:r>
              <w:rPr>
                <w:rFonts w:hint="eastAsia" w:ascii="Times New Roman" w:hAnsi="Times New Roman" w:eastAsia="宋体" w:cs="Times New Roman"/>
                <w:b/>
                <w:bCs w:val="0"/>
                <w:color w:val="auto"/>
                <w:kern w:val="0"/>
                <w:sz w:val="21"/>
                <w:szCs w:val="21"/>
                <w:lang w:val="en-US" w:eastAsia="zh-CN" w:bidi="ar"/>
              </w:rPr>
              <w:t>铁环发〔2015〕91号建设内容及实际建设情况</w:t>
            </w:r>
            <w:r>
              <w:rPr>
                <w:rFonts w:hint="eastAsia" w:ascii="宋体" w:hAnsi="宋体" w:eastAsia="宋体" w:cs="宋体"/>
                <w:b/>
                <w:bCs w:val="0"/>
                <w:color w:val="auto"/>
                <w:kern w:val="0"/>
                <w:sz w:val="21"/>
                <w:szCs w:val="21"/>
                <w:lang w:val="en-US" w:eastAsia="zh-CN" w:bidi="ar"/>
              </w:rPr>
              <w:t>一览表</w:t>
            </w:r>
          </w:p>
          <w:tbl>
            <w:tblPr>
              <w:tblStyle w:val="56"/>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1"/>
              <w:gridCol w:w="1210"/>
              <w:gridCol w:w="2721"/>
              <w:gridCol w:w="1411"/>
              <w:gridCol w:w="1951"/>
              <w:gridCol w:w="605"/>
            </w:tblGrid>
            <w:tr w14:paraId="6B6FA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90" w:hRule="atLeast"/>
                <w:jc w:val="center"/>
              </w:trPr>
              <w:tc>
                <w:tcPr>
                  <w:tcW w:w="493" w:type="dxa"/>
                  <w:vMerge w:val="restart"/>
                  <w:noWrap w:val="0"/>
                  <w:vAlign w:val="center"/>
                </w:tcPr>
                <w:p w14:paraId="63E5C0B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1215" w:type="dxa"/>
                  <w:vMerge w:val="restart"/>
                  <w:noWrap w:val="0"/>
                  <w:vAlign w:val="center"/>
                </w:tcPr>
                <w:p w14:paraId="212F819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项目名称</w:t>
                  </w:r>
                </w:p>
              </w:tc>
              <w:tc>
                <w:tcPr>
                  <w:tcW w:w="4150" w:type="dxa"/>
                  <w:gridSpan w:val="2"/>
                  <w:noWrap w:val="0"/>
                  <w:vAlign w:val="center"/>
                </w:tcPr>
                <w:p w14:paraId="0E0EAD4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原环评建设内容</w:t>
                  </w:r>
                </w:p>
              </w:tc>
              <w:tc>
                <w:tcPr>
                  <w:tcW w:w="1960" w:type="dxa"/>
                  <w:vMerge w:val="restart"/>
                  <w:noWrap w:val="0"/>
                  <w:vAlign w:val="center"/>
                </w:tcPr>
                <w:p w14:paraId="256903E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实际建设情况</w:t>
                  </w:r>
                </w:p>
              </w:tc>
              <w:tc>
                <w:tcPr>
                  <w:tcW w:w="608" w:type="dxa"/>
                  <w:vMerge w:val="restart"/>
                  <w:noWrap w:val="0"/>
                  <w:vAlign w:val="center"/>
                </w:tcPr>
                <w:p w14:paraId="262D87F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备注</w:t>
                  </w:r>
                </w:p>
              </w:tc>
            </w:tr>
            <w:tr w14:paraId="61D1D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16" w:hRule="atLeast"/>
                <w:jc w:val="center"/>
              </w:trPr>
              <w:tc>
                <w:tcPr>
                  <w:tcW w:w="493" w:type="dxa"/>
                  <w:vMerge w:val="continue"/>
                  <w:noWrap w:val="0"/>
                  <w:vAlign w:val="center"/>
                </w:tcPr>
                <w:p w14:paraId="0EDFFC1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1215" w:type="dxa"/>
                  <w:vMerge w:val="continue"/>
                  <w:noWrap w:val="0"/>
                  <w:vAlign w:val="center"/>
                </w:tcPr>
                <w:p w14:paraId="37F1500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2733" w:type="dxa"/>
                  <w:noWrap w:val="0"/>
                  <w:vAlign w:val="center"/>
                </w:tcPr>
                <w:p w14:paraId="256A992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项目内容</w:t>
                  </w:r>
                </w:p>
              </w:tc>
              <w:tc>
                <w:tcPr>
                  <w:tcW w:w="1417" w:type="dxa"/>
                  <w:noWrap w:val="0"/>
                  <w:vAlign w:val="center"/>
                </w:tcPr>
                <w:p w14:paraId="5BDAD87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结构类型及设备型号</w:t>
                  </w:r>
                </w:p>
              </w:tc>
              <w:tc>
                <w:tcPr>
                  <w:tcW w:w="1960" w:type="dxa"/>
                  <w:vMerge w:val="continue"/>
                  <w:noWrap w:val="0"/>
                  <w:vAlign w:val="center"/>
                </w:tcPr>
                <w:p w14:paraId="1A87784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608" w:type="dxa"/>
                  <w:vMerge w:val="continue"/>
                  <w:noWrap w:val="0"/>
                  <w:vAlign w:val="center"/>
                </w:tcPr>
                <w:p w14:paraId="2147F0B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r>
            <w:tr w14:paraId="39887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16" w:hRule="atLeast"/>
                <w:jc w:val="center"/>
              </w:trPr>
              <w:tc>
                <w:tcPr>
                  <w:tcW w:w="493" w:type="dxa"/>
                  <w:vMerge w:val="restart"/>
                  <w:noWrap w:val="0"/>
                  <w:vAlign w:val="center"/>
                </w:tcPr>
                <w:p w14:paraId="78F079B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主体</w:t>
                  </w:r>
                </w:p>
                <w:p w14:paraId="0C39CC6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工程</w:t>
                  </w:r>
                  <w:r>
                    <w:rPr>
                      <w:rFonts w:hint="eastAsia" w:ascii="Times New Roman" w:hAnsi="Times New Roman" w:cs="Times New Roman"/>
                      <w:color w:val="auto"/>
                      <w:szCs w:val="21"/>
                      <w:lang w:val="en-US" w:eastAsia="zh-CN"/>
                    </w:rPr>
                    <w:t>及辅助工程</w:t>
                  </w:r>
                </w:p>
              </w:tc>
              <w:tc>
                <w:tcPr>
                  <w:tcW w:w="1215" w:type="dxa"/>
                  <w:noWrap w:val="0"/>
                  <w:vAlign w:val="center"/>
                </w:tcPr>
                <w:p w14:paraId="687DE42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预发成型车间</w:t>
                  </w:r>
                </w:p>
              </w:tc>
              <w:tc>
                <w:tcPr>
                  <w:tcW w:w="2733" w:type="dxa"/>
                  <w:noWrap w:val="0"/>
                  <w:vAlign w:val="center"/>
                </w:tcPr>
                <w:p w14:paraId="05E3B97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占地面积为</w:t>
                  </w:r>
                  <w:r>
                    <w:rPr>
                      <w:rFonts w:hint="default" w:ascii="Times New Roman" w:hAnsi="Times New Roman" w:cs="Times New Roman"/>
                      <w:color w:val="auto"/>
                      <w:kern w:val="0"/>
                      <w:szCs w:val="21"/>
                    </w:rPr>
                    <w:t>2830</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，1层，消失模生产线一条，年产消失模100t/a</w:t>
                  </w:r>
                </w:p>
              </w:tc>
              <w:tc>
                <w:tcPr>
                  <w:tcW w:w="1417" w:type="dxa"/>
                  <w:noWrap w:val="0"/>
                  <w:vAlign w:val="center"/>
                </w:tcPr>
                <w:p w14:paraId="28A48A96">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kern w:val="0"/>
                      <w:szCs w:val="21"/>
                    </w:rPr>
                    <w:t>钢排架</w:t>
                  </w:r>
                </w:p>
              </w:tc>
              <w:tc>
                <w:tcPr>
                  <w:tcW w:w="1960" w:type="dxa"/>
                  <w:vMerge w:val="restart"/>
                  <w:noWrap w:val="0"/>
                  <w:vAlign w:val="center"/>
                </w:tcPr>
                <w:p w14:paraId="5CDA04B5">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Cs w:val="21"/>
                      <w:lang w:val="en-US" w:eastAsia="zh-CN"/>
                    </w:rPr>
                  </w:pPr>
                  <w:r>
                    <w:rPr>
                      <w:rFonts w:hint="eastAsia" w:ascii="Times New Roman" w:hAnsi="Times New Roman" w:cs="Times New Roman"/>
                      <w:color w:val="auto"/>
                      <w:kern w:val="0"/>
                      <w:szCs w:val="21"/>
                      <w:lang w:val="en-US" w:eastAsia="zh-CN"/>
                    </w:rPr>
                    <w:t>设</w:t>
                  </w:r>
                  <w:r>
                    <w:rPr>
                      <w:rFonts w:hint="default" w:ascii="Times New Roman" w:hAnsi="Times New Roman" w:cs="Times New Roman"/>
                      <w:color w:val="auto"/>
                      <w:kern w:val="0"/>
                      <w:szCs w:val="21"/>
                    </w:rPr>
                    <w:t>主厂房</w:t>
                  </w:r>
                  <w:r>
                    <w:rPr>
                      <w:rFonts w:hint="eastAsia" w:ascii="Times New Roman" w:hAnsi="Times New Roman" w:cs="Times New Roman"/>
                      <w:color w:val="auto"/>
                      <w:kern w:val="0"/>
                      <w:szCs w:val="21"/>
                      <w:lang w:val="en-US" w:eastAsia="zh-CN"/>
                    </w:rPr>
                    <w:t>一座，</w:t>
                  </w:r>
                  <w:r>
                    <w:rPr>
                      <w:rFonts w:hint="default" w:ascii="Times New Roman" w:hAnsi="Times New Roman" w:cs="Times New Roman"/>
                      <w:color w:val="auto"/>
                      <w:kern w:val="0"/>
                      <w:szCs w:val="21"/>
                    </w:rPr>
                    <w:t>总占地面积15611.17</w:t>
                  </w:r>
                  <w:r>
                    <w:rPr>
                      <w:rFonts w:hint="eastAsia" w:ascii="Times New Roman" w:hAnsi="Times New Roman" w:cs="Times New Roman"/>
                      <w:color w:val="auto"/>
                      <w:kern w:val="0"/>
                      <w:szCs w:val="21"/>
                      <w:lang w:val="en-US" w:eastAsia="zh-CN"/>
                    </w:rPr>
                    <w:t>m</w:t>
                  </w:r>
                  <w:r>
                    <w:rPr>
                      <w:rFonts w:hint="eastAsia" w:ascii="Times New Roman" w:hAnsi="Times New Roman" w:cs="Times New Roman"/>
                      <w:color w:val="auto"/>
                      <w:kern w:val="0"/>
                      <w:szCs w:val="21"/>
                      <w:vertAlign w:val="superscript"/>
                      <w:lang w:val="en-US" w:eastAsia="zh-CN"/>
                    </w:rPr>
                    <w:t>2</w:t>
                  </w:r>
                  <w:r>
                    <w:rPr>
                      <w:rFonts w:hint="eastAsia" w:ascii="Times New Roman" w:hAnsi="Times New Roman" w:cs="Times New Roman"/>
                      <w:color w:val="auto"/>
                      <w:kern w:val="0"/>
                      <w:szCs w:val="21"/>
                      <w:vertAlign w:val="baseline"/>
                      <w:lang w:val="en-US" w:eastAsia="zh-CN"/>
                    </w:rPr>
                    <w:t>，钢排架结构，配套设置了消失模生产线一条，主厂房内设原料库房1000m</w:t>
                  </w:r>
                  <w:r>
                    <w:rPr>
                      <w:rFonts w:hint="eastAsia" w:ascii="Times New Roman" w:hAnsi="Times New Roman" w:cs="Times New Roman"/>
                      <w:color w:val="auto"/>
                      <w:kern w:val="0"/>
                      <w:szCs w:val="21"/>
                      <w:vertAlign w:val="superscript"/>
                      <w:lang w:val="en-US" w:eastAsia="zh-CN"/>
                    </w:rPr>
                    <w:t>2</w:t>
                  </w:r>
                  <w:r>
                    <w:rPr>
                      <w:rFonts w:hint="eastAsia" w:ascii="Times New Roman" w:hAnsi="Times New Roman" w:cs="Times New Roman"/>
                      <w:color w:val="auto"/>
                      <w:kern w:val="0"/>
                      <w:szCs w:val="21"/>
                      <w:vertAlign w:val="baseline"/>
                      <w:lang w:val="en-US" w:eastAsia="zh-CN"/>
                    </w:rPr>
                    <w:t>，成品库房1500m</w:t>
                  </w:r>
                  <w:r>
                    <w:rPr>
                      <w:rFonts w:hint="eastAsia" w:ascii="Times New Roman" w:hAnsi="Times New Roman" w:cs="Times New Roman"/>
                      <w:color w:val="auto"/>
                      <w:kern w:val="0"/>
                      <w:szCs w:val="21"/>
                      <w:vertAlign w:val="superscript"/>
                      <w:lang w:val="en-US" w:eastAsia="zh-CN"/>
                    </w:rPr>
                    <w:t>2</w:t>
                  </w:r>
                  <w:r>
                    <w:rPr>
                      <w:rFonts w:hint="eastAsia" w:ascii="Times New Roman" w:hAnsi="Times New Roman" w:cs="Times New Roman"/>
                      <w:color w:val="auto"/>
                      <w:kern w:val="0"/>
                      <w:szCs w:val="21"/>
                      <w:vertAlign w:val="baseline"/>
                      <w:lang w:val="en-US" w:eastAsia="zh-CN"/>
                    </w:rPr>
                    <w:t>。</w:t>
                  </w:r>
                </w:p>
              </w:tc>
              <w:tc>
                <w:tcPr>
                  <w:tcW w:w="608" w:type="dxa"/>
                  <w:vMerge w:val="restart"/>
                  <w:noWrap w:val="0"/>
                  <w:vAlign w:val="center"/>
                </w:tcPr>
                <w:p w14:paraId="4A01E9F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已</w:t>
                  </w:r>
                  <w:r>
                    <w:rPr>
                      <w:rFonts w:hint="default" w:ascii="Times New Roman" w:hAnsi="Times New Roman" w:cs="Times New Roman"/>
                      <w:color w:val="auto"/>
                      <w:szCs w:val="21"/>
                    </w:rPr>
                    <w:t>建</w:t>
                  </w:r>
                </w:p>
              </w:tc>
            </w:tr>
            <w:tr w14:paraId="11623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07" w:hRule="atLeast"/>
                <w:jc w:val="center"/>
              </w:trPr>
              <w:tc>
                <w:tcPr>
                  <w:tcW w:w="493" w:type="dxa"/>
                  <w:vMerge w:val="continue"/>
                  <w:noWrap w:val="0"/>
                  <w:vAlign w:val="center"/>
                </w:tcPr>
                <w:p w14:paraId="61DA92D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1215" w:type="dxa"/>
                  <w:noWrap w:val="0"/>
                  <w:vAlign w:val="center"/>
                </w:tcPr>
                <w:p w14:paraId="54DF4F3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涂料车间</w:t>
                  </w:r>
                </w:p>
              </w:tc>
              <w:tc>
                <w:tcPr>
                  <w:tcW w:w="2733" w:type="dxa"/>
                  <w:noWrap w:val="0"/>
                  <w:vAlign w:val="center"/>
                </w:tcPr>
                <w:p w14:paraId="66F7310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占地面积为</w:t>
                  </w:r>
                  <w:r>
                    <w:rPr>
                      <w:rFonts w:hint="default" w:ascii="Times New Roman" w:hAnsi="Times New Roman" w:cs="Times New Roman"/>
                      <w:color w:val="auto"/>
                      <w:kern w:val="0"/>
                      <w:szCs w:val="21"/>
                    </w:rPr>
                    <w:t>2830</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，1层，涂料生产线一条</w:t>
                  </w:r>
                </w:p>
              </w:tc>
              <w:tc>
                <w:tcPr>
                  <w:tcW w:w="1417" w:type="dxa"/>
                  <w:noWrap w:val="0"/>
                  <w:vAlign w:val="center"/>
                </w:tcPr>
                <w:p w14:paraId="24FEB32A">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钢排架</w:t>
                  </w:r>
                </w:p>
              </w:tc>
              <w:tc>
                <w:tcPr>
                  <w:tcW w:w="1960" w:type="dxa"/>
                  <w:vMerge w:val="continue"/>
                  <w:noWrap w:val="0"/>
                  <w:vAlign w:val="center"/>
                </w:tcPr>
                <w:p w14:paraId="5B072719">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kern w:val="0"/>
                      <w:szCs w:val="21"/>
                    </w:rPr>
                  </w:pPr>
                </w:p>
              </w:tc>
              <w:tc>
                <w:tcPr>
                  <w:tcW w:w="608" w:type="dxa"/>
                  <w:vMerge w:val="continue"/>
                  <w:noWrap w:val="0"/>
                  <w:vAlign w:val="center"/>
                </w:tcPr>
                <w:p w14:paraId="2B95CE7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r>
            <w:tr w14:paraId="56198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793" w:hRule="atLeast"/>
                <w:jc w:val="center"/>
              </w:trPr>
              <w:tc>
                <w:tcPr>
                  <w:tcW w:w="493" w:type="dxa"/>
                  <w:vMerge w:val="continue"/>
                  <w:noWrap w:val="0"/>
                  <w:vAlign w:val="center"/>
                </w:tcPr>
                <w:p w14:paraId="0BC409B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1215" w:type="dxa"/>
                  <w:noWrap w:val="0"/>
                  <w:vAlign w:val="center"/>
                </w:tcPr>
                <w:p w14:paraId="4E16129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熔铸车间</w:t>
                  </w:r>
                </w:p>
              </w:tc>
              <w:tc>
                <w:tcPr>
                  <w:tcW w:w="2733" w:type="dxa"/>
                  <w:noWrap w:val="0"/>
                  <w:vAlign w:val="center"/>
                </w:tcPr>
                <w:p w14:paraId="18FA4C3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占地面积为</w:t>
                  </w:r>
                  <w:r>
                    <w:rPr>
                      <w:rFonts w:hint="default" w:ascii="Times New Roman" w:hAnsi="Times New Roman" w:cs="Times New Roman"/>
                      <w:color w:val="auto"/>
                      <w:kern w:val="0"/>
                      <w:szCs w:val="21"/>
                    </w:rPr>
                    <w:t>2830</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，1层，中频电炉6台，铸件生产线一条，年生产铸件65398t/a</w:t>
                  </w:r>
                </w:p>
              </w:tc>
              <w:tc>
                <w:tcPr>
                  <w:tcW w:w="1417" w:type="dxa"/>
                  <w:noWrap w:val="0"/>
                  <w:vAlign w:val="center"/>
                </w:tcPr>
                <w:p w14:paraId="73BB8EDE">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钢排架</w:t>
                  </w:r>
                </w:p>
              </w:tc>
              <w:tc>
                <w:tcPr>
                  <w:tcW w:w="1960" w:type="dxa"/>
                  <w:vMerge w:val="continue"/>
                  <w:noWrap w:val="0"/>
                  <w:vAlign w:val="center"/>
                </w:tcPr>
                <w:p w14:paraId="227CF8D5">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kern w:val="0"/>
                      <w:szCs w:val="21"/>
                    </w:rPr>
                  </w:pPr>
                </w:p>
              </w:tc>
              <w:tc>
                <w:tcPr>
                  <w:tcW w:w="608" w:type="dxa"/>
                  <w:vMerge w:val="continue"/>
                  <w:noWrap w:val="0"/>
                  <w:vAlign w:val="center"/>
                </w:tcPr>
                <w:p w14:paraId="733BEE5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r>
            <w:tr w14:paraId="37DF9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16" w:hRule="atLeast"/>
                <w:jc w:val="center"/>
              </w:trPr>
              <w:tc>
                <w:tcPr>
                  <w:tcW w:w="493" w:type="dxa"/>
                  <w:vMerge w:val="continue"/>
                  <w:noWrap w:val="0"/>
                  <w:vAlign w:val="center"/>
                </w:tcPr>
                <w:p w14:paraId="24F7CB0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1215" w:type="dxa"/>
                  <w:noWrap w:val="0"/>
                  <w:vAlign w:val="center"/>
                </w:tcPr>
                <w:p w14:paraId="36C9D0B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机加车间</w:t>
                  </w:r>
                </w:p>
              </w:tc>
              <w:tc>
                <w:tcPr>
                  <w:tcW w:w="2733" w:type="dxa"/>
                  <w:noWrap w:val="0"/>
                  <w:vAlign w:val="center"/>
                </w:tcPr>
                <w:p w14:paraId="37FC924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占地面积为</w:t>
                  </w:r>
                  <w:r>
                    <w:rPr>
                      <w:rFonts w:hint="default" w:ascii="Times New Roman" w:hAnsi="Times New Roman" w:cs="Times New Roman"/>
                      <w:color w:val="auto"/>
                      <w:kern w:val="0"/>
                      <w:szCs w:val="21"/>
                    </w:rPr>
                    <w:t>2830</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，1层</w:t>
                  </w:r>
                </w:p>
              </w:tc>
              <w:tc>
                <w:tcPr>
                  <w:tcW w:w="1417" w:type="dxa"/>
                  <w:noWrap w:val="0"/>
                  <w:vAlign w:val="center"/>
                </w:tcPr>
                <w:p w14:paraId="7DD78392">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钢排架</w:t>
                  </w:r>
                </w:p>
              </w:tc>
              <w:tc>
                <w:tcPr>
                  <w:tcW w:w="1960" w:type="dxa"/>
                  <w:vMerge w:val="continue"/>
                  <w:noWrap w:val="0"/>
                  <w:vAlign w:val="center"/>
                </w:tcPr>
                <w:p w14:paraId="2A32B380">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kern w:val="0"/>
                      <w:szCs w:val="21"/>
                    </w:rPr>
                  </w:pPr>
                </w:p>
              </w:tc>
              <w:tc>
                <w:tcPr>
                  <w:tcW w:w="608" w:type="dxa"/>
                  <w:vMerge w:val="continue"/>
                  <w:noWrap w:val="0"/>
                  <w:vAlign w:val="center"/>
                </w:tcPr>
                <w:p w14:paraId="179FA64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r>
            <w:tr w14:paraId="03D89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16" w:hRule="atLeast"/>
                <w:jc w:val="center"/>
              </w:trPr>
              <w:tc>
                <w:tcPr>
                  <w:tcW w:w="493" w:type="dxa"/>
                  <w:vMerge w:val="continue"/>
                  <w:noWrap w:val="0"/>
                  <w:vAlign w:val="center"/>
                </w:tcPr>
                <w:p w14:paraId="0FDAFA4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1215" w:type="dxa"/>
                  <w:noWrap w:val="0"/>
                  <w:vAlign w:val="center"/>
                </w:tcPr>
                <w:p w14:paraId="2DDE6A2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清理打磨车间</w:t>
                  </w:r>
                </w:p>
              </w:tc>
              <w:tc>
                <w:tcPr>
                  <w:tcW w:w="2733" w:type="dxa"/>
                  <w:noWrap w:val="0"/>
                  <w:vAlign w:val="center"/>
                </w:tcPr>
                <w:p w14:paraId="4749460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占地面积为</w:t>
                  </w:r>
                  <w:r>
                    <w:rPr>
                      <w:rFonts w:hint="default" w:ascii="Times New Roman" w:hAnsi="Times New Roman" w:cs="Times New Roman"/>
                      <w:color w:val="auto"/>
                      <w:kern w:val="0"/>
                      <w:szCs w:val="21"/>
                    </w:rPr>
                    <w:t>2830</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，1层</w:t>
                  </w:r>
                </w:p>
              </w:tc>
              <w:tc>
                <w:tcPr>
                  <w:tcW w:w="1417" w:type="dxa"/>
                  <w:noWrap w:val="0"/>
                  <w:vAlign w:val="center"/>
                </w:tcPr>
                <w:p w14:paraId="48C34883">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钢排架</w:t>
                  </w:r>
                </w:p>
              </w:tc>
              <w:tc>
                <w:tcPr>
                  <w:tcW w:w="1960" w:type="dxa"/>
                  <w:vMerge w:val="continue"/>
                  <w:noWrap w:val="0"/>
                  <w:vAlign w:val="center"/>
                </w:tcPr>
                <w:p w14:paraId="57463273">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kern w:val="0"/>
                      <w:szCs w:val="21"/>
                    </w:rPr>
                  </w:pPr>
                </w:p>
              </w:tc>
              <w:tc>
                <w:tcPr>
                  <w:tcW w:w="608" w:type="dxa"/>
                  <w:vMerge w:val="continue"/>
                  <w:noWrap w:val="0"/>
                  <w:vAlign w:val="center"/>
                </w:tcPr>
                <w:p w14:paraId="56118BD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r>
            <w:tr w14:paraId="65F8B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16" w:hRule="atLeast"/>
                <w:jc w:val="center"/>
              </w:trPr>
              <w:tc>
                <w:tcPr>
                  <w:tcW w:w="493" w:type="dxa"/>
                  <w:vMerge w:val="continue"/>
                  <w:noWrap w:val="0"/>
                  <w:vAlign w:val="center"/>
                </w:tcPr>
                <w:p w14:paraId="70C1E2F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1215" w:type="dxa"/>
                  <w:noWrap w:val="0"/>
                  <w:vAlign w:val="center"/>
                </w:tcPr>
                <w:p w14:paraId="61A4E36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机修车间</w:t>
                  </w:r>
                </w:p>
              </w:tc>
              <w:tc>
                <w:tcPr>
                  <w:tcW w:w="2733" w:type="dxa"/>
                  <w:noWrap w:val="0"/>
                  <w:vAlign w:val="center"/>
                </w:tcPr>
                <w:p w14:paraId="7D4893E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占地面积为</w:t>
                  </w:r>
                  <w:r>
                    <w:rPr>
                      <w:rFonts w:hint="default" w:ascii="Times New Roman" w:hAnsi="Times New Roman" w:cs="Times New Roman"/>
                      <w:color w:val="auto"/>
                      <w:kern w:val="0"/>
                      <w:szCs w:val="21"/>
                    </w:rPr>
                    <w:t>2830</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，1层</w:t>
                  </w:r>
                </w:p>
              </w:tc>
              <w:tc>
                <w:tcPr>
                  <w:tcW w:w="1417" w:type="dxa"/>
                  <w:noWrap w:val="0"/>
                  <w:vAlign w:val="center"/>
                </w:tcPr>
                <w:p w14:paraId="3A1ED439">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钢排架</w:t>
                  </w:r>
                </w:p>
              </w:tc>
              <w:tc>
                <w:tcPr>
                  <w:tcW w:w="1960" w:type="dxa"/>
                  <w:vMerge w:val="continue"/>
                  <w:noWrap w:val="0"/>
                  <w:vAlign w:val="center"/>
                </w:tcPr>
                <w:p w14:paraId="0E55BC32">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kern w:val="0"/>
                      <w:szCs w:val="21"/>
                    </w:rPr>
                  </w:pPr>
                </w:p>
              </w:tc>
              <w:tc>
                <w:tcPr>
                  <w:tcW w:w="608" w:type="dxa"/>
                  <w:vMerge w:val="continue"/>
                  <w:noWrap w:val="0"/>
                  <w:vAlign w:val="center"/>
                </w:tcPr>
                <w:p w14:paraId="3A3D18F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r>
            <w:tr w14:paraId="27F75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493" w:type="dxa"/>
                  <w:vMerge w:val="continue"/>
                  <w:noWrap w:val="0"/>
                  <w:vAlign w:val="center"/>
                </w:tcPr>
                <w:p w14:paraId="29139AB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1215" w:type="dxa"/>
                  <w:noWrap w:val="0"/>
                  <w:vAlign w:val="center"/>
                </w:tcPr>
                <w:p w14:paraId="3CB51B5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原料库房</w:t>
                  </w:r>
                </w:p>
              </w:tc>
              <w:tc>
                <w:tcPr>
                  <w:tcW w:w="2733" w:type="dxa"/>
                  <w:noWrap w:val="0"/>
                  <w:vAlign w:val="center"/>
                </w:tcPr>
                <w:p w14:paraId="1EFC379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vertAlign w:val="superscript"/>
                    </w:rPr>
                  </w:pPr>
                  <w:r>
                    <w:rPr>
                      <w:rFonts w:hint="default" w:ascii="Times New Roman" w:hAnsi="Times New Roman" w:cs="Times New Roman"/>
                      <w:color w:val="auto"/>
                      <w:szCs w:val="21"/>
                    </w:rPr>
                    <w:t>占地面积为</w:t>
                  </w:r>
                  <w:r>
                    <w:rPr>
                      <w:rFonts w:hint="default" w:ascii="Times New Roman" w:hAnsi="Times New Roman" w:cs="Times New Roman"/>
                      <w:color w:val="auto"/>
                      <w:kern w:val="0"/>
                      <w:szCs w:val="21"/>
                    </w:rPr>
                    <w:t>2830</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，1层</w:t>
                  </w:r>
                </w:p>
              </w:tc>
              <w:tc>
                <w:tcPr>
                  <w:tcW w:w="1417" w:type="dxa"/>
                  <w:noWrap w:val="0"/>
                  <w:vAlign w:val="center"/>
                </w:tcPr>
                <w:p w14:paraId="12974B6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960" w:type="dxa"/>
                  <w:vMerge w:val="continue"/>
                  <w:noWrap w:val="0"/>
                  <w:vAlign w:val="center"/>
                </w:tcPr>
                <w:p w14:paraId="52F2B2F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608" w:type="dxa"/>
                  <w:vMerge w:val="continue"/>
                  <w:noWrap w:val="0"/>
                  <w:vAlign w:val="center"/>
                </w:tcPr>
                <w:p w14:paraId="34F6411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r>
            <w:tr w14:paraId="030B4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26" w:hRule="atLeast"/>
                <w:jc w:val="center"/>
              </w:trPr>
              <w:tc>
                <w:tcPr>
                  <w:tcW w:w="493" w:type="dxa"/>
                  <w:vMerge w:val="continue"/>
                  <w:noWrap w:val="0"/>
                  <w:vAlign w:val="center"/>
                </w:tcPr>
                <w:p w14:paraId="6B6CA79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1215" w:type="dxa"/>
                  <w:noWrap w:val="0"/>
                  <w:vAlign w:val="center"/>
                </w:tcPr>
                <w:p w14:paraId="79F9231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kern w:val="0"/>
                      <w:szCs w:val="21"/>
                    </w:rPr>
                    <w:t>成品库房</w:t>
                  </w:r>
                </w:p>
              </w:tc>
              <w:tc>
                <w:tcPr>
                  <w:tcW w:w="2733" w:type="dxa"/>
                  <w:noWrap w:val="0"/>
                  <w:vAlign w:val="center"/>
                </w:tcPr>
                <w:p w14:paraId="5CAF206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占地面积为</w:t>
                  </w:r>
                  <w:r>
                    <w:rPr>
                      <w:rFonts w:hint="default" w:ascii="Times New Roman" w:hAnsi="Times New Roman" w:cs="Times New Roman"/>
                      <w:color w:val="auto"/>
                      <w:kern w:val="0"/>
                      <w:szCs w:val="21"/>
                    </w:rPr>
                    <w:t>2830</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，1层</w:t>
                  </w:r>
                </w:p>
              </w:tc>
              <w:tc>
                <w:tcPr>
                  <w:tcW w:w="1417" w:type="dxa"/>
                  <w:noWrap w:val="0"/>
                  <w:vAlign w:val="center"/>
                </w:tcPr>
                <w:p w14:paraId="677FDCA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960" w:type="dxa"/>
                  <w:vMerge w:val="continue"/>
                  <w:noWrap w:val="0"/>
                  <w:vAlign w:val="center"/>
                </w:tcPr>
                <w:p w14:paraId="76DA723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608" w:type="dxa"/>
                  <w:vMerge w:val="continue"/>
                  <w:noWrap w:val="0"/>
                  <w:vAlign w:val="center"/>
                </w:tcPr>
                <w:p w14:paraId="65A862B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r>
            <w:tr w14:paraId="4C224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23" w:hRule="atLeast"/>
                <w:jc w:val="center"/>
              </w:trPr>
              <w:tc>
                <w:tcPr>
                  <w:tcW w:w="493" w:type="dxa"/>
                  <w:vMerge w:val="continue"/>
                  <w:noWrap w:val="0"/>
                  <w:vAlign w:val="center"/>
                </w:tcPr>
                <w:p w14:paraId="0372638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1215" w:type="dxa"/>
                  <w:noWrap w:val="0"/>
                  <w:vAlign w:val="center"/>
                </w:tcPr>
                <w:p w14:paraId="7BAD8D9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办公楼</w:t>
                  </w:r>
                </w:p>
              </w:tc>
              <w:tc>
                <w:tcPr>
                  <w:tcW w:w="2733" w:type="dxa"/>
                  <w:noWrap w:val="0"/>
                  <w:vAlign w:val="center"/>
                </w:tcPr>
                <w:p w14:paraId="707A4FF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占地面积为1086m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，2层</w:t>
                  </w:r>
                </w:p>
              </w:tc>
              <w:tc>
                <w:tcPr>
                  <w:tcW w:w="1417" w:type="dxa"/>
                  <w:noWrap w:val="0"/>
                  <w:vAlign w:val="center"/>
                </w:tcPr>
                <w:p w14:paraId="517915D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960" w:type="dxa"/>
                  <w:noWrap w:val="0"/>
                  <w:vAlign w:val="center"/>
                </w:tcPr>
                <w:p w14:paraId="07CA29F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占地面积497.12m</w:t>
                  </w:r>
                  <w:r>
                    <w:rPr>
                      <w:rFonts w:hint="eastAsia" w:ascii="Times New Roman" w:hAnsi="Times New Roman" w:cs="Times New Roman"/>
                      <w:color w:val="auto"/>
                      <w:szCs w:val="21"/>
                      <w:vertAlign w:val="superscript"/>
                      <w:lang w:val="en-US" w:eastAsia="zh-CN"/>
                    </w:rPr>
                    <w:t>2</w:t>
                  </w:r>
                  <w:r>
                    <w:rPr>
                      <w:rFonts w:hint="eastAsia" w:ascii="Times New Roman" w:hAnsi="Times New Roman" w:cs="Times New Roman"/>
                      <w:color w:val="auto"/>
                      <w:szCs w:val="21"/>
                      <w:lang w:val="en-US" w:eastAsia="zh-CN"/>
                    </w:rPr>
                    <w:t>，二层，建筑面积994.24m</w:t>
                  </w:r>
                  <w:r>
                    <w:rPr>
                      <w:rFonts w:hint="eastAsia" w:ascii="Times New Roman" w:hAnsi="Times New Roman" w:cs="Times New Roman"/>
                      <w:color w:val="auto"/>
                      <w:szCs w:val="21"/>
                      <w:vertAlign w:val="superscript"/>
                      <w:lang w:val="en-US" w:eastAsia="zh-CN"/>
                    </w:rPr>
                    <w:t>2</w:t>
                  </w:r>
                  <w:r>
                    <w:rPr>
                      <w:rFonts w:hint="eastAsia" w:ascii="Times New Roman" w:hAnsi="Times New Roman" w:cs="Times New Roman"/>
                      <w:color w:val="auto"/>
                      <w:szCs w:val="21"/>
                      <w:lang w:val="en-US" w:eastAsia="zh-CN"/>
                    </w:rPr>
                    <w:t>。</w:t>
                  </w:r>
                </w:p>
              </w:tc>
              <w:tc>
                <w:tcPr>
                  <w:tcW w:w="608" w:type="dxa"/>
                  <w:noWrap w:val="0"/>
                  <w:vAlign w:val="center"/>
                </w:tcPr>
                <w:p w14:paraId="131CE61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已</w:t>
                  </w:r>
                  <w:r>
                    <w:rPr>
                      <w:rFonts w:hint="default" w:ascii="Times New Roman" w:hAnsi="Times New Roman" w:cs="Times New Roman"/>
                      <w:color w:val="auto"/>
                      <w:szCs w:val="21"/>
                    </w:rPr>
                    <w:t>建</w:t>
                  </w:r>
                </w:p>
              </w:tc>
            </w:tr>
            <w:tr w14:paraId="0E5C7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24" w:hRule="atLeast"/>
                <w:jc w:val="center"/>
              </w:trPr>
              <w:tc>
                <w:tcPr>
                  <w:tcW w:w="493" w:type="dxa"/>
                  <w:vMerge w:val="continue"/>
                  <w:noWrap w:val="0"/>
                  <w:vAlign w:val="center"/>
                </w:tcPr>
                <w:p w14:paraId="717D6DD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1215" w:type="dxa"/>
                  <w:shd w:val="clear" w:color="auto" w:fill="auto"/>
                  <w:noWrap w:val="0"/>
                  <w:vAlign w:val="center"/>
                </w:tcPr>
                <w:p w14:paraId="369532CC">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Cs w:val="21"/>
                      <w:lang w:val="en-US" w:eastAsia="zh-CN"/>
                    </w:rPr>
                    <w:t>宿舍楼</w:t>
                  </w:r>
                </w:p>
              </w:tc>
              <w:tc>
                <w:tcPr>
                  <w:tcW w:w="2733" w:type="dxa"/>
                  <w:shd w:val="clear" w:color="auto" w:fill="auto"/>
                  <w:noWrap w:val="0"/>
                  <w:vAlign w:val="center"/>
                </w:tcPr>
                <w:p w14:paraId="1A588F66">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cs="Times New Roman"/>
                      <w:color w:val="auto"/>
                      <w:szCs w:val="21"/>
                      <w:lang w:val="en-US" w:eastAsia="zh-CN"/>
                    </w:rPr>
                    <w:t>/</w:t>
                  </w:r>
                </w:p>
              </w:tc>
              <w:tc>
                <w:tcPr>
                  <w:tcW w:w="1417" w:type="dxa"/>
                  <w:shd w:val="clear" w:color="auto" w:fill="auto"/>
                  <w:noWrap w:val="0"/>
                  <w:vAlign w:val="center"/>
                </w:tcPr>
                <w:p w14:paraId="0ABA1227">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cs="Times New Roman"/>
                      <w:color w:val="auto"/>
                      <w:szCs w:val="21"/>
                      <w:lang w:val="en-US" w:eastAsia="zh-CN"/>
                    </w:rPr>
                    <w:t>/</w:t>
                  </w:r>
                </w:p>
              </w:tc>
              <w:tc>
                <w:tcPr>
                  <w:tcW w:w="1960" w:type="dxa"/>
                  <w:shd w:val="clear" w:color="auto" w:fill="auto"/>
                  <w:noWrap w:val="0"/>
                  <w:vAlign w:val="center"/>
                </w:tcPr>
                <w:p w14:paraId="0C2E79C2">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Cs w:val="21"/>
                      <w:lang w:val="en-US" w:eastAsia="zh-CN"/>
                    </w:rPr>
                    <w:t>占地面积</w:t>
                  </w:r>
                  <w:r>
                    <w:rPr>
                      <w:rFonts w:hint="eastAsia" w:ascii="Times New Roman" w:hAnsi="Times New Roman" w:cs="Times New Roman"/>
                      <w:color w:val="auto"/>
                      <w:szCs w:val="21"/>
                      <w:lang w:val="en-US" w:eastAsia="zh-CN"/>
                    </w:rPr>
                    <w:t>721.97</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vertAlign w:val="superscript"/>
                      <w:lang w:val="en-US" w:eastAsia="zh-CN"/>
                    </w:rPr>
                    <w:t>2</w:t>
                  </w:r>
                  <w:r>
                    <w:rPr>
                      <w:rFonts w:hint="default" w:ascii="Times New Roman" w:hAnsi="Times New Roman" w:cs="Times New Roman"/>
                      <w:color w:val="auto"/>
                      <w:szCs w:val="21"/>
                      <w:lang w:val="en-US" w:eastAsia="zh-CN"/>
                    </w:rPr>
                    <w:t>，</w:t>
                  </w:r>
                  <w:r>
                    <w:rPr>
                      <w:rFonts w:hint="eastAsia" w:ascii="Times New Roman" w:hAnsi="Times New Roman" w:cs="Times New Roman"/>
                      <w:color w:val="auto"/>
                      <w:szCs w:val="21"/>
                      <w:lang w:val="en-US" w:eastAsia="zh-CN"/>
                    </w:rPr>
                    <w:t>四</w:t>
                  </w:r>
                  <w:r>
                    <w:rPr>
                      <w:rFonts w:hint="default" w:ascii="Times New Roman" w:hAnsi="Times New Roman" w:cs="Times New Roman"/>
                      <w:color w:val="auto"/>
                      <w:szCs w:val="21"/>
                      <w:lang w:val="en-US" w:eastAsia="zh-CN"/>
                    </w:rPr>
                    <w:t>层，建筑面积</w:t>
                  </w:r>
                  <w:r>
                    <w:rPr>
                      <w:rFonts w:hint="eastAsia" w:ascii="Times New Roman" w:hAnsi="Times New Roman" w:cs="Times New Roman"/>
                      <w:color w:val="auto"/>
                      <w:szCs w:val="21"/>
                      <w:lang w:val="en-US" w:eastAsia="zh-CN"/>
                    </w:rPr>
                    <w:t>2887.88</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vertAlign w:val="superscript"/>
                      <w:lang w:val="en-US" w:eastAsia="zh-CN"/>
                    </w:rPr>
                    <w:t>2</w:t>
                  </w:r>
                  <w:r>
                    <w:rPr>
                      <w:rFonts w:hint="default" w:ascii="Times New Roman" w:hAnsi="Times New Roman" w:cs="Times New Roman"/>
                      <w:color w:val="auto"/>
                      <w:szCs w:val="21"/>
                      <w:lang w:val="en-US" w:eastAsia="zh-CN"/>
                    </w:rPr>
                    <w:t>。</w:t>
                  </w:r>
                </w:p>
              </w:tc>
              <w:tc>
                <w:tcPr>
                  <w:tcW w:w="608" w:type="dxa"/>
                  <w:shd w:val="clear" w:color="auto" w:fill="auto"/>
                  <w:noWrap w:val="0"/>
                  <w:vAlign w:val="center"/>
                </w:tcPr>
                <w:p w14:paraId="12FBB161">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Cs w:val="21"/>
                      <w:lang w:val="en-US" w:eastAsia="zh-CN"/>
                    </w:rPr>
                    <w:t>已</w:t>
                  </w:r>
                  <w:r>
                    <w:rPr>
                      <w:rFonts w:hint="default" w:ascii="Times New Roman" w:hAnsi="Times New Roman" w:cs="Times New Roman"/>
                      <w:color w:val="auto"/>
                      <w:szCs w:val="21"/>
                    </w:rPr>
                    <w:t>建</w:t>
                  </w:r>
                </w:p>
              </w:tc>
            </w:tr>
            <w:tr w14:paraId="194CA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24" w:hRule="atLeast"/>
                <w:jc w:val="center"/>
              </w:trPr>
              <w:tc>
                <w:tcPr>
                  <w:tcW w:w="493" w:type="dxa"/>
                  <w:vMerge w:val="continue"/>
                  <w:noWrap w:val="0"/>
                  <w:vAlign w:val="center"/>
                </w:tcPr>
                <w:p w14:paraId="3D1783D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1215" w:type="dxa"/>
                  <w:shd w:val="clear" w:color="auto" w:fill="auto"/>
                  <w:noWrap w:val="0"/>
                  <w:vAlign w:val="center"/>
                </w:tcPr>
                <w:p w14:paraId="36C4CF56">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rPr>
                    <w:t>配电室</w:t>
                  </w:r>
                </w:p>
              </w:tc>
              <w:tc>
                <w:tcPr>
                  <w:tcW w:w="2733" w:type="dxa"/>
                  <w:shd w:val="clear" w:color="auto" w:fill="auto"/>
                  <w:noWrap w:val="0"/>
                  <w:vAlign w:val="center"/>
                </w:tcPr>
                <w:p w14:paraId="47CFBCB3">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cs="Times New Roman"/>
                      <w:color w:val="auto"/>
                      <w:szCs w:val="21"/>
                      <w:lang w:val="en-US" w:eastAsia="zh-CN"/>
                    </w:rPr>
                    <w:t>/</w:t>
                  </w:r>
                </w:p>
              </w:tc>
              <w:tc>
                <w:tcPr>
                  <w:tcW w:w="1417" w:type="dxa"/>
                  <w:shd w:val="clear" w:color="auto" w:fill="auto"/>
                  <w:noWrap w:val="0"/>
                  <w:vAlign w:val="center"/>
                </w:tcPr>
                <w:p w14:paraId="188DD949">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cs="Times New Roman"/>
                      <w:color w:val="auto"/>
                      <w:szCs w:val="21"/>
                      <w:lang w:val="en-US" w:eastAsia="zh-CN"/>
                    </w:rPr>
                    <w:t>/</w:t>
                  </w:r>
                </w:p>
              </w:tc>
              <w:tc>
                <w:tcPr>
                  <w:tcW w:w="1960" w:type="dxa"/>
                  <w:shd w:val="clear" w:color="auto" w:fill="auto"/>
                  <w:noWrap w:val="0"/>
                  <w:vAlign w:val="center"/>
                </w:tcPr>
                <w:p w14:paraId="5533B91C">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Cs w:val="21"/>
                      <w:lang w:val="en-US" w:eastAsia="zh-CN"/>
                    </w:rPr>
                    <w:t>占地面积</w:t>
                  </w:r>
                  <w:r>
                    <w:rPr>
                      <w:rFonts w:hint="eastAsia" w:ascii="Times New Roman" w:hAnsi="Times New Roman" w:cs="Times New Roman"/>
                      <w:color w:val="auto"/>
                      <w:szCs w:val="21"/>
                      <w:lang w:val="en-US" w:eastAsia="zh-CN"/>
                    </w:rPr>
                    <w:t>187.41</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vertAlign w:val="superscript"/>
                      <w:lang w:val="en-US" w:eastAsia="zh-CN"/>
                    </w:rPr>
                    <w:t>2</w:t>
                  </w:r>
                  <w:r>
                    <w:rPr>
                      <w:rFonts w:hint="default" w:ascii="Times New Roman" w:hAnsi="Times New Roman" w:cs="Times New Roman"/>
                      <w:color w:val="auto"/>
                      <w:szCs w:val="21"/>
                      <w:lang w:val="en-US" w:eastAsia="zh-CN"/>
                    </w:rPr>
                    <w:t>，</w:t>
                  </w:r>
                  <w:r>
                    <w:rPr>
                      <w:rFonts w:hint="eastAsia" w:ascii="Times New Roman" w:hAnsi="Times New Roman" w:cs="Times New Roman"/>
                      <w:color w:val="auto"/>
                      <w:szCs w:val="21"/>
                      <w:lang w:val="en-US" w:eastAsia="zh-CN"/>
                    </w:rPr>
                    <w:t>一</w:t>
                  </w:r>
                  <w:r>
                    <w:rPr>
                      <w:rFonts w:hint="default" w:ascii="Times New Roman" w:hAnsi="Times New Roman" w:cs="Times New Roman"/>
                      <w:color w:val="auto"/>
                      <w:szCs w:val="21"/>
                      <w:lang w:val="en-US" w:eastAsia="zh-CN"/>
                    </w:rPr>
                    <w:t>层，建筑面积</w:t>
                  </w:r>
                  <w:r>
                    <w:rPr>
                      <w:rFonts w:hint="eastAsia" w:ascii="Times New Roman" w:hAnsi="Times New Roman" w:cs="Times New Roman"/>
                      <w:color w:val="auto"/>
                      <w:szCs w:val="21"/>
                      <w:lang w:val="en-US" w:eastAsia="zh-CN"/>
                    </w:rPr>
                    <w:t>187.41</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vertAlign w:val="superscript"/>
                      <w:lang w:val="en-US" w:eastAsia="zh-CN"/>
                    </w:rPr>
                    <w:t>2</w:t>
                  </w:r>
                  <w:r>
                    <w:rPr>
                      <w:rFonts w:hint="default" w:ascii="Times New Roman" w:hAnsi="Times New Roman" w:cs="Times New Roman"/>
                      <w:color w:val="auto"/>
                      <w:szCs w:val="21"/>
                      <w:lang w:val="en-US" w:eastAsia="zh-CN"/>
                    </w:rPr>
                    <w:t>。</w:t>
                  </w:r>
                </w:p>
              </w:tc>
              <w:tc>
                <w:tcPr>
                  <w:tcW w:w="608" w:type="dxa"/>
                  <w:shd w:val="clear" w:color="auto" w:fill="auto"/>
                  <w:noWrap w:val="0"/>
                  <w:vAlign w:val="center"/>
                </w:tcPr>
                <w:p w14:paraId="5B9A96CC">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Cs w:val="21"/>
                      <w:lang w:val="en-US" w:eastAsia="zh-CN"/>
                    </w:rPr>
                    <w:t>已</w:t>
                  </w:r>
                  <w:r>
                    <w:rPr>
                      <w:rFonts w:hint="default" w:ascii="Times New Roman" w:hAnsi="Times New Roman" w:cs="Times New Roman"/>
                      <w:color w:val="auto"/>
                      <w:szCs w:val="21"/>
                    </w:rPr>
                    <w:t>建</w:t>
                  </w:r>
                </w:p>
              </w:tc>
            </w:tr>
            <w:tr w14:paraId="6CE49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24" w:hRule="atLeast"/>
                <w:jc w:val="center"/>
              </w:trPr>
              <w:tc>
                <w:tcPr>
                  <w:tcW w:w="493" w:type="dxa"/>
                  <w:vMerge w:val="continue"/>
                  <w:noWrap w:val="0"/>
                  <w:vAlign w:val="center"/>
                </w:tcPr>
                <w:p w14:paraId="715B1E6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1215" w:type="dxa"/>
                  <w:noWrap w:val="0"/>
                  <w:vAlign w:val="center"/>
                </w:tcPr>
                <w:p w14:paraId="3CEFE97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Cs w:val="21"/>
                      <w:lang w:val="en-US" w:eastAsia="zh-CN"/>
                    </w:rPr>
                  </w:pPr>
                  <w:r>
                    <w:rPr>
                      <w:rFonts w:hint="eastAsia" w:ascii="Times New Roman" w:hAnsi="Times New Roman" w:cs="Times New Roman"/>
                      <w:color w:val="auto"/>
                      <w:kern w:val="0"/>
                      <w:szCs w:val="21"/>
                      <w:lang w:val="en-US" w:eastAsia="zh-CN"/>
                    </w:rPr>
                    <w:t>水泵房</w:t>
                  </w:r>
                </w:p>
              </w:tc>
              <w:tc>
                <w:tcPr>
                  <w:tcW w:w="2733" w:type="dxa"/>
                  <w:shd w:val="clear" w:color="auto" w:fill="auto"/>
                  <w:noWrap w:val="0"/>
                  <w:vAlign w:val="center"/>
                </w:tcPr>
                <w:p w14:paraId="47E3FD9B">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cs="Times New Roman"/>
                      <w:color w:val="auto"/>
                      <w:szCs w:val="21"/>
                      <w:lang w:val="en-US" w:eastAsia="zh-CN"/>
                    </w:rPr>
                    <w:t>/</w:t>
                  </w:r>
                </w:p>
              </w:tc>
              <w:tc>
                <w:tcPr>
                  <w:tcW w:w="1417" w:type="dxa"/>
                  <w:shd w:val="clear" w:color="auto" w:fill="auto"/>
                  <w:noWrap w:val="0"/>
                  <w:vAlign w:val="center"/>
                </w:tcPr>
                <w:p w14:paraId="5013B67A">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cs="Times New Roman"/>
                      <w:color w:val="auto"/>
                      <w:szCs w:val="21"/>
                      <w:lang w:val="en-US" w:eastAsia="zh-CN"/>
                    </w:rPr>
                    <w:t>/</w:t>
                  </w:r>
                </w:p>
              </w:tc>
              <w:tc>
                <w:tcPr>
                  <w:tcW w:w="1960" w:type="dxa"/>
                  <w:noWrap w:val="0"/>
                  <w:vAlign w:val="center"/>
                </w:tcPr>
                <w:p w14:paraId="45DEE0F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位于主厂房年内</w:t>
                  </w:r>
                </w:p>
              </w:tc>
              <w:tc>
                <w:tcPr>
                  <w:tcW w:w="608" w:type="dxa"/>
                  <w:noWrap w:val="0"/>
                  <w:vAlign w:val="center"/>
                </w:tcPr>
                <w:p w14:paraId="419208E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已</w:t>
                  </w:r>
                  <w:r>
                    <w:rPr>
                      <w:rFonts w:hint="default" w:ascii="Times New Roman" w:hAnsi="Times New Roman" w:cs="Times New Roman"/>
                      <w:color w:val="auto"/>
                      <w:szCs w:val="21"/>
                    </w:rPr>
                    <w:t>建</w:t>
                  </w:r>
                </w:p>
              </w:tc>
            </w:tr>
            <w:tr w14:paraId="27FA6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24" w:hRule="atLeast"/>
                <w:jc w:val="center"/>
              </w:trPr>
              <w:tc>
                <w:tcPr>
                  <w:tcW w:w="493" w:type="dxa"/>
                  <w:vMerge w:val="continue"/>
                  <w:noWrap w:val="0"/>
                  <w:vAlign w:val="center"/>
                </w:tcPr>
                <w:p w14:paraId="3A792D0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1215" w:type="dxa"/>
                  <w:noWrap w:val="0"/>
                  <w:vAlign w:val="center"/>
                </w:tcPr>
                <w:p w14:paraId="72DEFFB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Cs w:val="21"/>
                      <w:lang w:val="en-US" w:eastAsia="zh-CN"/>
                    </w:rPr>
                  </w:pPr>
                  <w:r>
                    <w:rPr>
                      <w:rFonts w:hint="eastAsia" w:ascii="Times New Roman" w:hAnsi="Times New Roman" w:cs="Times New Roman"/>
                      <w:color w:val="auto"/>
                      <w:kern w:val="0"/>
                      <w:szCs w:val="21"/>
                      <w:lang w:val="en-US" w:eastAsia="zh-CN"/>
                    </w:rPr>
                    <w:t>守卫室</w:t>
                  </w:r>
                </w:p>
              </w:tc>
              <w:tc>
                <w:tcPr>
                  <w:tcW w:w="2733" w:type="dxa"/>
                  <w:shd w:val="clear" w:color="auto" w:fill="auto"/>
                  <w:noWrap w:val="0"/>
                  <w:vAlign w:val="center"/>
                </w:tcPr>
                <w:p w14:paraId="568DE89B">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cs="Times New Roman"/>
                      <w:color w:val="auto"/>
                      <w:szCs w:val="21"/>
                      <w:lang w:val="en-US" w:eastAsia="zh-CN"/>
                    </w:rPr>
                    <w:t>/</w:t>
                  </w:r>
                </w:p>
              </w:tc>
              <w:tc>
                <w:tcPr>
                  <w:tcW w:w="1417" w:type="dxa"/>
                  <w:shd w:val="clear" w:color="auto" w:fill="auto"/>
                  <w:noWrap w:val="0"/>
                  <w:vAlign w:val="center"/>
                </w:tcPr>
                <w:p w14:paraId="2107E88E">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cs="Times New Roman"/>
                      <w:color w:val="auto"/>
                      <w:szCs w:val="21"/>
                      <w:lang w:val="en-US" w:eastAsia="zh-CN"/>
                    </w:rPr>
                    <w:t>/</w:t>
                  </w:r>
                </w:p>
              </w:tc>
              <w:tc>
                <w:tcPr>
                  <w:tcW w:w="1960" w:type="dxa"/>
                  <w:noWrap w:val="0"/>
                  <w:vAlign w:val="center"/>
                </w:tcPr>
                <w:p w14:paraId="16B2B74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守卫房占地面积13.46m</w:t>
                  </w:r>
                  <w:r>
                    <w:rPr>
                      <w:rFonts w:hint="default" w:ascii="Times New Roman" w:hAnsi="Times New Roman" w:cs="Times New Roman"/>
                      <w:color w:val="auto"/>
                      <w:szCs w:val="21"/>
                      <w:vertAlign w:val="superscript"/>
                      <w:lang w:val="en-US" w:eastAsia="zh-CN"/>
                    </w:rPr>
                    <w:t>2</w:t>
                  </w:r>
                  <w:r>
                    <w:rPr>
                      <w:rFonts w:hint="default" w:ascii="Times New Roman" w:hAnsi="Times New Roman" w:cs="Times New Roman"/>
                      <w:color w:val="auto"/>
                      <w:szCs w:val="21"/>
                      <w:lang w:val="en-US" w:eastAsia="zh-CN"/>
                    </w:rPr>
                    <w:t>，建筑面积13.46m</w:t>
                  </w:r>
                  <w:r>
                    <w:rPr>
                      <w:rFonts w:hint="default" w:ascii="Times New Roman" w:hAnsi="Times New Roman" w:cs="Times New Roman"/>
                      <w:color w:val="auto"/>
                      <w:szCs w:val="21"/>
                      <w:vertAlign w:val="superscript"/>
                      <w:lang w:val="en-US" w:eastAsia="zh-CN"/>
                    </w:rPr>
                    <w:t>2</w:t>
                  </w:r>
                  <w:r>
                    <w:rPr>
                      <w:rFonts w:hint="default" w:ascii="Times New Roman" w:hAnsi="Times New Roman" w:cs="Times New Roman"/>
                      <w:color w:val="auto"/>
                      <w:szCs w:val="21"/>
                      <w:lang w:val="en-US" w:eastAsia="zh-CN"/>
                    </w:rPr>
                    <w:t>，位于厂区西北角</w:t>
                  </w:r>
                </w:p>
              </w:tc>
              <w:tc>
                <w:tcPr>
                  <w:tcW w:w="608" w:type="dxa"/>
                  <w:noWrap w:val="0"/>
                  <w:vAlign w:val="center"/>
                </w:tcPr>
                <w:p w14:paraId="6C58561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已</w:t>
                  </w:r>
                  <w:r>
                    <w:rPr>
                      <w:rFonts w:hint="default" w:ascii="Times New Roman" w:hAnsi="Times New Roman" w:cs="Times New Roman"/>
                      <w:color w:val="auto"/>
                      <w:szCs w:val="21"/>
                    </w:rPr>
                    <w:t>建</w:t>
                  </w:r>
                </w:p>
              </w:tc>
            </w:tr>
            <w:tr w14:paraId="2ED63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5" w:hRule="atLeast"/>
                <w:jc w:val="center"/>
              </w:trPr>
              <w:tc>
                <w:tcPr>
                  <w:tcW w:w="493" w:type="dxa"/>
                  <w:vMerge w:val="restart"/>
                  <w:noWrap w:val="0"/>
                  <w:vAlign w:val="center"/>
                </w:tcPr>
                <w:p w14:paraId="2CE8A11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公</w:t>
                  </w:r>
                </w:p>
                <w:p w14:paraId="5E788C1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用</w:t>
                  </w:r>
                </w:p>
                <w:p w14:paraId="317995C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工</w:t>
                  </w:r>
                </w:p>
                <w:p w14:paraId="2A99543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程</w:t>
                  </w:r>
                </w:p>
              </w:tc>
              <w:tc>
                <w:tcPr>
                  <w:tcW w:w="1215" w:type="dxa"/>
                  <w:noWrap w:val="0"/>
                  <w:vAlign w:val="center"/>
                </w:tcPr>
                <w:p w14:paraId="5BAA850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给水</w:t>
                  </w:r>
                </w:p>
              </w:tc>
              <w:tc>
                <w:tcPr>
                  <w:tcW w:w="2733" w:type="dxa"/>
                  <w:noWrap w:val="0"/>
                  <w:vAlign w:val="center"/>
                </w:tcPr>
                <w:p w14:paraId="6F568D3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铁力市供水管网</w:t>
                  </w:r>
                </w:p>
              </w:tc>
              <w:tc>
                <w:tcPr>
                  <w:tcW w:w="1417" w:type="dxa"/>
                  <w:noWrap w:val="0"/>
                  <w:vAlign w:val="center"/>
                </w:tcPr>
                <w:p w14:paraId="3FB6839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960" w:type="dxa"/>
                  <w:shd w:val="clear" w:color="auto" w:fill="auto"/>
                  <w:noWrap w:val="0"/>
                  <w:vAlign w:val="center"/>
                </w:tcPr>
                <w:p w14:paraId="4F9BF215">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Cs w:val="21"/>
                    </w:rPr>
                    <w:t>铁力市供水管网</w:t>
                  </w:r>
                </w:p>
              </w:tc>
              <w:tc>
                <w:tcPr>
                  <w:tcW w:w="608" w:type="dxa"/>
                  <w:vMerge w:val="restart"/>
                  <w:noWrap w:val="0"/>
                  <w:vAlign w:val="center"/>
                </w:tcPr>
                <w:p w14:paraId="441635E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依托</w:t>
                  </w:r>
                </w:p>
                <w:p w14:paraId="5C58B3D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r>
            <w:tr w14:paraId="53FC1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622" w:hRule="atLeast"/>
                <w:jc w:val="center"/>
              </w:trPr>
              <w:tc>
                <w:tcPr>
                  <w:tcW w:w="493" w:type="dxa"/>
                  <w:vMerge w:val="continue"/>
                  <w:noWrap w:val="0"/>
                  <w:vAlign w:val="center"/>
                </w:tcPr>
                <w:p w14:paraId="7D7FB96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1215" w:type="dxa"/>
                  <w:noWrap w:val="0"/>
                  <w:vAlign w:val="center"/>
                </w:tcPr>
                <w:p w14:paraId="000224E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排水</w:t>
                  </w:r>
                </w:p>
              </w:tc>
              <w:tc>
                <w:tcPr>
                  <w:tcW w:w="2733" w:type="dxa"/>
                  <w:noWrap w:val="0"/>
                  <w:vAlign w:val="center"/>
                </w:tcPr>
                <w:p w14:paraId="2A97002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处理达标后排入铁力市</w:t>
                  </w:r>
                </w:p>
                <w:p w14:paraId="5CE778D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排水管网</w:t>
                  </w:r>
                </w:p>
              </w:tc>
              <w:tc>
                <w:tcPr>
                  <w:tcW w:w="1417" w:type="dxa"/>
                  <w:noWrap w:val="0"/>
                  <w:vAlign w:val="center"/>
                </w:tcPr>
                <w:p w14:paraId="4E9475E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960" w:type="dxa"/>
                  <w:shd w:val="clear" w:color="auto" w:fill="auto"/>
                  <w:noWrap w:val="0"/>
                  <w:vAlign w:val="center"/>
                </w:tcPr>
                <w:p w14:paraId="28B9305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处理达标后排入铁力市</w:t>
                  </w:r>
                </w:p>
                <w:p w14:paraId="2A8C5174">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Cs w:val="21"/>
                    </w:rPr>
                    <w:t>排水管网</w:t>
                  </w:r>
                </w:p>
              </w:tc>
              <w:tc>
                <w:tcPr>
                  <w:tcW w:w="608" w:type="dxa"/>
                  <w:vMerge w:val="continue"/>
                  <w:noWrap w:val="0"/>
                  <w:vAlign w:val="center"/>
                </w:tcPr>
                <w:p w14:paraId="55CB966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r>
            <w:tr w14:paraId="2A3F8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16" w:hRule="atLeast"/>
                <w:jc w:val="center"/>
              </w:trPr>
              <w:tc>
                <w:tcPr>
                  <w:tcW w:w="493" w:type="dxa"/>
                  <w:vMerge w:val="continue"/>
                  <w:noWrap w:val="0"/>
                  <w:vAlign w:val="center"/>
                </w:tcPr>
                <w:p w14:paraId="080D43D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1215" w:type="dxa"/>
                  <w:noWrap w:val="0"/>
                  <w:vAlign w:val="center"/>
                </w:tcPr>
                <w:p w14:paraId="25CBE47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供电</w:t>
                  </w:r>
                </w:p>
              </w:tc>
              <w:tc>
                <w:tcPr>
                  <w:tcW w:w="2733" w:type="dxa"/>
                  <w:noWrap w:val="0"/>
                  <w:vAlign w:val="center"/>
                </w:tcPr>
                <w:p w14:paraId="3F7842E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伊春</w:t>
                  </w:r>
                  <w:r>
                    <w:rPr>
                      <w:rFonts w:hint="eastAsia" w:ascii="Times New Roman" w:hAnsi="Times New Roman" w:cs="Times New Roman"/>
                      <w:color w:val="auto"/>
                      <w:szCs w:val="21"/>
                      <w:lang w:eastAsia="zh-CN"/>
                    </w:rPr>
                    <w:t>市</w:t>
                  </w:r>
                  <w:r>
                    <w:rPr>
                      <w:rFonts w:hint="default" w:ascii="Times New Roman" w:hAnsi="Times New Roman" w:cs="Times New Roman"/>
                      <w:color w:val="auto"/>
                      <w:szCs w:val="21"/>
                    </w:rPr>
                    <w:t>供电公司专线供应</w:t>
                  </w:r>
                </w:p>
              </w:tc>
              <w:tc>
                <w:tcPr>
                  <w:tcW w:w="1417" w:type="dxa"/>
                  <w:noWrap w:val="0"/>
                  <w:vAlign w:val="center"/>
                </w:tcPr>
                <w:p w14:paraId="2BAAF46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960" w:type="dxa"/>
                  <w:shd w:val="clear" w:color="auto" w:fill="auto"/>
                  <w:noWrap w:val="0"/>
                  <w:vAlign w:val="center"/>
                </w:tcPr>
                <w:p w14:paraId="67A48CC6">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Cs w:val="21"/>
                    </w:rPr>
                    <w:t>伊春</w:t>
                  </w:r>
                  <w:r>
                    <w:rPr>
                      <w:rFonts w:hint="eastAsia" w:ascii="Times New Roman" w:hAnsi="Times New Roman" w:cs="Times New Roman"/>
                      <w:color w:val="auto"/>
                      <w:szCs w:val="21"/>
                      <w:lang w:eastAsia="zh-CN"/>
                    </w:rPr>
                    <w:t>市</w:t>
                  </w:r>
                  <w:r>
                    <w:rPr>
                      <w:rFonts w:hint="default" w:ascii="Times New Roman" w:hAnsi="Times New Roman" w:cs="Times New Roman"/>
                      <w:color w:val="auto"/>
                      <w:szCs w:val="21"/>
                    </w:rPr>
                    <w:t>供电公司专线供应</w:t>
                  </w:r>
                </w:p>
              </w:tc>
              <w:tc>
                <w:tcPr>
                  <w:tcW w:w="608" w:type="dxa"/>
                  <w:vMerge w:val="continue"/>
                  <w:noWrap w:val="0"/>
                  <w:vAlign w:val="center"/>
                </w:tcPr>
                <w:p w14:paraId="23FC5C5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r>
            <w:tr w14:paraId="53A17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16" w:hRule="atLeast"/>
                <w:jc w:val="center"/>
              </w:trPr>
              <w:tc>
                <w:tcPr>
                  <w:tcW w:w="493" w:type="dxa"/>
                  <w:vMerge w:val="continue"/>
                  <w:noWrap w:val="0"/>
                  <w:vAlign w:val="center"/>
                </w:tcPr>
                <w:p w14:paraId="403DA33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1215" w:type="dxa"/>
                  <w:noWrap w:val="0"/>
                  <w:vAlign w:val="center"/>
                </w:tcPr>
                <w:p w14:paraId="5A3BE98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供暖</w:t>
                  </w:r>
                </w:p>
              </w:tc>
              <w:tc>
                <w:tcPr>
                  <w:tcW w:w="2733" w:type="dxa"/>
                  <w:noWrap w:val="0"/>
                  <w:vAlign w:val="center"/>
                </w:tcPr>
                <w:p w14:paraId="1095469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铁力市宇翔热电厂集中供热</w:t>
                  </w:r>
                </w:p>
              </w:tc>
              <w:tc>
                <w:tcPr>
                  <w:tcW w:w="1417" w:type="dxa"/>
                  <w:noWrap w:val="0"/>
                  <w:vAlign w:val="center"/>
                </w:tcPr>
                <w:p w14:paraId="6439E14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w:t>
                  </w:r>
                </w:p>
              </w:tc>
              <w:tc>
                <w:tcPr>
                  <w:tcW w:w="1960" w:type="dxa"/>
                  <w:shd w:val="clear" w:color="auto" w:fill="auto"/>
                  <w:noWrap w:val="0"/>
                  <w:vAlign w:val="center"/>
                </w:tcPr>
                <w:p w14:paraId="2A7BFA79">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Cs w:val="21"/>
                    </w:rPr>
                    <w:t>铁力市宇翔热电厂集中供热</w:t>
                  </w:r>
                </w:p>
              </w:tc>
              <w:tc>
                <w:tcPr>
                  <w:tcW w:w="608" w:type="dxa"/>
                  <w:vMerge w:val="continue"/>
                  <w:noWrap w:val="0"/>
                  <w:vAlign w:val="center"/>
                </w:tcPr>
                <w:p w14:paraId="1B69D5B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r>
            <w:tr w14:paraId="59C0C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234" w:hRule="atLeast"/>
                <w:jc w:val="center"/>
              </w:trPr>
              <w:tc>
                <w:tcPr>
                  <w:tcW w:w="493" w:type="dxa"/>
                  <w:vMerge w:val="restart"/>
                  <w:noWrap w:val="0"/>
                  <w:vAlign w:val="center"/>
                </w:tcPr>
                <w:p w14:paraId="4208DC1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环</w:t>
                  </w:r>
                </w:p>
                <w:p w14:paraId="4F9F7A4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保</w:t>
                  </w:r>
                </w:p>
                <w:p w14:paraId="4B1A8F3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工</w:t>
                  </w:r>
                </w:p>
                <w:p w14:paraId="65FA622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程</w:t>
                  </w:r>
                </w:p>
              </w:tc>
              <w:tc>
                <w:tcPr>
                  <w:tcW w:w="1215" w:type="dxa"/>
                  <w:noWrap w:val="0"/>
                  <w:vAlign w:val="center"/>
                </w:tcPr>
                <w:p w14:paraId="1B28363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污水处理</w:t>
                  </w:r>
                </w:p>
              </w:tc>
              <w:tc>
                <w:tcPr>
                  <w:tcW w:w="2733" w:type="dxa"/>
                  <w:noWrap w:val="0"/>
                  <w:vAlign w:val="center"/>
                </w:tcPr>
                <w:p w14:paraId="1EE5A88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项目废水为生活污水，生活污水进入厂区化粪池达标后接管入铁力市城市污水处理厂，生活污水量480t/a</w:t>
                  </w:r>
                </w:p>
              </w:tc>
              <w:tc>
                <w:tcPr>
                  <w:tcW w:w="1417" w:type="dxa"/>
                  <w:noWrap w:val="0"/>
                  <w:vAlign w:val="center"/>
                </w:tcPr>
                <w:p w14:paraId="28B208D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960" w:type="dxa"/>
                  <w:shd w:val="clear" w:color="auto" w:fill="auto"/>
                  <w:noWrap w:val="0"/>
                  <w:vAlign w:val="center"/>
                </w:tcPr>
                <w:p w14:paraId="44C64DA6">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cs="Times New Roman"/>
                      <w:color w:val="auto"/>
                      <w:szCs w:val="21"/>
                      <w:lang w:val="en-US" w:eastAsia="zh-CN"/>
                    </w:rPr>
                    <w:t>/</w:t>
                  </w:r>
                </w:p>
              </w:tc>
              <w:tc>
                <w:tcPr>
                  <w:tcW w:w="608" w:type="dxa"/>
                  <w:vMerge w:val="restart"/>
                  <w:noWrap w:val="0"/>
                  <w:vAlign w:val="center"/>
                </w:tcPr>
                <w:p w14:paraId="0F75038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未建</w:t>
                  </w:r>
                </w:p>
              </w:tc>
            </w:tr>
            <w:tr w14:paraId="20978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622" w:hRule="atLeast"/>
                <w:jc w:val="center"/>
              </w:trPr>
              <w:tc>
                <w:tcPr>
                  <w:tcW w:w="493" w:type="dxa"/>
                  <w:vMerge w:val="continue"/>
                  <w:noWrap w:val="0"/>
                  <w:vAlign w:val="center"/>
                </w:tcPr>
                <w:p w14:paraId="1EA487B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1215" w:type="dxa"/>
                  <w:vMerge w:val="restart"/>
                  <w:noWrap w:val="0"/>
                  <w:vAlign w:val="center"/>
                </w:tcPr>
                <w:p w14:paraId="3255A91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大气治理</w:t>
                  </w:r>
                </w:p>
              </w:tc>
              <w:tc>
                <w:tcPr>
                  <w:tcW w:w="2733" w:type="dxa"/>
                  <w:noWrap w:val="0"/>
                  <w:vAlign w:val="center"/>
                </w:tcPr>
                <w:p w14:paraId="3DAD3E9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中频电炉熔化工序大气治理措施</w:t>
                  </w:r>
                </w:p>
              </w:tc>
              <w:tc>
                <w:tcPr>
                  <w:tcW w:w="1417" w:type="dxa"/>
                  <w:noWrap w:val="0"/>
                  <w:vAlign w:val="center"/>
                </w:tcPr>
                <w:p w14:paraId="2BA9A29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耐高温玻纤扁袋式除尘器，除尘效率99%</w:t>
                  </w:r>
                </w:p>
              </w:tc>
              <w:tc>
                <w:tcPr>
                  <w:tcW w:w="1960" w:type="dxa"/>
                  <w:noWrap w:val="0"/>
                  <w:vAlign w:val="center"/>
                </w:tcPr>
                <w:p w14:paraId="22F55E6C">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w:t>
                  </w:r>
                </w:p>
              </w:tc>
              <w:tc>
                <w:tcPr>
                  <w:tcW w:w="608" w:type="dxa"/>
                  <w:vMerge w:val="continue"/>
                  <w:noWrap w:val="0"/>
                  <w:vAlign w:val="center"/>
                </w:tcPr>
                <w:p w14:paraId="7C361B3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r>
            <w:tr w14:paraId="2C647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660" w:hRule="atLeast"/>
                <w:jc w:val="center"/>
              </w:trPr>
              <w:tc>
                <w:tcPr>
                  <w:tcW w:w="493" w:type="dxa"/>
                  <w:vMerge w:val="continue"/>
                  <w:noWrap w:val="0"/>
                  <w:vAlign w:val="center"/>
                </w:tcPr>
                <w:p w14:paraId="7F8FABF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 xml:space="preserve"> </w:t>
                  </w:r>
                </w:p>
              </w:tc>
              <w:tc>
                <w:tcPr>
                  <w:tcW w:w="1215" w:type="dxa"/>
                  <w:vMerge w:val="continue"/>
                  <w:noWrap w:val="0"/>
                  <w:vAlign w:val="center"/>
                </w:tcPr>
                <w:p w14:paraId="32E9513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2733" w:type="dxa"/>
                  <w:noWrap w:val="0"/>
                  <w:vAlign w:val="center"/>
                </w:tcPr>
                <w:p w14:paraId="2C67C5F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落砂工序、旧砂处理工序及铸件清理打磨工序大气治理措施</w:t>
                  </w:r>
                </w:p>
              </w:tc>
              <w:tc>
                <w:tcPr>
                  <w:tcW w:w="1417" w:type="dxa"/>
                  <w:noWrap w:val="0"/>
                  <w:vAlign w:val="center"/>
                </w:tcPr>
                <w:p w14:paraId="1F4A4B8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布袋除尘器，除尘效率99%</w:t>
                  </w:r>
                </w:p>
              </w:tc>
              <w:tc>
                <w:tcPr>
                  <w:tcW w:w="1960" w:type="dxa"/>
                  <w:noWrap w:val="0"/>
                  <w:vAlign w:val="center"/>
                </w:tcPr>
                <w:p w14:paraId="5A50EF53">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w:t>
                  </w:r>
                </w:p>
              </w:tc>
              <w:tc>
                <w:tcPr>
                  <w:tcW w:w="608" w:type="dxa"/>
                  <w:vMerge w:val="continue"/>
                  <w:noWrap w:val="0"/>
                  <w:vAlign w:val="center"/>
                </w:tcPr>
                <w:p w14:paraId="395AA26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r>
            <w:tr w14:paraId="670BF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622" w:hRule="atLeast"/>
                <w:jc w:val="center"/>
              </w:trPr>
              <w:tc>
                <w:tcPr>
                  <w:tcW w:w="493" w:type="dxa"/>
                  <w:vMerge w:val="continue"/>
                  <w:noWrap w:val="0"/>
                  <w:vAlign w:val="center"/>
                </w:tcPr>
                <w:p w14:paraId="04F3754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1215" w:type="dxa"/>
                  <w:vMerge w:val="continue"/>
                  <w:noWrap w:val="0"/>
                  <w:vAlign w:val="center"/>
                </w:tcPr>
                <w:p w14:paraId="6ECB07A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2733" w:type="dxa"/>
                  <w:noWrap w:val="0"/>
                  <w:vAlign w:val="center"/>
                </w:tcPr>
                <w:p w14:paraId="154BD9F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浇铸工序大气治理措施</w:t>
                  </w:r>
                </w:p>
              </w:tc>
              <w:tc>
                <w:tcPr>
                  <w:tcW w:w="1417" w:type="dxa"/>
                  <w:noWrap w:val="0"/>
                  <w:vAlign w:val="center"/>
                </w:tcPr>
                <w:p w14:paraId="55D3581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LFC-Ⅰ型废气净化设备，废气净化效率99%</w:t>
                  </w:r>
                </w:p>
              </w:tc>
              <w:tc>
                <w:tcPr>
                  <w:tcW w:w="1960" w:type="dxa"/>
                  <w:noWrap w:val="0"/>
                  <w:vAlign w:val="center"/>
                </w:tcPr>
                <w:p w14:paraId="723977B0">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w:t>
                  </w:r>
                </w:p>
              </w:tc>
              <w:tc>
                <w:tcPr>
                  <w:tcW w:w="608" w:type="dxa"/>
                  <w:vMerge w:val="continue"/>
                  <w:noWrap w:val="0"/>
                  <w:vAlign w:val="center"/>
                </w:tcPr>
                <w:p w14:paraId="7969000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r>
            <w:tr w14:paraId="5C3B8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622" w:hRule="atLeast"/>
                <w:jc w:val="center"/>
              </w:trPr>
              <w:tc>
                <w:tcPr>
                  <w:tcW w:w="493" w:type="dxa"/>
                  <w:vMerge w:val="continue"/>
                  <w:noWrap w:val="0"/>
                  <w:vAlign w:val="center"/>
                </w:tcPr>
                <w:p w14:paraId="4BBF0D9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1215" w:type="dxa"/>
                  <w:vMerge w:val="continue"/>
                  <w:noWrap w:val="0"/>
                  <w:vAlign w:val="center"/>
                </w:tcPr>
                <w:p w14:paraId="2BFECC7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2733" w:type="dxa"/>
                  <w:noWrap w:val="0"/>
                  <w:vAlign w:val="center"/>
                </w:tcPr>
                <w:p w14:paraId="2C76BA1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模型烘干废气</w:t>
                  </w:r>
                </w:p>
              </w:tc>
              <w:tc>
                <w:tcPr>
                  <w:tcW w:w="1417" w:type="dxa"/>
                  <w:noWrap w:val="0"/>
                  <w:vAlign w:val="center"/>
                </w:tcPr>
                <w:p w14:paraId="1F108D9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活性炭罐吸附后通过15米高排气筒排放</w:t>
                  </w:r>
                </w:p>
              </w:tc>
              <w:tc>
                <w:tcPr>
                  <w:tcW w:w="1960" w:type="dxa"/>
                  <w:noWrap w:val="0"/>
                  <w:vAlign w:val="center"/>
                </w:tcPr>
                <w:p w14:paraId="4A98CBE1">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w:t>
                  </w:r>
                </w:p>
              </w:tc>
              <w:tc>
                <w:tcPr>
                  <w:tcW w:w="608" w:type="dxa"/>
                  <w:vMerge w:val="continue"/>
                  <w:noWrap w:val="0"/>
                  <w:vAlign w:val="center"/>
                </w:tcPr>
                <w:p w14:paraId="53F74D5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r>
            <w:tr w14:paraId="09194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32" w:hRule="atLeast"/>
                <w:jc w:val="center"/>
              </w:trPr>
              <w:tc>
                <w:tcPr>
                  <w:tcW w:w="493" w:type="dxa"/>
                  <w:vMerge w:val="continue"/>
                  <w:noWrap w:val="0"/>
                  <w:vAlign w:val="center"/>
                </w:tcPr>
                <w:p w14:paraId="62A891E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c>
                <w:tcPr>
                  <w:tcW w:w="1215" w:type="dxa"/>
                  <w:noWrap w:val="0"/>
                  <w:vAlign w:val="center"/>
                </w:tcPr>
                <w:p w14:paraId="475728CD">
                  <w:pPr>
                    <w:pStyle w:val="40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噪音防治措施</w:t>
                  </w:r>
                </w:p>
              </w:tc>
              <w:tc>
                <w:tcPr>
                  <w:tcW w:w="2733" w:type="dxa"/>
                  <w:noWrap w:val="0"/>
                  <w:vAlign w:val="center"/>
                </w:tcPr>
                <w:p w14:paraId="68A4D4F7">
                  <w:pPr>
                    <w:pStyle w:val="40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采用减振、吸声、封闭隔声设施</w:t>
                  </w:r>
                </w:p>
              </w:tc>
              <w:tc>
                <w:tcPr>
                  <w:tcW w:w="1417" w:type="dxa"/>
                  <w:noWrap w:val="0"/>
                  <w:vAlign w:val="center"/>
                </w:tcPr>
                <w:p w14:paraId="2D298BF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960" w:type="dxa"/>
                  <w:noWrap w:val="0"/>
                  <w:vAlign w:val="center"/>
                </w:tcPr>
                <w:p w14:paraId="48FACBC3">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w:t>
                  </w:r>
                </w:p>
              </w:tc>
              <w:tc>
                <w:tcPr>
                  <w:tcW w:w="608" w:type="dxa"/>
                  <w:vMerge w:val="continue"/>
                  <w:noWrap w:val="0"/>
                  <w:vAlign w:val="center"/>
                </w:tcPr>
                <w:p w14:paraId="44D3C8B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rPr>
                  </w:pPr>
                </w:p>
              </w:tc>
            </w:tr>
          </w:tbl>
          <w:p w14:paraId="1B84A397">
            <w:pPr>
              <w:keepNext w:val="0"/>
              <w:keepLines w:val="0"/>
              <w:pageBreakBefore w:val="0"/>
              <w:widowControl/>
              <w:suppressLineNumbers w:val="0"/>
              <w:spacing w:before="0" w:beforeAutospacing="0" w:after="0" w:afterAutospacing="0"/>
              <w:ind w:left="0" w:right="0" w:firstLine="480"/>
              <w:jc w:val="both"/>
              <w:rPr>
                <w:rFonts w:hint="default" w:ascii="Times New Roman" w:hAnsi="Times New Roman" w:cs="Times New Roman"/>
                <w:color w:val="auto"/>
                <w:sz w:val="24"/>
                <w:szCs w:val="24"/>
                <w:highlight w:val="none"/>
                <w:lang w:val="en-US" w:eastAsia="zh-CN"/>
              </w:rPr>
            </w:pPr>
          </w:p>
        </w:tc>
      </w:tr>
    </w:tbl>
    <w:p w14:paraId="693DC6AD">
      <w:pPr>
        <w:pStyle w:val="53"/>
        <w:spacing w:before="120" w:beforeAutospacing="0" w:after="0" w:afterAutospacing="0"/>
        <w:jc w:val="center"/>
        <w:outlineLvl w:val="0"/>
        <w:rPr>
          <w:rFonts w:hint="default" w:ascii="Times New Roman" w:hAnsi="Times New Roman" w:eastAsia="宋体" w:cs="Times New Roman"/>
          <w:color w:val="auto"/>
          <w:sz w:val="28"/>
          <w:szCs w:val="28"/>
          <w:highlight w:val="none"/>
        </w:rPr>
        <w:sectPr>
          <w:headerReference r:id="rId8" w:type="default"/>
          <w:pgSz w:w="11907" w:h="16840" w:orient="landscape"/>
          <w:pgMar w:top="1440" w:right="1440" w:bottom="1440" w:left="1440" w:header="851" w:footer="851" w:gutter="0"/>
          <w:pgBorders>
            <w:top w:val="none" w:sz="0" w:space="0"/>
            <w:left w:val="none" w:sz="0" w:space="0"/>
            <w:bottom w:val="none" w:sz="0" w:space="0"/>
            <w:right w:val="none" w:sz="0" w:space="0"/>
          </w:pgBorders>
          <w:cols w:space="720" w:num="1"/>
        </w:sectPr>
      </w:pPr>
    </w:p>
    <w:p w14:paraId="732D5265">
      <w:pPr>
        <w:pStyle w:val="53"/>
        <w:spacing w:before="120" w:beforeAutospacing="0" w:after="0" w:afterAutospacing="0"/>
        <w:jc w:val="center"/>
        <w:outlineLvl w:val="0"/>
        <w:rPr>
          <w:rFonts w:hint="default" w:ascii="Times New Roman" w:hAnsi="Times New Roman" w:eastAsia="宋体" w:cs="Times New Roman"/>
          <w:color w:val="auto"/>
          <w:sz w:val="28"/>
          <w:szCs w:val="28"/>
          <w:highlight w:val="none"/>
        </w:rPr>
      </w:pPr>
      <w:bookmarkStart w:id="11" w:name="_Toc8900"/>
      <w:r>
        <w:rPr>
          <w:rFonts w:hint="default" w:ascii="Times New Roman" w:hAnsi="Times New Roman" w:eastAsia="宋体" w:cs="Times New Roman"/>
          <w:b/>
          <w:bCs/>
          <w:color w:val="auto"/>
          <w:sz w:val="28"/>
          <w:szCs w:val="28"/>
          <w:highlight w:val="none"/>
        </w:rPr>
        <w:t>三、区域环境质量现状、环境保护目标及评价标准</w:t>
      </w:r>
      <w:bookmarkEnd w:id="11"/>
    </w:p>
    <w:tbl>
      <w:tblPr>
        <w:tblStyle w:val="5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0"/>
        <w:gridCol w:w="8557"/>
      </w:tblGrid>
      <w:tr w14:paraId="7AC4DE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273" w:type="pct"/>
            <w:noWrap w:val="0"/>
            <w:vAlign w:val="center"/>
          </w:tcPr>
          <w:p w14:paraId="5BC23254">
            <w:pPr>
              <w:keepNext w:val="0"/>
              <w:keepLines w:val="0"/>
              <w:suppressLineNumbers w:val="0"/>
              <w:spacing w:before="0" w:beforeAutospacing="0" w:after="0" w:afterAutospacing="0" w:line="440" w:lineRule="exact"/>
              <w:ind w:left="0" w:right="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区域</w:t>
            </w:r>
          </w:p>
          <w:p w14:paraId="03C1E0DC">
            <w:pPr>
              <w:keepNext w:val="0"/>
              <w:keepLines w:val="0"/>
              <w:suppressLineNumbers w:val="0"/>
              <w:spacing w:before="0" w:beforeAutospacing="0" w:after="0" w:afterAutospacing="0" w:line="440" w:lineRule="exact"/>
              <w:ind w:left="0" w:right="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环境</w:t>
            </w:r>
          </w:p>
          <w:p w14:paraId="39D0426A">
            <w:pPr>
              <w:keepNext w:val="0"/>
              <w:keepLines w:val="0"/>
              <w:suppressLineNumbers w:val="0"/>
              <w:spacing w:before="0" w:beforeAutospacing="0" w:after="0" w:afterAutospacing="0" w:line="440" w:lineRule="exact"/>
              <w:ind w:left="0" w:right="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质量</w:t>
            </w:r>
          </w:p>
          <w:p w14:paraId="702C0862">
            <w:pPr>
              <w:keepNext w:val="0"/>
              <w:keepLines w:val="0"/>
              <w:suppressLineNumbers w:val="0"/>
              <w:spacing w:before="0" w:beforeAutospacing="0" w:after="0" w:afterAutospacing="0" w:line="440" w:lineRule="exact"/>
              <w:ind w:left="0" w:right="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现状</w:t>
            </w:r>
          </w:p>
        </w:tc>
        <w:tc>
          <w:tcPr>
            <w:tcW w:w="4726" w:type="pct"/>
            <w:noWrap w:val="0"/>
            <w:vAlign w:val="top"/>
          </w:tcPr>
          <w:p w14:paraId="77595D84">
            <w:pPr>
              <w:pStyle w:val="21"/>
              <w:keepNext w:val="0"/>
              <w:keepLines w:val="0"/>
              <w:suppressLineNumbers w:val="0"/>
              <w:spacing w:before="0" w:beforeAutospacing="0" w:after="0" w:afterAutospacing="0" w:line="360" w:lineRule="auto"/>
              <w:ind w:left="0" w:right="122" w:firstLine="482"/>
              <w:jc w:val="both"/>
              <w:rPr>
                <w:rFonts w:hint="default" w:ascii="Times New Roman" w:hAnsi="Times New Roman" w:eastAsia="宋体" w:cs="Times New Roman"/>
                <w:b/>
                <w:color w:val="auto"/>
                <w:sz w:val="24"/>
                <w:szCs w:val="24"/>
                <w:highlight w:val="none"/>
                <w:lang w:val="en-US" w:eastAsia="zh-CN"/>
              </w:rPr>
            </w:pPr>
            <w:r>
              <w:rPr>
                <w:rFonts w:hint="eastAsia" w:ascii="Times New Roman" w:hAnsi="Times New Roman" w:cs="Times New Roman"/>
                <w:b/>
                <w:color w:val="auto"/>
                <w:sz w:val="24"/>
                <w:szCs w:val="24"/>
                <w:highlight w:val="none"/>
                <w:lang w:val="en-US" w:eastAsia="zh-CN"/>
              </w:rPr>
              <w:t>1.</w:t>
            </w:r>
            <w:r>
              <w:rPr>
                <w:rFonts w:hint="default" w:ascii="Times New Roman" w:hAnsi="Times New Roman" w:eastAsia="宋体" w:cs="Times New Roman"/>
                <w:b/>
                <w:color w:val="auto"/>
                <w:sz w:val="24"/>
                <w:szCs w:val="24"/>
                <w:highlight w:val="none"/>
                <w:lang w:val="en-US" w:eastAsia="zh-CN"/>
              </w:rPr>
              <w:t>环境空气质量现状</w:t>
            </w:r>
          </w:p>
          <w:p w14:paraId="3A16D943">
            <w:pPr>
              <w:keepNext w:val="0"/>
              <w:keepLines w:val="0"/>
              <w:suppressLineNumbers w:val="0"/>
              <w:spacing w:before="0" w:beforeAutospacing="0" w:after="0" w:afterAutospacing="0"/>
              <w:ind w:left="0" w:right="0" w:firstLine="482"/>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rPr>
              <w:t>（1）</w:t>
            </w:r>
            <w:r>
              <w:rPr>
                <w:rFonts w:hint="default" w:ascii="Times New Roman" w:hAnsi="Times New Roman" w:eastAsia="宋体" w:cs="Times New Roman"/>
                <w:b/>
                <w:bCs/>
                <w:color w:val="auto"/>
                <w:sz w:val="24"/>
                <w:szCs w:val="24"/>
                <w:highlight w:val="none"/>
                <w:lang w:eastAsia="zh-CN"/>
              </w:rPr>
              <w:t>常规污染物环境质量现状</w:t>
            </w:r>
          </w:p>
          <w:p w14:paraId="4F7E74B9">
            <w:pPr>
              <w:keepNext w:val="0"/>
              <w:keepLines w:val="0"/>
              <w:suppressLineNumbers w:val="0"/>
              <w:spacing w:before="0" w:beforeAutospacing="0" w:after="0" w:afterAutospacing="0"/>
              <w:ind w:left="0" w:right="0" w:firstLine="480"/>
              <w:jc w:val="both"/>
              <w:rPr>
                <w:rFonts w:hint="default"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val="en-US" w:eastAsia="zh-CN"/>
              </w:rPr>
              <w:t>根据《</w:t>
            </w:r>
            <w:r>
              <w:rPr>
                <w:rFonts w:hint="default" w:ascii="Times New Roman" w:hAnsi="Times New Roman" w:eastAsia="宋体" w:cs="Times New Roman"/>
                <w:color w:val="auto"/>
                <w:sz w:val="24"/>
                <w:highlight w:val="none"/>
                <w:lang w:val="en-US" w:eastAsia="zh-CN"/>
              </w:rPr>
              <w:t>2024</w:t>
            </w:r>
            <w:r>
              <w:rPr>
                <w:rFonts w:hint="eastAsia" w:ascii="Times New Roman" w:hAnsi="Times New Roman" w:eastAsia="宋体" w:cs="Times New Roman"/>
                <w:color w:val="auto"/>
                <w:sz w:val="24"/>
                <w:highlight w:val="none"/>
                <w:lang w:val="en-US" w:eastAsia="zh-CN"/>
              </w:rPr>
              <w:t>年伊春市生态环境质量公报》中公布的数据</w:t>
            </w:r>
            <w:r>
              <w:rPr>
                <w:rFonts w:hint="eastAsia" w:ascii="Times New Roman" w:hAnsi="Times New Roman" w:cs="Times New Roman"/>
                <w:color w:val="auto"/>
                <w:sz w:val="24"/>
                <w:highlight w:val="none"/>
                <w:lang w:val="en-US" w:eastAsia="zh-CN"/>
              </w:rPr>
              <w:t>，伊春市为达标区</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2024</w:t>
            </w:r>
            <w:r>
              <w:rPr>
                <w:rFonts w:hint="eastAsia" w:ascii="Times New Roman" w:hAnsi="Times New Roman" w:eastAsia="宋体" w:cs="Times New Roman"/>
                <w:color w:val="auto"/>
                <w:sz w:val="24"/>
                <w:highlight w:val="none"/>
                <w:lang w:val="en-US" w:eastAsia="zh-CN"/>
              </w:rPr>
              <w:t>年伊春市各项污染物年均浓度综合情况如下表。</w:t>
            </w:r>
          </w:p>
          <w:p w14:paraId="49F88EAC">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val="0"/>
                <w:color w:val="auto"/>
                <w:kern w:val="0"/>
                <w:sz w:val="21"/>
                <w:szCs w:val="21"/>
                <w:lang w:val="en-US" w:eastAsia="zh-CN" w:bidi="ar"/>
              </w:rPr>
            </w:pPr>
            <w:r>
              <w:rPr>
                <w:rFonts w:hint="default" w:ascii="Times New Roman" w:hAnsi="Times New Roman" w:eastAsia="宋体" w:cs="Times New Roman"/>
                <w:b/>
                <w:bCs w:val="0"/>
                <w:color w:val="auto"/>
                <w:kern w:val="0"/>
                <w:sz w:val="21"/>
                <w:szCs w:val="21"/>
                <w:lang w:val="en-US" w:eastAsia="zh-CN" w:bidi="ar"/>
              </w:rPr>
              <w:t>表3-1 伊春市2024年环境空气质量统计表   单位：μg/m</w:t>
            </w:r>
            <w:r>
              <w:rPr>
                <w:rFonts w:hint="default" w:ascii="Times New Roman" w:hAnsi="Times New Roman" w:eastAsia="宋体" w:cs="Times New Roman"/>
                <w:b/>
                <w:bCs w:val="0"/>
                <w:color w:val="auto"/>
                <w:kern w:val="0"/>
                <w:sz w:val="21"/>
                <w:szCs w:val="21"/>
                <w:vertAlign w:val="superscript"/>
                <w:lang w:val="en-US" w:eastAsia="zh-CN" w:bidi="ar"/>
              </w:rPr>
              <w:t>3</w:t>
            </w:r>
          </w:p>
          <w:tbl>
            <w:tblPr>
              <w:tblStyle w:val="56"/>
              <w:tblW w:w="5000" w:type="pct"/>
              <w:jc w:val="center"/>
              <w:tblBorders>
                <w:top w:val="single" w:color="auto" w:sz="4" w:space="0"/>
                <w:left w:val="none" w:color="auto" w:sz="6" w:space="0"/>
                <w:bottom w:val="single" w:color="auto" w:sz="4" w:space="0"/>
                <w:right w:val="none" w:color="auto" w:sz="6"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1079"/>
              <w:gridCol w:w="3104"/>
              <w:gridCol w:w="1088"/>
              <w:gridCol w:w="862"/>
              <w:gridCol w:w="978"/>
              <w:gridCol w:w="1230"/>
            </w:tblGrid>
            <w:tr w14:paraId="168AFCE6">
              <w:tblPrEx>
                <w:tblBorders>
                  <w:top w:val="single" w:color="auto" w:sz="4" w:space="0"/>
                  <w:left w:val="none" w:color="auto" w:sz="6" w:space="0"/>
                  <w:bottom w:val="single" w:color="auto" w:sz="4" w:space="0"/>
                  <w:right w:val="none" w:color="auto" w:sz="6" w:space="0"/>
                  <w:insideH w:val="single" w:color="auto" w:sz="4" w:space="0"/>
                  <w:insideV w:val="single" w:color="auto" w:sz="4" w:space="0"/>
                </w:tblBorders>
                <w:shd w:val="clear" w:color="auto" w:fill="auto"/>
                <w:tblCellMar>
                  <w:top w:w="0" w:type="dxa"/>
                  <w:left w:w="0" w:type="dxa"/>
                  <w:bottom w:w="0" w:type="dxa"/>
                  <w:right w:w="0" w:type="dxa"/>
                </w:tblCellMar>
              </w:tblPrEx>
              <w:trPr>
                <w:trHeight w:val="283" w:hRule="atLeast"/>
                <w:jc w:val="center"/>
              </w:trPr>
              <w:tc>
                <w:tcPr>
                  <w:tcW w:w="1105" w:type="dxa"/>
                  <w:tcBorders>
                    <w:top w:val="single" w:color="auto" w:sz="4" w:space="0"/>
                    <w:left w:val="single" w:color="auto" w:sz="4" w:space="0"/>
                    <w:bottom w:val="single" w:color="auto" w:sz="4" w:space="0"/>
                    <w:right w:val="single" w:color="auto" w:sz="4" w:space="0"/>
                  </w:tcBorders>
                  <w:shd w:val="clear" w:color="auto" w:fill="auto"/>
                  <w:vAlign w:val="center"/>
                </w:tcPr>
                <w:p w14:paraId="5A96D471">
                  <w:pPr>
                    <w:keepNext w:val="0"/>
                    <w:keepLines w:val="0"/>
                    <w:widowControl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kern w:val="2"/>
                      <w:sz w:val="18"/>
                      <w:szCs w:val="18"/>
                      <w:vertAlign w:val="baseline"/>
                      <w:lang w:val="en-US" w:eastAsia="zh-CN" w:bidi="ar-SA"/>
                    </w:rPr>
                  </w:pPr>
                  <w:r>
                    <w:rPr>
                      <w:rFonts w:hint="eastAsia" w:ascii="宋体" w:hAnsi="宋体" w:eastAsia="宋体" w:cs="宋体"/>
                      <w:color w:val="auto"/>
                      <w:kern w:val="2"/>
                      <w:sz w:val="18"/>
                      <w:szCs w:val="18"/>
                      <w:vertAlign w:val="baseline"/>
                      <w:lang w:val="en-US" w:eastAsia="zh-CN" w:bidi="ar"/>
                    </w:rPr>
                    <w:t>污染物</w:t>
                  </w:r>
                </w:p>
              </w:tc>
              <w:tc>
                <w:tcPr>
                  <w:tcW w:w="3191" w:type="dxa"/>
                  <w:tcBorders>
                    <w:top w:val="single" w:color="auto" w:sz="4" w:space="0"/>
                    <w:left w:val="single" w:color="auto" w:sz="4" w:space="0"/>
                    <w:bottom w:val="single" w:color="auto" w:sz="4" w:space="0"/>
                    <w:right w:val="single" w:color="auto" w:sz="4" w:space="0"/>
                  </w:tcBorders>
                  <w:shd w:val="clear" w:color="auto" w:fill="auto"/>
                  <w:vAlign w:val="center"/>
                </w:tcPr>
                <w:p w14:paraId="287C680A">
                  <w:pPr>
                    <w:keepNext w:val="0"/>
                    <w:keepLines w:val="0"/>
                    <w:widowControl w:val="0"/>
                    <w:suppressLineNumbers w:val="0"/>
                    <w:adjustRightInd w:val="0"/>
                    <w:spacing w:before="0" w:beforeAutospacing="0" w:after="0" w:afterAutospacing="0" w:line="240" w:lineRule="auto"/>
                    <w:ind w:left="0" w:leftChars="0" w:right="0" w:rightChars="0"/>
                    <w:jc w:val="center"/>
                    <w:textAlignment w:val="baseline"/>
                    <w:rPr>
                      <w:rFonts w:hint="eastAsia" w:ascii="Times New Roman" w:hAnsi="Times New Roman" w:eastAsia="宋体" w:cs="Times New Roman"/>
                      <w:color w:val="auto"/>
                      <w:kern w:val="2"/>
                      <w:sz w:val="18"/>
                      <w:szCs w:val="18"/>
                      <w:vertAlign w:val="baseline"/>
                      <w:lang w:val="en-US" w:eastAsia="zh-CN" w:bidi="ar-SA"/>
                    </w:rPr>
                  </w:pPr>
                  <w:r>
                    <w:rPr>
                      <w:rFonts w:hint="eastAsia" w:ascii="宋体" w:hAnsi="宋体" w:eastAsia="宋体" w:cs="宋体"/>
                      <w:color w:val="auto"/>
                      <w:kern w:val="2"/>
                      <w:sz w:val="18"/>
                      <w:szCs w:val="18"/>
                      <w:vertAlign w:val="baseline"/>
                      <w:lang w:val="en-US" w:eastAsia="zh-CN" w:bidi="ar"/>
                    </w:rPr>
                    <w:t>年度评价指标</w:t>
                  </w:r>
                </w:p>
              </w:tc>
              <w:tc>
                <w:tcPr>
                  <w:tcW w:w="1119" w:type="dxa"/>
                  <w:tcBorders>
                    <w:top w:val="single" w:color="auto" w:sz="4" w:space="0"/>
                    <w:left w:val="single" w:color="auto" w:sz="4" w:space="0"/>
                    <w:bottom w:val="single" w:color="auto" w:sz="4" w:space="0"/>
                    <w:right w:val="single" w:color="auto" w:sz="4" w:space="0"/>
                  </w:tcBorders>
                  <w:shd w:val="clear" w:color="auto" w:fill="auto"/>
                  <w:vAlign w:val="center"/>
                </w:tcPr>
                <w:p w14:paraId="57B73322">
                  <w:pPr>
                    <w:keepNext w:val="0"/>
                    <w:keepLines w:val="0"/>
                    <w:widowControl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kern w:val="2"/>
                      <w:sz w:val="18"/>
                      <w:szCs w:val="18"/>
                      <w:vertAlign w:val="baseline"/>
                      <w:lang w:val="en-US" w:eastAsia="zh-CN" w:bidi="ar-SA"/>
                    </w:rPr>
                  </w:pPr>
                  <w:r>
                    <w:rPr>
                      <w:rFonts w:hint="eastAsia" w:ascii="宋体" w:hAnsi="宋体" w:eastAsia="宋体" w:cs="宋体"/>
                      <w:color w:val="auto"/>
                      <w:kern w:val="2"/>
                      <w:sz w:val="18"/>
                      <w:szCs w:val="18"/>
                      <w:vertAlign w:val="baseline"/>
                      <w:lang w:val="en-US" w:eastAsia="zh-CN" w:bidi="ar"/>
                    </w:rPr>
                    <w:t>现状浓度</w:t>
                  </w:r>
                </w:p>
              </w:tc>
              <w:tc>
                <w:tcPr>
                  <w:tcW w:w="885" w:type="dxa"/>
                  <w:tcBorders>
                    <w:top w:val="single" w:color="auto" w:sz="4" w:space="0"/>
                    <w:left w:val="single" w:color="auto" w:sz="4" w:space="0"/>
                    <w:bottom w:val="single" w:color="auto" w:sz="4" w:space="0"/>
                    <w:right w:val="single" w:color="auto" w:sz="4" w:space="0"/>
                  </w:tcBorders>
                  <w:shd w:val="clear" w:color="auto" w:fill="auto"/>
                  <w:vAlign w:val="center"/>
                </w:tcPr>
                <w:p w14:paraId="0D9E07D5">
                  <w:pPr>
                    <w:keepNext w:val="0"/>
                    <w:keepLines w:val="0"/>
                    <w:widowControl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kern w:val="2"/>
                      <w:sz w:val="18"/>
                      <w:szCs w:val="18"/>
                      <w:vertAlign w:val="baseline"/>
                      <w:lang w:val="en-US" w:eastAsia="zh-CN" w:bidi="ar-SA"/>
                    </w:rPr>
                  </w:pPr>
                  <w:r>
                    <w:rPr>
                      <w:rFonts w:hint="eastAsia" w:ascii="宋体" w:hAnsi="宋体" w:eastAsia="宋体" w:cs="宋体"/>
                      <w:color w:val="auto"/>
                      <w:kern w:val="2"/>
                      <w:sz w:val="18"/>
                      <w:szCs w:val="18"/>
                      <w:vertAlign w:val="baseline"/>
                      <w:lang w:val="en-US" w:eastAsia="zh-CN" w:bidi="ar"/>
                    </w:rPr>
                    <w:t>标准值</w:t>
                  </w:r>
                </w:p>
              </w:tc>
              <w:tc>
                <w:tcPr>
                  <w:tcW w:w="1003" w:type="dxa"/>
                  <w:tcBorders>
                    <w:top w:val="single" w:color="auto" w:sz="4" w:space="0"/>
                    <w:left w:val="single" w:color="auto" w:sz="4" w:space="0"/>
                    <w:bottom w:val="single" w:color="auto" w:sz="4" w:space="0"/>
                    <w:right w:val="single" w:color="auto" w:sz="4" w:space="0"/>
                  </w:tcBorders>
                  <w:shd w:val="clear" w:color="auto" w:fill="auto"/>
                  <w:vAlign w:val="center"/>
                </w:tcPr>
                <w:p w14:paraId="7E8644A3">
                  <w:pPr>
                    <w:keepNext w:val="0"/>
                    <w:keepLines w:val="0"/>
                    <w:widowControl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kern w:val="2"/>
                      <w:sz w:val="18"/>
                      <w:szCs w:val="18"/>
                      <w:vertAlign w:val="baseline"/>
                      <w:lang w:val="en-US" w:eastAsia="zh-CN" w:bidi="ar-SA"/>
                    </w:rPr>
                  </w:pPr>
                  <w:r>
                    <w:rPr>
                      <w:rFonts w:hint="eastAsia" w:ascii="宋体" w:hAnsi="宋体" w:eastAsia="宋体" w:cs="宋体"/>
                      <w:color w:val="auto"/>
                      <w:kern w:val="2"/>
                      <w:sz w:val="18"/>
                      <w:szCs w:val="18"/>
                      <w:vertAlign w:val="baseline"/>
                      <w:lang w:val="en-US" w:eastAsia="zh-CN" w:bidi="ar"/>
                    </w:rPr>
                    <w:t>占标率</w:t>
                  </w:r>
                  <w:r>
                    <w:rPr>
                      <w:rFonts w:hint="default" w:ascii="Times New Roman" w:hAnsi="Times New Roman" w:eastAsia="宋体" w:cs="Times New Roman"/>
                      <w:color w:val="auto"/>
                      <w:kern w:val="2"/>
                      <w:sz w:val="18"/>
                      <w:szCs w:val="18"/>
                      <w:vertAlign w:val="baseline"/>
                      <w:lang w:val="en-US" w:eastAsia="zh-CN" w:bidi="ar"/>
                    </w:rPr>
                    <w:t>%</w:t>
                  </w:r>
                </w:p>
              </w:tc>
              <w:tc>
                <w:tcPr>
                  <w:tcW w:w="1270" w:type="dxa"/>
                  <w:tcBorders>
                    <w:top w:val="single" w:color="auto" w:sz="4" w:space="0"/>
                    <w:left w:val="single" w:color="auto" w:sz="4" w:space="0"/>
                    <w:bottom w:val="single" w:color="auto" w:sz="4" w:space="0"/>
                    <w:right w:val="single" w:color="auto" w:sz="8" w:space="0"/>
                  </w:tcBorders>
                  <w:shd w:val="clear" w:color="auto" w:fill="auto"/>
                  <w:vAlign w:val="center"/>
                </w:tcPr>
                <w:p w14:paraId="672AEACC">
                  <w:pPr>
                    <w:keepNext w:val="0"/>
                    <w:keepLines w:val="0"/>
                    <w:widowControl w:val="0"/>
                    <w:suppressLineNumbers w:val="0"/>
                    <w:adjustRightInd w:val="0"/>
                    <w:spacing w:before="0" w:beforeAutospacing="0" w:after="0" w:afterAutospacing="0" w:line="240" w:lineRule="auto"/>
                    <w:ind w:left="0" w:leftChars="0" w:right="0" w:rightChars="0"/>
                    <w:jc w:val="center"/>
                    <w:textAlignment w:val="baseline"/>
                    <w:rPr>
                      <w:rFonts w:hint="eastAsia" w:ascii="Times New Roman" w:hAnsi="Times New Roman" w:eastAsia="宋体" w:cs="Times New Roman"/>
                      <w:color w:val="auto"/>
                      <w:kern w:val="2"/>
                      <w:sz w:val="18"/>
                      <w:szCs w:val="18"/>
                      <w:vertAlign w:val="baseline"/>
                      <w:lang w:val="en-US" w:eastAsia="zh-CN" w:bidi="ar-SA"/>
                    </w:rPr>
                  </w:pPr>
                  <w:r>
                    <w:rPr>
                      <w:rFonts w:hint="eastAsia" w:ascii="宋体" w:hAnsi="宋体" w:eastAsia="宋体" w:cs="宋体"/>
                      <w:color w:val="auto"/>
                      <w:kern w:val="2"/>
                      <w:sz w:val="18"/>
                      <w:szCs w:val="18"/>
                      <w:vertAlign w:val="baseline"/>
                      <w:lang w:val="en-US" w:eastAsia="zh-CN" w:bidi="ar"/>
                    </w:rPr>
                    <w:t>达标情况</w:t>
                  </w:r>
                </w:p>
              </w:tc>
            </w:tr>
            <w:tr w14:paraId="08A6916E">
              <w:tblPrEx>
                <w:tblBorders>
                  <w:top w:val="single" w:color="auto" w:sz="4" w:space="0"/>
                  <w:left w:val="none" w:color="auto" w:sz="6" w:space="0"/>
                  <w:bottom w:val="single" w:color="auto" w:sz="4" w:space="0"/>
                  <w:right w:val="none" w:color="auto" w:sz="6" w:space="0"/>
                  <w:insideH w:val="single" w:color="auto" w:sz="4" w:space="0"/>
                  <w:insideV w:val="single" w:color="auto" w:sz="4" w:space="0"/>
                </w:tblBorders>
                <w:shd w:val="clear" w:color="auto" w:fill="auto"/>
                <w:tblCellMar>
                  <w:top w:w="0" w:type="dxa"/>
                  <w:left w:w="0" w:type="dxa"/>
                  <w:bottom w:w="0" w:type="dxa"/>
                  <w:right w:w="0" w:type="dxa"/>
                </w:tblCellMar>
              </w:tblPrEx>
              <w:trPr>
                <w:trHeight w:val="283" w:hRule="atLeast"/>
                <w:jc w:val="center"/>
              </w:trPr>
              <w:tc>
                <w:tcPr>
                  <w:tcW w:w="1105" w:type="dxa"/>
                  <w:tcBorders>
                    <w:top w:val="single" w:color="auto" w:sz="4" w:space="0"/>
                    <w:left w:val="single" w:color="auto" w:sz="4" w:space="0"/>
                    <w:bottom w:val="single" w:color="auto" w:sz="4" w:space="0"/>
                    <w:right w:val="single" w:color="auto" w:sz="4" w:space="0"/>
                  </w:tcBorders>
                  <w:shd w:val="clear" w:color="auto" w:fill="auto"/>
                  <w:vAlign w:val="center"/>
                </w:tcPr>
                <w:p w14:paraId="68ACD458">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default" w:ascii="Times New Roman" w:hAnsi="Times New Roman" w:eastAsia="宋体" w:cs="Times New Roman"/>
                      <w:color w:val="auto"/>
                      <w:kern w:val="2"/>
                      <w:sz w:val="18"/>
                      <w:szCs w:val="18"/>
                      <w:vertAlign w:val="baseline"/>
                      <w:lang w:val="en-US" w:eastAsia="zh-CN" w:bidi="ar"/>
                    </w:rPr>
                    <w:t>PM</w:t>
                  </w:r>
                  <w:r>
                    <w:rPr>
                      <w:rFonts w:hint="default" w:ascii="Times New Roman" w:hAnsi="Times New Roman" w:eastAsia="宋体" w:cs="Times New Roman"/>
                      <w:color w:val="auto"/>
                      <w:kern w:val="2"/>
                      <w:sz w:val="18"/>
                      <w:szCs w:val="18"/>
                      <w:vertAlign w:val="subscript"/>
                      <w:lang w:val="en-US" w:eastAsia="zh-CN" w:bidi="ar"/>
                    </w:rPr>
                    <w:t>2.5</w:t>
                  </w:r>
                </w:p>
              </w:tc>
              <w:tc>
                <w:tcPr>
                  <w:tcW w:w="3191" w:type="dxa"/>
                  <w:tcBorders>
                    <w:top w:val="single" w:color="auto" w:sz="4" w:space="0"/>
                    <w:left w:val="single" w:color="auto" w:sz="4" w:space="0"/>
                    <w:bottom w:val="single" w:color="auto" w:sz="4" w:space="0"/>
                    <w:right w:val="single" w:color="auto" w:sz="4" w:space="0"/>
                  </w:tcBorders>
                  <w:shd w:val="clear" w:color="auto" w:fill="auto"/>
                  <w:vAlign w:val="center"/>
                </w:tcPr>
                <w:p w14:paraId="0DE2CB5C">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eastAsia" w:ascii="宋体" w:hAnsi="宋体" w:eastAsia="宋体" w:cs="宋体"/>
                      <w:color w:val="auto"/>
                      <w:kern w:val="2"/>
                      <w:sz w:val="18"/>
                      <w:szCs w:val="18"/>
                      <w:vertAlign w:val="baseline"/>
                      <w:lang w:val="en-US" w:eastAsia="zh-CN" w:bidi="ar"/>
                    </w:rPr>
                    <w:t>年平均质量浓度</w:t>
                  </w:r>
                </w:p>
              </w:tc>
              <w:tc>
                <w:tcPr>
                  <w:tcW w:w="1119" w:type="dxa"/>
                  <w:tcBorders>
                    <w:top w:val="single" w:color="auto" w:sz="4" w:space="0"/>
                    <w:left w:val="single" w:color="auto" w:sz="4" w:space="0"/>
                    <w:bottom w:val="single" w:color="auto" w:sz="4" w:space="0"/>
                    <w:right w:val="single" w:color="auto" w:sz="4" w:space="0"/>
                  </w:tcBorders>
                  <w:shd w:val="clear" w:color="auto" w:fill="auto"/>
                  <w:vAlign w:val="center"/>
                </w:tcPr>
                <w:p w14:paraId="47D69517">
                  <w:pPr>
                    <w:keepNext w:val="0"/>
                    <w:keepLines w:val="0"/>
                    <w:widowControl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kern w:val="2"/>
                      <w:sz w:val="18"/>
                      <w:szCs w:val="18"/>
                      <w:vertAlign w:val="baseline"/>
                    </w:rPr>
                  </w:pPr>
                  <w:r>
                    <w:rPr>
                      <w:rFonts w:hint="default" w:ascii="Times New Roman" w:hAnsi="Times New Roman" w:eastAsia="宋体" w:cs="Times New Roman"/>
                      <w:color w:val="auto"/>
                      <w:kern w:val="2"/>
                      <w:sz w:val="18"/>
                      <w:szCs w:val="18"/>
                      <w:vertAlign w:val="baseline"/>
                      <w:lang w:val="en-US" w:eastAsia="zh-CN" w:bidi="ar"/>
                    </w:rPr>
                    <w:t>24</w:t>
                  </w:r>
                </w:p>
              </w:tc>
              <w:tc>
                <w:tcPr>
                  <w:tcW w:w="885" w:type="dxa"/>
                  <w:tcBorders>
                    <w:top w:val="single" w:color="auto" w:sz="4" w:space="0"/>
                    <w:left w:val="single" w:color="auto" w:sz="4" w:space="0"/>
                    <w:bottom w:val="single" w:color="auto" w:sz="4" w:space="0"/>
                    <w:right w:val="single" w:color="auto" w:sz="4" w:space="0"/>
                  </w:tcBorders>
                  <w:shd w:val="clear" w:color="auto" w:fill="auto"/>
                  <w:vAlign w:val="center"/>
                </w:tcPr>
                <w:p w14:paraId="2EAFD928">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default" w:ascii="Times New Roman" w:hAnsi="Times New Roman" w:eastAsia="宋体" w:cs="Times New Roman"/>
                      <w:color w:val="auto"/>
                      <w:kern w:val="2"/>
                      <w:sz w:val="18"/>
                      <w:szCs w:val="18"/>
                      <w:vertAlign w:val="baseline"/>
                      <w:lang w:val="en-US" w:eastAsia="zh-CN" w:bidi="ar"/>
                    </w:rPr>
                    <w:t>3</w:t>
                  </w:r>
                  <w:r>
                    <w:rPr>
                      <w:rFonts w:hint="eastAsia" w:ascii="Times New Roman" w:hAnsi="Times New Roman" w:cs="Times New Roman"/>
                      <w:color w:val="auto"/>
                      <w:kern w:val="2"/>
                      <w:sz w:val="18"/>
                      <w:szCs w:val="18"/>
                      <w:vertAlign w:val="baseline"/>
                      <w:lang w:val="en-US" w:eastAsia="zh-CN" w:bidi="ar"/>
                    </w:rPr>
                    <w:t>0</w:t>
                  </w:r>
                </w:p>
              </w:tc>
              <w:tc>
                <w:tcPr>
                  <w:tcW w:w="1003" w:type="dxa"/>
                  <w:tcBorders>
                    <w:top w:val="single" w:color="auto" w:sz="4" w:space="0"/>
                    <w:left w:val="single" w:color="auto" w:sz="4" w:space="0"/>
                    <w:bottom w:val="single" w:color="auto" w:sz="4" w:space="0"/>
                    <w:right w:val="single" w:color="auto" w:sz="4" w:space="0"/>
                  </w:tcBorders>
                  <w:shd w:val="clear" w:color="auto" w:fill="auto"/>
                  <w:vAlign w:val="center"/>
                </w:tcPr>
                <w:p w14:paraId="4E33179F">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lang w:val="en-US"/>
                    </w:rPr>
                  </w:pPr>
                  <w:r>
                    <w:rPr>
                      <w:rFonts w:hint="eastAsia" w:ascii="Times New Roman" w:hAnsi="Times New Roman" w:cs="Times New Roman"/>
                      <w:color w:val="auto"/>
                      <w:kern w:val="2"/>
                      <w:sz w:val="18"/>
                      <w:szCs w:val="18"/>
                      <w:vertAlign w:val="baseline"/>
                      <w:lang w:val="en-US" w:eastAsia="zh-CN" w:bidi="ar"/>
                    </w:rPr>
                    <w:t>80.0</w:t>
                  </w:r>
                </w:p>
              </w:tc>
              <w:tc>
                <w:tcPr>
                  <w:tcW w:w="1270" w:type="dxa"/>
                  <w:tcBorders>
                    <w:top w:val="single" w:color="auto" w:sz="4" w:space="0"/>
                    <w:left w:val="single" w:color="auto" w:sz="4" w:space="0"/>
                    <w:bottom w:val="single" w:color="auto" w:sz="4" w:space="0"/>
                    <w:right w:val="single" w:color="auto" w:sz="8" w:space="0"/>
                  </w:tcBorders>
                  <w:shd w:val="clear" w:color="auto" w:fill="auto"/>
                  <w:vAlign w:val="center"/>
                </w:tcPr>
                <w:p w14:paraId="663E125E">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eastAsia" w:ascii="宋体" w:hAnsi="宋体" w:eastAsia="宋体" w:cs="宋体"/>
                      <w:color w:val="auto"/>
                      <w:kern w:val="2"/>
                      <w:sz w:val="18"/>
                      <w:szCs w:val="18"/>
                      <w:vertAlign w:val="baseline"/>
                      <w:lang w:val="en-US" w:eastAsia="zh-CN" w:bidi="ar"/>
                    </w:rPr>
                    <w:t>达标</w:t>
                  </w:r>
                </w:p>
              </w:tc>
            </w:tr>
            <w:tr w14:paraId="61B4500E">
              <w:tblPrEx>
                <w:tblBorders>
                  <w:top w:val="single" w:color="auto" w:sz="4" w:space="0"/>
                  <w:left w:val="none" w:color="auto" w:sz="6" w:space="0"/>
                  <w:bottom w:val="single" w:color="auto" w:sz="4" w:space="0"/>
                  <w:right w:val="none" w:color="auto" w:sz="6" w:space="0"/>
                  <w:insideH w:val="single" w:color="auto" w:sz="4" w:space="0"/>
                  <w:insideV w:val="single" w:color="auto" w:sz="4" w:space="0"/>
                </w:tblBorders>
                <w:shd w:val="clear" w:color="auto" w:fill="auto"/>
                <w:tblCellMar>
                  <w:top w:w="0" w:type="dxa"/>
                  <w:left w:w="0" w:type="dxa"/>
                  <w:bottom w:w="0" w:type="dxa"/>
                  <w:right w:w="0" w:type="dxa"/>
                </w:tblCellMar>
              </w:tblPrEx>
              <w:trPr>
                <w:trHeight w:val="283" w:hRule="atLeast"/>
                <w:jc w:val="center"/>
              </w:trPr>
              <w:tc>
                <w:tcPr>
                  <w:tcW w:w="1105" w:type="dxa"/>
                  <w:tcBorders>
                    <w:top w:val="single" w:color="auto" w:sz="4" w:space="0"/>
                    <w:left w:val="single" w:color="auto" w:sz="4" w:space="0"/>
                    <w:bottom w:val="single" w:color="auto" w:sz="4" w:space="0"/>
                    <w:right w:val="single" w:color="auto" w:sz="4" w:space="0"/>
                  </w:tcBorders>
                  <w:shd w:val="clear" w:color="auto" w:fill="auto"/>
                  <w:vAlign w:val="center"/>
                </w:tcPr>
                <w:p w14:paraId="2CAF07E4">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default" w:ascii="Times New Roman" w:hAnsi="Times New Roman" w:eastAsia="宋体" w:cs="Times New Roman"/>
                      <w:color w:val="auto"/>
                      <w:kern w:val="2"/>
                      <w:sz w:val="18"/>
                      <w:szCs w:val="18"/>
                      <w:vertAlign w:val="baseline"/>
                      <w:lang w:val="en-US" w:eastAsia="zh-CN" w:bidi="ar"/>
                    </w:rPr>
                    <w:t>PM</w:t>
                  </w:r>
                  <w:r>
                    <w:rPr>
                      <w:rFonts w:hint="default" w:ascii="Times New Roman" w:hAnsi="Times New Roman" w:eastAsia="宋体" w:cs="Times New Roman"/>
                      <w:color w:val="auto"/>
                      <w:kern w:val="2"/>
                      <w:sz w:val="18"/>
                      <w:szCs w:val="18"/>
                      <w:vertAlign w:val="subscript"/>
                      <w:lang w:val="en-US" w:eastAsia="zh-CN" w:bidi="ar"/>
                    </w:rPr>
                    <w:t>10</w:t>
                  </w:r>
                </w:p>
              </w:tc>
              <w:tc>
                <w:tcPr>
                  <w:tcW w:w="3191" w:type="dxa"/>
                  <w:tcBorders>
                    <w:top w:val="single" w:color="auto" w:sz="4" w:space="0"/>
                    <w:left w:val="single" w:color="auto" w:sz="4" w:space="0"/>
                    <w:bottom w:val="single" w:color="auto" w:sz="4" w:space="0"/>
                    <w:right w:val="single" w:color="auto" w:sz="4" w:space="0"/>
                  </w:tcBorders>
                  <w:shd w:val="clear" w:color="auto" w:fill="auto"/>
                  <w:vAlign w:val="center"/>
                </w:tcPr>
                <w:p w14:paraId="0087FA2B">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eastAsia" w:ascii="宋体" w:hAnsi="宋体" w:eastAsia="宋体" w:cs="宋体"/>
                      <w:color w:val="auto"/>
                      <w:kern w:val="2"/>
                      <w:sz w:val="18"/>
                      <w:szCs w:val="18"/>
                      <w:vertAlign w:val="baseline"/>
                      <w:lang w:val="en-US" w:eastAsia="zh-CN" w:bidi="ar"/>
                    </w:rPr>
                    <w:t>年平均质量浓度</w:t>
                  </w:r>
                </w:p>
              </w:tc>
              <w:tc>
                <w:tcPr>
                  <w:tcW w:w="1119" w:type="dxa"/>
                  <w:tcBorders>
                    <w:top w:val="single" w:color="auto" w:sz="4" w:space="0"/>
                    <w:left w:val="single" w:color="auto" w:sz="4" w:space="0"/>
                    <w:bottom w:val="single" w:color="auto" w:sz="4" w:space="0"/>
                    <w:right w:val="single" w:color="auto" w:sz="4" w:space="0"/>
                  </w:tcBorders>
                  <w:shd w:val="clear" w:color="auto" w:fill="auto"/>
                  <w:vAlign w:val="center"/>
                </w:tcPr>
                <w:p w14:paraId="361106F4">
                  <w:pPr>
                    <w:keepNext w:val="0"/>
                    <w:keepLines w:val="0"/>
                    <w:widowControl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kern w:val="2"/>
                      <w:sz w:val="18"/>
                      <w:szCs w:val="18"/>
                      <w:vertAlign w:val="baseline"/>
                    </w:rPr>
                  </w:pPr>
                  <w:r>
                    <w:rPr>
                      <w:rFonts w:hint="default" w:ascii="Times New Roman" w:hAnsi="Times New Roman" w:eastAsia="宋体" w:cs="Times New Roman"/>
                      <w:color w:val="auto"/>
                      <w:kern w:val="2"/>
                      <w:sz w:val="18"/>
                      <w:szCs w:val="18"/>
                      <w:vertAlign w:val="baseline"/>
                      <w:lang w:val="en-US" w:eastAsia="zh-CN" w:bidi="ar"/>
                    </w:rPr>
                    <w:t>34</w:t>
                  </w:r>
                </w:p>
              </w:tc>
              <w:tc>
                <w:tcPr>
                  <w:tcW w:w="885" w:type="dxa"/>
                  <w:tcBorders>
                    <w:top w:val="single" w:color="auto" w:sz="4" w:space="0"/>
                    <w:left w:val="single" w:color="auto" w:sz="4" w:space="0"/>
                    <w:bottom w:val="single" w:color="auto" w:sz="4" w:space="0"/>
                    <w:right w:val="single" w:color="auto" w:sz="4" w:space="0"/>
                  </w:tcBorders>
                  <w:shd w:val="clear" w:color="auto" w:fill="auto"/>
                  <w:vAlign w:val="center"/>
                </w:tcPr>
                <w:p w14:paraId="3465FF22">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eastAsia" w:ascii="Times New Roman" w:hAnsi="Times New Roman" w:cs="Times New Roman"/>
                      <w:color w:val="auto"/>
                      <w:kern w:val="2"/>
                      <w:sz w:val="18"/>
                      <w:szCs w:val="18"/>
                      <w:vertAlign w:val="baseline"/>
                      <w:lang w:val="en-US" w:eastAsia="zh-CN" w:bidi="ar"/>
                    </w:rPr>
                    <w:t>6</w:t>
                  </w:r>
                  <w:r>
                    <w:rPr>
                      <w:rFonts w:hint="default" w:ascii="Times New Roman" w:hAnsi="Times New Roman" w:eastAsia="宋体" w:cs="Times New Roman"/>
                      <w:color w:val="auto"/>
                      <w:kern w:val="2"/>
                      <w:sz w:val="18"/>
                      <w:szCs w:val="18"/>
                      <w:vertAlign w:val="baseline"/>
                      <w:lang w:val="en-US" w:eastAsia="zh-CN" w:bidi="ar"/>
                    </w:rPr>
                    <w:t>0</w:t>
                  </w:r>
                </w:p>
              </w:tc>
              <w:tc>
                <w:tcPr>
                  <w:tcW w:w="1003" w:type="dxa"/>
                  <w:tcBorders>
                    <w:top w:val="single" w:color="auto" w:sz="4" w:space="0"/>
                    <w:left w:val="single" w:color="auto" w:sz="4" w:space="0"/>
                    <w:bottom w:val="single" w:color="auto" w:sz="4" w:space="0"/>
                    <w:right w:val="single" w:color="auto" w:sz="4" w:space="0"/>
                  </w:tcBorders>
                  <w:shd w:val="clear" w:color="auto" w:fill="auto"/>
                  <w:vAlign w:val="center"/>
                </w:tcPr>
                <w:p w14:paraId="40386A03">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lang w:val="en-US"/>
                    </w:rPr>
                  </w:pPr>
                  <w:r>
                    <w:rPr>
                      <w:rFonts w:hint="eastAsia" w:ascii="Times New Roman" w:hAnsi="Times New Roman" w:cs="Times New Roman"/>
                      <w:color w:val="auto"/>
                      <w:kern w:val="2"/>
                      <w:sz w:val="18"/>
                      <w:szCs w:val="18"/>
                      <w:vertAlign w:val="baseline"/>
                      <w:lang w:val="en-US" w:eastAsia="zh-CN" w:bidi="ar"/>
                    </w:rPr>
                    <w:t>56.7</w:t>
                  </w:r>
                </w:p>
              </w:tc>
              <w:tc>
                <w:tcPr>
                  <w:tcW w:w="1270" w:type="dxa"/>
                  <w:tcBorders>
                    <w:top w:val="single" w:color="auto" w:sz="4" w:space="0"/>
                    <w:left w:val="single" w:color="auto" w:sz="4" w:space="0"/>
                    <w:bottom w:val="single" w:color="auto" w:sz="4" w:space="0"/>
                    <w:right w:val="single" w:color="auto" w:sz="8" w:space="0"/>
                  </w:tcBorders>
                  <w:shd w:val="clear" w:color="auto" w:fill="auto"/>
                  <w:vAlign w:val="center"/>
                </w:tcPr>
                <w:p w14:paraId="527F67B1">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eastAsia" w:ascii="宋体" w:hAnsi="宋体" w:eastAsia="宋体" w:cs="宋体"/>
                      <w:color w:val="auto"/>
                      <w:kern w:val="2"/>
                      <w:sz w:val="18"/>
                      <w:szCs w:val="18"/>
                      <w:vertAlign w:val="baseline"/>
                      <w:lang w:val="en-US" w:eastAsia="zh-CN" w:bidi="ar"/>
                    </w:rPr>
                    <w:t>达标</w:t>
                  </w:r>
                </w:p>
              </w:tc>
            </w:tr>
            <w:tr w14:paraId="5FA7B6A6">
              <w:tblPrEx>
                <w:tblBorders>
                  <w:top w:val="single" w:color="auto" w:sz="4" w:space="0"/>
                  <w:left w:val="none" w:color="auto" w:sz="6" w:space="0"/>
                  <w:bottom w:val="single" w:color="auto" w:sz="4" w:space="0"/>
                  <w:right w:val="none" w:color="auto" w:sz="6" w:space="0"/>
                  <w:insideH w:val="single" w:color="auto" w:sz="4" w:space="0"/>
                  <w:insideV w:val="single" w:color="auto" w:sz="4" w:space="0"/>
                </w:tblBorders>
                <w:shd w:val="clear" w:color="auto" w:fill="auto"/>
                <w:tblCellMar>
                  <w:top w:w="0" w:type="dxa"/>
                  <w:left w:w="0" w:type="dxa"/>
                  <w:bottom w:w="0" w:type="dxa"/>
                  <w:right w:w="0" w:type="dxa"/>
                </w:tblCellMar>
              </w:tblPrEx>
              <w:trPr>
                <w:trHeight w:val="283" w:hRule="atLeast"/>
                <w:jc w:val="center"/>
              </w:trPr>
              <w:tc>
                <w:tcPr>
                  <w:tcW w:w="1105" w:type="dxa"/>
                  <w:tcBorders>
                    <w:top w:val="single" w:color="auto" w:sz="4" w:space="0"/>
                    <w:left w:val="single" w:color="auto" w:sz="4" w:space="0"/>
                    <w:bottom w:val="single" w:color="auto" w:sz="4" w:space="0"/>
                    <w:right w:val="single" w:color="auto" w:sz="4" w:space="0"/>
                  </w:tcBorders>
                  <w:shd w:val="clear" w:color="auto" w:fill="auto"/>
                  <w:vAlign w:val="center"/>
                </w:tcPr>
                <w:p w14:paraId="38BAC63C">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default" w:ascii="Times New Roman" w:hAnsi="Times New Roman" w:eastAsia="宋体" w:cs="Times New Roman"/>
                      <w:color w:val="auto"/>
                      <w:kern w:val="2"/>
                      <w:sz w:val="18"/>
                      <w:szCs w:val="18"/>
                      <w:vertAlign w:val="baseline"/>
                      <w:lang w:val="en-US" w:eastAsia="zh-CN" w:bidi="ar"/>
                    </w:rPr>
                    <w:t>NO</w:t>
                  </w:r>
                  <w:r>
                    <w:rPr>
                      <w:rFonts w:hint="default" w:ascii="Times New Roman" w:hAnsi="Times New Roman" w:eastAsia="宋体" w:cs="Times New Roman"/>
                      <w:color w:val="auto"/>
                      <w:kern w:val="2"/>
                      <w:sz w:val="18"/>
                      <w:szCs w:val="18"/>
                      <w:vertAlign w:val="subscript"/>
                      <w:lang w:val="en-US" w:eastAsia="zh-CN" w:bidi="ar"/>
                    </w:rPr>
                    <w:t>2</w:t>
                  </w:r>
                </w:p>
              </w:tc>
              <w:tc>
                <w:tcPr>
                  <w:tcW w:w="3191" w:type="dxa"/>
                  <w:tcBorders>
                    <w:top w:val="single" w:color="auto" w:sz="4" w:space="0"/>
                    <w:left w:val="single" w:color="auto" w:sz="4" w:space="0"/>
                    <w:bottom w:val="single" w:color="auto" w:sz="4" w:space="0"/>
                    <w:right w:val="single" w:color="auto" w:sz="4" w:space="0"/>
                  </w:tcBorders>
                  <w:shd w:val="clear" w:color="auto" w:fill="auto"/>
                  <w:vAlign w:val="center"/>
                </w:tcPr>
                <w:p w14:paraId="36632892">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eastAsia" w:ascii="宋体" w:hAnsi="宋体" w:eastAsia="宋体" w:cs="宋体"/>
                      <w:color w:val="auto"/>
                      <w:kern w:val="2"/>
                      <w:sz w:val="18"/>
                      <w:szCs w:val="18"/>
                      <w:vertAlign w:val="baseline"/>
                      <w:lang w:val="en-US" w:eastAsia="zh-CN" w:bidi="ar"/>
                    </w:rPr>
                    <w:t>年平均质量浓度</w:t>
                  </w:r>
                </w:p>
              </w:tc>
              <w:tc>
                <w:tcPr>
                  <w:tcW w:w="1119" w:type="dxa"/>
                  <w:tcBorders>
                    <w:top w:val="single" w:color="auto" w:sz="4" w:space="0"/>
                    <w:left w:val="single" w:color="auto" w:sz="4" w:space="0"/>
                    <w:bottom w:val="single" w:color="auto" w:sz="4" w:space="0"/>
                    <w:right w:val="single" w:color="auto" w:sz="4" w:space="0"/>
                  </w:tcBorders>
                  <w:shd w:val="clear" w:color="auto" w:fill="auto"/>
                  <w:vAlign w:val="center"/>
                </w:tcPr>
                <w:p w14:paraId="7FD75A7B">
                  <w:pPr>
                    <w:keepNext w:val="0"/>
                    <w:keepLines w:val="0"/>
                    <w:widowControl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kern w:val="2"/>
                      <w:sz w:val="18"/>
                      <w:szCs w:val="18"/>
                      <w:vertAlign w:val="baseline"/>
                    </w:rPr>
                  </w:pPr>
                  <w:r>
                    <w:rPr>
                      <w:rFonts w:hint="default" w:ascii="Times New Roman" w:hAnsi="Times New Roman" w:eastAsia="宋体" w:cs="Times New Roman"/>
                      <w:color w:val="auto"/>
                      <w:kern w:val="2"/>
                      <w:sz w:val="18"/>
                      <w:szCs w:val="18"/>
                      <w:vertAlign w:val="baseline"/>
                      <w:lang w:val="en-US" w:eastAsia="zh-CN" w:bidi="ar"/>
                    </w:rPr>
                    <w:t>13</w:t>
                  </w:r>
                </w:p>
              </w:tc>
              <w:tc>
                <w:tcPr>
                  <w:tcW w:w="885" w:type="dxa"/>
                  <w:tcBorders>
                    <w:top w:val="single" w:color="auto" w:sz="4" w:space="0"/>
                    <w:left w:val="single" w:color="auto" w:sz="4" w:space="0"/>
                    <w:bottom w:val="single" w:color="auto" w:sz="4" w:space="0"/>
                    <w:right w:val="single" w:color="auto" w:sz="4" w:space="0"/>
                  </w:tcBorders>
                  <w:shd w:val="clear" w:color="auto" w:fill="auto"/>
                  <w:vAlign w:val="center"/>
                </w:tcPr>
                <w:p w14:paraId="6BF3B2A2">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default" w:ascii="Times New Roman" w:hAnsi="Times New Roman" w:eastAsia="宋体" w:cs="Times New Roman"/>
                      <w:color w:val="auto"/>
                      <w:kern w:val="2"/>
                      <w:sz w:val="18"/>
                      <w:szCs w:val="18"/>
                      <w:vertAlign w:val="baseline"/>
                      <w:lang w:val="en-US" w:eastAsia="zh-CN" w:bidi="ar"/>
                    </w:rPr>
                    <w:t>40</w:t>
                  </w:r>
                </w:p>
              </w:tc>
              <w:tc>
                <w:tcPr>
                  <w:tcW w:w="1003" w:type="dxa"/>
                  <w:tcBorders>
                    <w:top w:val="single" w:color="auto" w:sz="4" w:space="0"/>
                    <w:left w:val="single" w:color="auto" w:sz="4" w:space="0"/>
                    <w:bottom w:val="single" w:color="auto" w:sz="4" w:space="0"/>
                    <w:right w:val="single" w:color="auto" w:sz="4" w:space="0"/>
                  </w:tcBorders>
                  <w:shd w:val="clear" w:color="auto" w:fill="auto"/>
                  <w:vAlign w:val="center"/>
                </w:tcPr>
                <w:p w14:paraId="2999836D">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default" w:ascii="Times New Roman" w:hAnsi="Times New Roman" w:eastAsia="宋体" w:cs="Times New Roman"/>
                      <w:color w:val="auto"/>
                      <w:kern w:val="2"/>
                      <w:sz w:val="18"/>
                      <w:szCs w:val="18"/>
                      <w:vertAlign w:val="baseline"/>
                      <w:lang w:val="en-US" w:eastAsia="zh-CN" w:bidi="ar"/>
                    </w:rPr>
                    <w:t>32.5</w:t>
                  </w:r>
                </w:p>
              </w:tc>
              <w:tc>
                <w:tcPr>
                  <w:tcW w:w="1270" w:type="dxa"/>
                  <w:tcBorders>
                    <w:top w:val="single" w:color="auto" w:sz="4" w:space="0"/>
                    <w:left w:val="single" w:color="auto" w:sz="4" w:space="0"/>
                    <w:bottom w:val="single" w:color="auto" w:sz="4" w:space="0"/>
                    <w:right w:val="single" w:color="auto" w:sz="8" w:space="0"/>
                  </w:tcBorders>
                  <w:shd w:val="clear" w:color="auto" w:fill="auto"/>
                  <w:vAlign w:val="center"/>
                </w:tcPr>
                <w:p w14:paraId="5F313F77">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eastAsia" w:ascii="宋体" w:hAnsi="宋体" w:eastAsia="宋体" w:cs="宋体"/>
                      <w:color w:val="auto"/>
                      <w:kern w:val="2"/>
                      <w:sz w:val="18"/>
                      <w:szCs w:val="18"/>
                      <w:vertAlign w:val="baseline"/>
                      <w:lang w:val="en-US" w:eastAsia="zh-CN" w:bidi="ar"/>
                    </w:rPr>
                    <w:t>达标</w:t>
                  </w:r>
                </w:p>
              </w:tc>
            </w:tr>
            <w:tr w14:paraId="0DD7F58A">
              <w:tblPrEx>
                <w:tblBorders>
                  <w:top w:val="single" w:color="auto" w:sz="4" w:space="0"/>
                  <w:left w:val="none" w:color="auto" w:sz="6" w:space="0"/>
                  <w:bottom w:val="single" w:color="auto" w:sz="4" w:space="0"/>
                  <w:right w:val="none" w:color="auto" w:sz="6" w:space="0"/>
                  <w:insideH w:val="single" w:color="auto" w:sz="4" w:space="0"/>
                  <w:insideV w:val="single" w:color="auto" w:sz="4" w:space="0"/>
                </w:tblBorders>
                <w:shd w:val="clear" w:color="auto" w:fill="auto"/>
                <w:tblCellMar>
                  <w:top w:w="0" w:type="dxa"/>
                  <w:left w:w="0" w:type="dxa"/>
                  <w:bottom w:w="0" w:type="dxa"/>
                  <w:right w:w="0" w:type="dxa"/>
                </w:tblCellMar>
              </w:tblPrEx>
              <w:trPr>
                <w:trHeight w:val="283" w:hRule="atLeast"/>
                <w:jc w:val="center"/>
              </w:trPr>
              <w:tc>
                <w:tcPr>
                  <w:tcW w:w="1105" w:type="dxa"/>
                  <w:tcBorders>
                    <w:top w:val="single" w:color="auto" w:sz="4" w:space="0"/>
                    <w:left w:val="single" w:color="auto" w:sz="4" w:space="0"/>
                    <w:bottom w:val="single" w:color="auto" w:sz="4" w:space="0"/>
                    <w:right w:val="single" w:color="auto" w:sz="4" w:space="0"/>
                  </w:tcBorders>
                  <w:shd w:val="clear" w:color="auto" w:fill="auto"/>
                  <w:vAlign w:val="center"/>
                </w:tcPr>
                <w:p w14:paraId="2C801C8D">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default" w:ascii="Times New Roman" w:hAnsi="Times New Roman" w:eastAsia="宋体" w:cs="Times New Roman"/>
                      <w:color w:val="auto"/>
                      <w:kern w:val="2"/>
                      <w:sz w:val="18"/>
                      <w:szCs w:val="18"/>
                      <w:vertAlign w:val="baseline"/>
                      <w:lang w:val="en-US" w:eastAsia="zh-CN" w:bidi="ar"/>
                    </w:rPr>
                    <w:t>SO</w:t>
                  </w:r>
                  <w:r>
                    <w:rPr>
                      <w:rFonts w:hint="default" w:ascii="Times New Roman" w:hAnsi="Times New Roman" w:eastAsia="宋体" w:cs="Times New Roman"/>
                      <w:color w:val="auto"/>
                      <w:kern w:val="2"/>
                      <w:sz w:val="18"/>
                      <w:szCs w:val="18"/>
                      <w:vertAlign w:val="subscript"/>
                      <w:lang w:val="en-US" w:eastAsia="zh-CN" w:bidi="ar"/>
                    </w:rPr>
                    <w:t>2</w:t>
                  </w:r>
                </w:p>
              </w:tc>
              <w:tc>
                <w:tcPr>
                  <w:tcW w:w="3191" w:type="dxa"/>
                  <w:tcBorders>
                    <w:top w:val="single" w:color="auto" w:sz="4" w:space="0"/>
                    <w:left w:val="single" w:color="auto" w:sz="4" w:space="0"/>
                    <w:bottom w:val="single" w:color="auto" w:sz="4" w:space="0"/>
                    <w:right w:val="single" w:color="auto" w:sz="4" w:space="0"/>
                  </w:tcBorders>
                  <w:shd w:val="clear" w:color="auto" w:fill="auto"/>
                  <w:vAlign w:val="center"/>
                </w:tcPr>
                <w:p w14:paraId="26142417">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eastAsia" w:ascii="宋体" w:hAnsi="宋体" w:eastAsia="宋体" w:cs="宋体"/>
                      <w:color w:val="auto"/>
                      <w:kern w:val="2"/>
                      <w:sz w:val="18"/>
                      <w:szCs w:val="18"/>
                      <w:vertAlign w:val="baseline"/>
                      <w:lang w:val="en-US" w:eastAsia="zh-CN" w:bidi="ar"/>
                    </w:rPr>
                    <w:t>年平均质量浓度</w:t>
                  </w:r>
                </w:p>
              </w:tc>
              <w:tc>
                <w:tcPr>
                  <w:tcW w:w="1119" w:type="dxa"/>
                  <w:tcBorders>
                    <w:top w:val="single" w:color="auto" w:sz="4" w:space="0"/>
                    <w:left w:val="single" w:color="auto" w:sz="4" w:space="0"/>
                    <w:bottom w:val="single" w:color="auto" w:sz="4" w:space="0"/>
                    <w:right w:val="single" w:color="auto" w:sz="4" w:space="0"/>
                  </w:tcBorders>
                  <w:shd w:val="clear" w:color="auto" w:fill="auto"/>
                  <w:vAlign w:val="center"/>
                </w:tcPr>
                <w:p w14:paraId="3B9695D4">
                  <w:pPr>
                    <w:keepNext w:val="0"/>
                    <w:keepLines w:val="0"/>
                    <w:widowControl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kern w:val="2"/>
                      <w:sz w:val="18"/>
                      <w:szCs w:val="18"/>
                      <w:vertAlign w:val="baseline"/>
                    </w:rPr>
                  </w:pPr>
                  <w:r>
                    <w:rPr>
                      <w:rFonts w:hint="default" w:ascii="Times New Roman" w:hAnsi="Times New Roman" w:eastAsia="宋体" w:cs="Times New Roman"/>
                      <w:color w:val="auto"/>
                      <w:kern w:val="2"/>
                      <w:sz w:val="18"/>
                      <w:szCs w:val="18"/>
                      <w:vertAlign w:val="baseline"/>
                      <w:lang w:val="en-US" w:eastAsia="zh-CN" w:bidi="ar"/>
                    </w:rPr>
                    <w:t>7</w:t>
                  </w:r>
                </w:p>
              </w:tc>
              <w:tc>
                <w:tcPr>
                  <w:tcW w:w="885" w:type="dxa"/>
                  <w:tcBorders>
                    <w:top w:val="single" w:color="auto" w:sz="4" w:space="0"/>
                    <w:left w:val="single" w:color="auto" w:sz="4" w:space="0"/>
                    <w:bottom w:val="single" w:color="auto" w:sz="4" w:space="0"/>
                    <w:right w:val="single" w:color="auto" w:sz="4" w:space="0"/>
                  </w:tcBorders>
                  <w:shd w:val="clear" w:color="auto" w:fill="auto"/>
                  <w:vAlign w:val="center"/>
                </w:tcPr>
                <w:p w14:paraId="563A2FDA">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default" w:ascii="Times New Roman" w:hAnsi="Times New Roman" w:eastAsia="宋体" w:cs="Times New Roman"/>
                      <w:color w:val="auto"/>
                      <w:kern w:val="2"/>
                      <w:sz w:val="18"/>
                      <w:szCs w:val="18"/>
                      <w:vertAlign w:val="baseline"/>
                      <w:lang w:val="en-US" w:eastAsia="zh-CN" w:bidi="ar"/>
                    </w:rPr>
                    <w:t>60</w:t>
                  </w:r>
                </w:p>
              </w:tc>
              <w:tc>
                <w:tcPr>
                  <w:tcW w:w="1003" w:type="dxa"/>
                  <w:tcBorders>
                    <w:top w:val="single" w:color="auto" w:sz="4" w:space="0"/>
                    <w:left w:val="single" w:color="auto" w:sz="4" w:space="0"/>
                    <w:bottom w:val="single" w:color="auto" w:sz="4" w:space="0"/>
                    <w:right w:val="single" w:color="auto" w:sz="4" w:space="0"/>
                  </w:tcBorders>
                  <w:shd w:val="clear" w:color="auto" w:fill="auto"/>
                  <w:vAlign w:val="center"/>
                </w:tcPr>
                <w:p w14:paraId="69F92E31">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default" w:ascii="Times New Roman" w:hAnsi="Times New Roman" w:eastAsia="宋体" w:cs="Times New Roman"/>
                      <w:color w:val="auto"/>
                      <w:kern w:val="2"/>
                      <w:sz w:val="18"/>
                      <w:szCs w:val="18"/>
                      <w:vertAlign w:val="baseline"/>
                      <w:lang w:val="en-US" w:eastAsia="zh-CN" w:bidi="ar"/>
                    </w:rPr>
                    <w:t>11.7</w:t>
                  </w:r>
                </w:p>
              </w:tc>
              <w:tc>
                <w:tcPr>
                  <w:tcW w:w="1270" w:type="dxa"/>
                  <w:tcBorders>
                    <w:top w:val="single" w:color="auto" w:sz="4" w:space="0"/>
                    <w:left w:val="single" w:color="auto" w:sz="4" w:space="0"/>
                    <w:bottom w:val="single" w:color="auto" w:sz="4" w:space="0"/>
                    <w:right w:val="single" w:color="auto" w:sz="8" w:space="0"/>
                  </w:tcBorders>
                  <w:shd w:val="clear" w:color="auto" w:fill="auto"/>
                  <w:vAlign w:val="center"/>
                </w:tcPr>
                <w:p w14:paraId="1ED2BAB5">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eastAsia" w:ascii="宋体" w:hAnsi="宋体" w:eastAsia="宋体" w:cs="宋体"/>
                      <w:color w:val="auto"/>
                      <w:kern w:val="2"/>
                      <w:sz w:val="18"/>
                      <w:szCs w:val="18"/>
                      <w:vertAlign w:val="baseline"/>
                      <w:lang w:val="en-US" w:eastAsia="zh-CN" w:bidi="ar"/>
                    </w:rPr>
                    <w:t>达标</w:t>
                  </w:r>
                </w:p>
              </w:tc>
            </w:tr>
            <w:tr w14:paraId="4C6412D6">
              <w:tblPrEx>
                <w:tblBorders>
                  <w:top w:val="single" w:color="auto" w:sz="4" w:space="0"/>
                  <w:left w:val="none" w:color="auto" w:sz="6" w:space="0"/>
                  <w:bottom w:val="single" w:color="auto" w:sz="4" w:space="0"/>
                  <w:right w:val="none" w:color="auto" w:sz="6" w:space="0"/>
                  <w:insideH w:val="single" w:color="auto" w:sz="4" w:space="0"/>
                  <w:insideV w:val="single" w:color="auto" w:sz="4" w:space="0"/>
                </w:tblBorders>
                <w:shd w:val="clear" w:color="auto" w:fill="auto"/>
                <w:tblCellMar>
                  <w:top w:w="0" w:type="dxa"/>
                  <w:left w:w="0" w:type="dxa"/>
                  <w:bottom w:w="0" w:type="dxa"/>
                  <w:right w:w="0" w:type="dxa"/>
                </w:tblCellMar>
              </w:tblPrEx>
              <w:trPr>
                <w:trHeight w:val="283" w:hRule="atLeast"/>
                <w:jc w:val="center"/>
              </w:trPr>
              <w:tc>
                <w:tcPr>
                  <w:tcW w:w="1105" w:type="dxa"/>
                  <w:tcBorders>
                    <w:top w:val="single" w:color="auto" w:sz="4" w:space="0"/>
                    <w:left w:val="single" w:color="auto" w:sz="4" w:space="0"/>
                    <w:bottom w:val="single" w:color="auto" w:sz="4" w:space="0"/>
                    <w:right w:val="single" w:color="auto" w:sz="4" w:space="0"/>
                  </w:tcBorders>
                  <w:shd w:val="clear" w:color="auto" w:fill="auto"/>
                  <w:vAlign w:val="center"/>
                </w:tcPr>
                <w:p w14:paraId="6C516921">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default" w:ascii="Times New Roman" w:hAnsi="Times New Roman" w:eastAsia="宋体" w:cs="Times New Roman"/>
                      <w:color w:val="auto"/>
                      <w:kern w:val="2"/>
                      <w:sz w:val="18"/>
                      <w:szCs w:val="18"/>
                      <w:vertAlign w:val="baseline"/>
                      <w:lang w:val="en-US" w:eastAsia="zh-CN" w:bidi="ar"/>
                    </w:rPr>
                    <w:t>CO</w:t>
                  </w:r>
                </w:p>
              </w:tc>
              <w:tc>
                <w:tcPr>
                  <w:tcW w:w="3191" w:type="dxa"/>
                  <w:tcBorders>
                    <w:top w:val="single" w:color="auto" w:sz="4" w:space="0"/>
                    <w:left w:val="single" w:color="auto" w:sz="4" w:space="0"/>
                    <w:bottom w:val="single" w:color="auto" w:sz="4" w:space="0"/>
                    <w:right w:val="single" w:color="auto" w:sz="4" w:space="0"/>
                  </w:tcBorders>
                  <w:shd w:val="clear" w:color="auto" w:fill="auto"/>
                  <w:vAlign w:val="center"/>
                </w:tcPr>
                <w:p w14:paraId="61BD55A5">
                  <w:pPr>
                    <w:keepNext w:val="0"/>
                    <w:keepLines w:val="0"/>
                    <w:widowControl w:val="0"/>
                    <w:suppressLineNumbers w:val="0"/>
                    <w:adjustRightInd w:val="0"/>
                    <w:spacing w:before="0" w:beforeAutospacing="0" w:after="0" w:afterAutospacing="0" w:line="240" w:lineRule="auto"/>
                    <w:ind w:left="0" w:right="0"/>
                    <w:jc w:val="center"/>
                    <w:textAlignment w:val="baseline"/>
                    <w:rPr>
                      <w:rFonts w:hint="eastAsia" w:ascii="Times New Roman" w:hAnsi="Times New Roman" w:eastAsia="宋体" w:cs="Times New Roman"/>
                      <w:color w:val="auto"/>
                      <w:kern w:val="2"/>
                      <w:sz w:val="18"/>
                      <w:szCs w:val="18"/>
                      <w:vertAlign w:val="baseline"/>
                    </w:rPr>
                  </w:pPr>
                  <w:r>
                    <w:rPr>
                      <w:rFonts w:hint="eastAsia" w:ascii="宋体" w:hAnsi="宋体" w:eastAsia="宋体" w:cs="宋体"/>
                      <w:color w:val="auto"/>
                      <w:kern w:val="2"/>
                      <w:sz w:val="18"/>
                      <w:szCs w:val="18"/>
                      <w:vertAlign w:val="baseline"/>
                      <w:lang w:val="en-US" w:eastAsia="zh-CN" w:bidi="ar"/>
                    </w:rPr>
                    <w:t>第</w:t>
                  </w:r>
                  <w:r>
                    <w:rPr>
                      <w:rFonts w:hint="default" w:ascii="Times New Roman" w:hAnsi="Times New Roman" w:eastAsia="宋体" w:cs="Times New Roman"/>
                      <w:color w:val="auto"/>
                      <w:kern w:val="2"/>
                      <w:sz w:val="18"/>
                      <w:szCs w:val="18"/>
                      <w:vertAlign w:val="baseline"/>
                      <w:lang w:val="en-US" w:eastAsia="zh-CN" w:bidi="ar"/>
                    </w:rPr>
                    <w:t>95</w:t>
                  </w:r>
                  <w:r>
                    <w:rPr>
                      <w:rFonts w:hint="eastAsia" w:ascii="宋体" w:hAnsi="宋体" w:eastAsia="宋体" w:cs="宋体"/>
                      <w:color w:val="auto"/>
                      <w:kern w:val="2"/>
                      <w:sz w:val="18"/>
                      <w:szCs w:val="18"/>
                      <w:vertAlign w:val="baseline"/>
                      <w:lang w:val="en-US" w:eastAsia="zh-CN" w:bidi="ar"/>
                    </w:rPr>
                    <w:t>百分位数日平均浓度（</w:t>
                  </w:r>
                  <w:r>
                    <w:rPr>
                      <w:rFonts w:hint="default" w:ascii="Times New Roman" w:hAnsi="Times New Roman" w:eastAsia="宋体" w:cs="Times New Roman"/>
                      <w:color w:val="auto"/>
                      <w:kern w:val="2"/>
                      <w:sz w:val="18"/>
                      <w:szCs w:val="18"/>
                      <w:vertAlign w:val="baseline"/>
                      <w:lang w:val="en-US" w:eastAsia="zh-CN" w:bidi="ar"/>
                    </w:rPr>
                    <w:t>mg/m</w:t>
                  </w:r>
                  <w:r>
                    <w:rPr>
                      <w:rFonts w:hint="default" w:ascii="Times New Roman" w:hAnsi="Times New Roman" w:eastAsia="宋体" w:cs="Times New Roman"/>
                      <w:color w:val="auto"/>
                      <w:kern w:val="2"/>
                      <w:sz w:val="18"/>
                      <w:szCs w:val="18"/>
                      <w:vertAlign w:val="superscript"/>
                      <w:lang w:val="en-US" w:eastAsia="zh-CN" w:bidi="ar"/>
                    </w:rPr>
                    <w:t>3</w:t>
                  </w:r>
                  <w:r>
                    <w:rPr>
                      <w:rFonts w:hint="eastAsia" w:ascii="宋体" w:hAnsi="宋体" w:eastAsia="宋体" w:cs="宋体"/>
                      <w:color w:val="auto"/>
                      <w:kern w:val="2"/>
                      <w:sz w:val="18"/>
                      <w:szCs w:val="18"/>
                      <w:vertAlign w:val="baseline"/>
                      <w:lang w:val="en-US" w:eastAsia="zh-CN" w:bidi="ar"/>
                    </w:rPr>
                    <w:t>）</w:t>
                  </w:r>
                </w:p>
              </w:tc>
              <w:tc>
                <w:tcPr>
                  <w:tcW w:w="1119" w:type="dxa"/>
                  <w:tcBorders>
                    <w:top w:val="single" w:color="auto" w:sz="4" w:space="0"/>
                    <w:left w:val="single" w:color="auto" w:sz="4" w:space="0"/>
                    <w:bottom w:val="single" w:color="auto" w:sz="4" w:space="0"/>
                    <w:right w:val="single" w:color="auto" w:sz="4" w:space="0"/>
                  </w:tcBorders>
                  <w:shd w:val="clear" w:color="auto" w:fill="auto"/>
                  <w:vAlign w:val="center"/>
                </w:tcPr>
                <w:p w14:paraId="77F25C40">
                  <w:pPr>
                    <w:keepNext w:val="0"/>
                    <w:keepLines w:val="0"/>
                    <w:widowControl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kern w:val="2"/>
                      <w:sz w:val="18"/>
                      <w:szCs w:val="18"/>
                      <w:vertAlign w:val="baseline"/>
                    </w:rPr>
                  </w:pPr>
                  <w:r>
                    <w:rPr>
                      <w:rFonts w:hint="default" w:ascii="Times New Roman" w:hAnsi="Times New Roman" w:eastAsia="宋体" w:cs="Times New Roman"/>
                      <w:color w:val="auto"/>
                      <w:kern w:val="2"/>
                      <w:sz w:val="18"/>
                      <w:szCs w:val="18"/>
                      <w:vertAlign w:val="baseline"/>
                      <w:lang w:val="en-US" w:eastAsia="zh-CN" w:bidi="ar"/>
                    </w:rPr>
                    <w:t>0.8</w:t>
                  </w:r>
                </w:p>
              </w:tc>
              <w:tc>
                <w:tcPr>
                  <w:tcW w:w="885" w:type="dxa"/>
                  <w:tcBorders>
                    <w:top w:val="single" w:color="auto" w:sz="4" w:space="0"/>
                    <w:left w:val="single" w:color="auto" w:sz="4" w:space="0"/>
                    <w:bottom w:val="single" w:color="auto" w:sz="4" w:space="0"/>
                    <w:right w:val="single" w:color="auto" w:sz="4" w:space="0"/>
                  </w:tcBorders>
                  <w:shd w:val="clear" w:color="auto" w:fill="auto"/>
                  <w:vAlign w:val="center"/>
                </w:tcPr>
                <w:p w14:paraId="76910E09">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default" w:ascii="Times New Roman" w:hAnsi="Times New Roman" w:eastAsia="宋体" w:cs="Times New Roman"/>
                      <w:color w:val="auto"/>
                      <w:kern w:val="2"/>
                      <w:sz w:val="18"/>
                      <w:szCs w:val="18"/>
                      <w:vertAlign w:val="baseline"/>
                      <w:lang w:val="en-US" w:eastAsia="zh-CN" w:bidi="ar"/>
                    </w:rPr>
                    <w:t>4.0</w:t>
                  </w:r>
                </w:p>
              </w:tc>
              <w:tc>
                <w:tcPr>
                  <w:tcW w:w="1003" w:type="dxa"/>
                  <w:tcBorders>
                    <w:top w:val="single" w:color="auto" w:sz="4" w:space="0"/>
                    <w:left w:val="single" w:color="auto" w:sz="4" w:space="0"/>
                    <w:bottom w:val="single" w:color="auto" w:sz="4" w:space="0"/>
                    <w:right w:val="single" w:color="auto" w:sz="4" w:space="0"/>
                  </w:tcBorders>
                  <w:shd w:val="clear" w:color="auto" w:fill="auto"/>
                  <w:vAlign w:val="center"/>
                </w:tcPr>
                <w:p w14:paraId="3A69459E">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default" w:ascii="Times New Roman" w:hAnsi="Times New Roman" w:eastAsia="宋体" w:cs="Times New Roman"/>
                      <w:color w:val="auto"/>
                      <w:kern w:val="2"/>
                      <w:sz w:val="18"/>
                      <w:szCs w:val="18"/>
                      <w:vertAlign w:val="baseline"/>
                      <w:lang w:val="en-US" w:eastAsia="zh-CN" w:bidi="ar"/>
                    </w:rPr>
                    <w:t>20.0</w:t>
                  </w:r>
                </w:p>
              </w:tc>
              <w:tc>
                <w:tcPr>
                  <w:tcW w:w="1270" w:type="dxa"/>
                  <w:tcBorders>
                    <w:top w:val="single" w:color="auto" w:sz="4" w:space="0"/>
                    <w:left w:val="single" w:color="auto" w:sz="4" w:space="0"/>
                    <w:bottom w:val="single" w:color="auto" w:sz="4" w:space="0"/>
                    <w:right w:val="single" w:color="auto" w:sz="8" w:space="0"/>
                  </w:tcBorders>
                  <w:shd w:val="clear" w:color="auto" w:fill="auto"/>
                  <w:vAlign w:val="center"/>
                </w:tcPr>
                <w:p w14:paraId="43C71E30">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eastAsia" w:ascii="宋体" w:hAnsi="宋体" w:eastAsia="宋体" w:cs="宋体"/>
                      <w:color w:val="auto"/>
                      <w:kern w:val="2"/>
                      <w:sz w:val="18"/>
                      <w:szCs w:val="18"/>
                      <w:vertAlign w:val="baseline"/>
                      <w:lang w:val="en-US" w:eastAsia="zh-CN" w:bidi="ar"/>
                    </w:rPr>
                    <w:t>达标</w:t>
                  </w:r>
                </w:p>
              </w:tc>
            </w:tr>
            <w:tr w14:paraId="78895FA0">
              <w:tblPrEx>
                <w:tblBorders>
                  <w:top w:val="single" w:color="auto" w:sz="4" w:space="0"/>
                  <w:left w:val="none" w:color="auto" w:sz="6" w:space="0"/>
                  <w:bottom w:val="single" w:color="auto" w:sz="4" w:space="0"/>
                  <w:right w:val="none" w:color="auto" w:sz="6" w:space="0"/>
                  <w:insideH w:val="single" w:color="auto" w:sz="4" w:space="0"/>
                  <w:insideV w:val="single" w:color="auto" w:sz="4" w:space="0"/>
                </w:tblBorders>
                <w:shd w:val="clear" w:color="auto" w:fill="auto"/>
                <w:tblCellMar>
                  <w:top w:w="0" w:type="dxa"/>
                  <w:left w:w="0" w:type="dxa"/>
                  <w:bottom w:w="0" w:type="dxa"/>
                  <w:right w:w="0" w:type="dxa"/>
                </w:tblCellMar>
              </w:tblPrEx>
              <w:trPr>
                <w:trHeight w:val="283" w:hRule="atLeast"/>
                <w:jc w:val="center"/>
              </w:trPr>
              <w:tc>
                <w:tcPr>
                  <w:tcW w:w="1105" w:type="dxa"/>
                  <w:tcBorders>
                    <w:top w:val="single" w:color="auto" w:sz="4" w:space="0"/>
                    <w:left w:val="single" w:color="auto" w:sz="4" w:space="0"/>
                    <w:bottom w:val="single" w:color="auto" w:sz="8" w:space="0"/>
                    <w:right w:val="single" w:color="auto" w:sz="4" w:space="0"/>
                  </w:tcBorders>
                  <w:shd w:val="clear" w:color="auto" w:fill="auto"/>
                  <w:vAlign w:val="center"/>
                </w:tcPr>
                <w:p w14:paraId="61A2B177">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default" w:ascii="Times New Roman" w:hAnsi="Times New Roman" w:eastAsia="宋体" w:cs="Times New Roman"/>
                      <w:color w:val="auto"/>
                      <w:kern w:val="2"/>
                      <w:sz w:val="18"/>
                      <w:szCs w:val="18"/>
                      <w:vertAlign w:val="baseline"/>
                      <w:lang w:val="en-US" w:eastAsia="zh-CN" w:bidi="ar"/>
                    </w:rPr>
                    <w:t>O</w:t>
                  </w:r>
                  <w:r>
                    <w:rPr>
                      <w:rFonts w:hint="default" w:ascii="Times New Roman" w:hAnsi="Times New Roman" w:eastAsia="宋体" w:cs="Times New Roman"/>
                      <w:color w:val="auto"/>
                      <w:kern w:val="2"/>
                      <w:sz w:val="18"/>
                      <w:szCs w:val="18"/>
                      <w:vertAlign w:val="subscript"/>
                      <w:lang w:val="en-US" w:eastAsia="zh-CN" w:bidi="ar"/>
                    </w:rPr>
                    <w:t>3</w:t>
                  </w:r>
                </w:p>
              </w:tc>
              <w:tc>
                <w:tcPr>
                  <w:tcW w:w="3191" w:type="dxa"/>
                  <w:tcBorders>
                    <w:top w:val="single" w:color="auto" w:sz="4" w:space="0"/>
                    <w:left w:val="single" w:color="auto" w:sz="4" w:space="0"/>
                    <w:bottom w:val="single" w:color="auto" w:sz="8" w:space="0"/>
                    <w:right w:val="single" w:color="auto" w:sz="4" w:space="0"/>
                  </w:tcBorders>
                  <w:shd w:val="clear" w:color="auto" w:fill="auto"/>
                  <w:vAlign w:val="center"/>
                </w:tcPr>
                <w:p w14:paraId="3F5460C2">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eastAsia" w:ascii="宋体" w:hAnsi="宋体" w:eastAsia="宋体" w:cs="宋体"/>
                      <w:color w:val="auto"/>
                      <w:kern w:val="2"/>
                      <w:sz w:val="18"/>
                      <w:szCs w:val="18"/>
                      <w:vertAlign w:val="baseline"/>
                      <w:lang w:val="en-US" w:eastAsia="zh-CN" w:bidi="ar"/>
                    </w:rPr>
                    <w:t>第</w:t>
                  </w:r>
                  <w:r>
                    <w:rPr>
                      <w:rFonts w:hint="default" w:ascii="Times New Roman" w:hAnsi="Times New Roman" w:eastAsia="宋体" w:cs="Times New Roman"/>
                      <w:color w:val="auto"/>
                      <w:kern w:val="2"/>
                      <w:sz w:val="18"/>
                      <w:szCs w:val="18"/>
                      <w:vertAlign w:val="baseline"/>
                      <w:lang w:val="en-US" w:eastAsia="zh-CN" w:bidi="ar"/>
                    </w:rPr>
                    <w:t>90</w:t>
                  </w:r>
                  <w:r>
                    <w:rPr>
                      <w:rFonts w:hint="eastAsia" w:ascii="宋体" w:hAnsi="宋体" w:eastAsia="宋体" w:cs="宋体"/>
                      <w:color w:val="auto"/>
                      <w:kern w:val="2"/>
                      <w:sz w:val="18"/>
                      <w:szCs w:val="18"/>
                      <w:vertAlign w:val="baseline"/>
                      <w:lang w:val="en-US" w:eastAsia="zh-CN" w:bidi="ar"/>
                    </w:rPr>
                    <w:t>百分位数</w:t>
                  </w:r>
                  <w:r>
                    <w:rPr>
                      <w:rFonts w:hint="default" w:ascii="Times New Roman" w:hAnsi="Times New Roman" w:eastAsia="宋体" w:cs="Times New Roman"/>
                      <w:color w:val="auto"/>
                      <w:kern w:val="2"/>
                      <w:sz w:val="18"/>
                      <w:szCs w:val="18"/>
                      <w:vertAlign w:val="baseline"/>
                      <w:lang w:val="en-US" w:eastAsia="zh-CN" w:bidi="ar"/>
                    </w:rPr>
                    <w:t>8h</w:t>
                  </w:r>
                  <w:r>
                    <w:rPr>
                      <w:rFonts w:hint="eastAsia" w:ascii="宋体" w:hAnsi="宋体" w:eastAsia="宋体" w:cs="宋体"/>
                      <w:color w:val="auto"/>
                      <w:kern w:val="2"/>
                      <w:sz w:val="18"/>
                      <w:szCs w:val="18"/>
                      <w:vertAlign w:val="baseline"/>
                      <w:lang w:val="en-US" w:eastAsia="zh-CN" w:bidi="ar"/>
                    </w:rPr>
                    <w:t>平均质量浓度</w:t>
                  </w:r>
                </w:p>
              </w:tc>
              <w:tc>
                <w:tcPr>
                  <w:tcW w:w="1119" w:type="dxa"/>
                  <w:tcBorders>
                    <w:top w:val="single" w:color="auto" w:sz="4" w:space="0"/>
                    <w:left w:val="single" w:color="auto" w:sz="4" w:space="0"/>
                    <w:bottom w:val="single" w:color="auto" w:sz="8" w:space="0"/>
                    <w:right w:val="single" w:color="auto" w:sz="4" w:space="0"/>
                  </w:tcBorders>
                  <w:shd w:val="clear" w:color="auto" w:fill="auto"/>
                  <w:vAlign w:val="center"/>
                </w:tcPr>
                <w:p w14:paraId="16982ED7">
                  <w:pPr>
                    <w:keepNext w:val="0"/>
                    <w:keepLines w:val="0"/>
                    <w:widowControl w:val="0"/>
                    <w:suppressLineNumbers w:val="0"/>
                    <w:adjustRightIn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kern w:val="2"/>
                      <w:sz w:val="18"/>
                      <w:szCs w:val="18"/>
                      <w:vertAlign w:val="baseline"/>
                    </w:rPr>
                  </w:pPr>
                  <w:r>
                    <w:rPr>
                      <w:rFonts w:hint="default" w:ascii="Times New Roman" w:hAnsi="Times New Roman" w:eastAsia="宋体" w:cs="Times New Roman"/>
                      <w:color w:val="auto"/>
                      <w:kern w:val="2"/>
                      <w:sz w:val="18"/>
                      <w:szCs w:val="18"/>
                      <w:vertAlign w:val="baseline"/>
                      <w:lang w:val="en-US" w:eastAsia="zh-CN" w:bidi="ar"/>
                    </w:rPr>
                    <w:t>104</w:t>
                  </w:r>
                </w:p>
              </w:tc>
              <w:tc>
                <w:tcPr>
                  <w:tcW w:w="885" w:type="dxa"/>
                  <w:tcBorders>
                    <w:top w:val="single" w:color="auto" w:sz="4" w:space="0"/>
                    <w:left w:val="single" w:color="auto" w:sz="4" w:space="0"/>
                    <w:bottom w:val="single" w:color="auto" w:sz="8" w:space="0"/>
                    <w:right w:val="single" w:color="auto" w:sz="4" w:space="0"/>
                  </w:tcBorders>
                  <w:shd w:val="clear" w:color="auto" w:fill="auto"/>
                  <w:vAlign w:val="center"/>
                </w:tcPr>
                <w:p w14:paraId="1B124F89">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default" w:ascii="Times New Roman" w:hAnsi="Times New Roman" w:eastAsia="宋体" w:cs="Times New Roman"/>
                      <w:color w:val="auto"/>
                      <w:kern w:val="2"/>
                      <w:sz w:val="18"/>
                      <w:szCs w:val="18"/>
                      <w:vertAlign w:val="baseline"/>
                      <w:lang w:val="en-US" w:eastAsia="zh-CN" w:bidi="ar"/>
                    </w:rPr>
                    <w:t>160</w:t>
                  </w:r>
                </w:p>
              </w:tc>
              <w:tc>
                <w:tcPr>
                  <w:tcW w:w="1003" w:type="dxa"/>
                  <w:tcBorders>
                    <w:top w:val="single" w:color="auto" w:sz="4" w:space="0"/>
                    <w:left w:val="single" w:color="auto" w:sz="4" w:space="0"/>
                    <w:bottom w:val="single" w:color="auto" w:sz="8" w:space="0"/>
                    <w:right w:val="single" w:color="auto" w:sz="4" w:space="0"/>
                  </w:tcBorders>
                  <w:shd w:val="clear" w:color="auto" w:fill="auto"/>
                  <w:vAlign w:val="center"/>
                </w:tcPr>
                <w:p w14:paraId="278EBB31">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default" w:ascii="Times New Roman" w:hAnsi="Times New Roman" w:eastAsia="宋体" w:cs="Times New Roman"/>
                      <w:color w:val="auto"/>
                      <w:kern w:val="2"/>
                      <w:sz w:val="18"/>
                      <w:szCs w:val="18"/>
                      <w:vertAlign w:val="baseline"/>
                      <w:lang w:val="en-US" w:eastAsia="zh-CN" w:bidi="ar"/>
                    </w:rPr>
                    <w:t>65.0</w:t>
                  </w:r>
                </w:p>
              </w:tc>
              <w:tc>
                <w:tcPr>
                  <w:tcW w:w="1270" w:type="dxa"/>
                  <w:tcBorders>
                    <w:top w:val="single" w:color="auto" w:sz="4" w:space="0"/>
                    <w:left w:val="single" w:color="auto" w:sz="4" w:space="0"/>
                    <w:bottom w:val="single" w:color="auto" w:sz="8" w:space="0"/>
                    <w:right w:val="single" w:color="auto" w:sz="8" w:space="0"/>
                  </w:tcBorders>
                  <w:shd w:val="clear" w:color="auto" w:fill="auto"/>
                  <w:vAlign w:val="center"/>
                </w:tcPr>
                <w:p w14:paraId="26D4EB4C">
                  <w:pPr>
                    <w:keepNext w:val="0"/>
                    <w:keepLines w:val="0"/>
                    <w:widowControl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18"/>
                      <w:szCs w:val="18"/>
                      <w:vertAlign w:val="baseline"/>
                    </w:rPr>
                  </w:pPr>
                  <w:r>
                    <w:rPr>
                      <w:rFonts w:hint="eastAsia" w:ascii="宋体" w:hAnsi="宋体" w:eastAsia="宋体" w:cs="宋体"/>
                      <w:color w:val="auto"/>
                      <w:kern w:val="2"/>
                      <w:sz w:val="18"/>
                      <w:szCs w:val="18"/>
                      <w:vertAlign w:val="baseline"/>
                      <w:lang w:val="en-US" w:eastAsia="zh-CN" w:bidi="ar"/>
                    </w:rPr>
                    <w:t>达标</w:t>
                  </w:r>
                </w:p>
              </w:tc>
            </w:tr>
          </w:tbl>
          <w:p w14:paraId="469D9F24">
            <w:pPr>
              <w:keepNext w:val="0"/>
              <w:keepLines w:val="0"/>
              <w:widowControl/>
              <w:suppressLineNumbers w:val="0"/>
              <w:autoSpaceDE w:val="0"/>
              <w:autoSpaceDN/>
              <w:spacing w:before="0" w:beforeAutospacing="0" w:after="0" w:afterAutospacing="0" w:line="360" w:lineRule="auto"/>
              <w:ind w:left="0" w:right="0" w:firstLine="480" w:firstLineChars="200"/>
              <w:jc w:val="both"/>
              <w:rPr>
                <w:rFonts w:hint="eastAsia" w:ascii="Times New Roman" w:hAnsi="Times New Roman" w:eastAsia="宋体" w:cs="Times New Roman"/>
                <w:color w:val="auto"/>
                <w:kern w:val="0"/>
                <w:sz w:val="24"/>
                <w:szCs w:val="24"/>
              </w:rPr>
            </w:pPr>
            <w:r>
              <w:rPr>
                <w:rFonts w:hint="eastAsia" w:ascii="宋体" w:hAnsi="宋体" w:eastAsia="宋体" w:cs="宋体"/>
                <w:color w:val="auto"/>
                <w:kern w:val="2"/>
                <w:sz w:val="24"/>
                <w:szCs w:val="24"/>
                <w:lang w:val="en-US" w:eastAsia="zh-CN" w:bidi="ar"/>
              </w:rPr>
              <w:t>由表</w:t>
            </w:r>
            <w:r>
              <w:rPr>
                <w:rFonts w:hint="default" w:ascii="Times New Roman" w:hAnsi="Times New Roman" w:eastAsia="宋体" w:cs="Times New Roman"/>
                <w:color w:val="auto"/>
                <w:kern w:val="2"/>
                <w:sz w:val="24"/>
                <w:szCs w:val="24"/>
                <w:lang w:val="en-US" w:eastAsia="zh-CN" w:bidi="ar"/>
              </w:rPr>
              <w:t>3-1</w:t>
            </w:r>
            <w:r>
              <w:rPr>
                <w:rFonts w:hint="eastAsia" w:ascii="宋体" w:hAnsi="宋体" w:eastAsia="宋体" w:cs="宋体"/>
                <w:color w:val="auto"/>
                <w:kern w:val="2"/>
                <w:sz w:val="24"/>
                <w:szCs w:val="24"/>
                <w:lang w:val="en-US" w:eastAsia="zh-CN" w:bidi="ar"/>
              </w:rPr>
              <w:t>可知，</w:t>
            </w:r>
            <w:r>
              <w:rPr>
                <w:rFonts w:hint="default" w:ascii="Times New Roman" w:hAnsi="Times New Roman" w:eastAsia="宋体" w:cs="Times New Roman"/>
                <w:color w:val="auto"/>
                <w:kern w:val="2"/>
                <w:sz w:val="24"/>
                <w:szCs w:val="24"/>
                <w:lang w:val="en-US" w:eastAsia="zh-CN" w:bidi="ar"/>
              </w:rPr>
              <w:t>2024</w:t>
            </w:r>
            <w:r>
              <w:rPr>
                <w:rFonts w:hint="eastAsia" w:ascii="宋体" w:hAnsi="宋体" w:eastAsia="宋体" w:cs="宋体"/>
                <w:color w:val="auto"/>
                <w:kern w:val="2"/>
                <w:sz w:val="24"/>
                <w:szCs w:val="24"/>
                <w:lang w:val="en-US" w:eastAsia="zh-CN" w:bidi="ar"/>
              </w:rPr>
              <w:t>年伊春市空气基本污染物中</w:t>
            </w:r>
            <w:r>
              <w:rPr>
                <w:rFonts w:hint="default" w:ascii="Times New Roman" w:hAnsi="Times New Roman" w:eastAsia="宋体" w:cs="Times New Roman"/>
                <w:color w:val="auto"/>
                <w:kern w:val="2"/>
                <w:sz w:val="24"/>
                <w:szCs w:val="24"/>
                <w:lang w:val="en-US" w:eastAsia="zh-CN" w:bidi="ar"/>
              </w:rPr>
              <w:t>PM</w:t>
            </w:r>
            <w:r>
              <w:rPr>
                <w:rFonts w:hint="default" w:ascii="Times New Roman" w:hAnsi="Times New Roman" w:eastAsia="宋体" w:cs="Times New Roman"/>
                <w:color w:val="auto"/>
                <w:kern w:val="2"/>
                <w:sz w:val="24"/>
                <w:szCs w:val="24"/>
                <w:vertAlign w:val="subscript"/>
                <w:lang w:val="en-US" w:eastAsia="zh-CN" w:bidi="ar"/>
              </w:rPr>
              <w:t>2.5</w:t>
            </w:r>
            <w:r>
              <w:rPr>
                <w:rFonts w:hint="eastAsia" w:ascii="宋体" w:hAnsi="宋体" w:eastAsia="宋体" w:cs="宋体"/>
                <w:color w:val="auto"/>
                <w:kern w:val="2"/>
                <w:sz w:val="24"/>
                <w:szCs w:val="24"/>
                <w:lang w:val="en-US" w:eastAsia="zh-CN" w:bidi="ar"/>
              </w:rPr>
              <w:t>、</w:t>
            </w:r>
            <w:r>
              <w:rPr>
                <w:rFonts w:hint="default" w:ascii="Times New Roman" w:hAnsi="Times New Roman" w:eastAsia="宋体" w:cs="Times New Roman"/>
                <w:color w:val="auto"/>
                <w:kern w:val="2"/>
                <w:sz w:val="24"/>
                <w:szCs w:val="24"/>
                <w:lang w:val="en-US" w:eastAsia="zh-CN" w:bidi="ar"/>
              </w:rPr>
              <w:t>PM</w:t>
            </w:r>
            <w:r>
              <w:rPr>
                <w:rFonts w:hint="default" w:ascii="Times New Roman" w:hAnsi="Times New Roman" w:eastAsia="宋体" w:cs="Times New Roman"/>
                <w:color w:val="auto"/>
                <w:kern w:val="2"/>
                <w:sz w:val="24"/>
                <w:szCs w:val="24"/>
                <w:vertAlign w:val="subscript"/>
                <w:lang w:val="en-US" w:eastAsia="zh-CN" w:bidi="ar"/>
              </w:rPr>
              <w:t>10</w:t>
            </w:r>
            <w:r>
              <w:rPr>
                <w:rFonts w:hint="eastAsia" w:ascii="宋体" w:hAnsi="宋体" w:eastAsia="宋体" w:cs="宋体"/>
                <w:color w:val="auto"/>
                <w:kern w:val="2"/>
                <w:sz w:val="24"/>
                <w:szCs w:val="24"/>
                <w:lang w:val="en-US" w:eastAsia="zh-CN" w:bidi="ar"/>
              </w:rPr>
              <w:t>、</w:t>
            </w:r>
            <w:r>
              <w:rPr>
                <w:rFonts w:hint="default" w:ascii="Times New Roman" w:hAnsi="Times New Roman" w:eastAsia="宋体" w:cs="Times New Roman"/>
                <w:color w:val="auto"/>
                <w:kern w:val="2"/>
                <w:sz w:val="24"/>
                <w:szCs w:val="24"/>
                <w:lang w:val="en-US" w:eastAsia="zh-CN" w:bidi="ar"/>
              </w:rPr>
              <w:t>SO</w:t>
            </w:r>
            <w:r>
              <w:rPr>
                <w:rFonts w:hint="default" w:ascii="Times New Roman" w:hAnsi="Times New Roman" w:eastAsia="宋体" w:cs="Times New Roman"/>
                <w:color w:val="auto"/>
                <w:kern w:val="2"/>
                <w:sz w:val="24"/>
                <w:szCs w:val="24"/>
                <w:vertAlign w:val="subscript"/>
                <w:lang w:val="en-US" w:eastAsia="zh-CN" w:bidi="ar"/>
              </w:rPr>
              <w:t>2</w:t>
            </w:r>
            <w:r>
              <w:rPr>
                <w:rFonts w:hint="eastAsia" w:ascii="宋体" w:hAnsi="宋体" w:eastAsia="宋体" w:cs="宋体"/>
                <w:color w:val="auto"/>
                <w:kern w:val="2"/>
                <w:sz w:val="24"/>
                <w:szCs w:val="24"/>
                <w:lang w:val="en-US" w:eastAsia="zh-CN" w:bidi="ar"/>
              </w:rPr>
              <w:t>、</w:t>
            </w:r>
            <w:r>
              <w:rPr>
                <w:rFonts w:hint="default" w:ascii="Times New Roman" w:hAnsi="Times New Roman" w:eastAsia="宋体" w:cs="Times New Roman"/>
                <w:color w:val="auto"/>
                <w:kern w:val="2"/>
                <w:sz w:val="24"/>
                <w:szCs w:val="24"/>
                <w:lang w:val="en-US" w:eastAsia="zh-CN" w:bidi="ar"/>
              </w:rPr>
              <w:t>NO</w:t>
            </w:r>
            <w:r>
              <w:rPr>
                <w:rFonts w:hint="default" w:ascii="Times New Roman" w:hAnsi="Times New Roman" w:eastAsia="宋体" w:cs="Times New Roman"/>
                <w:color w:val="auto"/>
                <w:kern w:val="2"/>
                <w:sz w:val="24"/>
                <w:szCs w:val="24"/>
                <w:vertAlign w:val="subscript"/>
                <w:lang w:val="en-US" w:eastAsia="zh-CN" w:bidi="ar"/>
              </w:rPr>
              <w:t>2</w:t>
            </w:r>
            <w:r>
              <w:rPr>
                <w:rFonts w:hint="eastAsia" w:ascii="宋体" w:hAnsi="宋体" w:eastAsia="宋体" w:cs="宋体"/>
                <w:color w:val="auto"/>
                <w:kern w:val="2"/>
                <w:sz w:val="24"/>
                <w:szCs w:val="24"/>
                <w:lang w:val="en-US" w:eastAsia="zh-CN" w:bidi="ar"/>
              </w:rPr>
              <w:t>年平均质量浓度及</w:t>
            </w:r>
            <w:r>
              <w:rPr>
                <w:rFonts w:hint="default" w:ascii="Times New Roman" w:hAnsi="Times New Roman" w:eastAsia="宋体" w:cs="Times New Roman"/>
                <w:color w:val="auto"/>
                <w:kern w:val="2"/>
                <w:sz w:val="24"/>
                <w:szCs w:val="24"/>
                <w:lang w:val="en-US" w:eastAsia="zh-CN" w:bidi="ar"/>
              </w:rPr>
              <w:t>CO</w:t>
            </w:r>
            <w:r>
              <w:rPr>
                <w:rFonts w:hint="eastAsia" w:ascii="宋体" w:hAnsi="宋体" w:eastAsia="宋体" w:cs="宋体"/>
                <w:color w:val="auto"/>
                <w:kern w:val="2"/>
                <w:sz w:val="24"/>
                <w:szCs w:val="24"/>
                <w:lang w:val="en-US" w:eastAsia="zh-CN" w:bidi="ar"/>
              </w:rPr>
              <w:t>第</w:t>
            </w:r>
            <w:r>
              <w:rPr>
                <w:rFonts w:hint="default" w:ascii="Times New Roman" w:hAnsi="Times New Roman" w:eastAsia="宋体" w:cs="Times New Roman"/>
                <w:color w:val="auto"/>
                <w:kern w:val="2"/>
                <w:sz w:val="24"/>
                <w:szCs w:val="24"/>
                <w:lang w:val="en-US" w:eastAsia="zh-CN" w:bidi="ar"/>
              </w:rPr>
              <w:t>95</w:t>
            </w:r>
            <w:r>
              <w:rPr>
                <w:rFonts w:hint="eastAsia" w:ascii="宋体" w:hAnsi="宋体" w:eastAsia="宋体" w:cs="宋体"/>
                <w:color w:val="auto"/>
                <w:kern w:val="2"/>
                <w:sz w:val="24"/>
                <w:szCs w:val="24"/>
                <w:lang w:val="en-US" w:eastAsia="zh-CN" w:bidi="ar"/>
              </w:rPr>
              <w:t>百分位数日平均浓度、</w:t>
            </w:r>
            <w:r>
              <w:rPr>
                <w:rFonts w:hint="default" w:ascii="Times New Roman" w:hAnsi="Times New Roman" w:eastAsia="宋体" w:cs="Times New Roman"/>
                <w:color w:val="auto"/>
                <w:kern w:val="2"/>
                <w:sz w:val="24"/>
                <w:szCs w:val="24"/>
                <w:lang w:val="en-US" w:eastAsia="zh-CN" w:bidi="ar"/>
              </w:rPr>
              <w:t>O</w:t>
            </w:r>
            <w:r>
              <w:rPr>
                <w:rFonts w:hint="default" w:ascii="Times New Roman" w:hAnsi="Times New Roman" w:eastAsia="宋体" w:cs="Times New Roman"/>
                <w:color w:val="auto"/>
                <w:kern w:val="2"/>
                <w:sz w:val="24"/>
                <w:szCs w:val="24"/>
                <w:vertAlign w:val="subscript"/>
                <w:lang w:val="en-US" w:eastAsia="zh-CN" w:bidi="ar"/>
              </w:rPr>
              <w:t>3</w:t>
            </w:r>
            <w:r>
              <w:rPr>
                <w:rFonts w:hint="eastAsia" w:ascii="宋体" w:hAnsi="宋体" w:eastAsia="宋体" w:cs="宋体"/>
                <w:color w:val="auto"/>
                <w:kern w:val="2"/>
                <w:sz w:val="24"/>
                <w:szCs w:val="24"/>
                <w:lang w:val="en-US" w:eastAsia="zh-CN" w:bidi="ar"/>
              </w:rPr>
              <w:t>第</w:t>
            </w:r>
            <w:r>
              <w:rPr>
                <w:rFonts w:hint="default" w:ascii="Times New Roman" w:hAnsi="Times New Roman" w:eastAsia="宋体" w:cs="Times New Roman"/>
                <w:color w:val="auto"/>
                <w:kern w:val="2"/>
                <w:sz w:val="24"/>
                <w:szCs w:val="24"/>
                <w:lang w:val="en-US" w:eastAsia="zh-CN" w:bidi="ar"/>
              </w:rPr>
              <w:t>90</w:t>
            </w:r>
            <w:r>
              <w:rPr>
                <w:rFonts w:hint="eastAsia" w:ascii="宋体" w:hAnsi="宋体" w:eastAsia="宋体" w:cs="宋体"/>
                <w:color w:val="auto"/>
                <w:kern w:val="2"/>
                <w:sz w:val="24"/>
                <w:szCs w:val="24"/>
                <w:lang w:val="en-US" w:eastAsia="zh-CN" w:bidi="ar"/>
              </w:rPr>
              <w:t>百分位数</w:t>
            </w:r>
            <w:r>
              <w:rPr>
                <w:rFonts w:hint="default" w:ascii="Times New Roman" w:hAnsi="Times New Roman" w:eastAsia="宋体" w:cs="Times New Roman"/>
                <w:color w:val="auto"/>
                <w:kern w:val="2"/>
                <w:sz w:val="24"/>
                <w:szCs w:val="24"/>
                <w:lang w:val="en-US" w:eastAsia="zh-CN" w:bidi="ar"/>
              </w:rPr>
              <w:t>8h</w:t>
            </w:r>
            <w:r>
              <w:rPr>
                <w:rFonts w:hint="eastAsia" w:ascii="宋体" w:hAnsi="宋体" w:eastAsia="宋体" w:cs="宋体"/>
                <w:color w:val="auto"/>
                <w:kern w:val="2"/>
                <w:sz w:val="24"/>
                <w:szCs w:val="24"/>
                <w:lang w:val="en-US" w:eastAsia="zh-CN" w:bidi="ar"/>
              </w:rPr>
              <w:t>平均质量浓度均满足</w:t>
            </w:r>
            <w:r>
              <w:rPr>
                <w:rFonts w:hint="eastAsia" w:ascii="宋体" w:hAnsi="宋体" w:eastAsia="宋体" w:cs="宋体"/>
                <w:color w:val="auto"/>
                <w:kern w:val="0"/>
                <w:sz w:val="24"/>
                <w:szCs w:val="24"/>
                <w:lang w:val="en-US" w:eastAsia="zh-CN" w:bidi="ar"/>
              </w:rPr>
              <w:t>《环境空气质量标准》</w:t>
            </w:r>
            <w:r>
              <w:rPr>
                <w:rFonts w:hint="default" w:ascii="Times New Roman" w:hAnsi="Times New Roman" w:eastAsia="宋体" w:cs="Times New Roman"/>
                <w:color w:val="auto"/>
                <w:kern w:val="0"/>
                <w:sz w:val="24"/>
                <w:szCs w:val="24"/>
                <w:lang w:val="en-US" w:eastAsia="zh-CN" w:bidi="ar"/>
              </w:rPr>
              <w:t>（GB 3095-2026）中</w:t>
            </w:r>
            <w:r>
              <w:rPr>
                <w:rFonts w:hint="eastAsia" w:ascii="宋体" w:hAnsi="宋体" w:eastAsia="宋体" w:cs="宋体"/>
                <w:color w:val="auto"/>
                <w:kern w:val="0"/>
                <w:sz w:val="24"/>
                <w:szCs w:val="24"/>
                <w:lang w:val="en-US" w:eastAsia="zh-CN" w:bidi="ar"/>
              </w:rPr>
              <w:t>过渡阶段的二级标准，本项目位于铁力市，距离伊春市直</w:t>
            </w:r>
            <w:r>
              <w:rPr>
                <w:rFonts w:hint="default" w:ascii="Times New Roman" w:hAnsi="Times New Roman" w:eastAsia="宋体" w:cs="Times New Roman"/>
                <w:color w:val="auto"/>
                <w:kern w:val="0"/>
                <w:sz w:val="24"/>
                <w:szCs w:val="24"/>
                <w:lang w:val="en-US" w:eastAsia="zh-CN" w:bidi="ar"/>
              </w:rPr>
              <w:t>线距离约100km，地形相似，</w:t>
            </w:r>
            <w:r>
              <w:rPr>
                <w:rFonts w:hint="eastAsia" w:ascii="宋体" w:hAnsi="宋体" w:eastAsia="宋体" w:cs="宋体"/>
                <w:color w:val="auto"/>
                <w:kern w:val="0"/>
                <w:sz w:val="24"/>
                <w:szCs w:val="24"/>
                <w:lang w:val="en-US" w:eastAsia="zh-CN" w:bidi="ar"/>
              </w:rPr>
              <w:t>因此伊春市环境空气质量现状可代表本项目</w:t>
            </w:r>
            <w:r>
              <w:rPr>
                <w:rFonts w:hint="eastAsia" w:ascii="宋体" w:hAnsi="宋体" w:cs="宋体"/>
                <w:color w:val="auto"/>
                <w:kern w:val="0"/>
                <w:sz w:val="24"/>
                <w:szCs w:val="24"/>
                <w:lang w:val="en-US" w:eastAsia="zh-CN" w:bidi="ar"/>
              </w:rPr>
              <w:t>区域</w:t>
            </w:r>
            <w:r>
              <w:rPr>
                <w:rFonts w:hint="eastAsia" w:ascii="宋体" w:hAnsi="宋体" w:eastAsia="宋体" w:cs="宋体"/>
                <w:color w:val="auto"/>
                <w:kern w:val="0"/>
                <w:sz w:val="24"/>
                <w:szCs w:val="24"/>
                <w:lang w:val="en-US" w:eastAsia="zh-CN" w:bidi="ar"/>
              </w:rPr>
              <w:t>环境空气质量，因此判定本项目区域环境空气质量为达标区。</w:t>
            </w:r>
          </w:p>
          <w:p w14:paraId="654A2A5B">
            <w:pPr>
              <w:keepNext w:val="0"/>
              <w:keepLines w:val="0"/>
              <w:suppressLineNumbers w:val="0"/>
              <w:spacing w:before="0" w:beforeAutospacing="0" w:after="0" w:afterAutospacing="0"/>
              <w:ind w:left="0" w:right="0" w:firstLine="482"/>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eastAsia="zh-CN"/>
              </w:rPr>
              <w:t>特征污染物环境质量现状</w:t>
            </w:r>
          </w:p>
          <w:p w14:paraId="022A2606">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rPr>
            </w:pPr>
            <w:r>
              <w:rPr>
                <w:rFonts w:hint="eastAsia" w:ascii="宋体" w:hAnsi="宋体" w:eastAsia="宋体" w:cs="宋体"/>
                <w:color w:val="auto"/>
                <w:kern w:val="2"/>
                <w:sz w:val="24"/>
                <w:szCs w:val="24"/>
                <w:lang w:val="en-US" w:eastAsia="zh-CN" w:bidi="ar"/>
              </w:rPr>
              <w:t>为了解项目特</w:t>
            </w:r>
            <w:r>
              <w:rPr>
                <w:rFonts w:hint="default" w:ascii="Times New Roman" w:hAnsi="Times New Roman" w:eastAsia="宋体" w:cs="Times New Roman"/>
                <w:color w:val="auto"/>
                <w:kern w:val="2"/>
                <w:sz w:val="24"/>
                <w:szCs w:val="24"/>
                <w:lang w:val="en-US" w:eastAsia="zh-CN" w:bidi="ar"/>
              </w:rPr>
              <w:t>征污染物（TSP）现状情况，</w:t>
            </w:r>
            <w:r>
              <w:rPr>
                <w:rFonts w:hint="eastAsia" w:ascii="宋体" w:hAnsi="宋体" w:eastAsia="宋体" w:cs="宋体"/>
                <w:color w:val="auto"/>
                <w:kern w:val="2"/>
                <w:sz w:val="24"/>
                <w:szCs w:val="24"/>
                <w:lang w:val="en-US" w:eastAsia="zh-CN" w:bidi="ar"/>
              </w:rPr>
              <w:t>委托黑龙江省瑞科检测技术有限公司于</w:t>
            </w:r>
            <w:r>
              <w:rPr>
                <w:rFonts w:hint="default" w:ascii="Times New Roman" w:hAnsi="Times New Roman" w:eastAsia="宋体" w:cs="Times New Roman"/>
                <w:color w:val="auto"/>
                <w:kern w:val="2"/>
                <w:sz w:val="24"/>
                <w:szCs w:val="24"/>
                <w:lang w:val="en-US" w:eastAsia="zh-CN" w:bidi="ar"/>
              </w:rPr>
              <w:t>202</w:t>
            </w:r>
            <w:r>
              <w:rPr>
                <w:rFonts w:hint="eastAsia" w:ascii="Times New Roman" w:hAnsi="Times New Roman" w:cs="Times New Roman"/>
                <w:color w:val="auto"/>
                <w:kern w:val="2"/>
                <w:sz w:val="24"/>
                <w:szCs w:val="24"/>
                <w:lang w:val="en-US" w:eastAsia="zh-CN" w:bidi="ar"/>
              </w:rPr>
              <w:t>6</w:t>
            </w:r>
            <w:r>
              <w:rPr>
                <w:rFonts w:hint="eastAsia" w:ascii="宋体" w:hAnsi="宋体" w:eastAsia="宋体" w:cs="宋体"/>
                <w:color w:val="auto"/>
                <w:kern w:val="2"/>
                <w:sz w:val="24"/>
                <w:szCs w:val="24"/>
                <w:lang w:val="en-US" w:eastAsia="zh-CN" w:bidi="ar"/>
              </w:rPr>
              <w:t>年</w:t>
            </w:r>
            <w:r>
              <w:rPr>
                <w:rFonts w:hint="eastAsia" w:ascii="Times New Roman" w:hAnsi="Times New Roman" w:cs="Times New Roman"/>
                <w:color w:val="auto"/>
                <w:kern w:val="2"/>
                <w:sz w:val="24"/>
                <w:szCs w:val="24"/>
                <w:lang w:val="en-US" w:eastAsia="zh-CN" w:bidi="ar"/>
              </w:rPr>
              <w:t>3</w:t>
            </w:r>
            <w:r>
              <w:rPr>
                <w:rFonts w:hint="eastAsia" w:ascii="宋体" w:hAnsi="宋体" w:eastAsia="宋体" w:cs="宋体"/>
                <w:color w:val="auto"/>
                <w:kern w:val="2"/>
                <w:sz w:val="24"/>
                <w:szCs w:val="24"/>
                <w:lang w:val="en-US" w:eastAsia="zh-CN" w:bidi="ar"/>
              </w:rPr>
              <w:t>月</w:t>
            </w:r>
            <w:r>
              <w:rPr>
                <w:rFonts w:hint="eastAsia" w:ascii="Times New Roman" w:hAnsi="Times New Roman" w:cs="Times New Roman"/>
                <w:color w:val="auto"/>
                <w:kern w:val="2"/>
                <w:sz w:val="24"/>
                <w:szCs w:val="24"/>
                <w:lang w:val="en-US" w:eastAsia="zh-CN" w:bidi="ar"/>
              </w:rPr>
              <w:t>26</w:t>
            </w:r>
            <w:r>
              <w:rPr>
                <w:rFonts w:hint="eastAsia" w:ascii="宋体" w:hAnsi="宋体" w:eastAsia="宋体" w:cs="宋体"/>
                <w:color w:val="auto"/>
                <w:kern w:val="2"/>
                <w:sz w:val="24"/>
                <w:szCs w:val="24"/>
                <w:lang w:val="en-US" w:eastAsia="zh-CN" w:bidi="ar"/>
              </w:rPr>
              <w:t>日</w:t>
            </w:r>
            <w:r>
              <w:rPr>
                <w:rFonts w:hint="eastAsia" w:ascii="宋体" w:hAnsi="宋体" w:cs="宋体"/>
                <w:color w:val="auto"/>
                <w:kern w:val="2"/>
                <w:sz w:val="24"/>
                <w:szCs w:val="24"/>
                <w:lang w:val="en-US" w:eastAsia="zh-CN" w:bidi="ar"/>
              </w:rPr>
              <w:t>—</w:t>
            </w:r>
            <w:r>
              <w:rPr>
                <w:rFonts w:hint="eastAsia" w:ascii="Times New Roman" w:hAnsi="Times New Roman" w:cs="Times New Roman"/>
                <w:color w:val="auto"/>
                <w:kern w:val="2"/>
                <w:sz w:val="24"/>
                <w:szCs w:val="24"/>
                <w:lang w:val="en-US" w:eastAsia="zh-CN" w:bidi="ar"/>
              </w:rPr>
              <w:t>3</w:t>
            </w:r>
            <w:r>
              <w:rPr>
                <w:rFonts w:hint="eastAsia" w:ascii="宋体" w:hAnsi="宋体" w:eastAsia="宋体" w:cs="宋体"/>
                <w:color w:val="auto"/>
                <w:kern w:val="2"/>
                <w:sz w:val="24"/>
                <w:szCs w:val="24"/>
                <w:lang w:val="en-US" w:eastAsia="zh-CN" w:bidi="ar"/>
              </w:rPr>
              <w:t>月</w:t>
            </w:r>
            <w:r>
              <w:rPr>
                <w:rFonts w:hint="eastAsia" w:ascii="Times New Roman" w:hAnsi="Times New Roman" w:cs="Times New Roman"/>
                <w:color w:val="auto"/>
                <w:kern w:val="2"/>
                <w:sz w:val="24"/>
                <w:szCs w:val="24"/>
                <w:lang w:val="en-US" w:eastAsia="zh-CN" w:bidi="ar"/>
              </w:rPr>
              <w:t>29</w:t>
            </w:r>
            <w:r>
              <w:rPr>
                <w:rFonts w:hint="eastAsia" w:ascii="宋体" w:hAnsi="宋体" w:eastAsia="宋体" w:cs="宋体"/>
                <w:color w:val="auto"/>
                <w:kern w:val="2"/>
                <w:sz w:val="24"/>
                <w:szCs w:val="24"/>
                <w:lang w:val="en-US" w:eastAsia="zh-CN" w:bidi="ar"/>
              </w:rPr>
              <w:t>日对</w:t>
            </w:r>
            <w:r>
              <w:rPr>
                <w:rFonts w:hint="eastAsia" w:ascii="宋体" w:hAnsi="宋体" w:eastAsia="宋体" w:cs="宋体"/>
                <w:color w:val="auto"/>
                <w:kern w:val="2"/>
                <w:sz w:val="24"/>
                <w:szCs w:val="24"/>
                <w:lang w:val="en-US" w:eastAsia="zh-CN" w:bidi="ar"/>
              </w:rPr>
              <w:t>项目厂址季主导风向下风向处</w:t>
            </w:r>
            <w:r>
              <w:rPr>
                <w:rFonts w:hint="default" w:ascii="Times New Roman" w:hAnsi="Times New Roman" w:eastAsia="宋体" w:cs="Times New Roman"/>
                <w:color w:val="auto"/>
                <w:kern w:val="2"/>
                <w:sz w:val="24"/>
                <w:szCs w:val="24"/>
                <w:lang w:val="en-US" w:eastAsia="zh-CN" w:bidi="ar"/>
              </w:rPr>
              <w:t>1</w:t>
            </w:r>
            <w:r>
              <w:rPr>
                <w:rFonts w:hint="eastAsia" w:ascii="宋体" w:hAnsi="宋体" w:eastAsia="宋体" w:cs="宋体"/>
                <w:color w:val="auto"/>
                <w:kern w:val="2"/>
                <w:sz w:val="24"/>
                <w:szCs w:val="24"/>
                <w:lang w:val="en-US" w:eastAsia="zh-CN" w:bidi="ar"/>
              </w:rPr>
              <w:t>个检测点位进行监测。监测点位见图</w:t>
            </w:r>
            <w:r>
              <w:rPr>
                <w:rFonts w:hint="default" w:ascii="Times New Roman" w:hAnsi="Times New Roman" w:eastAsia="宋体" w:cs="Times New Roman"/>
                <w:color w:val="auto"/>
                <w:kern w:val="2"/>
                <w:sz w:val="24"/>
                <w:szCs w:val="24"/>
                <w:lang w:val="en-US" w:eastAsia="zh-CN" w:bidi="ar"/>
              </w:rPr>
              <w:t>3-1</w:t>
            </w:r>
            <w:r>
              <w:rPr>
                <w:rFonts w:hint="eastAsia" w:ascii="宋体" w:hAnsi="宋体" w:eastAsia="宋体" w:cs="宋体"/>
                <w:color w:val="auto"/>
                <w:kern w:val="2"/>
                <w:sz w:val="24"/>
                <w:szCs w:val="24"/>
                <w:lang w:val="en-US" w:eastAsia="zh-CN" w:bidi="ar"/>
              </w:rPr>
              <w:t>。</w:t>
            </w:r>
          </w:p>
          <w:p w14:paraId="128A17C8">
            <w:pPr>
              <w:pStyle w:val="5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Calibri" w:hAnsi="Calibri" w:eastAsia="宋体" w:cs="Times New Roman"/>
                <w:color w:val="auto"/>
                <w:kern w:val="2"/>
                <w:sz w:val="21"/>
                <w:szCs w:val="21"/>
              </w:rPr>
            </w:pPr>
            <w:r>
              <w:rPr>
                <w:rFonts w:hint="default" w:ascii="Calibri" w:hAnsi="Calibri" w:eastAsia="宋体" w:cs="Times New Roman"/>
                <w:color w:val="auto"/>
                <w:kern w:val="2"/>
                <w:sz w:val="21"/>
                <w:szCs w:val="21"/>
              </w:rPr>
              <w:drawing>
                <wp:inline distT="0" distB="0" distL="114300" distR="114300">
                  <wp:extent cx="3387725" cy="2571115"/>
                  <wp:effectExtent l="0" t="0" r="3175" b="635"/>
                  <wp:docPr id="5"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7"/>
                          <pic:cNvPicPr>
                            <a:picLocks noChangeAspect="1"/>
                          </pic:cNvPicPr>
                        </pic:nvPicPr>
                        <pic:blipFill>
                          <a:blip r:embed="rId25"/>
                          <a:stretch>
                            <a:fillRect/>
                          </a:stretch>
                        </pic:blipFill>
                        <pic:spPr>
                          <a:xfrm>
                            <a:off x="0" y="0"/>
                            <a:ext cx="3387725" cy="2571115"/>
                          </a:xfrm>
                          <a:prstGeom prst="rect">
                            <a:avLst/>
                          </a:prstGeom>
                          <a:noFill/>
                          <a:ln>
                            <a:noFill/>
                          </a:ln>
                        </pic:spPr>
                      </pic:pic>
                    </a:graphicData>
                  </a:graphic>
                </wp:inline>
              </w:drawing>
            </w:r>
          </w:p>
          <w:p w14:paraId="4A58ACB2">
            <w:pPr>
              <w:keepNext w:val="0"/>
              <w:keepLines w:val="0"/>
              <w:pageBreakBefore w:val="0"/>
              <w:widowControl w:val="0"/>
              <w:suppressLineNumbers w:val="0"/>
              <w:spacing w:before="0" w:beforeAutospacing="0" w:after="0" w:afterAutospacing="0" w:line="240" w:lineRule="auto"/>
              <w:ind w:left="0" w:right="0" w:firstLine="482"/>
              <w:jc w:val="center"/>
              <w:outlineLvl w:val="9"/>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图</w:t>
            </w:r>
            <w:r>
              <w:rPr>
                <w:rFonts w:hint="default" w:ascii="Times New Roman" w:hAnsi="Times New Roman" w:eastAsia="宋体" w:cs="Times New Roman"/>
                <w:b/>
                <w:bCs/>
                <w:color w:val="auto"/>
                <w:sz w:val="24"/>
                <w:szCs w:val="24"/>
                <w:highlight w:val="none"/>
                <w:lang w:val="en-US" w:eastAsia="zh-CN"/>
              </w:rPr>
              <w:t xml:space="preserve">3-1  </w:t>
            </w:r>
            <w:r>
              <w:rPr>
                <w:rFonts w:hint="eastAsia" w:ascii="Times New Roman" w:hAnsi="Times New Roman" w:eastAsia="宋体" w:cs="Times New Roman"/>
                <w:b/>
                <w:bCs/>
                <w:color w:val="auto"/>
                <w:sz w:val="24"/>
                <w:szCs w:val="24"/>
                <w:highlight w:val="none"/>
                <w:lang w:val="en-US" w:eastAsia="zh-CN"/>
              </w:rPr>
              <w:t>大气监测点位图</w:t>
            </w:r>
          </w:p>
          <w:p w14:paraId="3004D049">
            <w:pPr>
              <w:keepNext w:val="0"/>
              <w:keepLines w:val="0"/>
              <w:widowControl/>
              <w:suppressLineNumbers w:val="0"/>
              <w:autoSpaceDE w:val="0"/>
              <w:autoSpaceDN/>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
              </w:rPr>
            </w:pPr>
            <w:r>
              <w:rPr>
                <w:rFonts w:hint="default" w:ascii="Times New Roman" w:hAnsi="Times New Roman" w:eastAsia="宋体" w:cs="Times New Roman"/>
                <w:color w:val="auto"/>
                <w:kern w:val="2"/>
                <w:sz w:val="24"/>
                <w:szCs w:val="24"/>
                <w:lang w:val="en-US" w:eastAsia="zh-CN" w:bidi="ar"/>
              </w:rPr>
              <w:t>监测点基本信息见表3-2，评价结果见表3-3。</w:t>
            </w:r>
          </w:p>
          <w:p w14:paraId="6E3135EC">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val="0"/>
                <w:color w:val="auto"/>
                <w:kern w:val="0"/>
                <w:sz w:val="21"/>
                <w:szCs w:val="21"/>
                <w:lang w:val="en-US" w:eastAsia="zh-CN" w:bidi="ar"/>
              </w:rPr>
            </w:pPr>
            <w:r>
              <w:rPr>
                <w:rFonts w:hint="eastAsia" w:ascii="Times New Roman" w:hAnsi="Times New Roman" w:eastAsia="宋体" w:cs="Times New Roman"/>
                <w:b/>
                <w:bCs w:val="0"/>
                <w:color w:val="auto"/>
                <w:kern w:val="0"/>
                <w:sz w:val="21"/>
                <w:szCs w:val="21"/>
                <w:lang w:val="en-US" w:eastAsia="zh-CN" w:bidi="ar"/>
              </w:rPr>
              <w:t>表</w:t>
            </w:r>
            <w:r>
              <w:rPr>
                <w:rFonts w:hint="default" w:ascii="Times New Roman" w:hAnsi="Times New Roman" w:eastAsia="宋体" w:cs="Times New Roman"/>
                <w:b/>
                <w:bCs w:val="0"/>
                <w:color w:val="auto"/>
                <w:kern w:val="0"/>
                <w:sz w:val="21"/>
                <w:szCs w:val="21"/>
                <w:lang w:val="en-US" w:eastAsia="zh-CN" w:bidi="ar"/>
              </w:rPr>
              <w:t xml:space="preserve">3-2 </w:t>
            </w:r>
            <w:r>
              <w:rPr>
                <w:rFonts w:hint="eastAsia" w:ascii="Times New Roman" w:hAnsi="Times New Roman" w:eastAsia="宋体" w:cs="Times New Roman"/>
                <w:b/>
                <w:bCs w:val="0"/>
                <w:color w:val="auto"/>
                <w:kern w:val="0"/>
                <w:sz w:val="21"/>
                <w:szCs w:val="21"/>
                <w:lang w:val="en-US" w:eastAsia="zh-CN" w:bidi="ar"/>
              </w:rPr>
              <w:t>环境空气现状监测点位表</w:t>
            </w:r>
          </w:p>
          <w:tbl>
            <w:tblPr>
              <w:tblStyle w:val="56"/>
              <w:tblW w:w="8434" w:type="dxa"/>
              <w:jc w:val="center"/>
              <w:tblBorders>
                <w:top w:val="single" w:color="auto" w:sz="12" w:space="0"/>
                <w:left w:val="none" w:color="auto" w:sz="6" w:space="0"/>
                <w:bottom w:val="single" w:color="auto" w:sz="12" w:space="0"/>
                <w:right w:val="none" w:color="auto" w:sz="6" w:space="0"/>
                <w:insideH w:val="single" w:color="auto" w:sz="6" w:space="0"/>
                <w:insideV w:val="single" w:color="auto" w:sz="6" w:space="0"/>
              </w:tblBorders>
              <w:shd w:val="clear" w:color="auto" w:fill="auto"/>
              <w:tblLayout w:type="autofit"/>
              <w:tblCellMar>
                <w:top w:w="0" w:type="dxa"/>
                <w:left w:w="108" w:type="dxa"/>
                <w:bottom w:w="0" w:type="dxa"/>
                <w:right w:w="108" w:type="dxa"/>
              </w:tblCellMar>
            </w:tblPr>
            <w:tblGrid>
              <w:gridCol w:w="1641"/>
              <w:gridCol w:w="1433"/>
              <w:gridCol w:w="1350"/>
              <w:gridCol w:w="1061"/>
              <w:gridCol w:w="1027"/>
              <w:gridCol w:w="751"/>
              <w:gridCol w:w="1171"/>
            </w:tblGrid>
            <w:tr w14:paraId="402A5831">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405" w:hRule="atLeast"/>
                <w:jc w:val="center"/>
              </w:trPr>
              <w:tc>
                <w:tcPr>
                  <w:tcW w:w="1641" w:type="dxa"/>
                  <w:vMerge w:val="restart"/>
                  <w:tcBorders>
                    <w:top w:val="single" w:color="auto" w:sz="8" w:space="0"/>
                    <w:left w:val="single" w:color="auto" w:sz="4" w:space="0"/>
                    <w:right w:val="single" w:color="auto" w:sz="6" w:space="0"/>
                  </w:tcBorders>
                  <w:shd w:val="clear" w:color="auto" w:fill="auto"/>
                  <w:vAlign w:val="center"/>
                </w:tcPr>
                <w:p w14:paraId="17844CAF">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r>
                    <w:rPr>
                      <w:rFonts w:hint="eastAsia" w:ascii="宋体" w:hAnsi="宋体" w:eastAsia="宋体" w:cs="宋体"/>
                      <w:color w:val="auto"/>
                      <w:spacing w:val="-10"/>
                      <w:kern w:val="2"/>
                      <w:sz w:val="21"/>
                      <w:szCs w:val="21"/>
                      <w:lang w:val="en-US" w:eastAsia="zh-CN" w:bidi="ar"/>
                    </w:rPr>
                    <w:t>监测点名称</w:t>
                  </w:r>
                </w:p>
              </w:tc>
              <w:tc>
                <w:tcPr>
                  <w:tcW w:w="2783" w:type="dxa"/>
                  <w:gridSpan w:val="2"/>
                  <w:tcBorders>
                    <w:top w:val="single" w:color="auto" w:sz="8" w:space="0"/>
                    <w:left w:val="single" w:color="auto" w:sz="6" w:space="0"/>
                    <w:bottom w:val="single" w:color="auto" w:sz="8" w:space="0"/>
                    <w:right w:val="single" w:color="auto" w:sz="6" w:space="0"/>
                  </w:tcBorders>
                  <w:shd w:val="clear" w:color="auto" w:fill="auto"/>
                  <w:vAlign w:val="center"/>
                </w:tcPr>
                <w:p w14:paraId="6301EB5E">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0"/>
                      <w:kern w:val="2"/>
                      <w:sz w:val="21"/>
                      <w:szCs w:val="21"/>
                      <w:lang w:val="en-US" w:eastAsia="zh-CN" w:bidi="ar"/>
                    </w:rPr>
                  </w:pPr>
                  <w:r>
                    <w:rPr>
                      <w:rFonts w:hint="eastAsia" w:ascii="宋体" w:hAnsi="宋体" w:eastAsia="宋体" w:cs="宋体"/>
                      <w:color w:val="auto"/>
                      <w:spacing w:val="-10"/>
                      <w:kern w:val="2"/>
                      <w:sz w:val="21"/>
                      <w:szCs w:val="21"/>
                      <w:lang w:val="en-US" w:eastAsia="zh-CN" w:bidi="ar"/>
                    </w:rPr>
                    <w:t>监测点位坐标</w:t>
                  </w:r>
                </w:p>
              </w:tc>
              <w:tc>
                <w:tcPr>
                  <w:tcW w:w="1061" w:type="dxa"/>
                  <w:vMerge w:val="restart"/>
                  <w:tcBorders>
                    <w:top w:val="single" w:color="auto" w:sz="8" w:space="0"/>
                    <w:left w:val="single" w:color="auto" w:sz="6" w:space="0"/>
                    <w:right w:val="single" w:color="auto" w:sz="6" w:space="0"/>
                  </w:tcBorders>
                  <w:shd w:val="clear" w:color="auto" w:fill="auto"/>
                  <w:vAlign w:val="center"/>
                </w:tcPr>
                <w:p w14:paraId="67CA612F">
                  <w:pPr>
                    <w:keepNext w:val="0"/>
                    <w:keepLines w:val="0"/>
                    <w:widowControl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pacing w:val="-10"/>
                      <w:kern w:val="2"/>
                      <w:sz w:val="21"/>
                      <w:szCs w:val="21"/>
                      <w:lang w:val="en-US" w:eastAsia="zh-CN" w:bidi="ar-SA"/>
                    </w:rPr>
                  </w:pPr>
                  <w:r>
                    <w:rPr>
                      <w:rFonts w:hint="eastAsia" w:ascii="宋体" w:hAnsi="宋体" w:eastAsia="宋体" w:cs="宋体"/>
                      <w:color w:val="auto"/>
                      <w:spacing w:val="-10"/>
                      <w:kern w:val="2"/>
                      <w:sz w:val="21"/>
                      <w:szCs w:val="21"/>
                      <w:lang w:val="en-US" w:eastAsia="zh-CN" w:bidi="ar"/>
                    </w:rPr>
                    <w:t>监测因子</w:t>
                  </w:r>
                </w:p>
              </w:tc>
              <w:tc>
                <w:tcPr>
                  <w:tcW w:w="1027" w:type="dxa"/>
                  <w:vMerge w:val="restart"/>
                  <w:tcBorders>
                    <w:top w:val="single" w:color="auto" w:sz="8" w:space="0"/>
                    <w:left w:val="single" w:color="auto" w:sz="6" w:space="0"/>
                    <w:right w:val="single" w:color="auto" w:sz="6" w:space="0"/>
                  </w:tcBorders>
                  <w:shd w:val="clear" w:color="auto" w:fill="auto"/>
                  <w:vAlign w:val="center"/>
                </w:tcPr>
                <w:p w14:paraId="24209754">
                  <w:pPr>
                    <w:keepNext w:val="0"/>
                    <w:keepLines w:val="0"/>
                    <w:widowControl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pacing w:val="-10"/>
                      <w:kern w:val="2"/>
                      <w:sz w:val="21"/>
                      <w:szCs w:val="21"/>
                      <w:lang w:val="en-US" w:eastAsia="zh-CN" w:bidi="ar-SA"/>
                    </w:rPr>
                  </w:pPr>
                  <w:r>
                    <w:rPr>
                      <w:rFonts w:hint="eastAsia" w:ascii="宋体" w:hAnsi="宋体" w:eastAsia="宋体" w:cs="宋体"/>
                      <w:color w:val="auto"/>
                      <w:spacing w:val="-10"/>
                      <w:kern w:val="2"/>
                      <w:sz w:val="21"/>
                      <w:szCs w:val="21"/>
                      <w:lang w:val="en-US" w:eastAsia="zh-CN" w:bidi="ar"/>
                    </w:rPr>
                    <w:t>监测时段</w:t>
                  </w:r>
                </w:p>
              </w:tc>
              <w:tc>
                <w:tcPr>
                  <w:tcW w:w="751" w:type="dxa"/>
                  <w:vMerge w:val="restart"/>
                  <w:tcBorders>
                    <w:top w:val="single" w:color="auto" w:sz="8" w:space="0"/>
                    <w:left w:val="single" w:color="auto" w:sz="6" w:space="0"/>
                    <w:right w:val="single" w:color="auto" w:sz="6" w:space="0"/>
                  </w:tcBorders>
                  <w:shd w:val="clear" w:color="auto" w:fill="auto"/>
                  <w:vAlign w:val="center"/>
                </w:tcPr>
                <w:p w14:paraId="7DA0E17E">
                  <w:pPr>
                    <w:keepNext w:val="0"/>
                    <w:keepLines w:val="0"/>
                    <w:widowControl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pacing w:val="-10"/>
                      <w:kern w:val="2"/>
                      <w:sz w:val="21"/>
                      <w:szCs w:val="21"/>
                      <w:lang w:val="en-US" w:eastAsia="zh-CN" w:bidi="ar-SA"/>
                    </w:rPr>
                  </w:pPr>
                  <w:r>
                    <w:rPr>
                      <w:rFonts w:hint="eastAsia" w:ascii="宋体" w:hAnsi="宋体" w:eastAsia="宋体" w:cs="宋体"/>
                      <w:color w:val="auto"/>
                      <w:spacing w:val="-10"/>
                      <w:kern w:val="2"/>
                      <w:sz w:val="21"/>
                      <w:szCs w:val="21"/>
                      <w:lang w:val="en-US" w:eastAsia="zh-CN" w:bidi="ar"/>
                    </w:rPr>
                    <w:t>相对厂址方位</w:t>
                  </w:r>
                </w:p>
              </w:tc>
              <w:tc>
                <w:tcPr>
                  <w:tcW w:w="1171" w:type="dxa"/>
                  <w:vMerge w:val="restart"/>
                  <w:tcBorders>
                    <w:top w:val="single" w:color="auto" w:sz="8" w:space="0"/>
                    <w:left w:val="single" w:color="auto" w:sz="6" w:space="0"/>
                    <w:right w:val="single" w:color="auto" w:sz="8" w:space="0"/>
                  </w:tcBorders>
                  <w:shd w:val="clear" w:color="auto" w:fill="auto"/>
                  <w:vAlign w:val="center"/>
                </w:tcPr>
                <w:p w14:paraId="4199D0D0">
                  <w:pPr>
                    <w:keepNext w:val="0"/>
                    <w:keepLines w:val="0"/>
                    <w:widowControl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pacing w:val="-10"/>
                      <w:kern w:val="2"/>
                      <w:sz w:val="21"/>
                      <w:szCs w:val="21"/>
                      <w:lang w:val="en-US" w:eastAsia="zh-CN" w:bidi="ar-SA"/>
                    </w:rPr>
                  </w:pPr>
                  <w:r>
                    <w:rPr>
                      <w:rFonts w:hint="eastAsia" w:ascii="宋体" w:hAnsi="宋体" w:eastAsia="宋体" w:cs="宋体"/>
                      <w:color w:val="auto"/>
                      <w:spacing w:val="-10"/>
                      <w:kern w:val="2"/>
                      <w:sz w:val="21"/>
                      <w:szCs w:val="21"/>
                      <w:lang w:val="en-US" w:eastAsia="zh-CN" w:bidi="ar"/>
                    </w:rPr>
                    <w:t>相对厂址距离</w:t>
                  </w:r>
                  <w:r>
                    <w:rPr>
                      <w:rFonts w:hint="default" w:ascii="Times New Roman" w:hAnsi="Times New Roman" w:eastAsia="宋体" w:cs="Times New Roman"/>
                      <w:color w:val="auto"/>
                      <w:spacing w:val="-10"/>
                      <w:kern w:val="2"/>
                      <w:sz w:val="21"/>
                      <w:szCs w:val="21"/>
                      <w:lang w:val="en-US" w:eastAsia="zh-CN" w:bidi="ar"/>
                    </w:rPr>
                    <w:t>/m</w:t>
                  </w:r>
                </w:p>
              </w:tc>
            </w:tr>
            <w:tr w14:paraId="34C57AAA">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shd w:val="clear" w:color="auto" w:fill="auto"/>
                <w:tblCellMar>
                  <w:top w:w="0" w:type="dxa"/>
                  <w:left w:w="108" w:type="dxa"/>
                  <w:bottom w:w="0" w:type="dxa"/>
                  <w:right w:w="108" w:type="dxa"/>
                </w:tblCellMar>
              </w:tblPrEx>
              <w:trPr>
                <w:trHeight w:val="405" w:hRule="atLeast"/>
                <w:jc w:val="center"/>
              </w:trPr>
              <w:tc>
                <w:tcPr>
                  <w:tcW w:w="1641" w:type="dxa"/>
                  <w:vMerge w:val="continue"/>
                  <w:tcBorders>
                    <w:left w:val="single" w:color="auto" w:sz="4" w:space="0"/>
                    <w:bottom w:val="single" w:color="auto" w:sz="8" w:space="0"/>
                    <w:right w:val="single" w:color="auto" w:sz="6" w:space="0"/>
                  </w:tcBorders>
                  <w:shd w:val="clear" w:color="auto" w:fill="auto"/>
                  <w:vAlign w:val="center"/>
                </w:tcPr>
                <w:p w14:paraId="263681DD">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1433" w:type="dxa"/>
                  <w:tcBorders>
                    <w:top w:val="single" w:color="auto" w:sz="8" w:space="0"/>
                    <w:left w:val="single" w:color="auto" w:sz="6" w:space="0"/>
                    <w:bottom w:val="single" w:color="auto" w:sz="8" w:space="0"/>
                    <w:right w:val="single" w:color="auto" w:sz="6" w:space="0"/>
                  </w:tcBorders>
                  <w:shd w:val="clear" w:color="auto" w:fill="auto"/>
                  <w:vAlign w:val="center"/>
                </w:tcPr>
                <w:p w14:paraId="0F9101E8">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0"/>
                      <w:kern w:val="2"/>
                      <w:sz w:val="21"/>
                      <w:szCs w:val="21"/>
                    </w:rPr>
                  </w:pPr>
                  <w:r>
                    <w:rPr>
                      <w:rFonts w:hint="default" w:ascii="Times New Roman" w:hAnsi="Times New Roman" w:eastAsia="宋体" w:cs="Times New Roman"/>
                      <w:color w:val="auto"/>
                      <w:spacing w:val="-10"/>
                      <w:kern w:val="2"/>
                      <w:sz w:val="21"/>
                      <w:szCs w:val="21"/>
                      <w:lang w:val="en-US" w:eastAsia="zh-CN" w:bidi="ar"/>
                    </w:rPr>
                    <w:t>X</w:t>
                  </w:r>
                </w:p>
              </w:tc>
              <w:tc>
                <w:tcPr>
                  <w:tcW w:w="1350" w:type="dxa"/>
                  <w:tcBorders>
                    <w:top w:val="single" w:color="auto" w:sz="8" w:space="0"/>
                    <w:left w:val="single" w:color="auto" w:sz="6" w:space="0"/>
                    <w:bottom w:val="single" w:color="auto" w:sz="8" w:space="0"/>
                    <w:right w:val="single" w:color="auto" w:sz="6" w:space="0"/>
                  </w:tcBorders>
                  <w:shd w:val="clear" w:color="auto" w:fill="auto"/>
                  <w:vAlign w:val="center"/>
                </w:tcPr>
                <w:p w14:paraId="54E60275">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0"/>
                      <w:kern w:val="2"/>
                      <w:sz w:val="21"/>
                      <w:szCs w:val="21"/>
                    </w:rPr>
                  </w:pPr>
                  <w:r>
                    <w:rPr>
                      <w:rFonts w:hint="default" w:ascii="Times New Roman" w:hAnsi="Times New Roman" w:eastAsia="宋体" w:cs="Times New Roman"/>
                      <w:color w:val="auto"/>
                      <w:spacing w:val="-10"/>
                      <w:kern w:val="2"/>
                      <w:sz w:val="21"/>
                      <w:szCs w:val="21"/>
                      <w:lang w:val="en-US" w:eastAsia="zh-CN" w:bidi="ar"/>
                    </w:rPr>
                    <w:t>Y</w:t>
                  </w:r>
                </w:p>
              </w:tc>
              <w:tc>
                <w:tcPr>
                  <w:tcW w:w="1061" w:type="dxa"/>
                  <w:vMerge w:val="continue"/>
                  <w:tcBorders>
                    <w:top w:val="single" w:color="auto" w:sz="8" w:space="0"/>
                    <w:left w:val="single" w:color="auto" w:sz="6" w:space="0"/>
                    <w:bottom w:val="single" w:color="auto" w:sz="8" w:space="0"/>
                    <w:right w:val="single" w:color="auto" w:sz="6" w:space="0"/>
                  </w:tcBorders>
                  <w:shd w:val="clear" w:color="auto" w:fill="auto"/>
                  <w:vAlign w:val="center"/>
                </w:tcPr>
                <w:p w14:paraId="7D8F1500">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1027" w:type="dxa"/>
                  <w:vMerge w:val="continue"/>
                  <w:tcBorders>
                    <w:top w:val="single" w:color="auto" w:sz="8" w:space="0"/>
                    <w:left w:val="single" w:color="auto" w:sz="6" w:space="0"/>
                    <w:bottom w:val="single" w:color="auto" w:sz="8" w:space="0"/>
                    <w:right w:val="single" w:color="auto" w:sz="6" w:space="0"/>
                  </w:tcBorders>
                  <w:shd w:val="clear" w:color="auto" w:fill="auto"/>
                  <w:vAlign w:val="center"/>
                </w:tcPr>
                <w:p w14:paraId="58BAE3F2">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751" w:type="dxa"/>
                  <w:vMerge w:val="continue"/>
                  <w:tcBorders>
                    <w:top w:val="single" w:color="auto" w:sz="8" w:space="0"/>
                    <w:left w:val="single" w:color="auto" w:sz="6" w:space="0"/>
                    <w:bottom w:val="single" w:color="auto" w:sz="8" w:space="0"/>
                    <w:right w:val="single" w:color="auto" w:sz="6" w:space="0"/>
                  </w:tcBorders>
                  <w:shd w:val="clear" w:color="auto" w:fill="auto"/>
                  <w:vAlign w:val="center"/>
                </w:tcPr>
                <w:p w14:paraId="34FC9BD7">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1171" w:type="dxa"/>
                  <w:vMerge w:val="continue"/>
                  <w:tcBorders>
                    <w:top w:val="single" w:color="auto" w:sz="8" w:space="0"/>
                    <w:left w:val="single" w:color="auto" w:sz="6" w:space="0"/>
                    <w:bottom w:val="single" w:color="auto" w:sz="8" w:space="0"/>
                    <w:right w:val="single" w:color="auto" w:sz="8" w:space="0"/>
                  </w:tcBorders>
                  <w:shd w:val="clear" w:color="auto" w:fill="auto"/>
                  <w:vAlign w:val="center"/>
                </w:tcPr>
                <w:p w14:paraId="1E471360">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r>
            <w:tr w14:paraId="5F2E09CE">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shd w:val="clear" w:color="auto" w:fill="auto"/>
                <w:tblCellMar>
                  <w:top w:w="0" w:type="dxa"/>
                  <w:left w:w="108" w:type="dxa"/>
                  <w:bottom w:w="0" w:type="dxa"/>
                  <w:right w:w="108" w:type="dxa"/>
                </w:tblCellMar>
              </w:tblPrEx>
              <w:trPr>
                <w:trHeight w:val="544" w:hRule="atLeast"/>
                <w:jc w:val="center"/>
              </w:trPr>
              <w:tc>
                <w:tcPr>
                  <w:tcW w:w="1641" w:type="dxa"/>
                  <w:tcBorders>
                    <w:top w:val="single" w:color="auto" w:sz="8" w:space="0"/>
                    <w:left w:val="single" w:color="auto" w:sz="4" w:space="0"/>
                    <w:bottom w:val="single" w:color="auto" w:sz="8" w:space="0"/>
                    <w:right w:val="single" w:color="auto" w:sz="6" w:space="0"/>
                  </w:tcBorders>
                  <w:shd w:val="clear" w:color="auto" w:fill="auto"/>
                  <w:vAlign w:val="center"/>
                </w:tcPr>
                <w:p w14:paraId="1BFDC4E8">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0"/>
                      <w:kern w:val="2"/>
                      <w:sz w:val="21"/>
                      <w:szCs w:val="21"/>
                    </w:rPr>
                  </w:pPr>
                  <w:r>
                    <w:rPr>
                      <w:rFonts w:hint="eastAsia" w:ascii="宋体" w:hAnsi="宋体" w:eastAsia="宋体" w:cs="宋体"/>
                      <w:color w:val="auto"/>
                      <w:spacing w:val="-10"/>
                      <w:kern w:val="2"/>
                      <w:sz w:val="21"/>
                      <w:szCs w:val="21"/>
                      <w:lang w:val="en-US" w:eastAsia="zh-CN" w:bidi="ar"/>
                    </w:rPr>
                    <w:t>厂区下风向</w:t>
                  </w:r>
                  <w:r>
                    <w:rPr>
                      <w:rFonts w:hint="default" w:ascii="Times New Roman" w:hAnsi="Times New Roman" w:eastAsia="宋体" w:cs="Times New Roman"/>
                      <w:color w:val="auto"/>
                      <w:spacing w:val="-10"/>
                      <w:kern w:val="2"/>
                      <w:sz w:val="21"/>
                      <w:szCs w:val="21"/>
                      <w:lang w:val="en-US" w:eastAsia="zh-CN" w:bidi="ar"/>
                    </w:rPr>
                    <w:t>〇1#</w:t>
                  </w:r>
                </w:p>
              </w:tc>
              <w:tc>
                <w:tcPr>
                  <w:tcW w:w="1433" w:type="dxa"/>
                  <w:tcBorders>
                    <w:top w:val="single" w:color="auto" w:sz="8" w:space="0"/>
                    <w:left w:val="single" w:color="auto" w:sz="6" w:space="0"/>
                    <w:bottom w:val="single" w:color="auto" w:sz="8" w:space="0"/>
                    <w:right w:val="single" w:color="auto" w:sz="6" w:space="0"/>
                  </w:tcBorders>
                  <w:shd w:val="clear" w:color="auto" w:fill="auto"/>
                  <w:vAlign w:val="center"/>
                </w:tcPr>
                <w:p w14:paraId="0A0B506D">
                  <w:pPr>
                    <w:keepNext w:val="0"/>
                    <w:keepLines w:val="0"/>
                    <w:widowControl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pacing w:val="-10"/>
                      <w:kern w:val="2"/>
                      <w:sz w:val="21"/>
                      <w:szCs w:val="21"/>
                    </w:rPr>
                  </w:pPr>
                  <w:r>
                    <w:rPr>
                      <w:rFonts w:hint="default" w:ascii="Times New Roman" w:hAnsi="Times New Roman" w:eastAsia="宋体" w:cs="Times New Roman"/>
                      <w:color w:val="auto"/>
                      <w:spacing w:val="-10"/>
                      <w:kern w:val="2"/>
                      <w:sz w:val="21"/>
                      <w:szCs w:val="21"/>
                      <w:lang w:val="en-US" w:eastAsia="zh-CN" w:bidi="ar"/>
                    </w:rPr>
                    <w:t>128°6′17.052″</w:t>
                  </w:r>
                </w:p>
              </w:tc>
              <w:tc>
                <w:tcPr>
                  <w:tcW w:w="1350" w:type="dxa"/>
                  <w:tcBorders>
                    <w:top w:val="single" w:color="auto" w:sz="8" w:space="0"/>
                    <w:left w:val="single" w:color="auto" w:sz="6" w:space="0"/>
                    <w:bottom w:val="single" w:color="auto" w:sz="8" w:space="0"/>
                    <w:right w:val="single" w:color="auto" w:sz="6" w:space="0"/>
                  </w:tcBorders>
                  <w:shd w:val="clear" w:color="auto" w:fill="auto"/>
                  <w:vAlign w:val="center"/>
                </w:tcPr>
                <w:p w14:paraId="3425D093">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0"/>
                      <w:kern w:val="2"/>
                      <w:sz w:val="21"/>
                      <w:szCs w:val="21"/>
                    </w:rPr>
                  </w:pPr>
                  <w:r>
                    <w:rPr>
                      <w:rFonts w:hint="default" w:ascii="Times New Roman" w:hAnsi="Times New Roman" w:eastAsia="宋体" w:cs="Times New Roman"/>
                      <w:color w:val="auto"/>
                      <w:spacing w:val="-10"/>
                      <w:kern w:val="2"/>
                      <w:sz w:val="21"/>
                      <w:szCs w:val="21"/>
                      <w:lang w:val="en-US" w:eastAsia="zh-CN" w:bidi="ar"/>
                    </w:rPr>
                    <w:t>46°58′8.543″</w:t>
                  </w:r>
                </w:p>
              </w:tc>
              <w:tc>
                <w:tcPr>
                  <w:tcW w:w="1061" w:type="dxa"/>
                  <w:tcBorders>
                    <w:top w:val="single" w:color="auto" w:sz="8" w:space="0"/>
                    <w:left w:val="single" w:color="auto" w:sz="6" w:space="0"/>
                    <w:bottom w:val="single" w:color="auto" w:sz="8" w:space="0"/>
                    <w:right w:val="single" w:color="auto" w:sz="6" w:space="0"/>
                  </w:tcBorders>
                  <w:shd w:val="clear" w:color="auto" w:fill="auto"/>
                  <w:vAlign w:val="center"/>
                </w:tcPr>
                <w:p w14:paraId="20A0C9E3">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0"/>
                      <w:kern w:val="2"/>
                      <w:sz w:val="21"/>
                      <w:szCs w:val="21"/>
                    </w:rPr>
                  </w:pPr>
                  <w:r>
                    <w:rPr>
                      <w:rFonts w:hint="default" w:ascii="Times New Roman" w:hAnsi="Times New Roman" w:eastAsia="宋体" w:cs="Times New Roman"/>
                      <w:color w:val="auto"/>
                      <w:kern w:val="2"/>
                      <w:sz w:val="21"/>
                      <w:szCs w:val="21"/>
                      <w:lang w:val="en-US" w:eastAsia="zh-CN" w:bidi="ar"/>
                    </w:rPr>
                    <w:t>TSP</w:t>
                  </w:r>
                </w:p>
              </w:tc>
              <w:tc>
                <w:tcPr>
                  <w:tcW w:w="1027" w:type="dxa"/>
                  <w:tcBorders>
                    <w:top w:val="single" w:color="auto" w:sz="8" w:space="0"/>
                    <w:left w:val="single" w:color="auto" w:sz="6" w:space="0"/>
                    <w:bottom w:val="single" w:color="auto" w:sz="8" w:space="0"/>
                    <w:right w:val="single" w:color="auto" w:sz="6" w:space="0"/>
                  </w:tcBorders>
                  <w:shd w:val="clear" w:color="auto" w:fill="auto"/>
                  <w:vAlign w:val="center"/>
                </w:tcPr>
                <w:p w14:paraId="39D3A9B3">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0"/>
                      <w:kern w:val="2"/>
                      <w:sz w:val="21"/>
                      <w:szCs w:val="21"/>
                    </w:rPr>
                  </w:pPr>
                  <w:r>
                    <w:rPr>
                      <w:rFonts w:hint="eastAsia" w:ascii="宋体" w:hAnsi="宋体" w:eastAsia="宋体" w:cs="宋体"/>
                      <w:color w:val="auto"/>
                      <w:kern w:val="2"/>
                      <w:sz w:val="21"/>
                      <w:szCs w:val="21"/>
                      <w:lang w:val="en-US" w:eastAsia="zh-CN" w:bidi="ar"/>
                    </w:rPr>
                    <w:t>日均值</w:t>
                  </w:r>
                </w:p>
              </w:tc>
              <w:tc>
                <w:tcPr>
                  <w:tcW w:w="751" w:type="dxa"/>
                  <w:tcBorders>
                    <w:top w:val="single" w:color="auto" w:sz="8" w:space="0"/>
                    <w:left w:val="single" w:color="auto" w:sz="6" w:space="0"/>
                    <w:bottom w:val="single" w:color="auto" w:sz="8" w:space="0"/>
                    <w:right w:val="single" w:color="auto" w:sz="6" w:space="0"/>
                  </w:tcBorders>
                  <w:shd w:val="clear" w:color="auto" w:fill="auto"/>
                  <w:vAlign w:val="center"/>
                </w:tcPr>
                <w:p w14:paraId="06DA7AC8">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0"/>
                      <w:kern w:val="2"/>
                      <w:sz w:val="21"/>
                      <w:szCs w:val="21"/>
                      <w:lang w:val="en-US" w:eastAsia="zh-CN"/>
                    </w:rPr>
                  </w:pPr>
                  <w:r>
                    <w:rPr>
                      <w:rFonts w:hint="eastAsia" w:ascii="Times New Roman" w:hAnsi="Times New Roman" w:eastAsia="宋体" w:cs="Times New Roman"/>
                      <w:color w:val="auto"/>
                      <w:spacing w:val="-10"/>
                      <w:kern w:val="2"/>
                      <w:sz w:val="21"/>
                      <w:szCs w:val="21"/>
                      <w:lang w:val="en-US" w:eastAsia="zh-CN"/>
                    </w:rPr>
                    <w:t>NW</w:t>
                  </w:r>
                </w:p>
              </w:tc>
              <w:tc>
                <w:tcPr>
                  <w:tcW w:w="1171" w:type="dxa"/>
                  <w:tcBorders>
                    <w:top w:val="single" w:color="auto" w:sz="8" w:space="0"/>
                    <w:left w:val="single" w:color="auto" w:sz="6" w:space="0"/>
                    <w:bottom w:val="single" w:color="auto" w:sz="8" w:space="0"/>
                    <w:right w:val="single" w:color="auto" w:sz="8" w:space="0"/>
                  </w:tcBorders>
                  <w:shd w:val="clear" w:color="auto" w:fill="auto"/>
                  <w:vAlign w:val="center"/>
                </w:tcPr>
                <w:p w14:paraId="2542DA46">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0"/>
                      <w:kern w:val="2"/>
                      <w:sz w:val="21"/>
                      <w:szCs w:val="21"/>
                      <w:lang w:val="en-US"/>
                    </w:rPr>
                  </w:pPr>
                  <w:r>
                    <w:rPr>
                      <w:rFonts w:hint="eastAsia" w:ascii="Times New Roman" w:hAnsi="Times New Roman" w:eastAsia="宋体" w:cs="Times New Roman"/>
                      <w:color w:val="auto"/>
                      <w:spacing w:val="-10"/>
                      <w:kern w:val="2"/>
                      <w:sz w:val="21"/>
                      <w:szCs w:val="21"/>
                      <w:lang w:val="en-US" w:eastAsia="zh-CN" w:bidi="ar"/>
                    </w:rPr>
                    <w:t>15</w:t>
                  </w:r>
                </w:p>
              </w:tc>
            </w:tr>
          </w:tbl>
          <w:p w14:paraId="4F3D5178">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val="0"/>
                <w:color w:val="auto"/>
                <w:kern w:val="0"/>
                <w:sz w:val="21"/>
                <w:szCs w:val="21"/>
                <w:lang w:val="en-US" w:eastAsia="zh-CN" w:bidi="ar"/>
              </w:rPr>
            </w:pPr>
            <w:r>
              <w:rPr>
                <w:rFonts w:hint="eastAsia" w:ascii="Times New Roman" w:hAnsi="Times New Roman" w:eastAsia="宋体" w:cs="Times New Roman"/>
                <w:b/>
                <w:bCs w:val="0"/>
                <w:color w:val="auto"/>
                <w:kern w:val="0"/>
                <w:sz w:val="21"/>
                <w:szCs w:val="21"/>
                <w:lang w:val="en-US" w:eastAsia="zh-CN" w:bidi="ar"/>
              </w:rPr>
              <w:t>表</w:t>
            </w:r>
            <w:r>
              <w:rPr>
                <w:rFonts w:hint="default" w:ascii="Times New Roman" w:hAnsi="Times New Roman" w:eastAsia="宋体" w:cs="Times New Roman"/>
                <w:b/>
                <w:bCs w:val="0"/>
                <w:color w:val="auto"/>
                <w:kern w:val="0"/>
                <w:sz w:val="21"/>
                <w:szCs w:val="21"/>
                <w:lang w:val="en-US" w:eastAsia="zh-CN" w:bidi="ar"/>
              </w:rPr>
              <w:t xml:space="preserve">3-3 </w:t>
            </w:r>
            <w:r>
              <w:rPr>
                <w:rFonts w:hint="eastAsia" w:ascii="Times New Roman" w:hAnsi="Times New Roman" w:eastAsia="宋体" w:cs="Times New Roman"/>
                <w:b/>
                <w:bCs w:val="0"/>
                <w:color w:val="auto"/>
                <w:kern w:val="0"/>
                <w:sz w:val="21"/>
                <w:szCs w:val="21"/>
                <w:lang w:val="en-US" w:eastAsia="zh-CN" w:bidi="ar"/>
              </w:rPr>
              <w:t>现状监测结果统计评价表</w:t>
            </w:r>
          </w:p>
          <w:tbl>
            <w:tblPr>
              <w:tblStyle w:val="56"/>
              <w:tblW w:w="8442" w:type="dxa"/>
              <w:jc w:val="center"/>
              <w:tblBorders>
                <w:top w:val="single" w:color="000000" w:sz="12" w:space="0"/>
                <w:left w:val="none" w:color="auto" w:sz="6" w:space="0"/>
                <w:bottom w:val="single" w:color="000000" w:sz="12" w:space="0"/>
                <w:right w:val="none" w:color="auto" w:sz="6" w:space="0"/>
                <w:insideH w:val="single" w:color="000000" w:sz="4" w:space="0"/>
                <w:insideV w:val="single" w:color="000000" w:sz="4" w:space="0"/>
              </w:tblBorders>
              <w:shd w:val="clear" w:color="auto" w:fill="auto"/>
              <w:tblLayout w:type="autofit"/>
              <w:tblCellMar>
                <w:top w:w="0" w:type="dxa"/>
                <w:left w:w="57" w:type="dxa"/>
                <w:bottom w:w="0" w:type="dxa"/>
                <w:right w:w="57" w:type="dxa"/>
              </w:tblCellMar>
            </w:tblPr>
            <w:tblGrid>
              <w:gridCol w:w="912"/>
              <w:gridCol w:w="1630"/>
              <w:gridCol w:w="1113"/>
              <w:gridCol w:w="1202"/>
              <w:gridCol w:w="1127"/>
              <w:gridCol w:w="714"/>
              <w:gridCol w:w="845"/>
              <w:gridCol w:w="899"/>
            </w:tblGrid>
            <w:tr w14:paraId="675FB1B2">
              <w:tblPrEx>
                <w:tblBorders>
                  <w:top w:val="single" w:color="000000" w:sz="12" w:space="0"/>
                  <w:left w:val="none" w:color="auto" w:sz="6" w:space="0"/>
                  <w:bottom w:val="single" w:color="000000" w:sz="12" w:space="0"/>
                  <w:right w:val="none" w:color="auto" w:sz="6" w:space="0"/>
                  <w:insideH w:val="single" w:color="000000" w:sz="4" w:space="0"/>
                  <w:insideV w:val="single" w:color="000000" w:sz="4" w:space="0"/>
                </w:tblBorders>
                <w:shd w:val="clear" w:color="auto" w:fill="auto"/>
                <w:tblCellMar>
                  <w:top w:w="0" w:type="dxa"/>
                  <w:left w:w="57" w:type="dxa"/>
                  <w:bottom w:w="0" w:type="dxa"/>
                  <w:right w:w="57" w:type="dxa"/>
                </w:tblCellMar>
              </w:tblPrEx>
              <w:trPr>
                <w:trHeight w:val="397" w:hRule="atLeast"/>
                <w:jc w:val="center"/>
              </w:trPr>
              <w:tc>
                <w:tcPr>
                  <w:tcW w:w="912" w:type="dxa"/>
                  <w:tcBorders>
                    <w:top w:val="single" w:color="000000" w:sz="4" w:space="0"/>
                    <w:left w:val="single" w:color="000000" w:sz="4" w:space="0"/>
                    <w:bottom w:val="single" w:color="000000" w:sz="8" w:space="0"/>
                    <w:right w:val="single" w:color="000000" w:sz="4" w:space="0"/>
                  </w:tcBorders>
                  <w:shd w:val="clear" w:color="auto" w:fill="auto"/>
                  <w:vAlign w:val="center"/>
                </w:tcPr>
                <w:p w14:paraId="2E11D5D6">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监测</w:t>
                  </w:r>
                </w:p>
                <w:p w14:paraId="2187C60B">
                  <w:pPr>
                    <w:keepNext w:val="0"/>
                    <w:keepLines w:val="0"/>
                    <w:widowControl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宋体" w:hAnsi="宋体" w:eastAsia="宋体" w:cs="宋体"/>
                      <w:color w:val="auto"/>
                      <w:kern w:val="2"/>
                      <w:sz w:val="21"/>
                      <w:szCs w:val="21"/>
                      <w:lang w:val="en-US" w:eastAsia="zh-CN" w:bidi="ar"/>
                    </w:rPr>
                    <w:t>项目</w:t>
                  </w:r>
                </w:p>
              </w:tc>
              <w:tc>
                <w:tcPr>
                  <w:tcW w:w="1630" w:type="dxa"/>
                  <w:tcBorders>
                    <w:top w:val="single" w:color="000000" w:sz="4" w:space="0"/>
                    <w:left w:val="single" w:color="000000" w:sz="4" w:space="0"/>
                    <w:bottom w:val="single" w:color="000000" w:sz="8" w:space="0"/>
                    <w:right w:val="single" w:color="000000" w:sz="4" w:space="0"/>
                  </w:tcBorders>
                  <w:shd w:val="clear" w:color="auto" w:fill="auto"/>
                  <w:vAlign w:val="center"/>
                </w:tcPr>
                <w:p w14:paraId="0D510468">
                  <w:pPr>
                    <w:keepNext w:val="0"/>
                    <w:keepLines w:val="0"/>
                    <w:widowControl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eastAsia" w:ascii="宋体" w:hAnsi="宋体" w:eastAsia="宋体" w:cs="宋体"/>
                      <w:color w:val="auto"/>
                      <w:kern w:val="2"/>
                      <w:sz w:val="21"/>
                      <w:szCs w:val="21"/>
                      <w:lang w:val="en-US" w:eastAsia="zh-CN" w:bidi="ar"/>
                    </w:rPr>
                    <w:t>监测点位</w:t>
                  </w:r>
                </w:p>
              </w:tc>
              <w:tc>
                <w:tcPr>
                  <w:tcW w:w="1113" w:type="dxa"/>
                  <w:tcBorders>
                    <w:top w:val="single" w:color="000000" w:sz="4" w:space="0"/>
                    <w:left w:val="single" w:color="000000" w:sz="4" w:space="0"/>
                    <w:bottom w:val="single" w:color="000000" w:sz="8" w:space="0"/>
                    <w:right w:val="single" w:color="000000" w:sz="4" w:space="0"/>
                  </w:tcBorders>
                  <w:shd w:val="clear" w:color="auto" w:fill="auto"/>
                  <w:vAlign w:val="center"/>
                </w:tcPr>
                <w:p w14:paraId="59B341F2">
                  <w:pPr>
                    <w:keepNext w:val="0"/>
                    <w:keepLines w:val="0"/>
                    <w:widowControl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宋体" w:hAnsi="宋体" w:eastAsia="宋体" w:cs="宋体"/>
                      <w:color w:val="auto"/>
                      <w:kern w:val="2"/>
                      <w:sz w:val="21"/>
                      <w:szCs w:val="21"/>
                      <w:lang w:val="en-US" w:eastAsia="zh-CN" w:bidi="ar"/>
                    </w:rPr>
                    <w:t>监测时间</w:t>
                  </w:r>
                </w:p>
              </w:tc>
              <w:tc>
                <w:tcPr>
                  <w:tcW w:w="1202" w:type="dxa"/>
                  <w:tcBorders>
                    <w:top w:val="single" w:color="000000" w:sz="4" w:space="0"/>
                    <w:left w:val="single" w:color="000000" w:sz="4" w:space="0"/>
                    <w:bottom w:val="single" w:color="000000" w:sz="8" w:space="0"/>
                    <w:right w:val="single" w:color="000000" w:sz="4" w:space="0"/>
                  </w:tcBorders>
                  <w:shd w:val="clear" w:color="auto" w:fill="auto"/>
                  <w:vAlign w:val="center"/>
                </w:tcPr>
                <w:p w14:paraId="67377AAA">
                  <w:pPr>
                    <w:keepNext w:val="0"/>
                    <w:keepLines w:val="0"/>
                    <w:widowControl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宋体" w:hAnsi="宋体" w:eastAsia="宋体" w:cs="宋体"/>
                      <w:color w:val="auto"/>
                      <w:kern w:val="2"/>
                      <w:sz w:val="21"/>
                      <w:szCs w:val="21"/>
                      <w:lang w:val="en-US" w:eastAsia="zh-CN" w:bidi="ar"/>
                    </w:rPr>
                    <w:t>浓度范围（</w:t>
                  </w:r>
                  <w:r>
                    <w:rPr>
                      <w:rFonts w:hint="default" w:ascii="Times New Roman" w:hAnsi="Times New Roman" w:eastAsia="宋体" w:cs="Times New Roman"/>
                      <w:color w:val="auto"/>
                      <w:kern w:val="2"/>
                      <w:sz w:val="21"/>
                      <w:szCs w:val="21"/>
                      <w:lang w:val="en-US" w:eastAsia="zh-CN" w:bidi="ar"/>
                    </w:rPr>
                    <w:t>mg/m</w:t>
                  </w:r>
                  <w:r>
                    <w:rPr>
                      <w:rFonts w:hint="default" w:ascii="Times New Roman" w:hAnsi="Times New Roman" w:eastAsia="宋体" w:cs="Times New Roman"/>
                      <w:color w:val="auto"/>
                      <w:kern w:val="2"/>
                      <w:sz w:val="21"/>
                      <w:szCs w:val="21"/>
                      <w:vertAlign w:val="superscript"/>
                      <w:lang w:val="en-US" w:eastAsia="zh-CN" w:bidi="ar"/>
                    </w:rPr>
                    <w:t>3</w:t>
                  </w:r>
                  <w:r>
                    <w:rPr>
                      <w:rFonts w:hint="eastAsia" w:ascii="宋体" w:hAnsi="宋体" w:eastAsia="宋体" w:cs="宋体"/>
                      <w:color w:val="auto"/>
                      <w:kern w:val="2"/>
                      <w:sz w:val="21"/>
                      <w:szCs w:val="21"/>
                      <w:lang w:val="en-US" w:eastAsia="zh-CN" w:bidi="ar"/>
                    </w:rPr>
                    <w:t>）</w:t>
                  </w:r>
                </w:p>
              </w:tc>
              <w:tc>
                <w:tcPr>
                  <w:tcW w:w="1127" w:type="dxa"/>
                  <w:tcBorders>
                    <w:top w:val="single" w:color="000000" w:sz="4" w:space="0"/>
                    <w:left w:val="single" w:color="000000" w:sz="4" w:space="0"/>
                    <w:bottom w:val="single" w:color="000000" w:sz="8" w:space="0"/>
                    <w:right w:val="single" w:color="000000" w:sz="4" w:space="0"/>
                  </w:tcBorders>
                  <w:shd w:val="clear" w:color="auto" w:fill="auto"/>
                  <w:vAlign w:val="center"/>
                </w:tcPr>
                <w:p w14:paraId="42FC458D">
                  <w:pPr>
                    <w:keepNext w:val="0"/>
                    <w:keepLines w:val="0"/>
                    <w:widowControl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宋体" w:hAnsi="宋体" w:eastAsia="宋体" w:cs="宋体"/>
                      <w:color w:val="auto"/>
                      <w:kern w:val="2"/>
                      <w:sz w:val="21"/>
                      <w:szCs w:val="21"/>
                      <w:lang w:val="en-US" w:eastAsia="zh-CN" w:bidi="ar"/>
                    </w:rPr>
                    <w:t>标准限值（</w:t>
                  </w:r>
                  <w:r>
                    <w:rPr>
                      <w:rFonts w:hint="default" w:ascii="Times New Roman" w:hAnsi="Times New Roman" w:eastAsia="宋体" w:cs="Times New Roman"/>
                      <w:color w:val="auto"/>
                      <w:kern w:val="2"/>
                      <w:sz w:val="21"/>
                      <w:szCs w:val="21"/>
                      <w:lang w:val="en-US" w:eastAsia="zh-CN" w:bidi="ar"/>
                    </w:rPr>
                    <w:t>mg/m</w:t>
                  </w:r>
                  <w:r>
                    <w:rPr>
                      <w:rFonts w:hint="default" w:ascii="Times New Roman" w:hAnsi="Times New Roman" w:eastAsia="宋体" w:cs="Times New Roman"/>
                      <w:color w:val="auto"/>
                      <w:kern w:val="2"/>
                      <w:sz w:val="21"/>
                      <w:szCs w:val="21"/>
                      <w:vertAlign w:val="superscript"/>
                      <w:lang w:val="en-US" w:eastAsia="zh-CN" w:bidi="ar"/>
                    </w:rPr>
                    <w:t>3</w:t>
                  </w:r>
                  <w:r>
                    <w:rPr>
                      <w:rFonts w:hint="eastAsia" w:ascii="宋体" w:hAnsi="宋体" w:eastAsia="宋体" w:cs="宋体"/>
                      <w:color w:val="auto"/>
                      <w:kern w:val="2"/>
                      <w:sz w:val="21"/>
                      <w:szCs w:val="21"/>
                      <w:lang w:val="en-US" w:eastAsia="zh-CN" w:bidi="ar"/>
                    </w:rPr>
                    <w:t>）</w:t>
                  </w:r>
                </w:p>
              </w:tc>
              <w:tc>
                <w:tcPr>
                  <w:tcW w:w="714" w:type="dxa"/>
                  <w:tcBorders>
                    <w:top w:val="single" w:color="000000" w:sz="4" w:space="0"/>
                    <w:left w:val="single" w:color="000000" w:sz="4" w:space="0"/>
                    <w:bottom w:val="single" w:color="000000" w:sz="8" w:space="0"/>
                    <w:right w:val="single" w:color="000000" w:sz="4" w:space="0"/>
                  </w:tcBorders>
                  <w:shd w:val="clear" w:color="auto" w:fill="auto"/>
                  <w:vAlign w:val="center"/>
                </w:tcPr>
                <w:p w14:paraId="545E910D">
                  <w:pPr>
                    <w:keepNext w:val="0"/>
                    <w:keepLines w:val="0"/>
                    <w:widowControl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宋体" w:hAnsi="宋体" w:eastAsia="宋体" w:cs="宋体"/>
                      <w:color w:val="auto"/>
                      <w:kern w:val="2"/>
                      <w:sz w:val="21"/>
                      <w:szCs w:val="21"/>
                      <w:lang w:val="en-US" w:eastAsia="zh-CN" w:bidi="ar"/>
                    </w:rPr>
                    <w:t>超标数</w:t>
                  </w:r>
                </w:p>
              </w:tc>
              <w:tc>
                <w:tcPr>
                  <w:tcW w:w="845" w:type="dxa"/>
                  <w:tcBorders>
                    <w:top w:val="single" w:color="000000" w:sz="4" w:space="0"/>
                    <w:left w:val="single" w:color="000000" w:sz="4" w:space="0"/>
                    <w:bottom w:val="single" w:color="000000" w:sz="8" w:space="0"/>
                    <w:right w:val="single" w:color="000000" w:sz="4" w:space="0"/>
                  </w:tcBorders>
                  <w:shd w:val="clear" w:color="auto" w:fill="auto"/>
                  <w:vAlign w:val="center"/>
                </w:tcPr>
                <w:p w14:paraId="0351079F">
                  <w:pPr>
                    <w:keepNext w:val="0"/>
                    <w:keepLines w:val="0"/>
                    <w:widowControl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宋体" w:hAnsi="宋体" w:eastAsia="宋体" w:cs="宋体"/>
                      <w:color w:val="auto"/>
                      <w:kern w:val="2"/>
                      <w:sz w:val="21"/>
                      <w:szCs w:val="21"/>
                      <w:lang w:val="en-US" w:eastAsia="zh-CN" w:bidi="ar"/>
                    </w:rPr>
                    <w:t>超标率</w:t>
                  </w:r>
                  <w:r>
                    <w:rPr>
                      <w:rFonts w:hint="eastAsia" w:ascii="宋体" w:hAnsi="宋体" w:cs="宋体"/>
                      <w:color w:val="auto"/>
                      <w:kern w:val="2"/>
                      <w:sz w:val="21"/>
                      <w:szCs w:val="21"/>
                      <w:lang w:val="en-US" w:eastAsia="zh-CN" w:bidi="ar"/>
                    </w:rPr>
                    <w:t>（</w:t>
                  </w:r>
                  <w:r>
                    <w:rPr>
                      <w:rFonts w:hint="default" w:ascii="Times New Roman" w:hAnsi="Times New Roman" w:eastAsia="宋体" w:cs="Times New Roman"/>
                      <w:color w:val="auto"/>
                      <w:kern w:val="2"/>
                      <w:sz w:val="21"/>
                      <w:szCs w:val="21"/>
                      <w:lang w:val="en-US" w:eastAsia="zh-CN" w:bidi="ar"/>
                    </w:rPr>
                    <w:t>%</w:t>
                  </w:r>
                  <w:r>
                    <w:rPr>
                      <w:rFonts w:hint="eastAsia" w:ascii="Times New Roman" w:hAnsi="Times New Roman" w:cs="Times New Roman"/>
                      <w:color w:val="auto"/>
                      <w:kern w:val="2"/>
                      <w:sz w:val="21"/>
                      <w:szCs w:val="21"/>
                      <w:lang w:val="en-US" w:eastAsia="zh-CN" w:bidi="ar"/>
                    </w:rPr>
                    <w:t>）</w:t>
                  </w:r>
                </w:p>
              </w:tc>
              <w:tc>
                <w:tcPr>
                  <w:tcW w:w="899" w:type="dxa"/>
                  <w:tcBorders>
                    <w:top w:val="single" w:color="000000" w:sz="4" w:space="0"/>
                    <w:left w:val="single" w:color="000000" w:sz="4" w:space="0"/>
                    <w:bottom w:val="single" w:color="000000" w:sz="8" w:space="0"/>
                    <w:right w:val="single" w:color="000000" w:sz="8" w:space="0"/>
                  </w:tcBorders>
                  <w:shd w:val="clear" w:color="auto" w:fill="auto"/>
                  <w:vAlign w:val="center"/>
                </w:tcPr>
                <w:p w14:paraId="54AEB74D">
                  <w:pPr>
                    <w:keepNext w:val="0"/>
                    <w:keepLines w:val="0"/>
                    <w:widowControl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eastAsia" w:ascii="宋体" w:hAnsi="宋体" w:eastAsia="宋体" w:cs="宋体"/>
                      <w:color w:val="auto"/>
                      <w:kern w:val="2"/>
                      <w:sz w:val="21"/>
                      <w:szCs w:val="21"/>
                      <w:lang w:val="en-US" w:eastAsia="zh-CN" w:bidi="ar"/>
                    </w:rPr>
                    <w:t>达标情况</w:t>
                  </w:r>
                </w:p>
              </w:tc>
            </w:tr>
            <w:tr w14:paraId="13215DE3">
              <w:tblPrEx>
                <w:tblBorders>
                  <w:top w:val="single" w:color="000000" w:sz="12" w:space="0"/>
                  <w:left w:val="none" w:color="auto" w:sz="6" w:space="0"/>
                  <w:bottom w:val="single" w:color="000000" w:sz="12" w:space="0"/>
                  <w:right w:val="none" w:color="auto" w:sz="6" w:space="0"/>
                  <w:insideH w:val="single" w:color="000000" w:sz="4" w:space="0"/>
                  <w:insideV w:val="single" w:color="000000" w:sz="4" w:space="0"/>
                </w:tblBorders>
                <w:shd w:val="clear" w:color="auto" w:fill="auto"/>
                <w:tblCellMar>
                  <w:top w:w="0" w:type="dxa"/>
                  <w:left w:w="57" w:type="dxa"/>
                  <w:bottom w:w="0" w:type="dxa"/>
                  <w:right w:w="57" w:type="dxa"/>
                </w:tblCellMar>
              </w:tblPrEx>
              <w:trPr>
                <w:trHeight w:val="397" w:hRule="atLeast"/>
                <w:jc w:val="center"/>
              </w:trPr>
              <w:tc>
                <w:tcPr>
                  <w:tcW w:w="912" w:type="dxa"/>
                  <w:tcBorders>
                    <w:top w:val="single" w:color="000000" w:sz="4" w:space="0"/>
                    <w:left w:val="single" w:color="000000" w:sz="4" w:space="0"/>
                    <w:bottom w:val="single" w:color="000000" w:sz="8" w:space="0"/>
                    <w:right w:val="single" w:color="000000" w:sz="4" w:space="0"/>
                  </w:tcBorders>
                  <w:shd w:val="clear" w:color="auto" w:fill="auto"/>
                  <w:vAlign w:val="center"/>
                </w:tcPr>
                <w:p w14:paraId="1A433AD6">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TSP</w:t>
                  </w:r>
                </w:p>
              </w:tc>
              <w:tc>
                <w:tcPr>
                  <w:tcW w:w="1630" w:type="dxa"/>
                  <w:tcBorders>
                    <w:top w:val="single" w:color="000000" w:sz="4" w:space="0"/>
                    <w:left w:val="single" w:color="000000" w:sz="4" w:space="0"/>
                    <w:bottom w:val="single" w:color="000000" w:sz="8" w:space="0"/>
                    <w:right w:val="single" w:color="000000" w:sz="4" w:space="0"/>
                  </w:tcBorders>
                  <w:shd w:val="clear" w:color="auto" w:fill="auto"/>
                  <w:vAlign w:val="center"/>
                </w:tcPr>
                <w:p w14:paraId="647308A6">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spacing w:val="-10"/>
                      <w:kern w:val="2"/>
                      <w:sz w:val="21"/>
                      <w:szCs w:val="21"/>
                      <w:lang w:val="en-US" w:eastAsia="zh-CN" w:bidi="ar"/>
                    </w:rPr>
                    <w:t>厂区下风向〇1#</w:t>
                  </w:r>
                </w:p>
              </w:tc>
              <w:tc>
                <w:tcPr>
                  <w:tcW w:w="1113" w:type="dxa"/>
                  <w:tcBorders>
                    <w:top w:val="single" w:color="000000" w:sz="4" w:space="0"/>
                    <w:left w:val="single" w:color="000000" w:sz="4" w:space="0"/>
                    <w:bottom w:val="single" w:color="000000" w:sz="8" w:space="0"/>
                    <w:right w:val="single" w:color="000000" w:sz="4" w:space="0"/>
                  </w:tcBorders>
                  <w:shd w:val="clear" w:color="auto" w:fill="auto"/>
                  <w:vAlign w:val="center"/>
                </w:tcPr>
                <w:p w14:paraId="3233551F">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202</w:t>
                  </w:r>
                  <w:r>
                    <w:rPr>
                      <w:rFonts w:hint="eastAsia" w:ascii="Times New Roman" w:hAnsi="Times New Roman" w:cs="Times New Roman"/>
                      <w:color w:val="auto"/>
                      <w:kern w:val="2"/>
                      <w:sz w:val="21"/>
                      <w:szCs w:val="21"/>
                      <w:lang w:val="en-US" w:eastAsia="zh-CN" w:bidi="ar"/>
                    </w:rPr>
                    <w:t>6</w:t>
                  </w:r>
                  <w:r>
                    <w:rPr>
                      <w:rFonts w:hint="default" w:ascii="Times New Roman" w:hAnsi="Times New Roman" w:eastAsia="宋体" w:cs="Times New Roman"/>
                      <w:color w:val="auto"/>
                      <w:kern w:val="2"/>
                      <w:sz w:val="21"/>
                      <w:szCs w:val="21"/>
                      <w:lang w:val="en-US" w:eastAsia="zh-CN" w:bidi="ar"/>
                    </w:rPr>
                    <w:t>.</w:t>
                  </w:r>
                  <w:r>
                    <w:rPr>
                      <w:rFonts w:hint="eastAsia" w:ascii="Times New Roman" w:hAnsi="Times New Roman" w:cs="Times New Roman"/>
                      <w:color w:val="auto"/>
                      <w:kern w:val="2"/>
                      <w:sz w:val="21"/>
                      <w:szCs w:val="21"/>
                      <w:lang w:val="en-US" w:eastAsia="zh-CN" w:bidi="ar"/>
                    </w:rPr>
                    <w:t>3</w:t>
                  </w:r>
                  <w:r>
                    <w:rPr>
                      <w:rFonts w:hint="default" w:ascii="Times New Roman" w:hAnsi="Times New Roman" w:eastAsia="宋体" w:cs="Times New Roman"/>
                      <w:color w:val="auto"/>
                      <w:kern w:val="2"/>
                      <w:sz w:val="21"/>
                      <w:szCs w:val="21"/>
                      <w:lang w:val="en-US" w:eastAsia="zh-CN" w:bidi="ar"/>
                    </w:rPr>
                    <w:t>.</w:t>
                  </w:r>
                  <w:r>
                    <w:rPr>
                      <w:rFonts w:hint="eastAsia" w:ascii="Times New Roman" w:hAnsi="Times New Roman" w:cs="Times New Roman"/>
                      <w:color w:val="auto"/>
                      <w:kern w:val="2"/>
                      <w:sz w:val="21"/>
                      <w:szCs w:val="21"/>
                      <w:lang w:val="en-US" w:eastAsia="zh-CN" w:bidi="ar"/>
                    </w:rPr>
                    <w:t>26</w:t>
                  </w:r>
                  <w:r>
                    <w:rPr>
                      <w:rFonts w:hint="eastAsia" w:ascii="宋体" w:hAnsi="宋体" w:eastAsia="宋体" w:cs="宋体"/>
                      <w:color w:val="auto"/>
                      <w:kern w:val="2"/>
                      <w:sz w:val="21"/>
                      <w:szCs w:val="21"/>
                      <w:lang w:val="en-US" w:eastAsia="zh-CN" w:bidi="ar"/>
                    </w:rPr>
                    <w:t>至</w:t>
                  </w:r>
                </w:p>
                <w:p w14:paraId="62E1761F">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202</w:t>
                  </w:r>
                  <w:r>
                    <w:rPr>
                      <w:rFonts w:hint="eastAsia" w:ascii="Times New Roman" w:hAnsi="Times New Roman" w:cs="Times New Roman"/>
                      <w:color w:val="auto"/>
                      <w:kern w:val="2"/>
                      <w:sz w:val="21"/>
                      <w:szCs w:val="21"/>
                      <w:lang w:val="en-US" w:eastAsia="zh-CN" w:bidi="ar"/>
                    </w:rPr>
                    <w:t>6</w:t>
                  </w:r>
                  <w:r>
                    <w:rPr>
                      <w:rFonts w:hint="default" w:ascii="Times New Roman" w:hAnsi="Times New Roman" w:eastAsia="宋体" w:cs="Times New Roman"/>
                      <w:color w:val="auto"/>
                      <w:kern w:val="2"/>
                      <w:sz w:val="21"/>
                      <w:szCs w:val="21"/>
                      <w:lang w:val="en-US" w:eastAsia="zh-CN" w:bidi="ar"/>
                    </w:rPr>
                    <w:t>.</w:t>
                  </w:r>
                  <w:r>
                    <w:rPr>
                      <w:rFonts w:hint="eastAsia" w:ascii="Times New Roman" w:hAnsi="Times New Roman" w:cs="Times New Roman"/>
                      <w:color w:val="auto"/>
                      <w:kern w:val="2"/>
                      <w:sz w:val="21"/>
                      <w:szCs w:val="21"/>
                      <w:lang w:val="en-US" w:eastAsia="zh-CN" w:bidi="ar"/>
                    </w:rPr>
                    <w:t>3</w:t>
                  </w:r>
                  <w:r>
                    <w:rPr>
                      <w:rFonts w:hint="default" w:ascii="Times New Roman" w:hAnsi="Times New Roman" w:eastAsia="宋体" w:cs="Times New Roman"/>
                      <w:color w:val="auto"/>
                      <w:kern w:val="2"/>
                      <w:sz w:val="21"/>
                      <w:szCs w:val="21"/>
                      <w:lang w:val="en-US" w:eastAsia="zh-CN" w:bidi="ar"/>
                    </w:rPr>
                    <w:t>.2</w:t>
                  </w:r>
                  <w:r>
                    <w:rPr>
                      <w:rFonts w:hint="eastAsia" w:ascii="Times New Roman" w:hAnsi="Times New Roman" w:cs="Times New Roman"/>
                      <w:color w:val="auto"/>
                      <w:kern w:val="2"/>
                      <w:sz w:val="21"/>
                      <w:szCs w:val="21"/>
                      <w:lang w:val="en-US" w:eastAsia="zh-CN" w:bidi="ar"/>
                    </w:rPr>
                    <w:t>9</w:t>
                  </w:r>
                </w:p>
              </w:tc>
              <w:tc>
                <w:tcPr>
                  <w:tcW w:w="1202" w:type="dxa"/>
                  <w:tcBorders>
                    <w:top w:val="single" w:color="000000" w:sz="4" w:space="0"/>
                    <w:left w:val="single" w:color="000000" w:sz="4" w:space="0"/>
                    <w:bottom w:val="single" w:color="000000" w:sz="8" w:space="0"/>
                    <w:right w:val="single" w:color="000000" w:sz="4" w:space="0"/>
                  </w:tcBorders>
                  <w:shd w:val="clear" w:color="auto" w:fill="auto"/>
                  <w:vAlign w:val="center"/>
                </w:tcPr>
                <w:p w14:paraId="771BAF74">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rPr>
                  </w:pPr>
                  <w:r>
                    <w:rPr>
                      <w:rFonts w:hint="default" w:ascii="Times New Roman" w:hAnsi="Times New Roman" w:eastAsia="宋体" w:cs="Times New Roman"/>
                      <w:color w:val="auto"/>
                      <w:kern w:val="2"/>
                      <w:sz w:val="21"/>
                      <w:szCs w:val="21"/>
                      <w:lang w:val="en-US" w:eastAsia="zh-CN" w:bidi="ar"/>
                    </w:rPr>
                    <w:t>0.</w:t>
                  </w:r>
                  <w:r>
                    <w:rPr>
                      <w:rFonts w:hint="eastAsia" w:ascii="Times New Roman" w:hAnsi="Times New Roman" w:cs="Times New Roman"/>
                      <w:color w:val="auto"/>
                      <w:kern w:val="2"/>
                      <w:sz w:val="21"/>
                      <w:szCs w:val="21"/>
                      <w:lang w:val="en-US" w:eastAsia="zh-CN" w:bidi="ar"/>
                    </w:rPr>
                    <w:t>220</w:t>
                  </w:r>
                  <w:r>
                    <w:rPr>
                      <w:rFonts w:hint="default" w:ascii="Times New Roman" w:hAnsi="Times New Roman" w:eastAsia="宋体" w:cs="Times New Roman"/>
                      <w:color w:val="auto"/>
                      <w:kern w:val="2"/>
                      <w:sz w:val="21"/>
                      <w:szCs w:val="21"/>
                      <w:lang w:val="en-US" w:eastAsia="zh-CN" w:bidi="ar"/>
                    </w:rPr>
                    <w:t>~0.</w:t>
                  </w:r>
                  <w:r>
                    <w:rPr>
                      <w:rFonts w:hint="eastAsia" w:ascii="Times New Roman" w:hAnsi="Times New Roman" w:cs="Times New Roman"/>
                      <w:color w:val="auto"/>
                      <w:kern w:val="2"/>
                      <w:sz w:val="21"/>
                      <w:szCs w:val="21"/>
                      <w:lang w:val="en-US" w:eastAsia="zh-CN" w:bidi="ar"/>
                    </w:rPr>
                    <w:t>234</w:t>
                  </w:r>
                </w:p>
              </w:tc>
              <w:tc>
                <w:tcPr>
                  <w:tcW w:w="1127" w:type="dxa"/>
                  <w:tcBorders>
                    <w:top w:val="single" w:color="000000" w:sz="4" w:space="0"/>
                    <w:left w:val="single" w:color="000000" w:sz="4" w:space="0"/>
                    <w:bottom w:val="single" w:color="000000" w:sz="8" w:space="0"/>
                    <w:right w:val="single" w:color="000000" w:sz="4" w:space="0"/>
                  </w:tcBorders>
                  <w:shd w:val="clear" w:color="auto" w:fill="auto"/>
                  <w:vAlign w:val="center"/>
                </w:tcPr>
                <w:p w14:paraId="008AA06C">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0.3</w:t>
                  </w:r>
                </w:p>
              </w:tc>
              <w:tc>
                <w:tcPr>
                  <w:tcW w:w="714" w:type="dxa"/>
                  <w:tcBorders>
                    <w:top w:val="single" w:color="000000" w:sz="4" w:space="0"/>
                    <w:left w:val="single" w:color="000000" w:sz="4" w:space="0"/>
                    <w:bottom w:val="single" w:color="000000" w:sz="8" w:space="0"/>
                    <w:right w:val="single" w:color="000000" w:sz="4" w:space="0"/>
                  </w:tcBorders>
                  <w:shd w:val="clear" w:color="auto" w:fill="auto"/>
                  <w:vAlign w:val="center"/>
                </w:tcPr>
                <w:p w14:paraId="3BBB2F4F">
                  <w:pPr>
                    <w:keepNext w:val="0"/>
                    <w:keepLines w:val="0"/>
                    <w:widowControl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w:t>
                  </w:r>
                </w:p>
              </w:tc>
              <w:tc>
                <w:tcPr>
                  <w:tcW w:w="845" w:type="dxa"/>
                  <w:tcBorders>
                    <w:top w:val="single" w:color="000000" w:sz="4" w:space="0"/>
                    <w:left w:val="single" w:color="000000" w:sz="4" w:space="0"/>
                    <w:bottom w:val="single" w:color="000000" w:sz="8" w:space="0"/>
                    <w:right w:val="single" w:color="000000" w:sz="4" w:space="0"/>
                  </w:tcBorders>
                  <w:shd w:val="clear" w:color="auto" w:fill="auto"/>
                  <w:vAlign w:val="center"/>
                </w:tcPr>
                <w:p w14:paraId="5BABE56B">
                  <w:pPr>
                    <w:keepNext w:val="0"/>
                    <w:keepLines w:val="0"/>
                    <w:widowControl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w:t>
                  </w:r>
                </w:p>
              </w:tc>
              <w:tc>
                <w:tcPr>
                  <w:tcW w:w="899" w:type="dxa"/>
                  <w:tcBorders>
                    <w:top w:val="single" w:color="000000" w:sz="4" w:space="0"/>
                    <w:left w:val="single" w:color="000000" w:sz="4" w:space="0"/>
                    <w:bottom w:val="single" w:color="000000" w:sz="8" w:space="0"/>
                    <w:right w:val="single" w:color="000000" w:sz="8" w:space="0"/>
                  </w:tcBorders>
                  <w:shd w:val="clear" w:color="auto" w:fill="auto"/>
                  <w:vAlign w:val="center"/>
                </w:tcPr>
                <w:p w14:paraId="518841E4">
                  <w:pPr>
                    <w:keepNext w:val="0"/>
                    <w:keepLines w:val="0"/>
                    <w:widowControl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达标</w:t>
                  </w:r>
                </w:p>
              </w:tc>
            </w:tr>
          </w:tbl>
          <w:p w14:paraId="0D3C644B">
            <w:pPr>
              <w:keepNext w:val="0"/>
              <w:keepLines w:val="0"/>
              <w:widowControl w:val="0"/>
              <w:suppressLineNumbers w:val="0"/>
              <w:autoSpaceDE w:val="0"/>
              <w:autoSpaceDN/>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rPr>
            </w:pPr>
            <w:r>
              <w:rPr>
                <w:rFonts w:hint="eastAsia" w:ascii="宋体" w:hAnsi="宋体" w:eastAsia="宋体" w:cs="宋体"/>
                <w:color w:val="auto"/>
                <w:kern w:val="2"/>
                <w:sz w:val="24"/>
                <w:szCs w:val="24"/>
                <w:lang w:val="en-US" w:eastAsia="zh-CN" w:bidi="ar"/>
              </w:rPr>
              <w:t>由上表</w:t>
            </w:r>
            <w:r>
              <w:rPr>
                <w:rFonts w:hint="default" w:ascii="Times New Roman" w:hAnsi="Times New Roman" w:eastAsia="宋体" w:cs="Times New Roman"/>
                <w:color w:val="auto"/>
                <w:kern w:val="2"/>
                <w:sz w:val="24"/>
                <w:szCs w:val="24"/>
                <w:lang w:val="en-US" w:eastAsia="zh-CN" w:bidi="ar"/>
              </w:rPr>
              <w:t>可以看出，本项目监测点位TSP24小时平均浓度值满足《环境空气质量标准》（</w:t>
            </w:r>
            <w:r>
              <w:rPr>
                <w:rFonts w:hint="default" w:ascii="Times New Roman" w:hAnsi="Times New Roman" w:cs="Times New Roman"/>
                <w:color w:val="auto"/>
                <w:kern w:val="2"/>
                <w:sz w:val="24"/>
                <w:szCs w:val="24"/>
                <w:lang w:val="en-US" w:eastAsia="zh-CN" w:bidi="ar"/>
              </w:rPr>
              <w:t>GB 3095-2026</w:t>
            </w:r>
            <w:r>
              <w:rPr>
                <w:rFonts w:hint="default" w:ascii="Times New Roman" w:hAnsi="Times New Roman" w:eastAsia="宋体" w:cs="Times New Roman"/>
                <w:color w:val="auto"/>
                <w:kern w:val="2"/>
                <w:sz w:val="24"/>
                <w:szCs w:val="24"/>
                <w:lang w:val="en-US" w:eastAsia="zh-CN" w:bidi="ar"/>
              </w:rPr>
              <w:t>）二级标准要求，说明所在区域环境空气具有一定的环境容量，评价区环境空气质量良好。</w:t>
            </w:r>
          </w:p>
          <w:p w14:paraId="0EDFAEDF">
            <w:pPr>
              <w:pStyle w:val="21"/>
              <w:keepNext w:val="0"/>
              <w:keepLines w:val="0"/>
              <w:suppressLineNumbers w:val="0"/>
              <w:spacing w:before="0" w:beforeAutospacing="0" w:after="0" w:afterAutospacing="0" w:line="360" w:lineRule="auto"/>
              <w:ind w:left="0" w:right="122" w:firstLine="482"/>
              <w:jc w:val="both"/>
              <w:rPr>
                <w:rFonts w:hint="default" w:ascii="Times New Roman" w:hAnsi="Times New Roman" w:eastAsia="宋体" w:cs="Times New Roman"/>
                <w:b/>
                <w:color w:val="auto"/>
                <w:sz w:val="24"/>
                <w:szCs w:val="24"/>
                <w:highlight w:val="none"/>
                <w:lang w:val="en-US" w:eastAsia="zh-CN"/>
              </w:rPr>
            </w:pPr>
            <w:r>
              <w:rPr>
                <w:rFonts w:hint="eastAsia" w:ascii="Times New Roman" w:hAnsi="Times New Roman" w:cs="Times New Roman"/>
                <w:b/>
                <w:color w:val="auto"/>
                <w:sz w:val="24"/>
                <w:szCs w:val="24"/>
                <w:highlight w:val="none"/>
                <w:lang w:val="en-US" w:eastAsia="zh-CN"/>
              </w:rPr>
              <w:t>2.</w:t>
            </w:r>
            <w:r>
              <w:rPr>
                <w:rFonts w:hint="default" w:ascii="Times New Roman" w:hAnsi="Times New Roman" w:eastAsia="宋体" w:cs="Times New Roman"/>
                <w:b/>
                <w:color w:val="auto"/>
                <w:sz w:val="24"/>
                <w:szCs w:val="24"/>
                <w:highlight w:val="none"/>
                <w:lang w:val="en-US" w:eastAsia="zh-CN"/>
              </w:rPr>
              <w:t>地表水环境现状</w:t>
            </w:r>
          </w:p>
          <w:p w14:paraId="51B6650C">
            <w:pPr>
              <w:keepNext w:val="0"/>
              <w:keepLines w:val="0"/>
              <w:pageBreakBefore w:val="0"/>
              <w:widowControl w:val="0"/>
              <w:suppressLineNumbers w:val="0"/>
              <w:spacing w:before="0" w:beforeAutospacing="0" w:after="0" w:afterAutospacing="0"/>
              <w:ind w:left="0" w:right="0" w:firstLine="480"/>
              <w:jc w:val="both"/>
              <w:rPr>
                <w:rFonts w:hint="default" w:ascii="Times New Roman" w:hAnsi="Times New Roman" w:eastAsia="宋体" w:cs="Times New Roman"/>
                <w:b w:val="0"/>
                <w:bCs w:val="0"/>
                <w:color w:val="auto"/>
                <w:sz w:val="24"/>
                <w:szCs w:val="20"/>
                <w:highlight w:val="none"/>
                <w:lang w:val="en-US" w:eastAsia="zh-CN" w:bidi="ar-SA"/>
              </w:rPr>
            </w:pPr>
            <w:r>
              <w:rPr>
                <w:rFonts w:hint="default" w:ascii="Times New Roman" w:hAnsi="Times New Roman" w:eastAsia="宋体" w:cs="Times New Roman"/>
                <w:b w:val="0"/>
                <w:bCs w:val="0"/>
                <w:color w:val="auto"/>
                <w:sz w:val="24"/>
                <w:szCs w:val="20"/>
                <w:highlight w:val="none"/>
                <w:lang w:val="en-US" w:eastAsia="zh-CN" w:bidi="ar-SA"/>
              </w:rPr>
              <w:t>本项目区域地表水体为呼兰河。根据《2024年伊春市生态环境质量公报》，呼兰河断面现状水体类别为Ⅲ类，现状水体质量满足《地表水环境质量标准》（GB3838-2002）Ⅲ类标准要求。</w:t>
            </w:r>
          </w:p>
          <w:p w14:paraId="77714039">
            <w:pPr>
              <w:pStyle w:val="21"/>
              <w:keepNext w:val="0"/>
              <w:keepLines w:val="0"/>
              <w:suppressLineNumbers w:val="0"/>
              <w:spacing w:before="0" w:beforeAutospacing="0" w:after="0" w:afterAutospacing="0" w:line="360" w:lineRule="auto"/>
              <w:ind w:left="0" w:right="122" w:firstLine="482"/>
              <w:jc w:val="both"/>
              <w:rPr>
                <w:rFonts w:hint="default" w:ascii="Times New Roman" w:hAnsi="Times New Roman" w:eastAsia="宋体" w:cs="Times New Roman"/>
                <w:b/>
                <w:color w:val="auto"/>
                <w:sz w:val="24"/>
                <w:szCs w:val="24"/>
                <w:highlight w:val="none"/>
                <w:lang w:val="en-US" w:eastAsia="zh-CN"/>
              </w:rPr>
            </w:pPr>
            <w:r>
              <w:rPr>
                <w:rFonts w:hint="eastAsia" w:ascii="Times New Roman" w:hAnsi="Times New Roman" w:cs="Times New Roman"/>
                <w:b/>
                <w:color w:val="auto"/>
                <w:sz w:val="24"/>
                <w:szCs w:val="24"/>
                <w:highlight w:val="none"/>
                <w:lang w:val="en-US" w:eastAsia="zh-CN"/>
              </w:rPr>
              <w:t>3.</w:t>
            </w:r>
            <w:r>
              <w:rPr>
                <w:rFonts w:hint="default" w:ascii="Times New Roman" w:hAnsi="Times New Roman" w:eastAsia="宋体" w:cs="Times New Roman"/>
                <w:b/>
                <w:color w:val="auto"/>
                <w:sz w:val="24"/>
                <w:szCs w:val="24"/>
                <w:highlight w:val="none"/>
                <w:lang w:val="en-US" w:eastAsia="zh-CN"/>
              </w:rPr>
              <w:t>区域声环境质量现状</w:t>
            </w:r>
          </w:p>
          <w:p w14:paraId="14120D9E">
            <w:pPr>
              <w:keepNext w:val="0"/>
              <w:keepLines w:val="0"/>
              <w:pageBreakBefore w:val="0"/>
              <w:widowControl w:val="0"/>
              <w:suppressLineNumbers w:val="0"/>
              <w:spacing w:before="0" w:beforeAutospacing="0" w:after="0" w:afterAutospacing="0"/>
              <w:ind w:left="0" w:right="0" w:firstLine="480"/>
              <w:jc w:val="both"/>
              <w:rPr>
                <w:rFonts w:hint="default" w:ascii="Times New Roman" w:hAnsi="Times New Roman" w:eastAsia="宋体" w:cs="Times New Roman"/>
                <w:b w:val="0"/>
                <w:bCs w:val="0"/>
                <w:color w:val="auto"/>
                <w:sz w:val="24"/>
                <w:szCs w:val="20"/>
                <w:highlight w:val="none"/>
                <w:lang w:val="en-US" w:eastAsia="zh-CN" w:bidi="ar-SA"/>
              </w:rPr>
            </w:pPr>
            <w:r>
              <w:rPr>
                <w:rFonts w:hint="default" w:ascii="Times New Roman" w:hAnsi="Times New Roman" w:eastAsia="宋体" w:cs="Times New Roman"/>
                <w:b w:val="0"/>
                <w:bCs w:val="0"/>
                <w:color w:val="auto"/>
                <w:sz w:val="24"/>
                <w:szCs w:val="20"/>
                <w:highlight w:val="none"/>
                <w:lang w:val="en-US" w:eastAsia="zh-CN" w:bidi="ar-SA"/>
              </w:rPr>
              <w:t>建设项目厂界50m范围无声环境保护目标，无需监测声环境质量。</w:t>
            </w:r>
          </w:p>
          <w:p w14:paraId="4CD19C30">
            <w:pPr>
              <w:keepNext w:val="0"/>
              <w:keepLines w:val="0"/>
              <w:pageBreakBefore w:val="0"/>
              <w:widowControl w:val="0"/>
              <w:suppressLineNumbers w:val="0"/>
              <w:spacing w:before="0" w:beforeAutospacing="0" w:after="0" w:afterAutospacing="0"/>
              <w:ind w:left="0" w:right="0" w:firstLine="480"/>
              <w:jc w:val="both"/>
              <w:rPr>
                <w:rFonts w:hint="default" w:ascii="Times New Roman" w:hAnsi="Times New Roman" w:eastAsia="宋体" w:cs="Times New Roman"/>
                <w:b w:val="0"/>
                <w:bCs w:val="0"/>
                <w:color w:val="auto"/>
                <w:sz w:val="24"/>
                <w:szCs w:val="20"/>
                <w:highlight w:val="none"/>
                <w:lang w:val="en-US" w:eastAsia="zh-CN" w:bidi="ar-SA"/>
              </w:rPr>
            </w:pPr>
            <w:r>
              <w:rPr>
                <w:rFonts w:hint="default" w:ascii="Times New Roman" w:hAnsi="Times New Roman" w:eastAsia="宋体" w:cs="Times New Roman"/>
                <w:b w:val="0"/>
                <w:bCs w:val="0"/>
                <w:color w:val="auto"/>
                <w:sz w:val="24"/>
                <w:szCs w:val="20"/>
                <w:highlight w:val="none"/>
                <w:lang w:val="en-US" w:eastAsia="zh-CN" w:bidi="ar-SA"/>
              </w:rPr>
              <w:t>根据《铁力市人民政府办公室关于印发铁力市城区声环境功能区划方案的通知》（铁政办发</w:t>
            </w:r>
            <w:r>
              <w:rPr>
                <w:rFonts w:hint="eastAsia" w:ascii="Times New Roman" w:hAnsi="Times New Roman" w:cs="Times New Roman"/>
                <w:b w:val="0"/>
                <w:bCs w:val="0"/>
                <w:color w:val="auto"/>
                <w:sz w:val="24"/>
                <w:szCs w:val="20"/>
                <w:highlight w:val="none"/>
                <w:lang w:val="en-US" w:eastAsia="zh-CN" w:bidi="ar-SA"/>
              </w:rPr>
              <w:t>〔2022〕82号</w:t>
            </w:r>
            <w:r>
              <w:rPr>
                <w:rFonts w:hint="default" w:ascii="Times New Roman" w:hAnsi="Times New Roman" w:eastAsia="宋体" w:cs="Times New Roman"/>
                <w:b w:val="0"/>
                <w:bCs w:val="0"/>
                <w:color w:val="auto"/>
                <w:sz w:val="24"/>
                <w:szCs w:val="20"/>
                <w:highlight w:val="none"/>
                <w:lang w:val="en-US" w:eastAsia="zh-CN" w:bidi="ar-SA"/>
              </w:rPr>
              <w:t>），本项目位于3类声功能区。根据《2024年伊春市生态环境质量公报》数据可知，2024年伊春市区域昼间声环境质量为好，等效声级为50.1dB(A</w:t>
            </w:r>
            <w:r>
              <w:rPr>
                <w:rFonts w:hint="eastAsia" w:ascii="Times New Roman" w:hAnsi="Times New Roman" w:cs="Times New Roman"/>
                <w:b w:val="0"/>
                <w:bCs w:val="0"/>
                <w:color w:val="auto"/>
                <w:sz w:val="24"/>
                <w:szCs w:val="20"/>
                <w:highlight w:val="none"/>
                <w:lang w:val="en-US" w:eastAsia="zh-CN" w:bidi="ar-SA"/>
              </w:rPr>
              <w:t>)</w:t>
            </w:r>
            <w:r>
              <w:rPr>
                <w:rFonts w:hint="default" w:ascii="Times New Roman" w:hAnsi="Times New Roman" w:eastAsia="宋体" w:cs="Times New Roman"/>
                <w:b w:val="0"/>
                <w:bCs w:val="0"/>
                <w:color w:val="auto"/>
                <w:sz w:val="24"/>
                <w:szCs w:val="20"/>
                <w:highlight w:val="none"/>
                <w:lang w:val="en-US" w:eastAsia="zh-CN" w:bidi="ar-SA"/>
              </w:rPr>
              <w:t>；道路交通昼间声环境质量为好，等效声级为65.1dB(A</w:t>
            </w:r>
            <w:r>
              <w:rPr>
                <w:rFonts w:hint="eastAsia" w:ascii="Times New Roman" w:hAnsi="Times New Roman" w:cs="Times New Roman"/>
                <w:b w:val="0"/>
                <w:bCs w:val="0"/>
                <w:color w:val="auto"/>
                <w:sz w:val="24"/>
                <w:szCs w:val="20"/>
                <w:highlight w:val="none"/>
                <w:lang w:val="en-US" w:eastAsia="zh-CN" w:bidi="ar-SA"/>
              </w:rPr>
              <w:t>)</w:t>
            </w:r>
            <w:r>
              <w:rPr>
                <w:rFonts w:hint="default" w:ascii="Times New Roman" w:hAnsi="Times New Roman" w:eastAsia="宋体" w:cs="Times New Roman"/>
                <w:b w:val="0"/>
                <w:bCs w:val="0"/>
                <w:color w:val="auto"/>
                <w:sz w:val="24"/>
                <w:szCs w:val="20"/>
                <w:highlight w:val="none"/>
                <w:lang w:val="en-US" w:eastAsia="zh-CN" w:bidi="ar-SA"/>
              </w:rPr>
              <w:t>。</w:t>
            </w:r>
            <w:r>
              <w:rPr>
                <w:rFonts w:hint="default" w:ascii="Times New Roman" w:hAnsi="Times New Roman" w:cs="Times New Roman"/>
                <w:b w:val="0"/>
                <w:bCs w:val="0"/>
                <w:color w:val="auto"/>
                <w:sz w:val="24"/>
                <w:szCs w:val="20"/>
                <w:highlight w:val="none"/>
                <w:lang w:val="en-US" w:eastAsia="zh-CN" w:bidi="ar-SA"/>
              </w:rPr>
              <w:t>本项目所在区域无产生噪声较大的典型行业的工业企业，区域声环境质量可以满足《声环境质量标准》（GB3096-2008）表1中3类声环境功能区环境噪声限值要求。</w:t>
            </w:r>
          </w:p>
          <w:p w14:paraId="75CBCC18">
            <w:pPr>
              <w:pStyle w:val="21"/>
              <w:keepNext w:val="0"/>
              <w:keepLines w:val="0"/>
              <w:suppressLineNumbers w:val="0"/>
              <w:spacing w:before="0" w:beforeAutospacing="0" w:after="0" w:afterAutospacing="0" w:line="360" w:lineRule="auto"/>
              <w:ind w:left="0" w:right="122" w:firstLine="482"/>
              <w:jc w:val="both"/>
              <w:rPr>
                <w:rFonts w:hint="default" w:ascii="Times New Roman" w:hAnsi="Times New Roman" w:eastAsia="宋体" w:cs="Times New Roman"/>
                <w:b/>
                <w:color w:val="auto"/>
                <w:sz w:val="24"/>
                <w:szCs w:val="24"/>
                <w:highlight w:val="none"/>
                <w:lang w:val="en-US" w:eastAsia="zh-CN"/>
              </w:rPr>
            </w:pPr>
            <w:r>
              <w:rPr>
                <w:rFonts w:hint="eastAsia" w:ascii="Times New Roman" w:hAnsi="Times New Roman" w:cs="Times New Roman"/>
                <w:b/>
                <w:color w:val="auto"/>
                <w:sz w:val="24"/>
                <w:szCs w:val="24"/>
                <w:highlight w:val="none"/>
                <w:lang w:val="en-US" w:eastAsia="zh-CN"/>
              </w:rPr>
              <w:t>4.</w:t>
            </w:r>
            <w:r>
              <w:rPr>
                <w:rFonts w:hint="default" w:ascii="Times New Roman" w:hAnsi="Times New Roman" w:eastAsia="宋体" w:cs="Times New Roman"/>
                <w:b/>
                <w:color w:val="auto"/>
                <w:sz w:val="24"/>
                <w:szCs w:val="24"/>
                <w:highlight w:val="none"/>
                <w:lang w:val="en-US" w:eastAsia="zh-CN"/>
              </w:rPr>
              <w:t>地下水、土壤环境质量现状</w:t>
            </w:r>
          </w:p>
          <w:p w14:paraId="473FFE43">
            <w:pPr>
              <w:pStyle w:val="385"/>
              <w:keepNext w:val="0"/>
              <w:keepLines w:val="0"/>
              <w:pageBreakBefore w:val="0"/>
              <w:widowControl w:val="0"/>
              <w:suppressLineNumbers w:val="0"/>
              <w:spacing w:before="0" w:beforeAutospacing="0" w:after="0" w:afterAutospacing="0" w:line="360" w:lineRule="auto"/>
              <w:ind w:left="0" w:right="0" w:firstLine="480"/>
              <w:jc w:val="both"/>
              <w:rPr>
                <w:rFonts w:hint="default" w:ascii="Times New Roman" w:hAnsi="Times New Roman" w:eastAsia="宋体" w:cs="Times New Roman"/>
                <w:b w:val="0"/>
                <w:bCs w:val="0"/>
                <w:color w:val="auto"/>
                <w:sz w:val="24"/>
                <w:szCs w:val="20"/>
                <w:highlight w:val="none"/>
                <w:lang w:val="en-US" w:eastAsia="zh-CN" w:bidi="ar-SA"/>
              </w:rPr>
            </w:pPr>
            <w:r>
              <w:rPr>
                <w:rFonts w:hint="default" w:ascii="Times New Roman" w:hAnsi="Times New Roman" w:eastAsia="宋体" w:cs="Times New Roman"/>
                <w:b w:val="0"/>
                <w:bCs w:val="0"/>
                <w:color w:val="auto"/>
                <w:sz w:val="24"/>
                <w:szCs w:val="20"/>
                <w:highlight w:val="none"/>
                <w:lang w:val="en-US" w:eastAsia="zh-CN" w:bidi="ar-SA"/>
              </w:rPr>
              <w:t>本项目采取分区防渗，对</w:t>
            </w:r>
            <w:r>
              <w:rPr>
                <w:rFonts w:hint="eastAsia" w:ascii="Times New Roman" w:hAnsi="Times New Roman" w:cs="Times New Roman"/>
                <w:b w:val="0"/>
                <w:bCs w:val="0"/>
                <w:color w:val="auto"/>
                <w:sz w:val="24"/>
                <w:szCs w:val="20"/>
                <w:highlight w:val="none"/>
                <w:lang w:val="en-US" w:eastAsia="zh-CN" w:bidi="ar-SA"/>
              </w:rPr>
              <w:t>危险废物贮存点</w:t>
            </w:r>
            <w:r>
              <w:rPr>
                <w:rFonts w:hint="default" w:ascii="Times New Roman" w:hAnsi="Times New Roman" w:eastAsia="宋体" w:cs="Times New Roman"/>
                <w:b w:val="0"/>
                <w:bCs w:val="0"/>
                <w:color w:val="auto"/>
                <w:sz w:val="24"/>
                <w:szCs w:val="20"/>
                <w:highlight w:val="none"/>
                <w:lang w:val="en-US" w:eastAsia="zh-CN" w:bidi="ar-SA"/>
              </w:rPr>
              <w:t>采取重点防渗，其余区域采取一般防渗，不存在地下水、土壤污染途径，因此建设项目无需进行地下水、土壤环境质量现状调查。</w:t>
            </w:r>
          </w:p>
          <w:p w14:paraId="39F5EBDB">
            <w:pPr>
              <w:pStyle w:val="21"/>
              <w:keepNext w:val="0"/>
              <w:keepLines w:val="0"/>
              <w:suppressLineNumbers w:val="0"/>
              <w:spacing w:before="0" w:beforeAutospacing="0" w:after="0" w:afterAutospacing="0" w:line="360" w:lineRule="auto"/>
              <w:ind w:left="0" w:right="122" w:firstLine="482"/>
              <w:jc w:val="both"/>
              <w:rPr>
                <w:rFonts w:hint="default" w:ascii="Times New Roman" w:hAnsi="Times New Roman" w:eastAsia="宋体" w:cs="Times New Roman"/>
                <w:b/>
                <w:color w:val="auto"/>
                <w:sz w:val="24"/>
                <w:szCs w:val="24"/>
                <w:highlight w:val="none"/>
                <w:lang w:val="en-US" w:eastAsia="zh-CN"/>
              </w:rPr>
            </w:pPr>
            <w:r>
              <w:rPr>
                <w:rFonts w:hint="eastAsia" w:ascii="Times New Roman" w:hAnsi="Times New Roman" w:cs="Times New Roman"/>
                <w:b/>
                <w:color w:val="auto"/>
                <w:sz w:val="24"/>
                <w:szCs w:val="24"/>
                <w:highlight w:val="none"/>
                <w:lang w:val="en-US" w:eastAsia="zh-CN"/>
              </w:rPr>
              <w:t>5.</w:t>
            </w:r>
            <w:r>
              <w:rPr>
                <w:rFonts w:hint="default" w:ascii="Times New Roman" w:hAnsi="Times New Roman" w:eastAsia="宋体" w:cs="Times New Roman"/>
                <w:b/>
                <w:color w:val="auto"/>
                <w:sz w:val="24"/>
                <w:szCs w:val="24"/>
                <w:highlight w:val="none"/>
                <w:lang w:val="en-US" w:eastAsia="zh-CN"/>
              </w:rPr>
              <w:t>生态环境质量现状</w:t>
            </w:r>
          </w:p>
          <w:p w14:paraId="19D8ED20">
            <w:pPr>
              <w:keepNext w:val="0"/>
              <w:keepLines w:val="0"/>
              <w:pageBreakBefore w:val="0"/>
              <w:widowControl/>
              <w:suppressLineNumbers w:val="0"/>
              <w:spacing w:before="0" w:beforeAutospacing="0" w:after="0" w:afterAutospacing="0" w:line="360" w:lineRule="auto"/>
              <w:ind w:left="0" w:right="0" w:firstLine="480"/>
              <w:jc w:val="both"/>
              <w:outlineLvl w:val="9"/>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本项目位于</w:t>
            </w:r>
            <w:r>
              <w:rPr>
                <w:rFonts w:hint="eastAsia" w:cs="Times New Roman"/>
                <w:color w:val="auto"/>
                <w:sz w:val="24"/>
                <w:szCs w:val="24"/>
                <w:highlight w:val="none"/>
                <w:lang w:val="en-US" w:eastAsia="zh-CN"/>
              </w:rPr>
              <w:t>黑龙江铁力经济开发区内</w:t>
            </w:r>
            <w:r>
              <w:rPr>
                <w:rFonts w:hint="default" w:ascii="Times New Roman" w:hAnsi="Times New Roman" w:eastAsia="宋体" w:cs="Times New Roman"/>
                <w:color w:val="auto"/>
                <w:sz w:val="24"/>
                <w:szCs w:val="24"/>
                <w:highlight w:val="none"/>
                <w:lang w:val="en-US" w:eastAsia="zh-CN"/>
              </w:rPr>
              <w:t>，用地范围内不含有生态环境保护目标，无需进行生态环境质量现状调查</w:t>
            </w:r>
            <w:r>
              <w:rPr>
                <w:rFonts w:hint="default" w:ascii="Times New Roman" w:hAnsi="Times New Roman" w:eastAsia="宋体" w:cs="Times New Roman"/>
                <w:color w:val="auto"/>
                <w:sz w:val="24"/>
                <w:szCs w:val="24"/>
                <w:highlight w:val="none"/>
                <w:lang w:eastAsia="zh-CN"/>
              </w:rPr>
              <w:t>。</w:t>
            </w:r>
          </w:p>
          <w:p w14:paraId="3CFEA280">
            <w:pPr>
              <w:pStyle w:val="21"/>
              <w:keepNext w:val="0"/>
              <w:keepLines w:val="0"/>
              <w:suppressLineNumbers w:val="0"/>
              <w:spacing w:before="0" w:beforeAutospacing="0" w:after="0" w:afterAutospacing="0" w:line="360" w:lineRule="auto"/>
              <w:ind w:left="0" w:right="122" w:firstLine="482"/>
              <w:jc w:val="both"/>
              <w:rPr>
                <w:rFonts w:hint="default" w:ascii="Times New Roman" w:hAnsi="Times New Roman" w:eastAsia="宋体" w:cs="Times New Roman"/>
                <w:b/>
                <w:color w:val="auto"/>
                <w:sz w:val="24"/>
                <w:szCs w:val="24"/>
                <w:highlight w:val="none"/>
                <w:lang w:val="en-US" w:eastAsia="zh-CN"/>
              </w:rPr>
            </w:pPr>
            <w:r>
              <w:rPr>
                <w:rFonts w:hint="eastAsia" w:ascii="Times New Roman" w:hAnsi="Times New Roman" w:cs="Times New Roman"/>
                <w:b/>
                <w:color w:val="auto"/>
                <w:sz w:val="24"/>
                <w:szCs w:val="24"/>
                <w:highlight w:val="none"/>
                <w:lang w:val="en-US" w:eastAsia="zh-CN"/>
              </w:rPr>
              <w:t>6.</w:t>
            </w:r>
            <w:r>
              <w:rPr>
                <w:rFonts w:hint="default" w:ascii="Times New Roman" w:hAnsi="Times New Roman" w:eastAsia="宋体" w:cs="Times New Roman"/>
                <w:b/>
                <w:color w:val="auto"/>
                <w:sz w:val="24"/>
                <w:szCs w:val="24"/>
                <w:highlight w:val="none"/>
                <w:lang w:val="en-US" w:eastAsia="zh-CN"/>
              </w:rPr>
              <w:t>电磁辐射环境质量现状</w:t>
            </w:r>
          </w:p>
          <w:p w14:paraId="6842F68A">
            <w:pPr>
              <w:keepNext w:val="0"/>
              <w:keepLines w:val="0"/>
              <w:pageBreakBefore w:val="0"/>
              <w:widowControl/>
              <w:suppressLineNumbers w:val="0"/>
              <w:spacing w:before="0" w:beforeAutospacing="0" w:after="0" w:afterAutospacing="0" w:line="360" w:lineRule="auto"/>
              <w:ind w:left="0" w:right="0" w:firstLine="480"/>
              <w:jc w:val="both"/>
              <w:outlineLvl w:val="9"/>
              <w:rPr>
                <w:rFonts w:hint="default" w:ascii="Times New Roman" w:hAnsi="Times New Roman" w:eastAsia="宋体" w:cs="Times New Roman"/>
                <w:b w:val="0"/>
                <w:bCs w:val="0"/>
                <w:color w:val="auto"/>
                <w:sz w:val="24"/>
                <w:szCs w:val="20"/>
                <w:highlight w:val="none"/>
                <w:lang w:val="en-US" w:eastAsia="zh-CN" w:bidi="ar-SA"/>
              </w:rPr>
            </w:pPr>
            <w:r>
              <w:rPr>
                <w:rFonts w:hint="eastAsia" w:cs="Times New Roman"/>
                <w:color w:val="auto"/>
                <w:sz w:val="24"/>
                <w:szCs w:val="24"/>
                <w:highlight w:val="none"/>
                <w:lang w:val="en-US" w:eastAsia="zh-CN"/>
              </w:rPr>
              <w:t>本</w:t>
            </w:r>
            <w:r>
              <w:rPr>
                <w:rFonts w:hint="default" w:ascii="Times New Roman" w:hAnsi="Times New Roman" w:eastAsia="宋体" w:cs="Times New Roman"/>
                <w:color w:val="auto"/>
                <w:sz w:val="24"/>
                <w:szCs w:val="24"/>
                <w:highlight w:val="none"/>
                <w:lang w:val="en-US" w:eastAsia="zh-CN"/>
              </w:rPr>
              <w:t>项目不涉及电磁辐射，无需对电磁辐射现状开展监测与评价。</w:t>
            </w:r>
          </w:p>
        </w:tc>
      </w:tr>
      <w:tr w14:paraId="0218D5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273" w:type="pct"/>
            <w:noWrap w:val="0"/>
            <w:vAlign w:val="center"/>
          </w:tcPr>
          <w:p w14:paraId="1EF78691">
            <w:pPr>
              <w:keepNext w:val="0"/>
              <w:keepLines w:val="0"/>
              <w:suppressLineNumbers w:val="0"/>
              <w:spacing w:before="0" w:beforeAutospacing="0" w:after="0" w:afterAutospacing="0" w:line="440" w:lineRule="exact"/>
              <w:ind w:left="0" w:right="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环境</w:t>
            </w:r>
          </w:p>
          <w:p w14:paraId="3019BAF2">
            <w:pPr>
              <w:keepNext w:val="0"/>
              <w:keepLines w:val="0"/>
              <w:suppressLineNumbers w:val="0"/>
              <w:spacing w:before="0" w:beforeAutospacing="0" w:after="0" w:afterAutospacing="0" w:line="440" w:lineRule="exact"/>
              <w:ind w:left="0" w:right="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保护</w:t>
            </w:r>
          </w:p>
          <w:p w14:paraId="5ECFCA58">
            <w:pPr>
              <w:keepNext w:val="0"/>
              <w:keepLines w:val="0"/>
              <w:suppressLineNumbers w:val="0"/>
              <w:spacing w:before="0" w:beforeAutospacing="0" w:after="0" w:afterAutospacing="0" w:line="440" w:lineRule="exact"/>
              <w:ind w:left="0" w:right="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目标</w:t>
            </w:r>
          </w:p>
        </w:tc>
        <w:tc>
          <w:tcPr>
            <w:tcW w:w="4726" w:type="pct"/>
            <w:noWrap w:val="0"/>
            <w:vAlign w:val="center"/>
          </w:tcPr>
          <w:p w14:paraId="7D0B40B9">
            <w:pPr>
              <w:pStyle w:val="21"/>
              <w:keepNext w:val="0"/>
              <w:keepLines w:val="0"/>
              <w:suppressLineNumbers w:val="0"/>
              <w:spacing w:before="0" w:beforeAutospacing="0" w:after="0" w:afterAutospacing="0" w:line="360" w:lineRule="auto"/>
              <w:ind w:left="0" w:right="122" w:firstLine="482"/>
              <w:jc w:val="both"/>
              <w:rPr>
                <w:rFonts w:hint="default" w:ascii="Times New Roman" w:hAnsi="Times New Roman" w:eastAsia="宋体" w:cs="Times New Roman"/>
                <w:b/>
                <w:color w:val="auto"/>
                <w:sz w:val="24"/>
                <w:szCs w:val="24"/>
                <w:highlight w:val="none"/>
                <w:lang w:val="en-US" w:eastAsia="zh-CN"/>
              </w:rPr>
            </w:pPr>
            <w:r>
              <w:rPr>
                <w:rFonts w:hint="eastAsia" w:ascii="Times New Roman" w:hAnsi="Times New Roman" w:cs="Times New Roman"/>
                <w:b/>
                <w:color w:val="auto"/>
                <w:sz w:val="24"/>
                <w:szCs w:val="24"/>
                <w:highlight w:val="none"/>
                <w:lang w:val="en-US" w:eastAsia="zh-CN"/>
              </w:rPr>
              <w:t>1.</w:t>
            </w:r>
            <w:r>
              <w:rPr>
                <w:rFonts w:hint="default" w:ascii="Times New Roman" w:hAnsi="Times New Roman" w:eastAsia="宋体" w:cs="Times New Roman"/>
                <w:b/>
                <w:color w:val="auto"/>
                <w:sz w:val="24"/>
                <w:szCs w:val="24"/>
                <w:highlight w:val="none"/>
                <w:lang w:val="en-US" w:eastAsia="zh-CN"/>
              </w:rPr>
              <w:t>大气环境</w:t>
            </w:r>
          </w:p>
          <w:p w14:paraId="7B19C710">
            <w:pPr>
              <w:pStyle w:val="22"/>
              <w:keepNext w:val="0"/>
              <w:keepLines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根据现场勘查，</w:t>
            </w:r>
            <w:r>
              <w:rPr>
                <w:rFonts w:hint="eastAsia" w:cs="Times New Roman"/>
                <w:color w:val="auto"/>
                <w:sz w:val="24"/>
                <w:szCs w:val="24"/>
                <w:highlight w:val="none"/>
                <w:lang w:val="en-US" w:eastAsia="zh-CN"/>
              </w:rPr>
              <w:t>本</w:t>
            </w:r>
            <w:r>
              <w:rPr>
                <w:rFonts w:hint="default" w:ascii="Times New Roman" w:hAnsi="Times New Roman" w:eastAsia="宋体" w:cs="Times New Roman"/>
                <w:color w:val="auto"/>
                <w:sz w:val="24"/>
                <w:szCs w:val="24"/>
                <w:highlight w:val="none"/>
                <w:lang w:val="en-US" w:eastAsia="zh-CN"/>
              </w:rPr>
              <w:t>项目厂界外500m范围内主要环境保护目标为</w:t>
            </w:r>
            <w:r>
              <w:rPr>
                <w:rFonts w:hint="eastAsia" w:cs="Times New Roman"/>
                <w:color w:val="auto"/>
                <w:sz w:val="24"/>
                <w:szCs w:val="24"/>
                <w:highlight w:val="none"/>
                <w:lang w:val="en-US" w:eastAsia="zh-CN"/>
              </w:rPr>
              <w:t>良种场</w:t>
            </w:r>
            <w:r>
              <w:rPr>
                <w:rFonts w:hint="default" w:ascii="Times New Roman" w:hAnsi="Times New Roman" w:eastAsia="宋体" w:cs="Times New Roman"/>
                <w:color w:val="auto"/>
                <w:sz w:val="24"/>
                <w:szCs w:val="24"/>
                <w:highlight w:val="none"/>
                <w:lang w:val="en-US" w:eastAsia="zh-CN"/>
              </w:rPr>
              <w:t>。</w:t>
            </w:r>
          </w:p>
          <w:p w14:paraId="2AAC2404">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val="0"/>
                <w:color w:val="auto"/>
                <w:kern w:val="0"/>
                <w:sz w:val="21"/>
                <w:szCs w:val="21"/>
                <w:lang w:val="en-US" w:eastAsia="zh-CN" w:bidi="ar"/>
              </w:rPr>
            </w:pPr>
            <w:r>
              <w:rPr>
                <w:rFonts w:hint="default" w:ascii="Times New Roman" w:hAnsi="Times New Roman" w:eastAsia="宋体" w:cs="Times New Roman"/>
                <w:b/>
                <w:bCs w:val="0"/>
                <w:color w:val="auto"/>
                <w:kern w:val="0"/>
                <w:sz w:val="21"/>
                <w:szCs w:val="21"/>
                <w:lang w:val="en-US" w:eastAsia="zh-CN" w:bidi="ar"/>
              </w:rPr>
              <w:t>表3-4 大气环境保护目标一览表</w:t>
            </w:r>
          </w:p>
          <w:tbl>
            <w:tblPr>
              <w:tblStyle w:val="5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8"/>
              <w:gridCol w:w="586"/>
              <w:gridCol w:w="1431"/>
              <w:gridCol w:w="1431"/>
              <w:gridCol w:w="593"/>
              <w:gridCol w:w="588"/>
              <w:gridCol w:w="1796"/>
              <w:gridCol w:w="647"/>
              <w:gridCol w:w="791"/>
            </w:tblGrid>
            <w:tr w14:paraId="4902A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9" w:type="pct"/>
                  <w:vMerge w:val="restart"/>
                  <w:noWrap w:val="0"/>
                  <w:vAlign w:val="center"/>
                </w:tcPr>
                <w:p w14:paraId="7B8A578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类别</w:t>
                  </w:r>
                </w:p>
              </w:tc>
              <w:tc>
                <w:tcPr>
                  <w:tcW w:w="420" w:type="pct"/>
                  <w:vMerge w:val="restart"/>
                  <w:noWrap w:val="0"/>
                  <w:vAlign w:val="center"/>
                </w:tcPr>
                <w:p w14:paraId="26AA457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名称</w:t>
                  </w:r>
                </w:p>
              </w:tc>
              <w:tc>
                <w:tcPr>
                  <w:tcW w:w="1240" w:type="pct"/>
                  <w:gridSpan w:val="2"/>
                  <w:noWrap w:val="0"/>
                  <w:vAlign w:val="center"/>
                </w:tcPr>
                <w:p w14:paraId="7087719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坐标</w:t>
                  </w:r>
                </w:p>
              </w:tc>
              <w:tc>
                <w:tcPr>
                  <w:tcW w:w="424" w:type="pct"/>
                  <w:vMerge w:val="restart"/>
                  <w:noWrap w:val="0"/>
                  <w:vAlign w:val="center"/>
                </w:tcPr>
                <w:p w14:paraId="4EC83BF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保护对象</w:t>
                  </w:r>
                </w:p>
              </w:tc>
              <w:tc>
                <w:tcPr>
                  <w:tcW w:w="421" w:type="pct"/>
                  <w:vMerge w:val="restart"/>
                  <w:noWrap w:val="0"/>
                  <w:vAlign w:val="center"/>
                </w:tcPr>
                <w:p w14:paraId="533D910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保护内容</w:t>
                  </w:r>
                </w:p>
              </w:tc>
              <w:tc>
                <w:tcPr>
                  <w:tcW w:w="1145" w:type="pct"/>
                  <w:vMerge w:val="restart"/>
                  <w:noWrap w:val="0"/>
                  <w:vAlign w:val="center"/>
                </w:tcPr>
                <w:p w14:paraId="272EB40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环境功能区</w:t>
                  </w:r>
                </w:p>
              </w:tc>
              <w:tc>
                <w:tcPr>
                  <w:tcW w:w="456" w:type="pct"/>
                  <w:vMerge w:val="restart"/>
                  <w:noWrap w:val="0"/>
                  <w:vAlign w:val="center"/>
                </w:tcPr>
                <w:p w14:paraId="1E86D22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相对厂址方位</w:t>
                  </w:r>
                </w:p>
              </w:tc>
              <w:tc>
                <w:tcPr>
                  <w:tcW w:w="542" w:type="pct"/>
                  <w:vMerge w:val="restart"/>
                  <w:noWrap w:val="0"/>
                  <w:vAlign w:val="center"/>
                </w:tcPr>
                <w:p w14:paraId="28988B2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相对厂址距离/m</w:t>
                  </w:r>
                </w:p>
              </w:tc>
            </w:tr>
            <w:tr w14:paraId="2FDB6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9" w:type="pct"/>
                  <w:vMerge w:val="continue"/>
                  <w:noWrap w:val="0"/>
                  <w:vAlign w:val="center"/>
                </w:tcPr>
                <w:p w14:paraId="2040884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p>
              </w:tc>
              <w:tc>
                <w:tcPr>
                  <w:tcW w:w="420" w:type="pct"/>
                  <w:vMerge w:val="continue"/>
                  <w:noWrap w:val="0"/>
                  <w:vAlign w:val="center"/>
                </w:tcPr>
                <w:p w14:paraId="46B42AE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p>
              </w:tc>
              <w:tc>
                <w:tcPr>
                  <w:tcW w:w="652" w:type="pct"/>
                  <w:noWrap w:val="0"/>
                  <w:vAlign w:val="center"/>
                </w:tcPr>
                <w:p w14:paraId="0C12859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经度</w:t>
                  </w:r>
                </w:p>
              </w:tc>
              <w:tc>
                <w:tcPr>
                  <w:tcW w:w="588" w:type="pct"/>
                  <w:noWrap w:val="0"/>
                  <w:vAlign w:val="center"/>
                </w:tcPr>
                <w:p w14:paraId="704E642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纬度</w:t>
                  </w:r>
                </w:p>
              </w:tc>
              <w:tc>
                <w:tcPr>
                  <w:tcW w:w="424" w:type="pct"/>
                  <w:vMerge w:val="continue"/>
                  <w:noWrap w:val="0"/>
                  <w:vAlign w:val="center"/>
                </w:tcPr>
                <w:p w14:paraId="4DA89E9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rPr>
                  </w:pPr>
                </w:p>
              </w:tc>
              <w:tc>
                <w:tcPr>
                  <w:tcW w:w="421" w:type="pct"/>
                  <w:vMerge w:val="continue"/>
                  <w:noWrap w:val="0"/>
                  <w:vAlign w:val="center"/>
                </w:tcPr>
                <w:p w14:paraId="2FED793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rPr>
                  </w:pPr>
                </w:p>
              </w:tc>
              <w:tc>
                <w:tcPr>
                  <w:tcW w:w="1145" w:type="pct"/>
                  <w:vMerge w:val="continue"/>
                  <w:noWrap w:val="0"/>
                  <w:vAlign w:val="center"/>
                </w:tcPr>
                <w:p w14:paraId="390C27F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rPr>
                  </w:pPr>
                </w:p>
              </w:tc>
              <w:tc>
                <w:tcPr>
                  <w:tcW w:w="456" w:type="pct"/>
                  <w:vMerge w:val="continue"/>
                  <w:noWrap w:val="0"/>
                  <w:vAlign w:val="center"/>
                </w:tcPr>
                <w:p w14:paraId="365DFB6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rPr>
                  </w:pPr>
                </w:p>
              </w:tc>
              <w:tc>
                <w:tcPr>
                  <w:tcW w:w="542" w:type="pct"/>
                  <w:vMerge w:val="continue"/>
                  <w:noWrap w:val="0"/>
                  <w:vAlign w:val="center"/>
                </w:tcPr>
                <w:p w14:paraId="603FE98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rPr>
                  </w:pPr>
                </w:p>
              </w:tc>
            </w:tr>
            <w:tr w14:paraId="31CB5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79" w:hRule="atLeast"/>
                <w:jc w:val="center"/>
              </w:trPr>
              <w:tc>
                <w:tcPr>
                  <w:tcW w:w="349" w:type="pct"/>
                  <w:noWrap w:val="0"/>
                  <w:vAlign w:val="center"/>
                </w:tcPr>
                <w:p w14:paraId="757C755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环境空气</w:t>
                  </w:r>
                </w:p>
              </w:tc>
              <w:tc>
                <w:tcPr>
                  <w:tcW w:w="420" w:type="pct"/>
                  <w:noWrap w:val="0"/>
                  <w:vAlign w:val="center"/>
                </w:tcPr>
                <w:p w14:paraId="7111138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良种场</w:t>
                  </w:r>
                </w:p>
              </w:tc>
              <w:tc>
                <w:tcPr>
                  <w:tcW w:w="652" w:type="pct"/>
                  <w:noWrap w:val="0"/>
                  <w:vAlign w:val="center"/>
                </w:tcPr>
                <w:p w14:paraId="29BB660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128°6′41.21</w:t>
                  </w:r>
                  <w:r>
                    <w:rPr>
                      <w:rFonts w:hint="eastAsia" w:ascii="Times New Roman" w:hAnsi="Times New Roman" w:eastAsia="宋体" w:cs="Times New Roman"/>
                      <w:bCs/>
                      <w:color w:val="auto"/>
                      <w:sz w:val="21"/>
                      <w:szCs w:val="21"/>
                      <w:highlight w:val="none"/>
                      <w:lang w:val="en-US" w:eastAsia="zh-CN"/>
                    </w:rPr>
                    <w:t>2</w:t>
                  </w:r>
                  <w:r>
                    <w:rPr>
                      <w:rFonts w:hint="default" w:ascii="Times New Roman" w:hAnsi="Times New Roman" w:eastAsia="宋体" w:cs="Times New Roman"/>
                      <w:bCs/>
                      <w:color w:val="auto"/>
                      <w:sz w:val="21"/>
                      <w:szCs w:val="21"/>
                      <w:highlight w:val="none"/>
                    </w:rPr>
                    <w:t>″</w:t>
                  </w:r>
                </w:p>
              </w:tc>
              <w:tc>
                <w:tcPr>
                  <w:tcW w:w="588" w:type="pct"/>
                  <w:noWrap w:val="0"/>
                  <w:vAlign w:val="center"/>
                </w:tcPr>
                <w:p w14:paraId="67A076B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46°57′54.09</w:t>
                  </w:r>
                  <w:r>
                    <w:rPr>
                      <w:rFonts w:hint="eastAsia" w:ascii="Times New Roman" w:hAnsi="Times New Roman" w:eastAsia="宋体" w:cs="Times New Roman"/>
                      <w:bCs/>
                      <w:color w:val="auto"/>
                      <w:sz w:val="21"/>
                      <w:szCs w:val="21"/>
                      <w:highlight w:val="none"/>
                      <w:lang w:val="en-US" w:eastAsia="zh-CN"/>
                    </w:rPr>
                    <w:t>8</w:t>
                  </w:r>
                  <w:r>
                    <w:rPr>
                      <w:rFonts w:hint="default" w:ascii="Times New Roman" w:hAnsi="Times New Roman" w:eastAsia="宋体" w:cs="Times New Roman"/>
                      <w:bCs/>
                      <w:color w:val="auto"/>
                      <w:sz w:val="21"/>
                      <w:szCs w:val="21"/>
                      <w:highlight w:val="none"/>
                    </w:rPr>
                    <w:t>″</w:t>
                  </w:r>
                </w:p>
              </w:tc>
              <w:tc>
                <w:tcPr>
                  <w:tcW w:w="424" w:type="pct"/>
                  <w:noWrap w:val="0"/>
                  <w:vAlign w:val="center"/>
                </w:tcPr>
                <w:p w14:paraId="2ADF389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居民区</w:t>
                  </w:r>
                </w:p>
              </w:tc>
              <w:tc>
                <w:tcPr>
                  <w:tcW w:w="421" w:type="pct"/>
                  <w:noWrap w:val="0"/>
                  <w:vAlign w:val="center"/>
                </w:tcPr>
                <w:p w14:paraId="7EE6901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人群</w:t>
                  </w:r>
                </w:p>
              </w:tc>
              <w:tc>
                <w:tcPr>
                  <w:tcW w:w="1145" w:type="pct"/>
                  <w:noWrap w:val="0"/>
                  <w:vAlign w:val="center"/>
                </w:tcPr>
                <w:p w14:paraId="362C48D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《环境空气质量标准》（</w:t>
                  </w:r>
                  <w:r>
                    <w:rPr>
                      <w:rFonts w:hint="eastAsia" w:ascii="Times New Roman" w:hAnsi="Times New Roman" w:cs="Times New Roman"/>
                      <w:bCs/>
                      <w:color w:val="auto"/>
                      <w:sz w:val="21"/>
                      <w:szCs w:val="21"/>
                      <w:highlight w:val="none"/>
                      <w:lang w:eastAsia="zh-CN"/>
                    </w:rPr>
                    <w:t>GB 3095-2026</w:t>
                  </w:r>
                  <w:r>
                    <w:rPr>
                      <w:rFonts w:hint="default" w:ascii="Times New Roman" w:hAnsi="Times New Roman" w:eastAsia="宋体" w:cs="Times New Roman"/>
                      <w:bCs/>
                      <w:color w:val="auto"/>
                      <w:sz w:val="21"/>
                      <w:szCs w:val="21"/>
                      <w:highlight w:val="none"/>
                    </w:rPr>
                    <w:t>）二级标准</w:t>
                  </w:r>
                </w:p>
              </w:tc>
              <w:tc>
                <w:tcPr>
                  <w:tcW w:w="456" w:type="pct"/>
                  <w:noWrap w:val="0"/>
                  <w:vAlign w:val="center"/>
                </w:tcPr>
                <w:p w14:paraId="4050361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S</w:t>
                  </w:r>
                  <w:r>
                    <w:rPr>
                      <w:rFonts w:hint="default" w:ascii="Times New Roman" w:hAnsi="Times New Roman" w:eastAsia="宋体" w:cs="Times New Roman"/>
                      <w:bCs/>
                      <w:color w:val="auto"/>
                      <w:sz w:val="21"/>
                      <w:szCs w:val="21"/>
                      <w:highlight w:val="none"/>
                      <w:lang w:val="en-US" w:eastAsia="zh-CN"/>
                    </w:rPr>
                    <w:t>E</w:t>
                  </w:r>
                </w:p>
              </w:tc>
              <w:tc>
                <w:tcPr>
                  <w:tcW w:w="542" w:type="pct"/>
                  <w:noWrap w:val="0"/>
                  <w:vAlign w:val="center"/>
                </w:tcPr>
                <w:p w14:paraId="252E91A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320</w:t>
                  </w:r>
                </w:p>
              </w:tc>
            </w:tr>
          </w:tbl>
          <w:p w14:paraId="2C9F4C3D">
            <w:pPr>
              <w:pStyle w:val="21"/>
              <w:keepNext w:val="0"/>
              <w:keepLines w:val="0"/>
              <w:pageBreakBefore w:val="0"/>
              <w:widowControl/>
              <w:suppressLineNumbers w:val="0"/>
              <w:kinsoku/>
              <w:wordWrap/>
              <w:overflowPunct/>
              <w:topLinePunct w:val="0"/>
              <w:autoSpaceDE/>
              <w:autoSpaceDN/>
              <w:bidi w:val="0"/>
              <w:adjustRightInd/>
              <w:snapToGrid/>
              <w:spacing w:before="0" w:beforeLines="50" w:beforeAutospacing="0" w:after="0" w:afterAutospacing="0" w:line="360" w:lineRule="auto"/>
              <w:ind w:left="0" w:right="119" w:firstLine="482"/>
              <w:jc w:val="both"/>
              <w:textAlignment w:val="auto"/>
              <w:rPr>
                <w:rFonts w:hint="default" w:ascii="Times New Roman" w:hAnsi="Times New Roman" w:eastAsia="宋体" w:cs="Times New Roman"/>
                <w:b/>
                <w:color w:val="auto"/>
                <w:sz w:val="24"/>
                <w:szCs w:val="24"/>
                <w:highlight w:val="none"/>
                <w:lang w:val="en-US" w:eastAsia="zh-CN"/>
              </w:rPr>
            </w:pPr>
            <w:r>
              <w:rPr>
                <w:rFonts w:hint="eastAsia" w:ascii="Times New Roman" w:hAnsi="Times New Roman" w:cs="Times New Roman"/>
                <w:b/>
                <w:color w:val="auto"/>
                <w:sz w:val="24"/>
                <w:szCs w:val="24"/>
                <w:highlight w:val="none"/>
                <w:lang w:val="en-US" w:eastAsia="zh-CN"/>
              </w:rPr>
              <w:t>2.</w:t>
            </w:r>
            <w:r>
              <w:rPr>
                <w:rFonts w:hint="default" w:ascii="Times New Roman" w:hAnsi="Times New Roman" w:eastAsia="宋体" w:cs="Times New Roman"/>
                <w:b/>
                <w:color w:val="auto"/>
                <w:sz w:val="24"/>
                <w:szCs w:val="24"/>
                <w:highlight w:val="none"/>
                <w:lang w:val="en-US" w:eastAsia="zh-CN"/>
              </w:rPr>
              <w:t>声环境</w:t>
            </w:r>
          </w:p>
          <w:p w14:paraId="04AE2385">
            <w:pPr>
              <w:pStyle w:val="22"/>
              <w:keepNext w:val="0"/>
              <w:keepLines w:val="0"/>
              <w:suppressLineNumbers w:val="0"/>
              <w:spacing w:before="0" w:beforeAutospacing="0" w:after="0" w:afterAutospacing="0" w:line="360" w:lineRule="auto"/>
              <w:ind w:left="0" w:right="0" w:firstLine="480"/>
              <w:jc w:val="both"/>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根据现场勘查，</w:t>
            </w:r>
            <w:r>
              <w:rPr>
                <w:rFonts w:hint="eastAsia" w:cs="Times New Roman"/>
                <w:color w:val="auto"/>
                <w:sz w:val="24"/>
                <w:szCs w:val="24"/>
                <w:highlight w:val="none"/>
                <w:lang w:val="en-US" w:eastAsia="zh-CN"/>
              </w:rPr>
              <w:t>本</w:t>
            </w:r>
            <w:r>
              <w:rPr>
                <w:rFonts w:hint="default" w:ascii="Times New Roman" w:hAnsi="Times New Roman" w:eastAsia="宋体" w:cs="Times New Roman"/>
                <w:color w:val="auto"/>
                <w:sz w:val="24"/>
                <w:szCs w:val="24"/>
                <w:highlight w:val="none"/>
                <w:lang w:val="en-US" w:eastAsia="zh-CN"/>
              </w:rPr>
              <w:t>项目厂界外50m范围内无声环境保护目标。</w:t>
            </w:r>
          </w:p>
          <w:p w14:paraId="0F4E95D1">
            <w:pPr>
              <w:pStyle w:val="21"/>
              <w:keepNext w:val="0"/>
              <w:keepLines w:val="0"/>
              <w:suppressLineNumbers w:val="0"/>
              <w:spacing w:before="0" w:beforeAutospacing="0" w:after="0" w:afterAutospacing="0" w:line="360" w:lineRule="auto"/>
              <w:ind w:left="0" w:right="122" w:firstLine="482"/>
              <w:jc w:val="both"/>
              <w:rPr>
                <w:rFonts w:hint="default" w:ascii="Times New Roman" w:hAnsi="Times New Roman" w:eastAsia="宋体" w:cs="Times New Roman"/>
                <w:b/>
                <w:color w:val="auto"/>
                <w:sz w:val="24"/>
                <w:szCs w:val="24"/>
                <w:highlight w:val="none"/>
                <w:lang w:val="en-US" w:eastAsia="zh-CN"/>
              </w:rPr>
            </w:pPr>
            <w:r>
              <w:rPr>
                <w:rFonts w:hint="eastAsia" w:ascii="Times New Roman" w:hAnsi="Times New Roman" w:cs="Times New Roman"/>
                <w:b/>
                <w:color w:val="auto"/>
                <w:sz w:val="24"/>
                <w:szCs w:val="24"/>
                <w:highlight w:val="none"/>
                <w:lang w:val="en-US" w:eastAsia="zh-CN"/>
              </w:rPr>
              <w:t>3.</w:t>
            </w:r>
            <w:r>
              <w:rPr>
                <w:rFonts w:hint="default" w:ascii="Times New Roman" w:hAnsi="Times New Roman" w:eastAsia="宋体" w:cs="Times New Roman"/>
                <w:b/>
                <w:color w:val="auto"/>
                <w:sz w:val="24"/>
                <w:szCs w:val="24"/>
                <w:highlight w:val="none"/>
                <w:lang w:val="en-US" w:eastAsia="zh-CN"/>
              </w:rPr>
              <w:t>地下水环境</w:t>
            </w:r>
          </w:p>
          <w:p w14:paraId="0BFD8D23">
            <w:pPr>
              <w:pStyle w:val="22"/>
              <w:keepNext w:val="0"/>
              <w:keepLines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根据现场勘查，</w:t>
            </w:r>
            <w:r>
              <w:rPr>
                <w:rFonts w:hint="eastAsia" w:ascii="Times New Roman" w:hAnsi="Times New Roman" w:eastAsia="宋体" w:cs="Times New Roman"/>
                <w:color w:val="auto"/>
                <w:sz w:val="24"/>
                <w:szCs w:val="24"/>
                <w:highlight w:val="none"/>
                <w:lang w:val="en-US" w:eastAsia="zh-CN"/>
              </w:rPr>
              <w:t>本</w:t>
            </w:r>
            <w:r>
              <w:rPr>
                <w:rFonts w:hint="default" w:ascii="Times New Roman" w:hAnsi="Times New Roman" w:eastAsia="宋体" w:cs="Times New Roman"/>
                <w:color w:val="auto"/>
                <w:sz w:val="24"/>
                <w:szCs w:val="24"/>
                <w:highlight w:val="none"/>
                <w:lang w:val="en-US" w:eastAsia="zh-CN"/>
              </w:rPr>
              <w:t>项目厂界外500m范围内无集中式饮用水水源和热水、矿泉水、温泉等特殊地下资源。</w:t>
            </w:r>
          </w:p>
          <w:p w14:paraId="3A0CF1FC">
            <w:pPr>
              <w:pStyle w:val="21"/>
              <w:keepNext w:val="0"/>
              <w:keepLines w:val="0"/>
              <w:suppressLineNumbers w:val="0"/>
              <w:spacing w:before="0" w:beforeAutospacing="0" w:after="0" w:afterAutospacing="0" w:line="360" w:lineRule="auto"/>
              <w:ind w:left="0" w:right="122" w:firstLine="482"/>
              <w:jc w:val="both"/>
              <w:rPr>
                <w:rFonts w:hint="default" w:ascii="Times New Roman" w:hAnsi="Times New Roman" w:eastAsia="宋体" w:cs="Times New Roman"/>
                <w:b/>
                <w:color w:val="auto"/>
                <w:sz w:val="24"/>
                <w:szCs w:val="24"/>
                <w:highlight w:val="none"/>
                <w:lang w:val="en-US" w:eastAsia="zh-CN"/>
              </w:rPr>
            </w:pPr>
            <w:r>
              <w:rPr>
                <w:rFonts w:hint="eastAsia" w:ascii="Times New Roman" w:hAnsi="Times New Roman" w:cs="Times New Roman"/>
                <w:b/>
                <w:color w:val="auto"/>
                <w:sz w:val="24"/>
                <w:szCs w:val="24"/>
                <w:highlight w:val="none"/>
                <w:lang w:val="en-US" w:eastAsia="zh-CN"/>
              </w:rPr>
              <w:t>4.</w:t>
            </w:r>
            <w:r>
              <w:rPr>
                <w:rFonts w:hint="default" w:ascii="Times New Roman" w:hAnsi="Times New Roman" w:eastAsia="宋体" w:cs="Times New Roman"/>
                <w:b/>
                <w:color w:val="auto"/>
                <w:sz w:val="24"/>
                <w:szCs w:val="24"/>
                <w:highlight w:val="none"/>
                <w:lang w:val="en-US" w:eastAsia="zh-CN"/>
              </w:rPr>
              <w:t>生态环境</w:t>
            </w:r>
          </w:p>
          <w:p w14:paraId="1DF045C3">
            <w:pPr>
              <w:pStyle w:val="22"/>
              <w:keepNext w:val="0"/>
              <w:keepLines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本项目位于黑龙江铁力经济开发区内</w:t>
            </w:r>
            <w:r>
              <w:rPr>
                <w:rFonts w:hint="default" w:ascii="Times New Roman" w:hAnsi="Times New Roman" w:eastAsia="宋体" w:cs="Times New Roman"/>
                <w:color w:val="auto"/>
                <w:sz w:val="24"/>
                <w:szCs w:val="24"/>
                <w:highlight w:val="none"/>
                <w:lang w:val="en-US" w:eastAsia="zh-CN"/>
              </w:rPr>
              <w:t>，无新增用地。</w:t>
            </w:r>
            <w:r>
              <w:rPr>
                <w:rFonts w:hint="eastAsia" w:ascii="Times New Roman" w:hAnsi="Times New Roman" w:eastAsia="宋体" w:cs="Times New Roman"/>
                <w:color w:val="auto"/>
                <w:sz w:val="24"/>
                <w:szCs w:val="24"/>
                <w:highlight w:val="none"/>
                <w:lang w:val="en-US" w:eastAsia="zh-CN"/>
              </w:rPr>
              <w:t>本</w:t>
            </w:r>
            <w:r>
              <w:rPr>
                <w:rFonts w:hint="default" w:ascii="Times New Roman" w:hAnsi="Times New Roman" w:eastAsia="宋体" w:cs="Times New Roman"/>
                <w:color w:val="auto"/>
                <w:sz w:val="24"/>
                <w:szCs w:val="24"/>
                <w:highlight w:val="none"/>
                <w:lang w:val="en-US" w:eastAsia="zh-CN"/>
              </w:rPr>
              <w:t>项目用地范围内无生态环境保护目标。</w:t>
            </w:r>
          </w:p>
          <w:p w14:paraId="525C8409">
            <w:pPr>
              <w:pStyle w:val="22"/>
              <w:keepNext w:val="0"/>
              <w:keepLines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highlight w:val="none"/>
                <w:lang w:val="en-US" w:eastAsia="zh-CN"/>
              </w:rPr>
            </w:pPr>
          </w:p>
          <w:p w14:paraId="120D5138">
            <w:pPr>
              <w:pStyle w:val="22"/>
              <w:keepNext w:val="0"/>
              <w:keepLines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highlight w:val="none"/>
                <w:lang w:val="en-US" w:eastAsia="zh-CN"/>
              </w:rPr>
            </w:pPr>
          </w:p>
          <w:p w14:paraId="49E2F7C1">
            <w:pPr>
              <w:pStyle w:val="22"/>
              <w:keepNext w:val="0"/>
              <w:keepLines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highlight w:val="none"/>
                <w:lang w:val="en-US" w:eastAsia="zh-CN"/>
              </w:rPr>
            </w:pPr>
          </w:p>
          <w:p w14:paraId="1FCA8645">
            <w:pPr>
              <w:pStyle w:val="22"/>
              <w:keepNext w:val="0"/>
              <w:keepLines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highlight w:val="none"/>
                <w:lang w:val="en-US" w:eastAsia="zh-CN"/>
              </w:rPr>
            </w:pPr>
          </w:p>
          <w:p w14:paraId="52E5120E">
            <w:pPr>
              <w:pStyle w:val="22"/>
              <w:keepNext w:val="0"/>
              <w:keepLines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highlight w:val="none"/>
                <w:lang w:val="en-US" w:eastAsia="zh-CN"/>
              </w:rPr>
            </w:pPr>
          </w:p>
          <w:p w14:paraId="6ACD6AC7">
            <w:pPr>
              <w:pStyle w:val="22"/>
              <w:keepNext w:val="0"/>
              <w:keepLines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highlight w:val="none"/>
                <w:lang w:val="en-US" w:eastAsia="zh-CN"/>
              </w:rPr>
            </w:pPr>
          </w:p>
          <w:p w14:paraId="1D6590DF">
            <w:pPr>
              <w:pStyle w:val="22"/>
              <w:keepNext w:val="0"/>
              <w:keepLines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highlight w:val="none"/>
                <w:lang w:val="en-US" w:eastAsia="zh-CN"/>
              </w:rPr>
            </w:pPr>
          </w:p>
          <w:p w14:paraId="154398B3">
            <w:pPr>
              <w:pStyle w:val="22"/>
              <w:keepNext w:val="0"/>
              <w:keepLines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highlight w:val="none"/>
                <w:lang w:val="en-US" w:eastAsia="zh-CN"/>
              </w:rPr>
            </w:pPr>
          </w:p>
          <w:p w14:paraId="01842D05">
            <w:pPr>
              <w:pStyle w:val="22"/>
              <w:keepNext w:val="0"/>
              <w:keepLines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highlight w:val="none"/>
                <w:lang w:val="en-US" w:eastAsia="zh-CN"/>
              </w:rPr>
            </w:pPr>
          </w:p>
          <w:p w14:paraId="725E5898">
            <w:pPr>
              <w:pStyle w:val="22"/>
              <w:keepNext w:val="0"/>
              <w:keepLines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highlight w:val="none"/>
                <w:lang w:val="en-US" w:eastAsia="zh-CN"/>
              </w:rPr>
            </w:pPr>
          </w:p>
          <w:p w14:paraId="1D4C9444">
            <w:pPr>
              <w:pStyle w:val="22"/>
              <w:keepNext w:val="0"/>
              <w:keepLines w:val="0"/>
              <w:suppressLineNumbers w:val="0"/>
              <w:spacing w:before="0" w:beforeAutospacing="0" w:after="0" w:afterAutospacing="0" w:line="360" w:lineRule="auto"/>
              <w:ind w:left="0" w:right="0" w:firstLine="480"/>
              <w:jc w:val="both"/>
              <w:rPr>
                <w:rFonts w:hint="default" w:ascii="Times New Roman" w:hAnsi="Times New Roman" w:eastAsia="宋体" w:cs="Times New Roman"/>
                <w:color w:val="auto"/>
                <w:highlight w:val="none"/>
                <w:lang w:val="en-US" w:eastAsia="zh-CN"/>
              </w:rPr>
            </w:pPr>
          </w:p>
          <w:p w14:paraId="43479C77">
            <w:pPr>
              <w:pStyle w:val="22"/>
              <w:keepNext w:val="0"/>
              <w:keepLines w:val="0"/>
              <w:suppressLineNumbers w:val="0"/>
              <w:spacing w:before="0" w:beforeAutospacing="0" w:after="0" w:afterAutospacing="0" w:line="360" w:lineRule="auto"/>
              <w:ind w:left="0" w:leftChars="0" w:right="0" w:firstLine="0" w:firstLineChars="0"/>
              <w:jc w:val="both"/>
              <w:rPr>
                <w:rFonts w:hint="default" w:ascii="Times New Roman" w:hAnsi="Times New Roman" w:eastAsia="宋体" w:cs="Times New Roman"/>
                <w:color w:val="auto"/>
                <w:highlight w:val="none"/>
                <w:lang w:val="en-US" w:eastAsia="zh-CN"/>
              </w:rPr>
            </w:pPr>
          </w:p>
        </w:tc>
      </w:tr>
      <w:tr w14:paraId="01A1EA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01" w:hRule="atLeast"/>
          <w:jc w:val="center"/>
        </w:trPr>
        <w:tc>
          <w:tcPr>
            <w:tcW w:w="273" w:type="pct"/>
            <w:noWrap w:val="0"/>
            <w:tcMar>
              <w:left w:w="28" w:type="dxa"/>
              <w:right w:w="28" w:type="dxa"/>
            </w:tcMar>
            <w:vAlign w:val="center"/>
          </w:tcPr>
          <w:p w14:paraId="322D8378">
            <w:pPr>
              <w:keepNext w:val="0"/>
              <w:keepLines w:val="0"/>
              <w:suppressLineNumbers w:val="0"/>
              <w:spacing w:before="0" w:beforeAutospacing="0" w:after="0" w:afterAutospacing="0" w:line="440" w:lineRule="exact"/>
              <w:ind w:left="0" w:right="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污染</w:t>
            </w:r>
          </w:p>
          <w:p w14:paraId="1B2A25D0">
            <w:pPr>
              <w:keepNext w:val="0"/>
              <w:keepLines w:val="0"/>
              <w:suppressLineNumbers w:val="0"/>
              <w:spacing w:before="0" w:beforeAutospacing="0" w:after="0" w:afterAutospacing="0" w:line="440" w:lineRule="exact"/>
              <w:ind w:left="0" w:right="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物排</w:t>
            </w:r>
          </w:p>
          <w:p w14:paraId="1DBCAE7B">
            <w:pPr>
              <w:keepNext w:val="0"/>
              <w:keepLines w:val="0"/>
              <w:suppressLineNumbers w:val="0"/>
              <w:spacing w:before="0" w:beforeAutospacing="0" w:after="0" w:afterAutospacing="0" w:line="440" w:lineRule="exact"/>
              <w:ind w:left="0" w:right="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放控</w:t>
            </w:r>
          </w:p>
          <w:p w14:paraId="0DCCE203">
            <w:pPr>
              <w:keepNext w:val="0"/>
              <w:keepLines w:val="0"/>
              <w:suppressLineNumbers w:val="0"/>
              <w:spacing w:before="0" w:beforeAutospacing="0" w:after="0" w:afterAutospacing="0" w:line="440" w:lineRule="exact"/>
              <w:ind w:left="0" w:right="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制标</w:t>
            </w:r>
          </w:p>
          <w:p w14:paraId="3A928F1F">
            <w:pPr>
              <w:keepNext w:val="0"/>
              <w:keepLines w:val="0"/>
              <w:suppressLineNumbers w:val="0"/>
              <w:spacing w:before="0" w:beforeAutospacing="0" w:after="0" w:afterAutospacing="0" w:line="440" w:lineRule="exact"/>
              <w:ind w:left="0" w:right="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准</w:t>
            </w:r>
          </w:p>
        </w:tc>
        <w:tc>
          <w:tcPr>
            <w:tcW w:w="4726" w:type="pct"/>
            <w:noWrap w:val="0"/>
            <w:vAlign w:val="center"/>
          </w:tcPr>
          <w:p w14:paraId="696290A6">
            <w:pPr>
              <w:keepNext w:val="0"/>
              <w:keepLines w:val="0"/>
              <w:pageBreakBefore w:val="0"/>
              <w:widowControl w:val="0"/>
              <w:suppressLineNumbers w:val="0"/>
              <w:spacing w:before="157" w:beforeAutospacing="0" w:after="0" w:afterAutospacing="0"/>
              <w:ind w:left="0" w:right="0" w:firstLine="482"/>
              <w:rPr>
                <w:rFonts w:hint="default" w:ascii="Times New Roman" w:hAnsi="Times New Roman" w:eastAsia="宋体" w:cs="Times New Roman"/>
                <w:b/>
                <w:bCs/>
                <w:color w:val="auto"/>
                <w:sz w:val="24"/>
                <w:szCs w:val="24"/>
                <w:highlight w:val="none"/>
              </w:rPr>
            </w:pPr>
            <w:r>
              <w:rPr>
                <w:rFonts w:hint="eastAsia" w:ascii="Times New Roman" w:hAnsi="Times New Roman"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rPr>
              <w:t>废气排放标准</w:t>
            </w:r>
          </w:p>
          <w:p w14:paraId="1DD8F066">
            <w:pPr>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eastAsia="zh-CN"/>
              </w:rPr>
              <w:t>施工期扬尘等废气排放执行《大气污染物综合排放标准》（GB16297-1996）表2中无组织排放监控浓度限值。</w:t>
            </w:r>
          </w:p>
          <w:p w14:paraId="6600FBBE">
            <w:pPr>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运营期</w:t>
            </w:r>
            <w:r>
              <w:rPr>
                <w:rFonts w:hint="default" w:ascii="Times New Roman" w:hAnsi="Times New Roman" w:eastAsia="宋体" w:cs="Times New Roman"/>
                <w:color w:val="auto"/>
                <w:sz w:val="24"/>
                <w:szCs w:val="24"/>
                <w:highlight w:val="none"/>
                <w:lang w:eastAsia="zh-CN"/>
              </w:rPr>
              <w:t>颗粒物</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挥发性有机物（</w:t>
            </w:r>
            <w:r>
              <w:rPr>
                <w:rFonts w:hint="default" w:ascii="Times New Roman" w:hAnsi="Times New Roman" w:eastAsia="宋体" w:cs="Times New Roman"/>
                <w:color w:val="auto"/>
                <w:sz w:val="24"/>
                <w:szCs w:val="24"/>
                <w:highlight w:val="none"/>
                <w:lang w:val="en-US" w:eastAsia="zh-CN"/>
              </w:rPr>
              <w:t>以非甲烷总烃计</w:t>
            </w:r>
            <w:r>
              <w:rPr>
                <w:rFonts w:hint="default" w:ascii="Times New Roman" w:hAnsi="Times New Roman" w:eastAsia="宋体" w:cs="Times New Roman"/>
                <w:color w:val="auto"/>
                <w:sz w:val="24"/>
                <w:szCs w:val="24"/>
                <w:highlight w:val="none"/>
                <w:lang w:eastAsia="zh-CN"/>
              </w:rPr>
              <w:t>）有组织排放执行《铸造工业大气污染物排放标准》（GB39726-2020）表1标准限值；厂区内颗粒物、挥发性有机物无组织废气排放执行《铸造工业大气污染物排放标准》（GB39726-2020）附录A中表A.1排放限值。具体如下：</w:t>
            </w:r>
          </w:p>
          <w:p w14:paraId="2A75E412">
            <w:pPr>
              <w:keepNext w:val="0"/>
              <w:keepLines w:val="0"/>
              <w:suppressLineNumbers w:val="0"/>
              <w:spacing w:before="0" w:beforeAutospacing="0" w:after="0" w:afterAutospacing="0" w:line="240" w:lineRule="auto"/>
              <w:ind w:left="0" w:right="0" w:firstLine="422"/>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表3-</w:t>
            </w:r>
            <w:r>
              <w:rPr>
                <w:rFonts w:hint="eastAsia" w:ascii="Times New Roman" w:hAnsi="Times New Roman" w:eastAsia="宋体" w:cs="Times New Roman"/>
                <w:b/>
                <w:color w:val="auto"/>
                <w:sz w:val="21"/>
                <w:szCs w:val="21"/>
                <w:highlight w:val="none"/>
                <w:lang w:val="en-US" w:eastAsia="zh-CN"/>
              </w:rPr>
              <w:t>5</w:t>
            </w:r>
            <w:r>
              <w:rPr>
                <w:rFonts w:hint="default" w:ascii="Times New Roman" w:hAnsi="Times New Roman" w:eastAsia="宋体" w:cs="Times New Roman"/>
                <w:b/>
                <w:color w:val="auto"/>
                <w:sz w:val="21"/>
                <w:szCs w:val="21"/>
                <w:highlight w:val="none"/>
                <w:lang w:val="en-US" w:eastAsia="zh-CN"/>
              </w:rPr>
              <w:t xml:space="preserve"> </w:t>
            </w:r>
            <w:r>
              <w:rPr>
                <w:rFonts w:hint="default" w:ascii="Times New Roman" w:hAnsi="Times New Roman" w:eastAsia="宋体" w:cs="Times New Roman"/>
                <w:b/>
                <w:color w:val="auto"/>
                <w:sz w:val="21"/>
                <w:szCs w:val="21"/>
                <w:highlight w:val="none"/>
                <w:lang w:eastAsia="zh-CN"/>
              </w:rPr>
              <w:t>大气污染物最高允许</w:t>
            </w:r>
            <w:r>
              <w:rPr>
                <w:rFonts w:hint="default" w:ascii="Times New Roman" w:hAnsi="Times New Roman" w:eastAsia="宋体" w:cs="Times New Roman"/>
                <w:b/>
                <w:color w:val="auto"/>
                <w:sz w:val="21"/>
                <w:szCs w:val="21"/>
                <w:highlight w:val="none"/>
                <w:lang w:val="en-US" w:eastAsia="zh-CN"/>
              </w:rPr>
              <w:t>排放</w:t>
            </w:r>
            <w:r>
              <w:rPr>
                <w:rFonts w:hint="default" w:ascii="Times New Roman" w:hAnsi="Times New Roman" w:eastAsia="宋体" w:cs="Times New Roman"/>
                <w:b/>
                <w:color w:val="auto"/>
                <w:sz w:val="21"/>
                <w:szCs w:val="21"/>
                <w:highlight w:val="none"/>
                <w:lang w:eastAsia="zh-CN"/>
              </w:rPr>
              <w:t>浓度</w:t>
            </w:r>
          </w:p>
          <w:tbl>
            <w:tblPr>
              <w:tblStyle w:val="57"/>
              <w:tblW w:w="4998"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874"/>
              <w:gridCol w:w="1759"/>
              <w:gridCol w:w="922"/>
              <w:gridCol w:w="1881"/>
              <w:gridCol w:w="1639"/>
              <w:gridCol w:w="1243"/>
            </w:tblGrid>
            <w:tr w14:paraId="2853BFF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525" w:type="pct"/>
                  <w:vMerge w:val="restart"/>
                  <w:tcBorders>
                    <w:tl2br w:val="nil"/>
                    <w:tr2bl w:val="nil"/>
                  </w:tcBorders>
                  <w:noWrap w:val="0"/>
                  <w:vAlign w:val="center"/>
                </w:tcPr>
                <w:p w14:paraId="0120B7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w:t>
                  </w:r>
                </w:p>
              </w:tc>
              <w:tc>
                <w:tcPr>
                  <w:tcW w:w="1057" w:type="pct"/>
                  <w:vMerge w:val="restart"/>
                  <w:tcBorders>
                    <w:tl2br w:val="nil"/>
                    <w:tr2bl w:val="nil"/>
                  </w:tcBorders>
                  <w:noWrap w:val="0"/>
                  <w:vAlign w:val="center"/>
                </w:tcPr>
                <w:p w14:paraId="2DD0F8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标准名称</w:t>
                  </w:r>
                </w:p>
              </w:tc>
              <w:tc>
                <w:tcPr>
                  <w:tcW w:w="554" w:type="pct"/>
                  <w:vMerge w:val="restart"/>
                  <w:tcBorders>
                    <w:tl2br w:val="nil"/>
                    <w:tr2bl w:val="nil"/>
                  </w:tcBorders>
                  <w:noWrap w:val="0"/>
                  <w:vAlign w:val="center"/>
                </w:tcPr>
                <w:p w14:paraId="56C625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适用类别</w:t>
                  </w:r>
                </w:p>
              </w:tc>
              <w:tc>
                <w:tcPr>
                  <w:tcW w:w="2115" w:type="pct"/>
                  <w:gridSpan w:val="2"/>
                  <w:tcBorders>
                    <w:tl2br w:val="nil"/>
                    <w:tr2bl w:val="nil"/>
                  </w:tcBorders>
                  <w:noWrap w:val="0"/>
                  <w:vAlign w:val="center"/>
                </w:tcPr>
                <w:p w14:paraId="751585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标准值</w:t>
                  </w:r>
                </w:p>
              </w:tc>
              <w:tc>
                <w:tcPr>
                  <w:tcW w:w="747" w:type="pct"/>
                  <w:vMerge w:val="restart"/>
                  <w:tcBorders>
                    <w:tl2br w:val="nil"/>
                    <w:tr2bl w:val="nil"/>
                  </w:tcBorders>
                  <w:noWrap w:val="0"/>
                  <w:vAlign w:val="center"/>
                </w:tcPr>
                <w:p w14:paraId="7FD53A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评价对象</w:t>
                  </w:r>
                </w:p>
              </w:tc>
            </w:tr>
            <w:tr w14:paraId="37383E8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525" w:type="pct"/>
                  <w:vMerge w:val="continue"/>
                  <w:tcBorders>
                    <w:tl2br w:val="nil"/>
                    <w:tr2bl w:val="nil"/>
                  </w:tcBorders>
                  <w:noWrap w:val="0"/>
                  <w:vAlign w:val="center"/>
                </w:tcPr>
                <w:p w14:paraId="48F562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p>
              </w:tc>
              <w:tc>
                <w:tcPr>
                  <w:tcW w:w="1057" w:type="pct"/>
                  <w:vMerge w:val="continue"/>
                  <w:tcBorders>
                    <w:tl2br w:val="nil"/>
                    <w:tr2bl w:val="nil"/>
                  </w:tcBorders>
                  <w:noWrap w:val="0"/>
                  <w:vAlign w:val="center"/>
                </w:tcPr>
                <w:p w14:paraId="22CDCD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p>
              </w:tc>
              <w:tc>
                <w:tcPr>
                  <w:tcW w:w="554" w:type="pct"/>
                  <w:vMerge w:val="continue"/>
                  <w:tcBorders>
                    <w:tl2br w:val="nil"/>
                    <w:tr2bl w:val="nil"/>
                  </w:tcBorders>
                  <w:noWrap w:val="0"/>
                  <w:vAlign w:val="center"/>
                </w:tcPr>
                <w:p w14:paraId="3720AE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p>
              </w:tc>
              <w:tc>
                <w:tcPr>
                  <w:tcW w:w="1130" w:type="pct"/>
                  <w:tcBorders>
                    <w:tl2br w:val="nil"/>
                    <w:tr2bl w:val="nil"/>
                  </w:tcBorders>
                  <w:noWrap w:val="0"/>
                  <w:vAlign w:val="center"/>
                </w:tcPr>
                <w:p w14:paraId="1143E8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参数名称</w:t>
                  </w:r>
                </w:p>
              </w:tc>
              <w:tc>
                <w:tcPr>
                  <w:tcW w:w="985" w:type="pct"/>
                  <w:tcBorders>
                    <w:tl2br w:val="nil"/>
                    <w:tr2bl w:val="nil"/>
                  </w:tcBorders>
                  <w:noWrap w:val="0"/>
                  <w:vAlign w:val="center"/>
                </w:tcPr>
                <w:p w14:paraId="080591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限值</w:t>
                  </w:r>
                </w:p>
              </w:tc>
              <w:tc>
                <w:tcPr>
                  <w:tcW w:w="747" w:type="pct"/>
                  <w:vMerge w:val="continue"/>
                  <w:tcBorders>
                    <w:tl2br w:val="nil"/>
                    <w:tr2bl w:val="nil"/>
                  </w:tcBorders>
                  <w:noWrap w:val="0"/>
                  <w:vAlign w:val="center"/>
                </w:tcPr>
                <w:p w14:paraId="56986E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p>
              </w:tc>
            </w:tr>
            <w:tr w14:paraId="2153B04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525" w:type="pct"/>
                  <w:vMerge w:val="restart"/>
                  <w:tcBorders>
                    <w:tl2br w:val="nil"/>
                    <w:tr2bl w:val="nil"/>
                  </w:tcBorders>
                  <w:noWrap w:val="0"/>
                  <w:vAlign w:val="center"/>
                </w:tcPr>
                <w:p w14:paraId="242185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废气</w:t>
                  </w:r>
                </w:p>
              </w:tc>
              <w:tc>
                <w:tcPr>
                  <w:tcW w:w="1057" w:type="pct"/>
                  <w:vMerge w:val="restart"/>
                  <w:tcBorders>
                    <w:tl2br w:val="nil"/>
                    <w:tr2bl w:val="nil"/>
                  </w:tcBorders>
                  <w:noWrap w:val="0"/>
                  <w:vAlign w:val="center"/>
                </w:tcPr>
                <w:p w14:paraId="6DAC73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《铸造工业大气污染物排放标准》（GB39726-2020）</w:t>
                  </w:r>
                </w:p>
              </w:tc>
              <w:tc>
                <w:tcPr>
                  <w:tcW w:w="554" w:type="pct"/>
                  <w:vMerge w:val="restart"/>
                  <w:tcBorders>
                    <w:tl2br w:val="nil"/>
                    <w:tr2bl w:val="nil"/>
                  </w:tcBorders>
                  <w:noWrap w:val="0"/>
                  <w:vAlign w:val="center"/>
                </w:tcPr>
                <w:p w14:paraId="6E9BDF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有组织排放</w:t>
                  </w:r>
                </w:p>
              </w:tc>
              <w:tc>
                <w:tcPr>
                  <w:tcW w:w="1130" w:type="pct"/>
                  <w:tcBorders>
                    <w:tl2br w:val="nil"/>
                    <w:tr2bl w:val="nil"/>
                  </w:tcBorders>
                  <w:noWrap w:val="0"/>
                  <w:vAlign w:val="center"/>
                </w:tcPr>
                <w:p w14:paraId="65961C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985" w:type="pct"/>
                  <w:tcBorders>
                    <w:tl2br w:val="nil"/>
                    <w:tr2bl w:val="nil"/>
                  </w:tcBorders>
                  <w:noWrap w:val="0"/>
                  <w:vAlign w:val="center"/>
                </w:tcPr>
                <w:p w14:paraId="36656A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30mg/m³</w:t>
                  </w:r>
                </w:p>
              </w:tc>
              <w:tc>
                <w:tcPr>
                  <w:tcW w:w="747" w:type="pct"/>
                  <w:vMerge w:val="restart"/>
                  <w:tcBorders>
                    <w:tl2br w:val="nil"/>
                    <w:tr2bl w:val="nil"/>
                  </w:tcBorders>
                  <w:noWrap w:val="0"/>
                  <w:vAlign w:val="center"/>
                </w:tcPr>
                <w:p w14:paraId="7F3029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有组织</w:t>
                  </w:r>
                </w:p>
              </w:tc>
            </w:tr>
            <w:tr w14:paraId="2951EC3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525" w:type="pct"/>
                  <w:vMerge w:val="continue"/>
                  <w:tcBorders>
                    <w:tl2br w:val="nil"/>
                    <w:tr2bl w:val="nil"/>
                  </w:tcBorders>
                  <w:noWrap w:val="0"/>
                  <w:vAlign w:val="center"/>
                </w:tcPr>
                <w:p w14:paraId="728D2C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val="en-US" w:eastAsia="zh-CN"/>
                    </w:rPr>
                  </w:pPr>
                </w:p>
              </w:tc>
              <w:tc>
                <w:tcPr>
                  <w:tcW w:w="1057" w:type="pct"/>
                  <w:vMerge w:val="continue"/>
                  <w:tcBorders>
                    <w:tl2br w:val="nil"/>
                    <w:tr2bl w:val="nil"/>
                  </w:tcBorders>
                  <w:noWrap w:val="0"/>
                  <w:vAlign w:val="center"/>
                </w:tcPr>
                <w:p w14:paraId="7722E1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p>
              </w:tc>
              <w:tc>
                <w:tcPr>
                  <w:tcW w:w="554" w:type="pct"/>
                  <w:vMerge w:val="continue"/>
                  <w:tcBorders>
                    <w:tl2br w:val="nil"/>
                    <w:tr2bl w:val="nil"/>
                  </w:tcBorders>
                  <w:noWrap w:val="0"/>
                  <w:vAlign w:val="center"/>
                </w:tcPr>
                <w:p w14:paraId="055111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val="en-US" w:eastAsia="zh-CN"/>
                    </w:rPr>
                  </w:pPr>
                </w:p>
              </w:tc>
              <w:tc>
                <w:tcPr>
                  <w:tcW w:w="1130" w:type="pct"/>
                  <w:tcBorders>
                    <w:tl2br w:val="nil"/>
                    <w:tr2bl w:val="nil"/>
                  </w:tcBorders>
                  <w:noWrap w:val="0"/>
                  <w:vAlign w:val="center"/>
                </w:tcPr>
                <w:p w14:paraId="356172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r>
                    <w:rPr>
                      <w:rFonts w:hint="eastAsia" w:ascii="Times New Roman" w:hAnsi="Times New Roman" w:cs="Times New Roman"/>
                      <w:color w:val="auto"/>
                      <w:sz w:val="21"/>
                      <w:szCs w:val="21"/>
                      <w:highlight w:val="none"/>
                      <w:lang w:val="en-US" w:eastAsia="zh-CN"/>
                    </w:rPr>
                    <w:t>（非表面涂装）</w:t>
                  </w:r>
                </w:p>
              </w:tc>
              <w:tc>
                <w:tcPr>
                  <w:tcW w:w="985" w:type="pct"/>
                  <w:tcBorders>
                    <w:tl2br w:val="nil"/>
                    <w:tr2bl w:val="nil"/>
                  </w:tcBorders>
                  <w:noWrap w:val="0"/>
                  <w:vAlign w:val="center"/>
                </w:tcPr>
                <w:p w14:paraId="270F44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47" w:type="pct"/>
                  <w:vMerge w:val="continue"/>
                  <w:tcBorders>
                    <w:tl2br w:val="nil"/>
                    <w:tr2bl w:val="nil"/>
                  </w:tcBorders>
                  <w:noWrap w:val="0"/>
                  <w:vAlign w:val="center"/>
                </w:tcPr>
                <w:p w14:paraId="77E255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eastAsia" w:ascii="Times New Roman" w:hAnsi="Times New Roman" w:eastAsia="宋体" w:cs="Times New Roman"/>
                      <w:color w:val="auto"/>
                      <w:sz w:val="21"/>
                      <w:szCs w:val="21"/>
                      <w:highlight w:val="none"/>
                      <w:lang w:val="en-US" w:eastAsia="zh-CN"/>
                    </w:rPr>
                  </w:pPr>
                </w:p>
              </w:tc>
            </w:tr>
            <w:tr w14:paraId="339B5B5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525" w:type="pct"/>
                  <w:vMerge w:val="continue"/>
                  <w:tcBorders>
                    <w:tl2br w:val="nil"/>
                    <w:tr2bl w:val="nil"/>
                  </w:tcBorders>
                  <w:noWrap w:val="0"/>
                  <w:vAlign w:val="center"/>
                </w:tcPr>
                <w:p w14:paraId="276843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p>
              </w:tc>
              <w:tc>
                <w:tcPr>
                  <w:tcW w:w="1057" w:type="pct"/>
                  <w:vMerge w:val="continue"/>
                  <w:tcBorders>
                    <w:tl2br w:val="nil"/>
                    <w:tr2bl w:val="nil"/>
                  </w:tcBorders>
                  <w:noWrap w:val="0"/>
                  <w:vAlign w:val="center"/>
                </w:tcPr>
                <w:p w14:paraId="1BE86A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p>
              </w:tc>
              <w:tc>
                <w:tcPr>
                  <w:tcW w:w="554" w:type="pct"/>
                  <w:vMerge w:val="restart"/>
                  <w:tcBorders>
                    <w:tl2br w:val="nil"/>
                    <w:tr2bl w:val="nil"/>
                  </w:tcBorders>
                  <w:noWrap w:val="0"/>
                  <w:vAlign w:val="center"/>
                </w:tcPr>
                <w:p w14:paraId="3E78D5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p w14:paraId="5D219B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w:t>
                  </w:r>
                </w:p>
              </w:tc>
              <w:tc>
                <w:tcPr>
                  <w:tcW w:w="1130" w:type="pct"/>
                  <w:tcBorders>
                    <w:tl2br w:val="nil"/>
                    <w:tr2bl w:val="nil"/>
                  </w:tcBorders>
                  <w:noWrap w:val="0"/>
                  <w:vAlign w:val="center"/>
                </w:tcPr>
                <w:p w14:paraId="3C6D61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985" w:type="pct"/>
                  <w:tcBorders>
                    <w:tl2br w:val="nil"/>
                    <w:tr2bl w:val="nil"/>
                  </w:tcBorders>
                  <w:noWrap w:val="0"/>
                  <w:vAlign w:val="center"/>
                </w:tcPr>
                <w:p w14:paraId="02B86F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5mg/m³</w:t>
                  </w:r>
                </w:p>
              </w:tc>
              <w:tc>
                <w:tcPr>
                  <w:tcW w:w="747" w:type="pct"/>
                  <w:vMerge w:val="restart"/>
                  <w:tcBorders>
                    <w:tl2br w:val="nil"/>
                    <w:tr2bl w:val="nil"/>
                  </w:tcBorders>
                  <w:noWrap w:val="0"/>
                  <w:vAlign w:val="center"/>
                </w:tcPr>
                <w:p w14:paraId="3EE159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在厂房外设置监控点</w:t>
                  </w:r>
                </w:p>
              </w:tc>
            </w:tr>
            <w:tr w14:paraId="16B3070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525" w:type="pct"/>
                  <w:vMerge w:val="continue"/>
                  <w:tcBorders>
                    <w:tl2br w:val="nil"/>
                    <w:tr2bl w:val="nil"/>
                  </w:tcBorders>
                  <w:noWrap w:val="0"/>
                  <w:vAlign w:val="center"/>
                </w:tcPr>
                <w:p w14:paraId="18F966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p>
              </w:tc>
              <w:tc>
                <w:tcPr>
                  <w:tcW w:w="1057" w:type="pct"/>
                  <w:vMerge w:val="continue"/>
                  <w:tcBorders>
                    <w:tl2br w:val="nil"/>
                    <w:tr2bl w:val="nil"/>
                  </w:tcBorders>
                  <w:noWrap w:val="0"/>
                  <w:vAlign w:val="center"/>
                </w:tcPr>
                <w:p w14:paraId="67AD04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p>
              </w:tc>
              <w:tc>
                <w:tcPr>
                  <w:tcW w:w="554" w:type="pct"/>
                  <w:vMerge w:val="continue"/>
                  <w:tcBorders>
                    <w:tl2br w:val="nil"/>
                    <w:tr2bl w:val="nil"/>
                  </w:tcBorders>
                  <w:noWrap w:val="0"/>
                  <w:vAlign w:val="center"/>
                </w:tcPr>
                <w:p w14:paraId="12E524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p>
              </w:tc>
              <w:tc>
                <w:tcPr>
                  <w:tcW w:w="1130" w:type="pct"/>
                  <w:vMerge w:val="restart"/>
                  <w:tcBorders>
                    <w:tl2br w:val="nil"/>
                    <w:tr2bl w:val="nil"/>
                  </w:tcBorders>
                  <w:noWrap w:val="0"/>
                  <w:vAlign w:val="center"/>
                </w:tcPr>
                <w:p w14:paraId="7A86E4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NMHC</w:t>
                  </w:r>
                </w:p>
              </w:tc>
              <w:tc>
                <w:tcPr>
                  <w:tcW w:w="985" w:type="pct"/>
                  <w:tcBorders>
                    <w:tl2br w:val="nil"/>
                    <w:tr2bl w:val="nil"/>
                  </w:tcBorders>
                  <w:noWrap w:val="0"/>
                  <w:vAlign w:val="center"/>
                </w:tcPr>
                <w:p w14:paraId="77D7C8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10mg/</w:t>
                  </w:r>
                  <w:r>
                    <w:rPr>
                      <w:rFonts w:hint="default" w:ascii="Times New Roman" w:hAnsi="Times New Roman" w:eastAsia="宋体" w:cs="Times New Roman"/>
                      <w:color w:val="auto"/>
                      <w:sz w:val="21"/>
                      <w:szCs w:val="21"/>
                      <w:highlight w:val="none"/>
                      <w:lang w:val="en-US" w:eastAsia="zh-CN"/>
                    </w:rPr>
                    <w:t>m³</w:t>
                  </w:r>
                  <w:r>
                    <w:rPr>
                      <w:rFonts w:hint="default" w:ascii="Times New Roman" w:hAnsi="Times New Roman" w:eastAsia="宋体" w:cs="Times New Roman"/>
                      <w:color w:val="auto"/>
                      <w:sz w:val="21"/>
                      <w:szCs w:val="21"/>
                      <w:highlight w:val="none"/>
                      <w:lang w:eastAsia="zh-CN"/>
                    </w:rPr>
                    <w:t>（1h平均浓度）</w:t>
                  </w:r>
                </w:p>
              </w:tc>
              <w:tc>
                <w:tcPr>
                  <w:tcW w:w="747" w:type="pct"/>
                  <w:vMerge w:val="continue"/>
                  <w:tcBorders>
                    <w:tl2br w:val="nil"/>
                    <w:tr2bl w:val="nil"/>
                  </w:tcBorders>
                  <w:noWrap w:val="0"/>
                  <w:vAlign w:val="center"/>
                </w:tcPr>
                <w:p w14:paraId="31BCE8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p>
              </w:tc>
            </w:tr>
            <w:tr w14:paraId="0B887FC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525" w:type="pct"/>
                  <w:vMerge w:val="continue"/>
                  <w:tcBorders>
                    <w:tl2br w:val="nil"/>
                    <w:tr2bl w:val="nil"/>
                  </w:tcBorders>
                  <w:noWrap w:val="0"/>
                  <w:vAlign w:val="center"/>
                </w:tcPr>
                <w:p w14:paraId="2A646F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p>
              </w:tc>
              <w:tc>
                <w:tcPr>
                  <w:tcW w:w="1057" w:type="pct"/>
                  <w:vMerge w:val="continue"/>
                  <w:tcBorders>
                    <w:tl2br w:val="nil"/>
                    <w:tr2bl w:val="nil"/>
                  </w:tcBorders>
                  <w:noWrap w:val="0"/>
                  <w:vAlign w:val="center"/>
                </w:tcPr>
                <w:p w14:paraId="30C0A3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p>
              </w:tc>
              <w:tc>
                <w:tcPr>
                  <w:tcW w:w="554" w:type="pct"/>
                  <w:vMerge w:val="continue"/>
                  <w:tcBorders>
                    <w:tl2br w:val="nil"/>
                    <w:tr2bl w:val="nil"/>
                  </w:tcBorders>
                  <w:noWrap w:val="0"/>
                  <w:vAlign w:val="center"/>
                </w:tcPr>
                <w:p w14:paraId="08B0E6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p>
              </w:tc>
              <w:tc>
                <w:tcPr>
                  <w:tcW w:w="1130" w:type="pct"/>
                  <w:vMerge w:val="continue"/>
                  <w:tcBorders>
                    <w:tl2br w:val="nil"/>
                    <w:tr2bl w:val="nil"/>
                  </w:tcBorders>
                  <w:noWrap w:val="0"/>
                  <w:vAlign w:val="center"/>
                </w:tcPr>
                <w:p w14:paraId="18676C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p>
              </w:tc>
              <w:tc>
                <w:tcPr>
                  <w:tcW w:w="985" w:type="pct"/>
                  <w:tcBorders>
                    <w:tl2br w:val="nil"/>
                    <w:tr2bl w:val="nil"/>
                  </w:tcBorders>
                  <w:noWrap w:val="0"/>
                  <w:vAlign w:val="center"/>
                </w:tcPr>
                <w:p w14:paraId="7C163B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30mg/</w:t>
                  </w:r>
                  <w:r>
                    <w:rPr>
                      <w:rFonts w:hint="default" w:ascii="Times New Roman" w:hAnsi="Times New Roman" w:eastAsia="宋体" w:cs="Times New Roman"/>
                      <w:color w:val="auto"/>
                      <w:sz w:val="21"/>
                      <w:szCs w:val="21"/>
                      <w:highlight w:val="none"/>
                      <w:lang w:val="en-US" w:eastAsia="zh-CN"/>
                    </w:rPr>
                    <w:t>m³</w:t>
                  </w:r>
                  <w:r>
                    <w:rPr>
                      <w:rFonts w:hint="default" w:ascii="Times New Roman" w:hAnsi="Times New Roman" w:eastAsia="宋体" w:cs="Times New Roman"/>
                      <w:color w:val="auto"/>
                      <w:sz w:val="21"/>
                      <w:szCs w:val="21"/>
                      <w:highlight w:val="none"/>
                      <w:lang w:eastAsia="zh-CN"/>
                    </w:rPr>
                    <w:t>（任意一次浓度）</w:t>
                  </w:r>
                </w:p>
              </w:tc>
              <w:tc>
                <w:tcPr>
                  <w:tcW w:w="747" w:type="pct"/>
                  <w:vMerge w:val="continue"/>
                  <w:tcBorders>
                    <w:tl2br w:val="nil"/>
                    <w:tr2bl w:val="nil"/>
                  </w:tcBorders>
                  <w:noWrap w:val="0"/>
                  <w:vAlign w:val="center"/>
                </w:tcPr>
                <w:p w14:paraId="3AD93D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lang w:eastAsia="zh-CN"/>
                    </w:rPr>
                  </w:pPr>
                </w:p>
              </w:tc>
            </w:tr>
          </w:tbl>
          <w:p w14:paraId="51F0EA5C">
            <w:pPr>
              <w:keepNext w:val="0"/>
              <w:keepLines w:val="0"/>
              <w:pageBreakBefore w:val="0"/>
              <w:widowControl w:val="0"/>
              <w:suppressLineNumbers w:val="0"/>
              <w:spacing w:before="157" w:beforeAutospacing="0" w:after="0" w:afterAutospacing="0"/>
              <w:ind w:left="0" w:right="0" w:firstLine="482"/>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val="en-US" w:eastAsia="zh-CN"/>
              </w:rPr>
              <w:t>废水排放标准</w:t>
            </w:r>
          </w:p>
          <w:p w14:paraId="5F42E016">
            <w:pPr>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本</w:t>
            </w:r>
            <w:r>
              <w:rPr>
                <w:rFonts w:hint="default" w:ascii="Times New Roman" w:hAnsi="Times New Roman" w:eastAsia="宋体" w:cs="Times New Roman"/>
                <w:color w:val="auto"/>
                <w:sz w:val="24"/>
                <w:szCs w:val="24"/>
                <w:highlight w:val="none"/>
                <w:lang w:eastAsia="zh-CN"/>
              </w:rPr>
              <w:t>项目排水采用雨、污分流制。运营期产生废水排放执行《污水综合排放标准》（GB8978-1996）中三级标准</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铁力市伊吉污水处理厂进水指标</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w:t>
            </w:r>
          </w:p>
          <w:p w14:paraId="4C9F115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
                <w:color w:val="auto"/>
                <w:sz w:val="21"/>
                <w:szCs w:val="21"/>
                <w:highlight w:val="none"/>
              </w:rPr>
              <w:t>表3-</w:t>
            </w:r>
            <w:r>
              <w:rPr>
                <w:rFonts w:hint="eastAsia" w:ascii="Times New Roman" w:hAnsi="Times New Roman" w:cs="Times New Roman"/>
                <w:b/>
                <w:color w:val="auto"/>
                <w:sz w:val="21"/>
                <w:szCs w:val="21"/>
                <w:highlight w:val="none"/>
                <w:lang w:val="en-US" w:eastAsia="zh-CN"/>
              </w:rPr>
              <w:t>6</w:t>
            </w:r>
            <w:r>
              <w:rPr>
                <w:rFonts w:hint="default" w:ascii="Times New Roman" w:hAnsi="Times New Roman" w:eastAsia="宋体" w:cs="Times New Roman"/>
                <w:b/>
                <w:color w:val="auto"/>
                <w:sz w:val="21"/>
                <w:szCs w:val="21"/>
                <w:highlight w:val="none"/>
              </w:rPr>
              <w:t xml:space="preserve"> 污水综合排放标准 </w:t>
            </w:r>
            <w:r>
              <w:rPr>
                <w:rFonts w:hint="default" w:ascii="Times New Roman" w:hAnsi="Times New Roman" w:eastAsia="宋体" w:cs="Times New Roman"/>
                <w:b/>
                <w:bCs w:val="0"/>
                <w:color w:val="auto"/>
                <w:sz w:val="21"/>
                <w:szCs w:val="21"/>
                <w:highlight w:val="none"/>
              </w:rPr>
              <w:t>单位：mg/L</w:t>
            </w:r>
          </w:p>
          <w:tbl>
            <w:tblPr>
              <w:tblStyle w:val="5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57"/>
              <w:gridCol w:w="583"/>
              <w:gridCol w:w="583"/>
              <w:gridCol w:w="683"/>
              <w:gridCol w:w="740"/>
              <w:gridCol w:w="531"/>
              <w:gridCol w:w="669"/>
              <w:gridCol w:w="485"/>
              <w:gridCol w:w="508"/>
              <w:gridCol w:w="462"/>
              <w:gridCol w:w="625"/>
            </w:tblGrid>
            <w:tr w14:paraId="3AF34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03" w:type="pct"/>
                  <w:noWrap w:val="0"/>
                  <w:vAlign w:val="center"/>
                </w:tcPr>
                <w:p w14:paraId="00EA568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污染物名称</w:t>
                  </w:r>
                </w:p>
              </w:tc>
              <w:tc>
                <w:tcPr>
                  <w:tcW w:w="378" w:type="pct"/>
                  <w:noWrap w:val="0"/>
                  <w:vAlign w:val="center"/>
                </w:tcPr>
                <w:p w14:paraId="120FE9C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pH</w:t>
                  </w:r>
                </w:p>
              </w:tc>
              <w:tc>
                <w:tcPr>
                  <w:tcW w:w="378" w:type="pct"/>
                  <w:noWrap w:val="0"/>
                  <w:vAlign w:val="center"/>
                </w:tcPr>
                <w:p w14:paraId="3438C84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色度</w:t>
                  </w:r>
                </w:p>
              </w:tc>
              <w:tc>
                <w:tcPr>
                  <w:tcW w:w="378" w:type="pct"/>
                  <w:noWrap w:val="0"/>
                  <w:vAlign w:val="center"/>
                </w:tcPr>
                <w:p w14:paraId="122BF26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COD</w:t>
                  </w:r>
                </w:p>
              </w:tc>
              <w:tc>
                <w:tcPr>
                  <w:tcW w:w="373" w:type="pct"/>
                  <w:noWrap w:val="0"/>
                  <w:vAlign w:val="center"/>
                </w:tcPr>
                <w:p w14:paraId="23FB684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BOD</w:t>
                  </w:r>
                  <w:r>
                    <w:rPr>
                      <w:rFonts w:hint="default" w:ascii="Times New Roman" w:hAnsi="Times New Roman" w:eastAsia="宋体" w:cs="Times New Roman"/>
                      <w:b/>
                      <w:bCs/>
                      <w:color w:val="auto"/>
                      <w:sz w:val="21"/>
                      <w:szCs w:val="21"/>
                      <w:highlight w:val="none"/>
                      <w:vertAlign w:val="subscript"/>
                    </w:rPr>
                    <w:t>5</w:t>
                  </w:r>
                </w:p>
              </w:tc>
              <w:tc>
                <w:tcPr>
                  <w:tcW w:w="309" w:type="pct"/>
                  <w:noWrap w:val="0"/>
                  <w:vAlign w:val="center"/>
                </w:tcPr>
                <w:p w14:paraId="161A525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SS</w:t>
                  </w:r>
                </w:p>
              </w:tc>
              <w:tc>
                <w:tcPr>
                  <w:tcW w:w="400" w:type="pct"/>
                  <w:noWrap w:val="0"/>
                  <w:vAlign w:val="center"/>
                </w:tcPr>
                <w:p w14:paraId="47FBB74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NH</w:t>
                  </w:r>
                  <w:r>
                    <w:rPr>
                      <w:rFonts w:hint="default" w:ascii="Times New Roman" w:hAnsi="Times New Roman" w:eastAsia="宋体" w:cs="Times New Roman"/>
                      <w:b/>
                      <w:bCs/>
                      <w:color w:val="auto"/>
                      <w:sz w:val="21"/>
                      <w:szCs w:val="21"/>
                      <w:highlight w:val="none"/>
                      <w:vertAlign w:val="subscript"/>
                    </w:rPr>
                    <w:t>3</w:t>
                  </w:r>
                  <w:r>
                    <w:rPr>
                      <w:rFonts w:hint="default" w:ascii="Times New Roman" w:hAnsi="Times New Roman" w:eastAsia="宋体" w:cs="Times New Roman"/>
                      <w:b/>
                      <w:bCs/>
                      <w:color w:val="auto"/>
                      <w:sz w:val="21"/>
                      <w:szCs w:val="21"/>
                      <w:highlight w:val="none"/>
                    </w:rPr>
                    <w:t>-N</w:t>
                  </w:r>
                </w:p>
              </w:tc>
              <w:tc>
                <w:tcPr>
                  <w:tcW w:w="319" w:type="pct"/>
                  <w:noWrap w:val="0"/>
                  <w:vAlign w:val="center"/>
                </w:tcPr>
                <w:p w14:paraId="7D6FEFF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石油类</w:t>
                  </w:r>
                </w:p>
              </w:tc>
              <w:tc>
                <w:tcPr>
                  <w:tcW w:w="319" w:type="pct"/>
                  <w:noWrap w:val="0"/>
                  <w:vAlign w:val="center"/>
                </w:tcPr>
                <w:p w14:paraId="39FBE47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TN</w:t>
                  </w:r>
                </w:p>
              </w:tc>
              <w:tc>
                <w:tcPr>
                  <w:tcW w:w="319" w:type="pct"/>
                  <w:noWrap w:val="0"/>
                  <w:vAlign w:val="center"/>
                </w:tcPr>
                <w:p w14:paraId="11C30E5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总磷</w:t>
                  </w:r>
                </w:p>
              </w:tc>
              <w:tc>
                <w:tcPr>
                  <w:tcW w:w="319" w:type="pct"/>
                  <w:noWrap w:val="0"/>
                  <w:vAlign w:val="center"/>
                </w:tcPr>
                <w:p w14:paraId="2C65AB6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LAS</w:t>
                  </w:r>
                </w:p>
              </w:tc>
            </w:tr>
            <w:tr w14:paraId="357F6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03" w:type="pct"/>
                  <w:noWrap w:val="0"/>
                  <w:vAlign w:val="center"/>
                </w:tcPr>
                <w:p w14:paraId="21710C2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 w:val="21"/>
                      <w:szCs w:val="21"/>
                      <w:highlight w:val="none"/>
                    </w:rPr>
                    <w:t>（GB8978-1996）表4中三级排放标准</w:t>
                  </w:r>
                </w:p>
              </w:tc>
              <w:tc>
                <w:tcPr>
                  <w:tcW w:w="378" w:type="pct"/>
                  <w:noWrap w:val="0"/>
                  <w:vAlign w:val="center"/>
                </w:tcPr>
                <w:p w14:paraId="1D9C08A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6-9</w:t>
                  </w:r>
                </w:p>
              </w:tc>
              <w:tc>
                <w:tcPr>
                  <w:tcW w:w="378" w:type="pct"/>
                  <w:noWrap w:val="0"/>
                  <w:vAlign w:val="center"/>
                </w:tcPr>
                <w:p w14:paraId="57B826F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378" w:type="pct"/>
                  <w:noWrap w:val="0"/>
                  <w:vAlign w:val="center"/>
                </w:tcPr>
                <w:p w14:paraId="1E2038A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w:t>
                  </w:r>
                </w:p>
              </w:tc>
              <w:tc>
                <w:tcPr>
                  <w:tcW w:w="373" w:type="pct"/>
                  <w:noWrap w:val="0"/>
                  <w:vAlign w:val="center"/>
                </w:tcPr>
                <w:p w14:paraId="2504807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300</w:t>
                  </w:r>
                </w:p>
              </w:tc>
              <w:tc>
                <w:tcPr>
                  <w:tcW w:w="309" w:type="pct"/>
                  <w:noWrap w:val="0"/>
                  <w:vAlign w:val="center"/>
                </w:tcPr>
                <w:p w14:paraId="0FCA66A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w:t>
                  </w:r>
                </w:p>
              </w:tc>
              <w:tc>
                <w:tcPr>
                  <w:tcW w:w="400" w:type="pct"/>
                  <w:noWrap w:val="0"/>
                  <w:vAlign w:val="center"/>
                </w:tcPr>
                <w:p w14:paraId="7F618CE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319" w:type="pct"/>
                  <w:noWrap w:val="0"/>
                  <w:vAlign w:val="center"/>
                </w:tcPr>
                <w:p w14:paraId="48B2188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p>
              </w:tc>
              <w:tc>
                <w:tcPr>
                  <w:tcW w:w="319" w:type="pct"/>
                  <w:noWrap w:val="0"/>
                  <w:vAlign w:val="center"/>
                </w:tcPr>
                <w:p w14:paraId="537697D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19" w:type="pct"/>
                  <w:noWrap w:val="0"/>
                  <w:vAlign w:val="center"/>
                </w:tcPr>
                <w:p w14:paraId="72E3CD5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319" w:type="pct"/>
                  <w:noWrap w:val="0"/>
                  <w:vAlign w:val="center"/>
                </w:tcPr>
                <w:p w14:paraId="38DAEC1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bl>
          <w:p w14:paraId="70AC4FAD">
            <w:pPr>
              <w:keepNext w:val="0"/>
              <w:keepLines w:val="0"/>
              <w:pageBreakBefore w:val="0"/>
              <w:widowControl w:val="0"/>
              <w:suppressLineNumbers w:val="0"/>
              <w:spacing w:before="157" w:beforeAutospacing="0" w:after="0" w:afterAutospacing="0"/>
              <w:ind w:left="0" w:right="0" w:firstLine="482"/>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lang w:val="en-US" w:eastAsia="zh-CN"/>
              </w:rPr>
              <w:t>噪声排放标准</w:t>
            </w:r>
          </w:p>
          <w:p w14:paraId="70B0EFBC">
            <w:pPr>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本</w:t>
            </w:r>
            <w:r>
              <w:rPr>
                <w:rFonts w:hint="default" w:ascii="Times New Roman" w:hAnsi="Times New Roman" w:eastAsia="宋体" w:cs="Times New Roman"/>
                <w:color w:val="auto"/>
                <w:sz w:val="24"/>
                <w:szCs w:val="24"/>
                <w:highlight w:val="none"/>
                <w:lang w:eastAsia="zh-CN"/>
              </w:rPr>
              <w:t>项目施工期噪声排放执行</w:t>
            </w:r>
            <w:r>
              <w:rPr>
                <w:rFonts w:hint="default" w:ascii="Times New Roman" w:hAnsi="Times New Roman" w:eastAsia="宋体" w:cs="Times New Roman"/>
                <w:color w:val="auto"/>
                <w:sz w:val="24"/>
                <w:szCs w:val="24"/>
                <w:highlight w:val="none"/>
                <w:lang w:val="zh-CN" w:eastAsia="zh-CN"/>
              </w:rPr>
              <w:t>《建筑施工噪声排放标准》（GB12523-2025）</w:t>
            </w:r>
            <w:r>
              <w:rPr>
                <w:rFonts w:hint="default" w:ascii="Times New Roman" w:hAnsi="Times New Roman" w:eastAsia="宋体" w:cs="Times New Roman"/>
                <w:color w:val="auto"/>
                <w:sz w:val="24"/>
                <w:szCs w:val="24"/>
                <w:highlight w:val="none"/>
                <w:lang w:eastAsia="zh-CN"/>
              </w:rPr>
              <w:t>中标准要求，</w:t>
            </w:r>
            <w:r>
              <w:rPr>
                <w:rFonts w:hint="eastAsia" w:ascii="Times New Roman" w:hAnsi="Times New Roman" w:cs="Times New Roman"/>
                <w:color w:val="auto"/>
                <w:sz w:val="24"/>
                <w:szCs w:val="24"/>
                <w:highlight w:val="none"/>
                <w:lang w:eastAsia="zh-CN"/>
              </w:rPr>
              <w:t>详</w:t>
            </w:r>
            <w:r>
              <w:rPr>
                <w:rFonts w:hint="default" w:ascii="Times New Roman" w:hAnsi="Times New Roman" w:eastAsia="宋体" w:cs="Times New Roman"/>
                <w:color w:val="auto"/>
                <w:sz w:val="24"/>
                <w:szCs w:val="24"/>
                <w:highlight w:val="none"/>
                <w:lang w:eastAsia="zh-CN"/>
              </w:rPr>
              <w:t>见表3-</w:t>
            </w:r>
            <w:r>
              <w:rPr>
                <w:rFonts w:hint="eastAsia" w:ascii="Times New Roman" w:hAnsi="Times New Roman"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eastAsia="zh-CN"/>
              </w:rPr>
              <w:t>。</w:t>
            </w:r>
          </w:p>
          <w:p w14:paraId="351D519B">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pacing w:val="5"/>
                <w:sz w:val="21"/>
                <w:szCs w:val="21"/>
                <w:highlight w:val="none"/>
              </w:rPr>
            </w:pPr>
            <w:r>
              <w:rPr>
                <w:rFonts w:hint="default" w:ascii="Times New Roman" w:hAnsi="Times New Roman" w:eastAsia="宋体" w:cs="Times New Roman"/>
                <w:b/>
                <w:bCs/>
                <w:color w:val="auto"/>
                <w:spacing w:val="5"/>
                <w:sz w:val="21"/>
                <w:szCs w:val="21"/>
                <w:highlight w:val="none"/>
              </w:rPr>
              <w:t>表3-</w:t>
            </w:r>
            <w:r>
              <w:rPr>
                <w:rFonts w:hint="eastAsia" w:ascii="Times New Roman" w:hAnsi="Times New Roman" w:cs="Times New Roman"/>
                <w:b/>
                <w:bCs/>
                <w:color w:val="auto"/>
                <w:spacing w:val="5"/>
                <w:sz w:val="21"/>
                <w:szCs w:val="21"/>
                <w:highlight w:val="none"/>
                <w:lang w:val="en-US" w:eastAsia="zh-CN"/>
              </w:rPr>
              <w:t>7</w:t>
            </w:r>
            <w:r>
              <w:rPr>
                <w:rFonts w:hint="default" w:ascii="Times New Roman" w:hAnsi="Times New Roman" w:eastAsia="宋体" w:cs="Times New Roman"/>
                <w:b/>
                <w:bCs/>
                <w:color w:val="auto"/>
                <w:spacing w:val="5"/>
                <w:sz w:val="21"/>
                <w:szCs w:val="21"/>
                <w:highlight w:val="none"/>
              </w:rPr>
              <w:t xml:space="preserve"> 项目噪声排放标准一览表</w:t>
            </w:r>
          </w:p>
          <w:tbl>
            <w:tblPr>
              <w:tblStyle w:val="5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5"/>
              <w:gridCol w:w="2928"/>
              <w:gridCol w:w="751"/>
              <w:gridCol w:w="1393"/>
              <w:gridCol w:w="1851"/>
            </w:tblGrid>
            <w:tr w14:paraId="4FEF7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3" w:type="pct"/>
                  <w:vMerge w:val="restart"/>
                  <w:tcBorders>
                    <w:top w:val="single" w:color="auto" w:sz="8" w:space="0"/>
                    <w:left w:val="single" w:color="auto" w:sz="4" w:space="0"/>
                    <w:bottom w:val="single" w:color="auto" w:sz="8" w:space="0"/>
                    <w:right w:val="single" w:color="auto" w:sz="8" w:space="0"/>
                  </w:tcBorders>
                  <w:noWrap w:val="0"/>
                  <w:vAlign w:val="center"/>
                </w:tcPr>
                <w:p w14:paraId="3A2CECB2">
                  <w:pPr>
                    <w:keepNext w:val="0"/>
                    <w:keepLines w:val="0"/>
                    <w:pageBreakBefore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要素分类</w:t>
                  </w:r>
                </w:p>
              </w:tc>
              <w:tc>
                <w:tcPr>
                  <w:tcW w:w="1757" w:type="pct"/>
                  <w:vMerge w:val="restart"/>
                  <w:tcBorders>
                    <w:top w:val="single" w:color="auto" w:sz="8" w:space="0"/>
                    <w:left w:val="single" w:color="auto" w:sz="8" w:space="0"/>
                    <w:bottom w:val="single" w:color="auto" w:sz="8" w:space="0"/>
                    <w:right w:val="single" w:color="auto" w:sz="8" w:space="0"/>
                  </w:tcBorders>
                  <w:noWrap w:val="0"/>
                  <w:vAlign w:val="center"/>
                </w:tcPr>
                <w:p w14:paraId="32FD976A">
                  <w:pPr>
                    <w:keepNext w:val="0"/>
                    <w:keepLines w:val="0"/>
                    <w:pageBreakBefore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标准名称</w:t>
                  </w:r>
                </w:p>
              </w:tc>
              <w:tc>
                <w:tcPr>
                  <w:tcW w:w="451" w:type="pct"/>
                  <w:vMerge w:val="restart"/>
                  <w:tcBorders>
                    <w:top w:val="single" w:color="auto" w:sz="8" w:space="0"/>
                    <w:left w:val="single" w:color="auto" w:sz="8" w:space="0"/>
                    <w:bottom w:val="single" w:color="auto" w:sz="8" w:space="0"/>
                    <w:right w:val="single" w:color="auto" w:sz="8" w:space="0"/>
                  </w:tcBorders>
                  <w:noWrap w:val="0"/>
                  <w:vAlign w:val="center"/>
                </w:tcPr>
                <w:p w14:paraId="3C978726">
                  <w:pPr>
                    <w:keepNext w:val="0"/>
                    <w:keepLines w:val="0"/>
                    <w:pageBreakBefore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适用类别</w:t>
                  </w:r>
                </w:p>
              </w:tc>
              <w:tc>
                <w:tcPr>
                  <w:tcW w:w="1947" w:type="pct"/>
                  <w:gridSpan w:val="2"/>
                  <w:tcBorders>
                    <w:top w:val="single" w:color="auto" w:sz="8" w:space="0"/>
                    <w:left w:val="single" w:color="auto" w:sz="8" w:space="0"/>
                    <w:bottom w:val="single" w:color="auto" w:sz="8" w:space="0"/>
                    <w:right w:val="single" w:color="auto" w:sz="8" w:space="0"/>
                  </w:tcBorders>
                  <w:noWrap w:val="0"/>
                  <w:vAlign w:val="center"/>
                </w:tcPr>
                <w:p w14:paraId="5CA38104">
                  <w:pPr>
                    <w:keepNext w:val="0"/>
                    <w:keepLines w:val="0"/>
                    <w:pageBreakBefore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标准值</w:t>
                  </w:r>
                </w:p>
              </w:tc>
            </w:tr>
            <w:tr w14:paraId="32934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3" w:type="pct"/>
                  <w:vMerge w:val="continue"/>
                  <w:tcBorders>
                    <w:top w:val="single" w:color="auto" w:sz="8" w:space="0"/>
                    <w:left w:val="single" w:color="auto" w:sz="4" w:space="0"/>
                    <w:bottom w:val="single" w:color="auto" w:sz="8" w:space="0"/>
                    <w:right w:val="single" w:color="auto" w:sz="8" w:space="0"/>
                  </w:tcBorders>
                  <w:noWrap w:val="0"/>
                  <w:vAlign w:val="center"/>
                </w:tcPr>
                <w:p w14:paraId="02FFCD12">
                  <w:pPr>
                    <w:keepNext w:val="0"/>
                    <w:keepLines w:val="0"/>
                    <w:pageBreakBefore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p>
              </w:tc>
              <w:tc>
                <w:tcPr>
                  <w:tcW w:w="1757" w:type="pct"/>
                  <w:vMerge w:val="continue"/>
                  <w:tcBorders>
                    <w:top w:val="single" w:color="auto" w:sz="8" w:space="0"/>
                    <w:left w:val="single" w:color="auto" w:sz="8" w:space="0"/>
                    <w:bottom w:val="single" w:color="auto" w:sz="8" w:space="0"/>
                    <w:right w:val="single" w:color="auto" w:sz="8" w:space="0"/>
                  </w:tcBorders>
                  <w:noWrap w:val="0"/>
                  <w:vAlign w:val="center"/>
                </w:tcPr>
                <w:p w14:paraId="7B7AB07B">
                  <w:pPr>
                    <w:keepNext w:val="0"/>
                    <w:keepLines w:val="0"/>
                    <w:pageBreakBefore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p>
              </w:tc>
              <w:tc>
                <w:tcPr>
                  <w:tcW w:w="451" w:type="pct"/>
                  <w:vMerge w:val="continue"/>
                  <w:tcBorders>
                    <w:top w:val="single" w:color="auto" w:sz="8" w:space="0"/>
                    <w:left w:val="single" w:color="auto" w:sz="8" w:space="0"/>
                    <w:bottom w:val="single" w:color="auto" w:sz="8" w:space="0"/>
                    <w:right w:val="single" w:color="auto" w:sz="8" w:space="0"/>
                  </w:tcBorders>
                  <w:noWrap w:val="0"/>
                  <w:vAlign w:val="center"/>
                </w:tcPr>
                <w:p w14:paraId="6FE0A3EF">
                  <w:pPr>
                    <w:keepNext w:val="0"/>
                    <w:keepLines w:val="0"/>
                    <w:pageBreakBefore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p>
              </w:tc>
              <w:tc>
                <w:tcPr>
                  <w:tcW w:w="836" w:type="pct"/>
                  <w:tcBorders>
                    <w:top w:val="single" w:color="auto" w:sz="8" w:space="0"/>
                    <w:left w:val="single" w:color="auto" w:sz="8" w:space="0"/>
                    <w:bottom w:val="single" w:color="auto" w:sz="8" w:space="0"/>
                    <w:right w:val="single" w:color="auto" w:sz="8" w:space="0"/>
                  </w:tcBorders>
                  <w:noWrap w:val="0"/>
                  <w:vAlign w:val="center"/>
                </w:tcPr>
                <w:p w14:paraId="18FE81DB">
                  <w:pPr>
                    <w:keepNext w:val="0"/>
                    <w:keepLines w:val="0"/>
                    <w:pageBreakBefore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参数名称</w:t>
                  </w:r>
                </w:p>
              </w:tc>
              <w:tc>
                <w:tcPr>
                  <w:tcW w:w="1110" w:type="pct"/>
                  <w:tcBorders>
                    <w:top w:val="single" w:color="auto" w:sz="8" w:space="0"/>
                    <w:left w:val="single" w:color="auto" w:sz="8" w:space="0"/>
                    <w:bottom w:val="single" w:color="auto" w:sz="8" w:space="0"/>
                    <w:right w:val="single" w:color="auto" w:sz="8" w:space="0"/>
                  </w:tcBorders>
                  <w:noWrap w:val="0"/>
                  <w:vAlign w:val="center"/>
                </w:tcPr>
                <w:p w14:paraId="5396E6F2">
                  <w:pPr>
                    <w:keepNext w:val="0"/>
                    <w:keepLines w:val="0"/>
                    <w:pageBreakBefore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限值</w:t>
                  </w:r>
                </w:p>
              </w:tc>
            </w:tr>
            <w:tr w14:paraId="71AE6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3" w:type="pct"/>
                  <w:tcBorders>
                    <w:top w:val="single" w:color="auto" w:sz="8" w:space="0"/>
                    <w:left w:val="single" w:color="auto" w:sz="4" w:space="0"/>
                    <w:bottom w:val="single" w:color="auto" w:sz="8" w:space="0"/>
                    <w:right w:val="single" w:color="auto" w:sz="8" w:space="0"/>
                  </w:tcBorders>
                  <w:noWrap w:val="0"/>
                  <w:vAlign w:val="center"/>
                </w:tcPr>
                <w:p w14:paraId="08E1BD0F">
                  <w:pPr>
                    <w:keepNext w:val="0"/>
                    <w:keepLines w:val="0"/>
                    <w:pageBreakBefore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施工期噪声</w:t>
                  </w:r>
                </w:p>
              </w:tc>
              <w:tc>
                <w:tcPr>
                  <w:tcW w:w="1757" w:type="pct"/>
                  <w:tcBorders>
                    <w:top w:val="single" w:color="auto" w:sz="8" w:space="0"/>
                    <w:left w:val="single" w:color="auto" w:sz="8" w:space="0"/>
                    <w:bottom w:val="single" w:color="auto" w:sz="8" w:space="0"/>
                    <w:right w:val="single" w:color="auto" w:sz="8" w:space="0"/>
                  </w:tcBorders>
                  <w:noWrap w:val="0"/>
                  <w:vAlign w:val="center"/>
                </w:tcPr>
                <w:p w14:paraId="5AD659CC">
                  <w:pPr>
                    <w:keepNext w:val="0"/>
                    <w:keepLines w:val="0"/>
                    <w:pageBreakBefore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CN" w:eastAsia="zh-CN"/>
                    </w:rPr>
                    <w:t>《建筑施工噪声排放标准》（GB12523-2025）</w:t>
                  </w:r>
                </w:p>
              </w:tc>
              <w:tc>
                <w:tcPr>
                  <w:tcW w:w="451" w:type="pct"/>
                  <w:tcBorders>
                    <w:top w:val="single" w:color="auto" w:sz="8" w:space="0"/>
                    <w:left w:val="single" w:color="auto" w:sz="8" w:space="0"/>
                    <w:bottom w:val="single" w:color="auto" w:sz="8" w:space="0"/>
                    <w:right w:val="single" w:color="auto" w:sz="8" w:space="0"/>
                  </w:tcBorders>
                  <w:noWrap w:val="0"/>
                  <w:vAlign w:val="center"/>
                </w:tcPr>
                <w:p w14:paraId="017CFCA1">
                  <w:pPr>
                    <w:keepNext w:val="0"/>
                    <w:keepLines w:val="0"/>
                    <w:pageBreakBefore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施工</w:t>
                  </w:r>
                  <w:r>
                    <w:rPr>
                      <w:rFonts w:hint="default" w:ascii="Times New Roman" w:hAnsi="Times New Roman" w:eastAsia="宋体" w:cs="Times New Roman"/>
                      <w:color w:val="auto"/>
                      <w:sz w:val="21"/>
                      <w:szCs w:val="21"/>
                      <w:highlight w:val="none"/>
                      <w:lang w:eastAsia="zh-CN"/>
                    </w:rPr>
                    <w:t>厂界</w:t>
                  </w:r>
                </w:p>
              </w:tc>
              <w:tc>
                <w:tcPr>
                  <w:tcW w:w="836" w:type="pct"/>
                  <w:tcBorders>
                    <w:top w:val="single" w:color="auto" w:sz="8" w:space="0"/>
                    <w:left w:val="single" w:color="auto" w:sz="8" w:space="0"/>
                    <w:bottom w:val="single" w:color="auto" w:sz="8" w:space="0"/>
                    <w:right w:val="single" w:color="auto" w:sz="8" w:space="0"/>
                  </w:tcBorders>
                  <w:noWrap w:val="0"/>
                  <w:vAlign w:val="center"/>
                </w:tcPr>
                <w:p w14:paraId="5DF4C7B5">
                  <w:pPr>
                    <w:keepNext w:val="0"/>
                    <w:keepLines w:val="0"/>
                    <w:pageBreakBefore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1110" w:type="pct"/>
                  <w:tcBorders>
                    <w:top w:val="single" w:color="auto" w:sz="8" w:space="0"/>
                    <w:left w:val="single" w:color="auto" w:sz="8" w:space="0"/>
                    <w:bottom w:val="single" w:color="auto" w:sz="8" w:space="0"/>
                    <w:right w:val="single" w:color="auto" w:sz="8" w:space="0"/>
                  </w:tcBorders>
                  <w:noWrap w:val="0"/>
                  <w:vAlign w:val="center"/>
                </w:tcPr>
                <w:p w14:paraId="19B26AB6">
                  <w:pPr>
                    <w:keepNext w:val="0"/>
                    <w:keepLines w:val="0"/>
                    <w:pageBreakBefore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昼间70dB（A）</w:t>
                  </w:r>
                </w:p>
                <w:p w14:paraId="7331A8A1">
                  <w:pPr>
                    <w:keepNext w:val="0"/>
                    <w:keepLines w:val="0"/>
                    <w:pageBreakBefore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夜间55dB（A）</w:t>
                  </w:r>
                </w:p>
              </w:tc>
            </w:tr>
          </w:tbl>
          <w:p w14:paraId="194E1022">
            <w:pPr>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本</w:t>
            </w:r>
            <w:r>
              <w:rPr>
                <w:rFonts w:hint="default" w:ascii="Times New Roman" w:hAnsi="Times New Roman" w:eastAsia="宋体" w:cs="Times New Roman"/>
                <w:color w:val="auto"/>
                <w:sz w:val="24"/>
                <w:szCs w:val="24"/>
                <w:highlight w:val="none"/>
                <w:lang w:eastAsia="zh-CN"/>
              </w:rPr>
              <w:t>项目营运期</w:t>
            </w:r>
            <w:r>
              <w:rPr>
                <w:rFonts w:hint="eastAsia" w:ascii="Times New Roman" w:hAnsi="Times New Roman" w:eastAsia="宋体" w:cs="Times New Roman"/>
                <w:color w:val="auto"/>
                <w:sz w:val="24"/>
                <w:szCs w:val="24"/>
                <w:highlight w:val="none"/>
                <w:lang w:val="en-US" w:eastAsia="zh-CN"/>
              </w:rPr>
              <w:t>厂界</w:t>
            </w:r>
            <w:r>
              <w:rPr>
                <w:rFonts w:hint="default" w:ascii="Times New Roman" w:hAnsi="Times New Roman" w:eastAsia="宋体" w:cs="Times New Roman"/>
                <w:color w:val="auto"/>
                <w:sz w:val="24"/>
                <w:szCs w:val="24"/>
                <w:highlight w:val="none"/>
                <w:lang w:eastAsia="zh-CN"/>
              </w:rPr>
              <w:t>噪声执行《工业企业厂界环境噪声排放标准》（GB12348-2008）中3类区标准，其标准限值见表3-</w:t>
            </w:r>
            <w:r>
              <w:rPr>
                <w:rFonts w:hint="eastAsia" w:ascii="Times New Roman" w:hAnsi="Times New Roman"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lang w:eastAsia="zh-CN"/>
              </w:rPr>
              <w:t>。</w:t>
            </w:r>
          </w:p>
          <w:p w14:paraId="70963061">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pacing w:val="5"/>
                <w:sz w:val="21"/>
                <w:szCs w:val="21"/>
                <w:highlight w:val="none"/>
              </w:rPr>
            </w:pPr>
            <w:r>
              <w:rPr>
                <w:rFonts w:hint="default" w:ascii="Times New Roman" w:hAnsi="Times New Roman" w:eastAsia="宋体" w:cs="Times New Roman"/>
                <w:b/>
                <w:bCs/>
                <w:color w:val="auto"/>
                <w:spacing w:val="5"/>
                <w:sz w:val="21"/>
                <w:szCs w:val="21"/>
                <w:highlight w:val="none"/>
              </w:rPr>
              <w:t>表3-</w:t>
            </w:r>
            <w:r>
              <w:rPr>
                <w:rFonts w:hint="eastAsia" w:ascii="Times New Roman" w:hAnsi="Times New Roman" w:eastAsia="宋体" w:cs="Times New Roman"/>
                <w:b/>
                <w:bCs/>
                <w:color w:val="auto"/>
                <w:spacing w:val="5"/>
                <w:sz w:val="21"/>
                <w:szCs w:val="21"/>
                <w:highlight w:val="none"/>
                <w:lang w:val="en-US" w:eastAsia="zh-CN"/>
              </w:rPr>
              <w:t xml:space="preserve">8 </w:t>
            </w:r>
            <w:r>
              <w:rPr>
                <w:rFonts w:hint="default" w:ascii="Times New Roman" w:hAnsi="Times New Roman" w:eastAsia="宋体" w:cs="Times New Roman"/>
                <w:b/>
                <w:bCs/>
                <w:color w:val="auto"/>
                <w:spacing w:val="5"/>
                <w:sz w:val="21"/>
                <w:szCs w:val="21"/>
                <w:highlight w:val="none"/>
              </w:rPr>
              <w:t>工业企业厂界环境噪声排放标准 单位：dB（A）</w:t>
            </w:r>
          </w:p>
          <w:tbl>
            <w:tblPr>
              <w:tblStyle w:val="56"/>
              <w:tblW w:w="8573" w:type="dxa"/>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3907"/>
              <w:gridCol w:w="2560"/>
              <w:gridCol w:w="2106"/>
            </w:tblGrid>
            <w:tr w14:paraId="3CE11DE0">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07" w:type="dxa"/>
                  <w:tcBorders>
                    <w:top w:val="single" w:color="auto" w:sz="8" w:space="0"/>
                    <w:left w:val="single" w:color="auto" w:sz="8" w:space="0"/>
                    <w:bottom w:val="single" w:color="auto" w:sz="8" w:space="0"/>
                  </w:tcBorders>
                  <w:noWrap w:val="0"/>
                  <w:vAlign w:val="center"/>
                </w:tcPr>
                <w:p w14:paraId="4F47524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zh-CN"/>
                    </w:rPr>
                  </w:pPr>
                  <w:r>
                    <w:rPr>
                      <w:rFonts w:hint="default" w:ascii="Times New Roman" w:hAnsi="Times New Roman" w:eastAsia="宋体" w:cs="Times New Roman"/>
                      <w:b/>
                      <w:bCs/>
                      <w:color w:val="auto"/>
                      <w:sz w:val="21"/>
                      <w:szCs w:val="21"/>
                      <w:highlight w:val="none"/>
                      <w:lang w:val="zh-CN"/>
                    </w:rPr>
                    <w:t>声环境功能区类别</w:t>
                  </w:r>
                </w:p>
              </w:tc>
              <w:tc>
                <w:tcPr>
                  <w:tcW w:w="2560" w:type="dxa"/>
                  <w:tcBorders>
                    <w:top w:val="single" w:color="auto" w:sz="8" w:space="0"/>
                    <w:bottom w:val="single" w:color="auto" w:sz="8" w:space="0"/>
                  </w:tcBorders>
                  <w:noWrap w:val="0"/>
                  <w:vAlign w:val="center"/>
                </w:tcPr>
                <w:p w14:paraId="78CBD82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zh-CN"/>
                    </w:rPr>
                  </w:pPr>
                  <w:r>
                    <w:rPr>
                      <w:rFonts w:hint="default" w:ascii="Times New Roman" w:hAnsi="Times New Roman" w:eastAsia="宋体" w:cs="Times New Roman"/>
                      <w:b/>
                      <w:bCs/>
                      <w:color w:val="auto"/>
                      <w:sz w:val="21"/>
                      <w:szCs w:val="21"/>
                      <w:highlight w:val="none"/>
                      <w:lang w:val="zh-CN"/>
                    </w:rPr>
                    <w:t>昼间</w:t>
                  </w:r>
                </w:p>
              </w:tc>
              <w:tc>
                <w:tcPr>
                  <w:tcW w:w="2106" w:type="dxa"/>
                  <w:tcBorders>
                    <w:top w:val="single" w:color="auto" w:sz="8" w:space="0"/>
                    <w:bottom w:val="single" w:color="auto" w:sz="8" w:space="0"/>
                    <w:right w:val="single" w:color="auto" w:sz="8" w:space="0"/>
                  </w:tcBorders>
                  <w:noWrap w:val="0"/>
                  <w:vAlign w:val="center"/>
                </w:tcPr>
                <w:p w14:paraId="24F0CFB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zh-CN"/>
                    </w:rPr>
                  </w:pPr>
                  <w:r>
                    <w:rPr>
                      <w:rFonts w:hint="default" w:ascii="Times New Roman" w:hAnsi="Times New Roman" w:eastAsia="宋体" w:cs="Times New Roman"/>
                      <w:b/>
                      <w:bCs/>
                      <w:color w:val="auto"/>
                      <w:sz w:val="21"/>
                      <w:szCs w:val="21"/>
                      <w:highlight w:val="none"/>
                      <w:lang w:val="zh-CN"/>
                    </w:rPr>
                    <w:t>夜间</w:t>
                  </w:r>
                </w:p>
              </w:tc>
            </w:tr>
            <w:tr w14:paraId="36C8509D">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07" w:type="dxa"/>
                  <w:tcBorders>
                    <w:top w:val="single" w:color="auto" w:sz="8" w:space="0"/>
                    <w:left w:val="single" w:color="auto" w:sz="8" w:space="0"/>
                    <w:bottom w:val="single" w:color="auto" w:sz="8" w:space="0"/>
                  </w:tcBorders>
                  <w:noWrap w:val="0"/>
                  <w:vAlign w:val="center"/>
                </w:tcPr>
                <w:p w14:paraId="62C12BE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rPr>
                    <w:t>（GB12348-2008）中</w:t>
                  </w:r>
                  <w:r>
                    <w:rPr>
                      <w:rFonts w:hint="default" w:ascii="Times New Roman" w:hAnsi="Times New Roman" w:eastAsia="宋体" w:cs="Times New Roman"/>
                      <w:color w:val="auto"/>
                      <w:sz w:val="21"/>
                      <w:szCs w:val="21"/>
                      <w:highlight w:val="none"/>
                      <w:lang w:val="zh-CN"/>
                    </w:rPr>
                    <w:t>3类区标准</w:t>
                  </w:r>
                </w:p>
              </w:tc>
              <w:tc>
                <w:tcPr>
                  <w:tcW w:w="2560" w:type="dxa"/>
                  <w:tcBorders>
                    <w:top w:val="single" w:color="auto" w:sz="8" w:space="0"/>
                    <w:bottom w:val="single" w:color="auto" w:sz="8" w:space="0"/>
                  </w:tcBorders>
                  <w:noWrap w:val="0"/>
                  <w:vAlign w:val="center"/>
                </w:tcPr>
                <w:p w14:paraId="7A8F26C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65</w:t>
                  </w:r>
                </w:p>
              </w:tc>
              <w:tc>
                <w:tcPr>
                  <w:tcW w:w="2106" w:type="dxa"/>
                  <w:tcBorders>
                    <w:top w:val="single" w:color="auto" w:sz="8" w:space="0"/>
                    <w:bottom w:val="single" w:color="auto" w:sz="8" w:space="0"/>
                    <w:right w:val="single" w:color="auto" w:sz="8" w:space="0"/>
                  </w:tcBorders>
                  <w:noWrap w:val="0"/>
                  <w:vAlign w:val="center"/>
                </w:tcPr>
                <w:p w14:paraId="59212F1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55</w:t>
                  </w:r>
                </w:p>
              </w:tc>
            </w:tr>
          </w:tbl>
          <w:p w14:paraId="18787AD5">
            <w:pPr>
              <w:keepNext w:val="0"/>
              <w:keepLines w:val="0"/>
              <w:pageBreakBefore w:val="0"/>
              <w:widowControl w:val="0"/>
              <w:suppressLineNumbers w:val="0"/>
              <w:spacing w:before="157" w:beforeAutospacing="0" w:after="0" w:afterAutospacing="0"/>
              <w:ind w:left="0" w:right="0" w:firstLine="482"/>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固体废物污染控制标准</w:t>
            </w:r>
          </w:p>
          <w:p w14:paraId="3ACAAEE7">
            <w:pPr>
              <w:keepNext w:val="0"/>
              <w:keepLines w:val="0"/>
              <w:suppressLineNumbers w:val="0"/>
              <w:spacing w:before="0" w:beforeAutospacing="0" w:after="0" w:afterAutospacing="0"/>
              <w:ind w:left="0" w:right="0" w:firstLine="480"/>
              <w:jc w:val="both"/>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4"/>
                <w:szCs w:val="24"/>
                <w:highlight w:val="none"/>
                <w:lang w:eastAsia="zh-CN"/>
              </w:rPr>
              <w:t>一般工业固体废物执行《一般工业固体废物贮存和填埋污染控制标准》（GB18599-2020）中的相关要求，危险废物按照《危险废物贮存污染控制标准》（GB18597-20</w:t>
            </w:r>
            <w:r>
              <w:rPr>
                <w:rFonts w:hint="default" w:ascii="Times New Roman" w:hAnsi="Times New Roman" w:eastAsia="宋体" w:cs="Times New Roman"/>
                <w:color w:val="auto"/>
                <w:sz w:val="24"/>
                <w:szCs w:val="24"/>
                <w:highlight w:val="none"/>
                <w:lang w:val="en-US" w:eastAsia="zh-CN"/>
              </w:rPr>
              <w:t>23</w:t>
            </w:r>
            <w:r>
              <w:rPr>
                <w:rFonts w:hint="default" w:ascii="Times New Roman" w:hAnsi="Times New Roman" w:eastAsia="宋体" w:cs="Times New Roman"/>
                <w:color w:val="auto"/>
                <w:sz w:val="24"/>
                <w:szCs w:val="24"/>
                <w:highlight w:val="none"/>
                <w:lang w:eastAsia="zh-CN"/>
              </w:rPr>
              <w:t>）有关规定执行。</w:t>
            </w:r>
          </w:p>
        </w:tc>
      </w:tr>
      <w:tr w14:paraId="20D036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73" w:hRule="atLeast"/>
          <w:jc w:val="center"/>
        </w:trPr>
        <w:tc>
          <w:tcPr>
            <w:tcW w:w="273" w:type="pct"/>
            <w:noWrap w:val="0"/>
            <w:tcMar>
              <w:left w:w="28" w:type="dxa"/>
              <w:right w:w="28" w:type="dxa"/>
            </w:tcMar>
            <w:vAlign w:val="center"/>
          </w:tcPr>
          <w:p w14:paraId="11FB48B3">
            <w:pPr>
              <w:keepNext w:val="0"/>
              <w:keepLines w:val="0"/>
              <w:suppressLineNumbers w:val="0"/>
              <w:spacing w:before="0" w:beforeAutospacing="0" w:after="0" w:afterAutospacing="0" w:line="440" w:lineRule="exact"/>
              <w:ind w:left="0" w:right="0"/>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总量控制指标</w:t>
            </w:r>
          </w:p>
        </w:tc>
        <w:tc>
          <w:tcPr>
            <w:tcW w:w="4726" w:type="pct"/>
            <w:noWrap w:val="0"/>
            <w:vAlign w:val="center"/>
          </w:tcPr>
          <w:p w14:paraId="0D025D5B">
            <w:pPr>
              <w:keepNext w:val="0"/>
              <w:keepLines w:val="0"/>
              <w:pageBreakBefore w:val="0"/>
              <w:widowControl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颗粒物：6.996t/a</w:t>
            </w:r>
          </w:p>
          <w:p w14:paraId="3E0BC60B">
            <w:pPr>
              <w:keepNext w:val="0"/>
              <w:keepLines w:val="0"/>
              <w:pageBreakBefore w:val="0"/>
              <w:widowControl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VOC</w:t>
            </w:r>
            <w:r>
              <w:rPr>
                <w:rFonts w:hint="eastAsia" w:ascii="Times New Roman" w:hAnsi="Times New Roman" w:cs="Times New Roman"/>
                <w:color w:val="auto"/>
                <w:highlight w:val="none"/>
                <w:vertAlign w:val="subscript"/>
                <w:lang w:val="en-US" w:eastAsia="zh-CN"/>
              </w:rPr>
              <w:t>S:</w:t>
            </w:r>
            <w:r>
              <w:rPr>
                <w:rFonts w:hint="eastAsia" w:ascii="Times New Roman" w:hAnsi="Times New Roman" w:cs="Times New Roman"/>
                <w:color w:val="auto"/>
                <w:highlight w:val="none"/>
                <w:lang w:val="en-US" w:eastAsia="zh-CN"/>
              </w:rPr>
              <w:t>0.00002t/a</w:t>
            </w:r>
          </w:p>
        </w:tc>
      </w:tr>
    </w:tbl>
    <w:p w14:paraId="431CB361">
      <w:pPr>
        <w:pStyle w:val="53"/>
        <w:spacing w:before="120" w:beforeAutospacing="0" w:after="0" w:afterAutospacing="0"/>
        <w:jc w:val="center"/>
        <w:outlineLvl w:val="0"/>
        <w:rPr>
          <w:rFonts w:hint="default" w:ascii="Times New Roman" w:hAnsi="Times New Roman" w:eastAsia="宋体" w:cs="Times New Roman"/>
          <w:color w:val="auto"/>
          <w:sz w:val="36"/>
          <w:szCs w:val="36"/>
          <w:highlight w:val="none"/>
        </w:rPr>
        <w:sectPr>
          <w:headerReference r:id="rId9" w:type="default"/>
          <w:pgSz w:w="11907" w:h="16840" w:orient="landscape"/>
          <w:pgMar w:top="1440" w:right="1440" w:bottom="1440" w:left="1440" w:header="851" w:footer="851" w:gutter="0"/>
          <w:pgBorders>
            <w:top w:val="none" w:sz="0" w:space="0"/>
            <w:left w:val="none" w:sz="0" w:space="0"/>
            <w:bottom w:val="none" w:sz="0" w:space="0"/>
            <w:right w:val="none" w:sz="0" w:space="0"/>
          </w:pgBorders>
          <w:cols w:space="720" w:num="1"/>
        </w:sectPr>
      </w:pPr>
    </w:p>
    <w:p w14:paraId="57A73E0E">
      <w:pPr>
        <w:pStyle w:val="53"/>
        <w:spacing w:before="120" w:beforeAutospacing="0" w:after="0" w:afterAutospacing="0"/>
        <w:jc w:val="center"/>
        <w:outlineLvl w:val="0"/>
        <w:rPr>
          <w:rFonts w:hint="default" w:ascii="Times New Roman" w:hAnsi="Times New Roman" w:eastAsia="宋体" w:cs="Times New Roman"/>
          <w:color w:val="auto"/>
          <w:sz w:val="28"/>
          <w:szCs w:val="28"/>
          <w:highlight w:val="none"/>
        </w:rPr>
        <w:sectPr>
          <w:headerReference r:id="rId10" w:type="default"/>
          <w:type w:val="continuous"/>
          <w:pgSz w:w="11907" w:h="16840" w:orient="landscape"/>
          <w:pgMar w:top="1440" w:right="1440" w:bottom="1389" w:left="1440" w:header="851" w:footer="850" w:gutter="0"/>
          <w:pgBorders>
            <w:top w:val="none" w:sz="0" w:space="0"/>
            <w:left w:val="none" w:sz="0" w:space="0"/>
            <w:bottom w:val="none" w:sz="0" w:space="0"/>
            <w:right w:val="none" w:sz="0" w:space="0"/>
          </w:pgBorders>
          <w:cols w:space="720" w:num="1"/>
        </w:sectPr>
      </w:pPr>
    </w:p>
    <w:p w14:paraId="1BFA3005">
      <w:pPr>
        <w:pStyle w:val="53"/>
        <w:numPr>
          <w:ilvl w:val="0"/>
          <w:numId w:val="8"/>
        </w:numPr>
        <w:spacing w:before="120" w:beforeAutospacing="0" w:after="0" w:afterAutospacing="0"/>
        <w:jc w:val="center"/>
        <w:outlineLvl w:val="0"/>
        <w:rPr>
          <w:rFonts w:hint="default" w:ascii="Times New Roman" w:hAnsi="Times New Roman" w:eastAsia="宋体" w:cs="Times New Roman"/>
          <w:b/>
          <w:bCs/>
          <w:color w:val="auto"/>
          <w:sz w:val="28"/>
          <w:szCs w:val="28"/>
          <w:highlight w:val="none"/>
        </w:rPr>
      </w:pPr>
      <w:bookmarkStart w:id="12" w:name="_Toc5066"/>
      <w:r>
        <w:rPr>
          <w:rFonts w:hint="default" w:ascii="Times New Roman" w:hAnsi="Times New Roman" w:eastAsia="宋体" w:cs="Times New Roman"/>
          <w:b/>
          <w:bCs/>
          <w:color w:val="auto"/>
          <w:sz w:val="28"/>
          <w:szCs w:val="28"/>
          <w:highlight w:val="none"/>
        </w:rPr>
        <w:t>主要环境影响和保护措施</w:t>
      </w:r>
      <w:bookmarkEnd w:id="12"/>
    </w:p>
    <w:tbl>
      <w:tblPr>
        <w:tblStyle w:val="56"/>
        <w:tblW w:w="9163"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645"/>
        <w:gridCol w:w="8518"/>
      </w:tblGrid>
      <w:tr w14:paraId="0D39E92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1829" w:hRule="atLeast"/>
          <w:jc w:val="center"/>
        </w:trPr>
        <w:tc>
          <w:tcPr>
            <w:tcW w:w="645" w:type="dxa"/>
            <w:tcBorders>
              <w:tl2br w:val="nil"/>
              <w:tr2bl w:val="nil"/>
            </w:tcBorders>
            <w:noWrap w:val="0"/>
            <w:tcMar>
              <w:left w:w="28" w:type="dxa"/>
              <w:right w:w="28" w:type="dxa"/>
            </w:tcMar>
            <w:vAlign w:val="center"/>
          </w:tcPr>
          <w:p w14:paraId="6D5C275A">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2"/>
                <w:sz w:val="24"/>
                <w:szCs w:val="24"/>
                <w:u w:val="none" w:color="auto"/>
                <w:lang w:val="en-US" w:eastAsia="zh-CN" w:bidi="ar-SA"/>
              </w:rPr>
            </w:pPr>
            <w:r>
              <w:rPr>
                <w:rFonts w:hint="default" w:ascii="Times New Roman" w:hAnsi="Times New Roman" w:eastAsia="宋体" w:cs="Times New Roman"/>
                <w:b/>
                <w:bCs/>
                <w:color w:val="auto"/>
                <w:kern w:val="2"/>
                <w:sz w:val="24"/>
                <w:szCs w:val="24"/>
                <w:u w:val="none" w:color="auto"/>
                <w:lang w:val="en-US" w:eastAsia="zh-CN" w:bidi="ar-SA"/>
              </w:rPr>
              <w:t>施工</w:t>
            </w:r>
          </w:p>
          <w:p w14:paraId="1B644FB0">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2"/>
                <w:sz w:val="24"/>
                <w:szCs w:val="24"/>
                <w:u w:val="none" w:color="auto"/>
                <w:lang w:val="en-US" w:eastAsia="zh-CN" w:bidi="ar-SA"/>
              </w:rPr>
            </w:pPr>
            <w:r>
              <w:rPr>
                <w:rFonts w:hint="default" w:ascii="Times New Roman" w:hAnsi="Times New Roman" w:eastAsia="宋体" w:cs="Times New Roman"/>
                <w:b/>
                <w:bCs/>
                <w:color w:val="auto"/>
                <w:kern w:val="2"/>
                <w:sz w:val="24"/>
                <w:szCs w:val="24"/>
                <w:u w:val="none" w:color="auto"/>
                <w:lang w:val="en-US" w:eastAsia="zh-CN" w:bidi="ar-SA"/>
              </w:rPr>
              <w:t>期环</w:t>
            </w:r>
          </w:p>
          <w:p w14:paraId="0784BB73">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2"/>
                <w:sz w:val="24"/>
                <w:szCs w:val="24"/>
                <w:u w:val="none" w:color="auto"/>
                <w:lang w:val="en-US" w:eastAsia="zh-CN" w:bidi="ar-SA"/>
              </w:rPr>
            </w:pPr>
            <w:r>
              <w:rPr>
                <w:rFonts w:hint="default" w:ascii="Times New Roman" w:hAnsi="Times New Roman" w:eastAsia="宋体" w:cs="Times New Roman"/>
                <w:b/>
                <w:bCs/>
                <w:color w:val="auto"/>
                <w:kern w:val="2"/>
                <w:sz w:val="24"/>
                <w:szCs w:val="24"/>
                <w:u w:val="none" w:color="auto"/>
                <w:lang w:val="en-US" w:eastAsia="zh-CN" w:bidi="ar-SA"/>
              </w:rPr>
              <w:t>境保</w:t>
            </w:r>
          </w:p>
          <w:p w14:paraId="5D4353DB">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2"/>
                <w:sz w:val="24"/>
                <w:szCs w:val="24"/>
                <w:u w:val="none" w:color="auto"/>
                <w:lang w:val="en-US" w:eastAsia="zh-CN" w:bidi="ar-SA"/>
              </w:rPr>
            </w:pPr>
            <w:r>
              <w:rPr>
                <w:rFonts w:hint="default" w:ascii="Times New Roman" w:hAnsi="Times New Roman" w:eastAsia="宋体" w:cs="Times New Roman"/>
                <w:b/>
                <w:bCs/>
                <w:color w:val="auto"/>
                <w:kern w:val="2"/>
                <w:sz w:val="24"/>
                <w:szCs w:val="24"/>
                <w:u w:val="none" w:color="auto"/>
                <w:lang w:val="en-US" w:eastAsia="zh-CN" w:bidi="ar-SA"/>
              </w:rPr>
              <w:t>护措</w:t>
            </w:r>
          </w:p>
          <w:p w14:paraId="7BB6EA0A">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2"/>
                <w:sz w:val="24"/>
                <w:szCs w:val="24"/>
                <w:u w:val="none" w:color="auto"/>
                <w:lang w:val="en-US" w:eastAsia="zh-CN" w:bidi="ar-SA"/>
              </w:rPr>
            </w:pPr>
            <w:r>
              <w:rPr>
                <w:rFonts w:hint="default" w:ascii="Times New Roman" w:hAnsi="Times New Roman" w:eastAsia="宋体" w:cs="Times New Roman"/>
                <w:b/>
                <w:bCs/>
                <w:color w:val="auto"/>
                <w:kern w:val="2"/>
                <w:sz w:val="24"/>
                <w:szCs w:val="24"/>
                <w:u w:val="none" w:color="auto"/>
                <w:lang w:val="en-US" w:eastAsia="zh-CN" w:bidi="ar-SA"/>
              </w:rPr>
              <w:t>施</w:t>
            </w:r>
          </w:p>
        </w:tc>
        <w:tc>
          <w:tcPr>
            <w:tcW w:w="8518" w:type="dxa"/>
            <w:tcBorders>
              <w:tl2br w:val="nil"/>
              <w:tr2bl w:val="nil"/>
            </w:tcBorders>
            <w:noWrap w:val="0"/>
            <w:vAlign w:val="center"/>
          </w:tcPr>
          <w:p w14:paraId="3AF572F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rPr>
            </w:pPr>
            <w:r>
              <w:rPr>
                <w:rFonts w:hint="default" w:ascii="Times New Roman" w:hAnsi="Times New Roman" w:eastAsia="宋体" w:cs="Times New Roman"/>
                <w:color w:val="auto"/>
                <w:kern w:val="2"/>
                <w:sz w:val="24"/>
                <w:szCs w:val="24"/>
                <w:u w:val="none" w:color="auto"/>
              </w:rPr>
              <w:t>本项目利用现有厂区及厂房，除设备基础外没有土建施工，基本不产生土建施工的相关环境影响如机械噪声和扬尘等污染问题。但在设备安装以及装修过</w:t>
            </w:r>
            <w:r>
              <w:rPr>
                <w:rFonts w:hint="eastAsia" w:ascii="Times New Roman" w:hAnsi="Times New Roman" w:cs="Times New Roman"/>
                <w:color w:val="auto"/>
                <w:kern w:val="2"/>
                <w:sz w:val="24"/>
                <w:szCs w:val="24"/>
                <w:u w:val="none" w:color="auto"/>
                <w:lang w:eastAsia="zh-CN"/>
              </w:rPr>
              <w:t>程中</w:t>
            </w:r>
            <w:r>
              <w:rPr>
                <w:rFonts w:hint="default" w:ascii="Times New Roman" w:hAnsi="Times New Roman" w:eastAsia="宋体" w:cs="Times New Roman"/>
                <w:color w:val="auto"/>
                <w:kern w:val="2"/>
                <w:sz w:val="24"/>
                <w:szCs w:val="24"/>
                <w:u w:val="none" w:color="auto"/>
              </w:rPr>
              <w:t>仍会产生一些机械噪声和废气。</w:t>
            </w:r>
          </w:p>
          <w:p w14:paraId="65412B0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rPr>
            </w:pPr>
            <w:r>
              <w:rPr>
                <w:rFonts w:hint="default" w:ascii="Times New Roman" w:hAnsi="Times New Roman" w:eastAsia="宋体" w:cs="Times New Roman"/>
                <w:color w:val="auto"/>
                <w:kern w:val="2"/>
                <w:sz w:val="24"/>
                <w:szCs w:val="24"/>
                <w:u w:val="none" w:color="auto"/>
              </w:rPr>
              <w:t>（一）施工扬尘防治措施</w:t>
            </w:r>
          </w:p>
          <w:p w14:paraId="07EAC5A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rPr>
            </w:pPr>
            <w:r>
              <w:rPr>
                <w:rFonts w:hint="default" w:ascii="Times New Roman" w:hAnsi="Times New Roman" w:eastAsia="宋体" w:cs="Times New Roman"/>
                <w:color w:val="auto"/>
                <w:kern w:val="2"/>
                <w:sz w:val="24"/>
                <w:szCs w:val="24"/>
                <w:u w:val="none" w:color="auto"/>
              </w:rPr>
              <w:t>车辆运输产生的扬尘会造成一定的空气污染，主要污染物为TSP。施工期采取以下措施减少施工扬尘对周边大气环境的影响。</w:t>
            </w:r>
          </w:p>
          <w:p w14:paraId="6E73119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rPr>
            </w:pPr>
            <w:r>
              <w:rPr>
                <w:rFonts w:hint="default" w:ascii="Times New Roman" w:hAnsi="Times New Roman" w:eastAsia="宋体" w:cs="Times New Roman"/>
                <w:color w:val="auto"/>
                <w:kern w:val="2"/>
                <w:sz w:val="24"/>
                <w:szCs w:val="24"/>
                <w:u w:val="none" w:color="auto"/>
              </w:rPr>
              <w:t>（1）本项目运输器械较少，故施工期产生的扬尘对道路沿线区域影响小，可在道路沿线采取洒水的措施减小车辆扬尘对周边大气环境的影响。</w:t>
            </w:r>
          </w:p>
          <w:p w14:paraId="02B6CB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rPr>
            </w:pPr>
            <w:r>
              <w:rPr>
                <w:rFonts w:hint="default" w:ascii="Times New Roman" w:hAnsi="Times New Roman" w:eastAsia="宋体" w:cs="Times New Roman"/>
                <w:color w:val="auto"/>
                <w:kern w:val="2"/>
                <w:sz w:val="24"/>
                <w:szCs w:val="24"/>
                <w:u w:val="none" w:color="auto"/>
              </w:rPr>
              <w:t>（2）本项目利用现有厂区及厂房进行内部改装、装饰和设备</w:t>
            </w:r>
            <w:r>
              <w:rPr>
                <w:rFonts w:hint="default" w:ascii="Times New Roman" w:hAnsi="Times New Roman" w:eastAsia="宋体" w:cs="Times New Roman"/>
                <w:color w:val="auto"/>
                <w:kern w:val="2"/>
                <w:sz w:val="24"/>
                <w:szCs w:val="24"/>
                <w:u w:val="none" w:color="auto"/>
                <w:lang w:val="en-US" w:eastAsia="zh-CN"/>
              </w:rPr>
              <w:t>拆除及</w:t>
            </w:r>
            <w:r>
              <w:rPr>
                <w:rFonts w:hint="default" w:ascii="Times New Roman" w:hAnsi="Times New Roman" w:eastAsia="宋体" w:cs="Times New Roman"/>
                <w:color w:val="auto"/>
                <w:kern w:val="2"/>
                <w:sz w:val="24"/>
                <w:szCs w:val="24"/>
                <w:u w:val="none" w:color="auto"/>
              </w:rPr>
              <w:t>安装，不需要新建建筑物，仅在室内新建隔墙</w:t>
            </w:r>
            <w:r>
              <w:rPr>
                <w:rFonts w:hint="default" w:ascii="Times New Roman" w:hAnsi="Times New Roman" w:eastAsia="宋体" w:cs="Times New Roman"/>
                <w:color w:val="auto"/>
                <w:kern w:val="2"/>
                <w:sz w:val="24"/>
                <w:szCs w:val="24"/>
                <w:u w:val="none" w:color="auto"/>
                <w:lang w:eastAsia="zh-CN"/>
              </w:rPr>
              <w:t>、</w:t>
            </w:r>
            <w:r>
              <w:rPr>
                <w:rFonts w:hint="default" w:ascii="Times New Roman" w:hAnsi="Times New Roman" w:eastAsia="宋体" w:cs="Times New Roman"/>
                <w:color w:val="auto"/>
                <w:kern w:val="2"/>
                <w:sz w:val="24"/>
                <w:szCs w:val="24"/>
                <w:u w:val="none" w:color="auto"/>
              </w:rPr>
              <w:t>设备</w:t>
            </w:r>
            <w:r>
              <w:rPr>
                <w:rFonts w:hint="default" w:ascii="Times New Roman" w:hAnsi="Times New Roman" w:eastAsia="宋体" w:cs="Times New Roman"/>
                <w:color w:val="auto"/>
                <w:kern w:val="2"/>
                <w:sz w:val="24"/>
                <w:szCs w:val="24"/>
                <w:u w:val="none" w:color="auto"/>
                <w:lang w:val="en-US" w:eastAsia="zh-CN"/>
              </w:rPr>
              <w:t>拆除及</w:t>
            </w:r>
            <w:r>
              <w:rPr>
                <w:rFonts w:hint="default" w:ascii="Times New Roman" w:hAnsi="Times New Roman" w:eastAsia="宋体" w:cs="Times New Roman"/>
                <w:color w:val="auto"/>
                <w:kern w:val="2"/>
                <w:sz w:val="24"/>
                <w:szCs w:val="24"/>
                <w:u w:val="none" w:color="auto"/>
              </w:rPr>
              <w:t>安装，施工期间产生少量的粉尘，采取洒水降尘，对周围环境影响小。</w:t>
            </w:r>
          </w:p>
          <w:p w14:paraId="4192041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rPr>
            </w:pPr>
            <w:r>
              <w:rPr>
                <w:rFonts w:hint="default" w:ascii="Times New Roman" w:hAnsi="Times New Roman" w:eastAsia="宋体" w:cs="Times New Roman"/>
                <w:color w:val="auto"/>
                <w:kern w:val="2"/>
                <w:sz w:val="24"/>
                <w:szCs w:val="24"/>
                <w:u w:val="none" w:color="auto"/>
              </w:rPr>
              <w:t>（二）废水防治措施</w:t>
            </w:r>
          </w:p>
          <w:p w14:paraId="3E206E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rPr>
            </w:pPr>
            <w:r>
              <w:rPr>
                <w:rFonts w:hint="default" w:ascii="Times New Roman" w:hAnsi="Times New Roman" w:eastAsia="宋体" w:cs="Times New Roman"/>
                <w:color w:val="auto"/>
                <w:kern w:val="2"/>
                <w:sz w:val="24"/>
                <w:szCs w:val="24"/>
                <w:u w:val="none" w:color="auto"/>
              </w:rPr>
              <w:t>本项目施工</w:t>
            </w:r>
            <w:r>
              <w:rPr>
                <w:rFonts w:hint="eastAsia" w:ascii="Times New Roman" w:hAnsi="Times New Roman" w:cs="Times New Roman"/>
                <w:color w:val="auto"/>
                <w:kern w:val="2"/>
                <w:sz w:val="24"/>
                <w:szCs w:val="24"/>
                <w:u w:val="none" w:color="auto"/>
                <w:lang w:eastAsia="zh-CN"/>
              </w:rPr>
              <w:t>期间</w:t>
            </w:r>
            <w:r>
              <w:rPr>
                <w:rFonts w:hint="default" w:ascii="Times New Roman" w:hAnsi="Times New Roman" w:eastAsia="宋体" w:cs="Times New Roman"/>
                <w:color w:val="auto"/>
                <w:kern w:val="2"/>
                <w:sz w:val="24"/>
                <w:szCs w:val="24"/>
                <w:u w:val="none" w:color="auto"/>
              </w:rPr>
              <w:t>不产生生产废水产生，只产生生活污水。生活污水经化粪池处理后排入</w:t>
            </w:r>
            <w:r>
              <w:rPr>
                <w:rFonts w:hint="default" w:ascii="Times New Roman" w:hAnsi="Times New Roman" w:eastAsia="宋体" w:cs="Times New Roman"/>
                <w:color w:val="auto"/>
                <w:kern w:val="2"/>
                <w:sz w:val="24"/>
                <w:szCs w:val="24"/>
                <w:u w:val="none" w:color="auto"/>
                <w:lang w:val="en-US" w:eastAsia="zh-CN"/>
              </w:rPr>
              <w:t>经开区</w:t>
            </w:r>
            <w:r>
              <w:rPr>
                <w:rFonts w:hint="default" w:ascii="Times New Roman" w:hAnsi="Times New Roman" w:eastAsia="宋体" w:cs="Times New Roman"/>
                <w:color w:val="auto"/>
                <w:kern w:val="2"/>
                <w:sz w:val="24"/>
                <w:szCs w:val="24"/>
                <w:u w:val="none" w:color="auto"/>
              </w:rPr>
              <w:t>污水管网，废水最终排向</w:t>
            </w:r>
            <w:r>
              <w:rPr>
                <w:rFonts w:hint="default" w:ascii="Times New Roman" w:hAnsi="Times New Roman" w:eastAsia="宋体" w:cs="Times New Roman"/>
                <w:color w:val="auto"/>
                <w:kern w:val="2"/>
                <w:sz w:val="24"/>
                <w:szCs w:val="24"/>
                <w:u w:val="none" w:color="auto"/>
                <w:lang w:val="en-US" w:eastAsia="zh-CN"/>
              </w:rPr>
              <w:t>铁力经济开发区</w:t>
            </w:r>
            <w:r>
              <w:rPr>
                <w:rFonts w:hint="default" w:ascii="Times New Roman" w:hAnsi="Times New Roman" w:eastAsia="宋体" w:cs="Times New Roman"/>
                <w:color w:val="auto"/>
                <w:kern w:val="2"/>
                <w:sz w:val="24"/>
                <w:szCs w:val="24"/>
                <w:u w:val="none" w:color="auto"/>
              </w:rPr>
              <w:t>污水处理厂，处理达标后排放。施工期废水不会对区域地表水环境产生明显不利影响。</w:t>
            </w:r>
          </w:p>
          <w:p w14:paraId="7C24F5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rPr>
            </w:pPr>
            <w:r>
              <w:rPr>
                <w:rFonts w:hint="default" w:ascii="Times New Roman" w:hAnsi="Times New Roman" w:eastAsia="宋体" w:cs="Times New Roman"/>
                <w:color w:val="auto"/>
                <w:kern w:val="2"/>
                <w:sz w:val="24"/>
                <w:szCs w:val="24"/>
                <w:u w:val="none" w:color="auto"/>
              </w:rPr>
              <w:t>（三）噪声防治措施</w:t>
            </w:r>
          </w:p>
          <w:p w14:paraId="36304F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rPr>
            </w:pPr>
            <w:r>
              <w:rPr>
                <w:rFonts w:hint="default" w:ascii="Times New Roman" w:hAnsi="Times New Roman" w:eastAsia="宋体" w:cs="Times New Roman"/>
                <w:color w:val="auto"/>
                <w:kern w:val="2"/>
                <w:sz w:val="24"/>
                <w:szCs w:val="24"/>
                <w:u w:val="none" w:color="auto"/>
                <w:lang w:val="en-US" w:eastAsia="zh-CN"/>
              </w:rPr>
              <w:t>本项目施工期主要进行设备安装，无需用到众多的大型机械，对外界环境造成的噪声影响较小</w:t>
            </w:r>
            <w:r>
              <w:rPr>
                <w:rFonts w:hint="default" w:ascii="Times New Roman" w:hAnsi="Times New Roman" w:eastAsia="宋体" w:cs="Times New Roman"/>
                <w:color w:val="auto"/>
                <w:kern w:val="2"/>
                <w:sz w:val="24"/>
                <w:szCs w:val="24"/>
                <w:u w:val="none" w:color="auto"/>
              </w:rPr>
              <w:t>。施工期应做到如下防治措施：</w:t>
            </w:r>
          </w:p>
          <w:p w14:paraId="7701737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rPr>
            </w:pPr>
            <w:r>
              <w:rPr>
                <w:rFonts w:hint="default" w:ascii="Times New Roman" w:hAnsi="Times New Roman" w:eastAsia="宋体" w:cs="Times New Roman"/>
                <w:color w:val="auto"/>
                <w:kern w:val="2"/>
                <w:sz w:val="24"/>
                <w:szCs w:val="24"/>
                <w:u w:val="none" w:color="auto"/>
              </w:rPr>
              <w:t>1</w:t>
            </w:r>
            <w:r>
              <w:rPr>
                <w:rFonts w:hint="default" w:ascii="Times New Roman" w:hAnsi="Times New Roman" w:eastAsia="宋体" w:cs="Times New Roman"/>
                <w:color w:val="auto"/>
                <w:kern w:val="2"/>
                <w:sz w:val="24"/>
                <w:szCs w:val="24"/>
                <w:u w:val="none" w:color="auto"/>
                <w:lang w:eastAsia="zh-CN"/>
              </w:rPr>
              <w:t>.</w:t>
            </w:r>
            <w:r>
              <w:rPr>
                <w:rFonts w:hint="default" w:ascii="Times New Roman" w:hAnsi="Times New Roman" w:eastAsia="宋体" w:cs="Times New Roman"/>
                <w:color w:val="auto"/>
                <w:kern w:val="2"/>
                <w:sz w:val="24"/>
                <w:szCs w:val="24"/>
                <w:u w:val="none" w:color="auto"/>
              </w:rPr>
              <w:t>加强施工管理，合理安排施工机械设备组装和施工时间。</w:t>
            </w:r>
          </w:p>
          <w:p w14:paraId="5CC85CC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rPr>
            </w:pPr>
            <w:r>
              <w:rPr>
                <w:rFonts w:hint="default" w:ascii="Times New Roman" w:hAnsi="Times New Roman" w:eastAsia="宋体" w:cs="Times New Roman"/>
                <w:color w:val="auto"/>
                <w:kern w:val="2"/>
                <w:sz w:val="24"/>
                <w:szCs w:val="24"/>
                <w:u w:val="none" w:color="auto"/>
              </w:rPr>
              <w:t>2</w:t>
            </w:r>
            <w:r>
              <w:rPr>
                <w:rFonts w:hint="default" w:ascii="Times New Roman" w:hAnsi="Times New Roman" w:eastAsia="宋体" w:cs="Times New Roman"/>
                <w:color w:val="auto"/>
                <w:kern w:val="2"/>
                <w:sz w:val="24"/>
                <w:szCs w:val="24"/>
                <w:u w:val="none" w:color="auto"/>
                <w:lang w:eastAsia="zh-CN"/>
              </w:rPr>
              <w:t>.</w:t>
            </w:r>
            <w:r>
              <w:rPr>
                <w:rFonts w:hint="default" w:ascii="Times New Roman" w:hAnsi="Times New Roman" w:eastAsia="宋体" w:cs="Times New Roman"/>
                <w:color w:val="auto"/>
                <w:kern w:val="2"/>
                <w:sz w:val="24"/>
                <w:szCs w:val="24"/>
                <w:u w:val="none" w:color="auto"/>
              </w:rPr>
              <w:t>尽量采用低噪音施工设备和噪声低的施工方法，作业时在高噪声设备周围设置屏蔽；对施工设备进行合理布局，选择低噪声的机械设备。</w:t>
            </w:r>
          </w:p>
          <w:p w14:paraId="5A3161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rPr>
            </w:pPr>
            <w:r>
              <w:rPr>
                <w:rFonts w:hint="default" w:ascii="Times New Roman" w:hAnsi="Times New Roman" w:eastAsia="宋体" w:cs="Times New Roman"/>
                <w:color w:val="auto"/>
                <w:kern w:val="2"/>
                <w:sz w:val="24"/>
                <w:szCs w:val="24"/>
                <w:u w:val="none" w:color="auto"/>
              </w:rPr>
              <w:t>（四）固体废物防治措施</w:t>
            </w:r>
          </w:p>
          <w:p w14:paraId="793F8FE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rPr>
            </w:pPr>
            <w:r>
              <w:rPr>
                <w:rFonts w:hint="default" w:ascii="Times New Roman" w:hAnsi="Times New Roman" w:eastAsia="宋体" w:cs="Times New Roman"/>
                <w:color w:val="auto"/>
                <w:kern w:val="2"/>
                <w:sz w:val="24"/>
                <w:szCs w:val="24"/>
                <w:u w:val="none" w:color="auto"/>
                <w:lang w:val="en-US" w:eastAsia="zh-CN"/>
              </w:rPr>
              <w:t>本项目施工期不涉及土石方开挖，无多余土石方，设备拆除及安装的过程中会产生废设备、废包装材料，及时外售综合利用。此外，施工人员生活垃圾交由市政环卫部门处理，不得随意堆放，确保其不会影响周围环境。</w:t>
            </w:r>
          </w:p>
          <w:p w14:paraId="7D5EA5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Cs/>
                <w:color w:val="auto"/>
                <w:spacing w:val="-10"/>
                <w:kern w:val="2"/>
                <w:sz w:val="24"/>
                <w:szCs w:val="24"/>
                <w:u w:val="none" w:color="auto"/>
              </w:rPr>
            </w:pPr>
            <w:r>
              <w:rPr>
                <w:rFonts w:hint="default" w:ascii="Times New Roman" w:hAnsi="Times New Roman" w:eastAsia="宋体" w:cs="Times New Roman"/>
                <w:color w:val="auto"/>
                <w:kern w:val="2"/>
                <w:sz w:val="24"/>
                <w:szCs w:val="24"/>
                <w:u w:val="none" w:color="auto"/>
              </w:rPr>
              <w:t>总体来说，项目施工期在已修建完成的建（构）筑物进行内部改装、装饰和设备安装，施工期较短，工程量较小，施工期对环境影响小。</w:t>
            </w:r>
          </w:p>
        </w:tc>
      </w:tr>
      <w:tr w14:paraId="3723587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829" w:hRule="atLeast"/>
          <w:jc w:val="center"/>
        </w:trPr>
        <w:tc>
          <w:tcPr>
            <w:tcW w:w="645" w:type="dxa"/>
            <w:tcBorders>
              <w:tl2br w:val="nil"/>
              <w:tr2bl w:val="nil"/>
            </w:tcBorders>
            <w:noWrap w:val="0"/>
            <w:tcMar>
              <w:left w:w="28" w:type="dxa"/>
              <w:right w:w="28" w:type="dxa"/>
            </w:tcMar>
            <w:vAlign w:val="center"/>
          </w:tcPr>
          <w:p w14:paraId="7A670565">
            <w:pPr>
              <w:keepNext w:val="0"/>
              <w:keepLines w:val="0"/>
              <w:widowControl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b/>
                <w:bCs/>
                <w:color w:val="auto"/>
                <w:kern w:val="2"/>
                <w:sz w:val="24"/>
                <w:szCs w:val="24"/>
                <w:lang w:val="en-US" w:eastAsia="zh-CN" w:bidi="ar"/>
              </w:rPr>
              <w:t>运营</w:t>
            </w:r>
          </w:p>
          <w:p w14:paraId="0594C591">
            <w:pPr>
              <w:keepNext w:val="0"/>
              <w:keepLines w:val="0"/>
              <w:widowControl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b/>
                <w:bCs/>
                <w:color w:val="auto"/>
                <w:kern w:val="2"/>
                <w:sz w:val="24"/>
                <w:szCs w:val="24"/>
                <w:lang w:val="en-US" w:eastAsia="zh-CN" w:bidi="ar"/>
              </w:rPr>
              <w:t>期环</w:t>
            </w:r>
          </w:p>
          <w:p w14:paraId="15414182">
            <w:pPr>
              <w:keepNext w:val="0"/>
              <w:keepLines w:val="0"/>
              <w:widowControl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b/>
                <w:bCs/>
                <w:color w:val="auto"/>
                <w:kern w:val="2"/>
                <w:sz w:val="24"/>
                <w:szCs w:val="24"/>
                <w:lang w:val="en-US" w:eastAsia="zh-CN" w:bidi="ar"/>
              </w:rPr>
              <w:t>境影</w:t>
            </w:r>
          </w:p>
          <w:p w14:paraId="43EA043F">
            <w:pPr>
              <w:keepNext w:val="0"/>
              <w:keepLines w:val="0"/>
              <w:widowControl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b/>
                <w:bCs/>
                <w:color w:val="auto"/>
                <w:kern w:val="2"/>
                <w:sz w:val="24"/>
                <w:szCs w:val="24"/>
                <w:lang w:val="en-US" w:eastAsia="zh-CN" w:bidi="ar"/>
              </w:rPr>
              <w:t>响和</w:t>
            </w:r>
          </w:p>
          <w:p w14:paraId="671A04F0">
            <w:pPr>
              <w:keepNext w:val="0"/>
              <w:keepLines w:val="0"/>
              <w:widowControl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b/>
                <w:bCs/>
                <w:color w:val="auto"/>
                <w:kern w:val="2"/>
                <w:sz w:val="24"/>
                <w:szCs w:val="24"/>
                <w:lang w:val="en-US" w:eastAsia="zh-CN" w:bidi="ar"/>
              </w:rPr>
              <w:t>保护</w:t>
            </w:r>
          </w:p>
          <w:p w14:paraId="643B50CE">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2"/>
                <w:sz w:val="24"/>
                <w:szCs w:val="24"/>
                <w:u w:val="none" w:color="auto"/>
                <w:lang w:val="en-US" w:eastAsia="zh-CN" w:bidi="ar-SA"/>
              </w:rPr>
            </w:pPr>
            <w:r>
              <w:rPr>
                <w:rFonts w:hint="default" w:ascii="Times New Roman" w:hAnsi="Times New Roman" w:eastAsia="宋体" w:cs="Times New Roman"/>
                <w:b/>
                <w:bCs/>
                <w:color w:val="auto"/>
                <w:kern w:val="2"/>
                <w:sz w:val="24"/>
                <w:szCs w:val="24"/>
              </w:rPr>
              <w:t>措施</w:t>
            </w:r>
          </w:p>
        </w:tc>
        <w:tc>
          <w:tcPr>
            <w:tcW w:w="8518" w:type="dxa"/>
            <w:tcBorders>
              <w:tl2br w:val="nil"/>
              <w:tr2bl w:val="nil"/>
            </w:tcBorders>
            <w:noWrap w:val="0"/>
            <w:vAlign w:val="center"/>
          </w:tcPr>
          <w:p w14:paraId="49C68D87">
            <w:pPr>
              <w:keepNext w:val="0"/>
              <w:keepLines w:val="0"/>
              <w:numPr>
                <w:ilvl w:val="0"/>
                <w:numId w:val="0"/>
              </w:numPr>
              <w:suppressLineNumbers w:val="0"/>
              <w:spacing w:before="0" w:beforeLines="0" w:beforeAutospacing="0" w:after="0" w:afterLines="0" w:afterAutospacing="0"/>
              <w:ind w:left="0" w:right="0" w:firstLine="482" w:firstLineChars="200"/>
              <w:jc w:val="both"/>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1</w:t>
            </w:r>
            <w:r>
              <w:rPr>
                <w:rFonts w:hint="eastAsia" w:ascii="Times New Roman" w:hAnsi="Times New Roman" w:cs="Times New Roman"/>
                <w:b/>
                <w:color w:val="auto"/>
                <w:sz w:val="24"/>
                <w:szCs w:val="24"/>
                <w:lang w:eastAsia="zh-CN"/>
              </w:rPr>
              <w:t>.</w:t>
            </w:r>
            <w:r>
              <w:rPr>
                <w:rFonts w:hint="default" w:ascii="Times New Roman" w:hAnsi="Times New Roman" w:cs="Times New Roman"/>
                <w:b/>
                <w:color w:val="auto"/>
                <w:sz w:val="24"/>
                <w:szCs w:val="24"/>
              </w:rPr>
              <w:t>废气</w:t>
            </w:r>
          </w:p>
          <w:p w14:paraId="51596761">
            <w:pPr>
              <w:keepNext w:val="0"/>
              <w:keepLines w:val="0"/>
              <w:suppressLineNumbers w:val="0"/>
              <w:adjustRightInd w:val="0"/>
              <w:snapToGrid w:val="0"/>
              <w:spacing w:before="0" w:beforeLines="0" w:beforeAutospacing="0" w:after="0" w:afterLines="0" w:afterAutospacing="0"/>
              <w:ind w:left="0" w:right="0" w:firstLine="480" w:firstLineChars="200"/>
              <w:jc w:val="both"/>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rPr>
              <w:t>本项目营运期产生的废气主要有</w:t>
            </w:r>
            <w:r>
              <w:rPr>
                <w:rFonts w:hint="default" w:ascii="Times New Roman" w:hAnsi="Times New Roman" w:cs="Times New Roman"/>
                <w:color w:val="auto"/>
                <w:kern w:val="2"/>
                <w:sz w:val="24"/>
                <w:szCs w:val="24"/>
                <w:u w:val="none" w:color="auto"/>
                <w:lang w:val="en-US" w:eastAsia="zh-CN"/>
              </w:rPr>
              <w:t>模具清理</w:t>
            </w:r>
            <w:r>
              <w:rPr>
                <w:rFonts w:hint="eastAsia" w:ascii="Times New Roman" w:hAnsi="Times New Roman" w:cs="Times New Roman"/>
                <w:color w:val="auto"/>
                <w:kern w:val="2"/>
                <w:sz w:val="24"/>
                <w:szCs w:val="24"/>
                <w:u w:val="none" w:color="auto"/>
                <w:lang w:val="en-US" w:eastAsia="zh-CN"/>
              </w:rPr>
              <w:t>废气</w:t>
            </w:r>
            <w:r>
              <w:rPr>
                <w:rFonts w:hint="default" w:ascii="Times New Roman" w:hAnsi="Times New Roman" w:cs="Times New Roman"/>
                <w:color w:val="auto"/>
                <w:kern w:val="2"/>
                <w:sz w:val="24"/>
                <w:szCs w:val="24"/>
                <w:u w:val="none" w:color="auto"/>
              </w:rPr>
              <w:t>、射砂成型</w:t>
            </w:r>
            <w:r>
              <w:rPr>
                <w:rFonts w:hint="eastAsia" w:ascii="Times New Roman" w:hAnsi="Times New Roman" w:cs="Times New Roman"/>
                <w:color w:val="auto"/>
                <w:kern w:val="2"/>
                <w:sz w:val="24"/>
                <w:szCs w:val="24"/>
                <w:u w:val="none" w:color="auto"/>
                <w:lang w:val="en-US" w:eastAsia="zh-CN"/>
              </w:rPr>
              <w:t>废气、</w:t>
            </w:r>
            <w:r>
              <w:rPr>
                <w:rFonts w:hint="default" w:ascii="Times New Roman" w:hAnsi="Times New Roman" w:cs="Times New Roman"/>
                <w:color w:val="auto"/>
                <w:kern w:val="2"/>
                <w:sz w:val="24"/>
                <w:szCs w:val="24"/>
                <w:u w:val="none" w:color="auto"/>
              </w:rPr>
              <w:t>熔炼废气</w:t>
            </w:r>
            <w:r>
              <w:rPr>
                <w:rFonts w:hint="eastAsia" w:ascii="Times New Roman" w:hAnsi="Times New Roman" w:cs="Times New Roman"/>
                <w:color w:val="auto"/>
                <w:kern w:val="2"/>
                <w:sz w:val="24"/>
                <w:szCs w:val="24"/>
                <w:u w:val="none" w:color="auto"/>
                <w:lang w:val="en-US" w:eastAsia="zh-CN"/>
              </w:rPr>
              <w:t>、</w:t>
            </w:r>
            <w:r>
              <w:rPr>
                <w:rFonts w:hint="default" w:ascii="Times New Roman" w:hAnsi="Times New Roman" w:cs="Times New Roman"/>
                <w:color w:val="auto"/>
                <w:kern w:val="2"/>
                <w:sz w:val="24"/>
                <w:szCs w:val="24"/>
                <w:u w:val="none" w:color="auto"/>
              </w:rPr>
              <w:t>浇注废气</w:t>
            </w:r>
            <w:r>
              <w:rPr>
                <w:rFonts w:hint="eastAsia" w:ascii="Times New Roman" w:hAnsi="Times New Roman" w:cs="Times New Roman"/>
                <w:color w:val="auto"/>
                <w:kern w:val="2"/>
                <w:sz w:val="24"/>
                <w:szCs w:val="24"/>
                <w:u w:val="none" w:color="auto"/>
                <w:lang w:eastAsia="zh-CN"/>
              </w:rPr>
              <w:t>、</w:t>
            </w:r>
            <w:r>
              <w:rPr>
                <w:rFonts w:hint="default" w:ascii="Times New Roman" w:hAnsi="Times New Roman" w:cs="Times New Roman"/>
                <w:color w:val="auto"/>
                <w:kern w:val="2"/>
                <w:sz w:val="24"/>
                <w:szCs w:val="24"/>
                <w:u w:val="none" w:color="auto"/>
              </w:rPr>
              <w:t>球冒分离</w:t>
            </w:r>
            <w:r>
              <w:rPr>
                <w:rFonts w:hint="eastAsia" w:ascii="Times New Roman" w:hAnsi="Times New Roman" w:cs="Times New Roman"/>
                <w:color w:val="auto"/>
                <w:kern w:val="2"/>
                <w:sz w:val="24"/>
                <w:szCs w:val="24"/>
                <w:u w:val="none" w:color="auto"/>
                <w:lang w:val="en-US" w:eastAsia="zh-CN"/>
              </w:rPr>
              <w:t>废气</w:t>
            </w:r>
            <w:r>
              <w:rPr>
                <w:rFonts w:hint="eastAsia" w:ascii="Times New Roman" w:hAnsi="Times New Roman" w:cs="Times New Roman"/>
                <w:color w:val="auto"/>
                <w:kern w:val="2"/>
                <w:sz w:val="24"/>
                <w:szCs w:val="24"/>
                <w:u w:val="none" w:color="auto"/>
                <w:lang w:eastAsia="zh-CN"/>
              </w:rPr>
              <w:t>、打磨清理</w:t>
            </w:r>
            <w:r>
              <w:rPr>
                <w:rFonts w:hint="eastAsia" w:ascii="Times New Roman" w:hAnsi="Times New Roman" w:cs="Times New Roman"/>
                <w:color w:val="auto"/>
                <w:kern w:val="2"/>
                <w:sz w:val="24"/>
                <w:szCs w:val="24"/>
                <w:u w:val="none" w:color="auto"/>
                <w:lang w:val="en-US" w:eastAsia="zh-CN"/>
              </w:rPr>
              <w:t>废气</w:t>
            </w:r>
            <w:r>
              <w:rPr>
                <w:rFonts w:hint="eastAsia" w:ascii="Times New Roman" w:hAnsi="Times New Roman" w:cs="Times New Roman"/>
                <w:color w:val="auto"/>
                <w:kern w:val="2"/>
                <w:sz w:val="24"/>
                <w:szCs w:val="24"/>
                <w:u w:val="none" w:color="auto"/>
                <w:lang w:eastAsia="zh-CN"/>
              </w:rPr>
              <w:t>、</w:t>
            </w:r>
            <w:r>
              <w:rPr>
                <w:rFonts w:hint="default" w:ascii="Times New Roman" w:hAnsi="Times New Roman" w:cs="Times New Roman"/>
                <w:color w:val="auto"/>
                <w:kern w:val="2"/>
                <w:sz w:val="24"/>
                <w:szCs w:val="24"/>
                <w:u w:val="none" w:color="auto"/>
              </w:rPr>
              <w:t>热处理</w:t>
            </w:r>
            <w:r>
              <w:rPr>
                <w:rFonts w:hint="eastAsia" w:ascii="Times New Roman" w:hAnsi="Times New Roman" w:cs="Times New Roman"/>
                <w:color w:val="auto"/>
                <w:kern w:val="2"/>
                <w:sz w:val="24"/>
                <w:szCs w:val="24"/>
                <w:u w:val="none" w:color="auto"/>
                <w:lang w:eastAsia="zh-CN"/>
              </w:rPr>
              <w:t>、</w:t>
            </w:r>
            <w:r>
              <w:rPr>
                <w:rFonts w:hint="eastAsia" w:ascii="Times New Roman" w:hAnsi="Times New Roman" w:cs="Times New Roman"/>
                <w:color w:val="auto"/>
                <w:kern w:val="2"/>
                <w:sz w:val="24"/>
                <w:szCs w:val="24"/>
                <w:u w:val="none" w:color="auto"/>
                <w:lang w:val="en-US" w:eastAsia="zh-CN"/>
              </w:rPr>
              <w:t>砂处理废气</w:t>
            </w:r>
            <w:r>
              <w:rPr>
                <w:rFonts w:hint="default" w:ascii="Times New Roman" w:hAnsi="Times New Roman" w:cs="Times New Roman"/>
                <w:color w:val="auto"/>
                <w:kern w:val="2"/>
                <w:sz w:val="24"/>
                <w:szCs w:val="24"/>
                <w:u w:val="none" w:color="auto"/>
              </w:rPr>
              <w:t>。</w:t>
            </w:r>
          </w:p>
          <w:p w14:paraId="0D5AC06A">
            <w:pPr>
              <w:keepNext w:val="0"/>
              <w:keepLines w:val="0"/>
              <w:widowControl/>
              <w:suppressLineNumbers w:val="0"/>
              <w:snapToGrid w:val="0"/>
              <w:spacing w:before="0" w:beforeLines="0" w:beforeAutospacing="0" w:after="0" w:afterLines="0" w:afterAutospacing="0"/>
              <w:ind w:left="0" w:right="0" w:firstLine="480" w:firstLineChars="200"/>
              <w:jc w:val="both"/>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rPr>
              <w:t>根据</w:t>
            </w:r>
            <w:r>
              <w:rPr>
                <w:rFonts w:hint="default" w:ascii="Times New Roman" w:hAnsi="Times New Roman" w:cs="Times New Roman"/>
                <w:color w:val="auto"/>
                <w:kern w:val="2"/>
                <w:sz w:val="24"/>
                <w:szCs w:val="24"/>
                <w:u w:val="none" w:color="auto"/>
                <w:lang w:val="en-US" w:eastAsia="zh-CN"/>
              </w:rPr>
              <w:t>《污染源源强核算技术指南 准则》（HJ884-2018）</w:t>
            </w:r>
            <w:r>
              <w:rPr>
                <w:rFonts w:hint="default" w:ascii="Times New Roman" w:hAnsi="Times New Roman" w:cs="Times New Roman"/>
                <w:color w:val="auto"/>
                <w:kern w:val="2"/>
                <w:sz w:val="24"/>
                <w:szCs w:val="24"/>
                <w:u w:val="none" w:color="auto"/>
              </w:rPr>
              <w:t>废</w:t>
            </w:r>
            <w:r>
              <w:rPr>
                <w:rFonts w:hint="default" w:ascii="Times New Roman" w:hAnsi="Times New Roman" w:cs="Times New Roman"/>
                <w:color w:val="auto"/>
                <w:kern w:val="2"/>
                <w:sz w:val="24"/>
                <w:szCs w:val="24"/>
                <w:u w:val="none" w:color="auto"/>
              </w:rPr>
              <w:t>气核算方法有自动检测数据核算法、手工监测数据核算法、物料平衡法核算以及采用产排污系数法进行核算，本项目选取产排污系数法进行计算，因此参考《排放源统计调查产排污核算方法和系数手册》的公告（环境部公告2021年第24号）/《排污许可证申请与核发技术规范 金属铸造工业》（HJ1115—2020）中废气排污系数法对污染物进行核算。</w:t>
            </w:r>
          </w:p>
          <w:p w14:paraId="64389803">
            <w:pPr>
              <w:keepNext w:val="0"/>
              <w:keepLines w:val="0"/>
              <w:numPr>
                <w:ilvl w:val="0"/>
                <w:numId w:val="0"/>
              </w:numPr>
              <w:suppressLineNumbers w:val="0"/>
              <w:spacing w:before="0" w:beforeLines="0" w:beforeAutospacing="0" w:after="0" w:afterLines="0" w:afterAutospacing="0"/>
              <w:ind w:left="0" w:right="0" w:firstLine="482" w:firstLineChars="200"/>
              <w:jc w:val="both"/>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1.1</w:t>
            </w:r>
            <w:r>
              <w:rPr>
                <w:rFonts w:hint="default" w:ascii="Times New Roman" w:hAnsi="Times New Roman" w:cs="Times New Roman"/>
                <w:b/>
                <w:color w:val="auto"/>
                <w:sz w:val="24"/>
                <w:szCs w:val="24"/>
                <w:lang w:val="en-US" w:eastAsia="zh-CN"/>
              </w:rPr>
              <w:t>模具清理</w:t>
            </w:r>
            <w:r>
              <w:rPr>
                <w:rFonts w:hint="default" w:ascii="Times New Roman" w:hAnsi="Times New Roman" w:cs="Times New Roman"/>
                <w:b/>
                <w:color w:val="auto"/>
                <w:sz w:val="24"/>
                <w:szCs w:val="24"/>
              </w:rPr>
              <w:t>废气</w:t>
            </w:r>
          </w:p>
          <w:p w14:paraId="16950705">
            <w:pPr>
              <w:keepNext w:val="0"/>
              <w:keepLines w:val="0"/>
              <w:widowControl/>
              <w:suppressLineNumbers w:val="0"/>
              <w:snapToGrid w:val="0"/>
              <w:spacing w:before="0" w:beforeLines="0" w:beforeAutospacing="0" w:after="0" w:afterLines="0" w:afterAutospacing="0"/>
              <w:ind w:left="0" w:right="0" w:firstLine="480" w:firstLineChars="200"/>
              <w:jc w:val="both"/>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lang w:val="en-US" w:eastAsia="zh-CN"/>
              </w:rPr>
              <w:t>开模取出铸件后，用压缩空气或机械方式清理金属模具型腔内的残留砂块和杂物。采用高压气枪清理模具时，会产生少量颗粒物（主要为残留型砂粉尘），由于残留砂</w:t>
            </w:r>
            <w:r>
              <w:rPr>
                <w:rFonts w:hint="eastAsia" w:ascii="Times New Roman" w:hAnsi="Times New Roman" w:cs="Times New Roman"/>
                <w:color w:val="auto"/>
                <w:kern w:val="2"/>
                <w:sz w:val="24"/>
                <w:szCs w:val="24"/>
                <w:u w:val="none" w:color="auto"/>
                <w:lang w:val="en-US" w:eastAsia="zh-CN"/>
              </w:rPr>
              <w:t>粉较少</w:t>
            </w:r>
            <w:r>
              <w:rPr>
                <w:rFonts w:hint="default" w:ascii="Times New Roman" w:hAnsi="Times New Roman" w:cs="Times New Roman"/>
                <w:color w:val="auto"/>
                <w:kern w:val="2"/>
                <w:sz w:val="24"/>
                <w:szCs w:val="24"/>
                <w:u w:val="none" w:color="auto"/>
                <w:lang w:val="en-US" w:eastAsia="zh-CN"/>
              </w:rPr>
              <w:t>，</w:t>
            </w:r>
            <w:r>
              <w:rPr>
                <w:rFonts w:hint="eastAsia" w:ascii="Times New Roman" w:hAnsi="Times New Roman" w:cs="Times New Roman"/>
                <w:color w:val="auto"/>
                <w:kern w:val="2"/>
                <w:sz w:val="24"/>
                <w:szCs w:val="24"/>
                <w:u w:val="none" w:color="auto"/>
                <w:lang w:val="en-US" w:eastAsia="zh-CN"/>
              </w:rPr>
              <w:t>颗粒物产生</w:t>
            </w:r>
            <w:r>
              <w:rPr>
                <w:rFonts w:hint="default" w:ascii="Times New Roman" w:hAnsi="Times New Roman" w:cs="Times New Roman"/>
                <w:color w:val="auto"/>
                <w:kern w:val="2"/>
                <w:sz w:val="24"/>
                <w:szCs w:val="24"/>
                <w:u w:val="none" w:color="auto"/>
                <w:lang w:val="en-US" w:eastAsia="zh-CN"/>
              </w:rPr>
              <w:t>浓度较低</w:t>
            </w:r>
            <w:r>
              <w:rPr>
                <w:rFonts w:hint="eastAsia" w:ascii="Times New Roman" w:hAnsi="Times New Roman" w:cs="Times New Roman"/>
                <w:color w:val="auto"/>
                <w:kern w:val="2"/>
                <w:sz w:val="24"/>
                <w:szCs w:val="24"/>
                <w:u w:val="none" w:color="auto"/>
                <w:lang w:val="en-US" w:eastAsia="zh-CN"/>
              </w:rPr>
              <w:t>，本次不进行定量分析，在加强车间封闭、洒水抑尘措施后颗粒物对外环境影响较小</w:t>
            </w:r>
            <w:r>
              <w:rPr>
                <w:rFonts w:hint="default" w:ascii="Times New Roman" w:hAnsi="Times New Roman" w:cs="Times New Roman"/>
                <w:color w:val="auto"/>
                <w:kern w:val="2"/>
                <w:sz w:val="24"/>
                <w:szCs w:val="24"/>
                <w:u w:val="none" w:color="auto"/>
                <w:lang w:val="en-US" w:eastAsia="zh-CN"/>
              </w:rPr>
              <w:t>。</w:t>
            </w:r>
          </w:p>
          <w:p w14:paraId="160AF5F6">
            <w:pPr>
              <w:keepNext w:val="0"/>
              <w:keepLines w:val="0"/>
              <w:numPr>
                <w:ilvl w:val="0"/>
                <w:numId w:val="0"/>
              </w:numPr>
              <w:suppressLineNumbers w:val="0"/>
              <w:spacing w:before="0" w:beforeLines="0" w:beforeAutospacing="0" w:after="0" w:afterLines="0" w:afterAutospacing="0"/>
              <w:ind w:left="0" w:right="0" w:firstLine="482" w:firstLineChars="200"/>
              <w:jc w:val="both"/>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1.2熔炼废气</w:t>
            </w:r>
          </w:p>
          <w:p w14:paraId="2F160679">
            <w:pPr>
              <w:keepNext w:val="0"/>
              <w:keepLines w:val="0"/>
              <w:widowControl/>
              <w:suppressLineNumbers w:val="0"/>
              <w:autoSpaceDE w:val="0"/>
              <w:snapToGrid w:val="0"/>
              <w:spacing w:before="0" w:beforeLines="0" w:beforeAutospacing="0" w:after="0" w:afterLines="0" w:afterAutospacing="0"/>
              <w:ind w:left="0" w:right="0" w:firstLine="480" w:firstLineChars="200"/>
              <w:jc w:val="both"/>
              <w:rPr>
                <w:rFonts w:hint="default" w:ascii="Times New Roman" w:hAnsi="Times New Roman" w:cs="Times New Roman"/>
                <w:color w:val="auto"/>
                <w:kern w:val="2"/>
                <w:sz w:val="24"/>
                <w:szCs w:val="24"/>
              </w:rPr>
            </w:pPr>
            <w:r>
              <w:rPr>
                <w:rFonts w:hint="default" w:ascii="Times New Roman" w:hAnsi="Times New Roman" w:cs="Times New Roman"/>
                <w:color w:val="auto"/>
                <w:kern w:val="2"/>
                <w:sz w:val="24"/>
                <w:szCs w:val="24"/>
                <w:lang w:bidi="ar"/>
              </w:rPr>
              <w:t>根据《排放源统计调查产排污核算方法和系数手册—机械行业系数手册》中“熔炼”工艺中产排污系数表，本项目产污情况如下表。</w:t>
            </w:r>
          </w:p>
          <w:p w14:paraId="3761A20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lang w:bidi="ar"/>
              </w:rPr>
              <w:t>表4-</w:t>
            </w:r>
            <w:r>
              <w:rPr>
                <w:rFonts w:hint="default" w:ascii="Times New Roman" w:hAnsi="Times New Roman" w:cs="Times New Roman"/>
                <w:b/>
                <w:color w:val="auto"/>
                <w:kern w:val="2"/>
                <w:sz w:val="21"/>
                <w:szCs w:val="21"/>
                <w:lang w:val="en-US" w:eastAsia="zh-CN" w:bidi="ar"/>
              </w:rPr>
              <w:t>1</w:t>
            </w:r>
            <w:r>
              <w:rPr>
                <w:rFonts w:hint="default" w:ascii="Times New Roman" w:hAnsi="Times New Roman" w:cs="Times New Roman"/>
                <w:b/>
                <w:color w:val="auto"/>
                <w:kern w:val="2"/>
                <w:sz w:val="21"/>
                <w:szCs w:val="21"/>
                <w:lang w:bidi="ar"/>
              </w:rPr>
              <w:t xml:space="preserve"> 熔炼废气产排污情况一览表</w:t>
            </w:r>
          </w:p>
          <w:tbl>
            <w:tblPr>
              <w:tblStyle w:val="56"/>
              <w:tblW w:w="4999" w:type="pct"/>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744"/>
              <w:gridCol w:w="1771"/>
              <w:gridCol w:w="1080"/>
              <w:gridCol w:w="1155"/>
              <w:gridCol w:w="1395"/>
              <w:gridCol w:w="825"/>
              <w:gridCol w:w="1311"/>
            </w:tblGrid>
            <w:tr w14:paraId="53C64023">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tcBorders>
                    <w:top w:val="single" w:color="auto" w:sz="8" w:space="0"/>
                    <w:left w:val="single" w:color="auto" w:sz="8" w:space="0"/>
                    <w:bottom w:val="single" w:color="auto" w:sz="2" w:space="0"/>
                    <w:right w:val="single" w:color="auto" w:sz="2" w:space="0"/>
                    <w:tl2br w:val="nil"/>
                    <w:tr2bl w:val="nil"/>
                  </w:tcBorders>
                  <w:noWrap w:val="0"/>
                  <w:vAlign w:val="center"/>
                </w:tcPr>
                <w:p w14:paraId="6B7BAA07">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产品名称</w:t>
                  </w:r>
                </w:p>
              </w:tc>
              <w:tc>
                <w:tcPr>
                  <w:tcW w:w="1771" w:type="dxa"/>
                  <w:tcBorders>
                    <w:top w:val="single" w:color="auto" w:sz="8" w:space="0"/>
                    <w:left w:val="single" w:color="auto" w:sz="2" w:space="0"/>
                    <w:bottom w:val="single" w:color="auto" w:sz="2" w:space="0"/>
                    <w:right w:val="single" w:color="auto" w:sz="2" w:space="0"/>
                    <w:tl2br w:val="nil"/>
                    <w:tr2bl w:val="nil"/>
                  </w:tcBorders>
                  <w:noWrap w:val="0"/>
                  <w:vAlign w:val="center"/>
                </w:tcPr>
                <w:p w14:paraId="5F6345C9">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原料名称</w:t>
                  </w:r>
                </w:p>
              </w:tc>
              <w:tc>
                <w:tcPr>
                  <w:tcW w:w="1080" w:type="dxa"/>
                  <w:tcBorders>
                    <w:top w:val="single" w:color="auto" w:sz="8" w:space="0"/>
                    <w:left w:val="single" w:color="auto" w:sz="2" w:space="0"/>
                    <w:bottom w:val="single" w:color="auto" w:sz="2" w:space="0"/>
                    <w:right w:val="single" w:color="auto" w:sz="2" w:space="0"/>
                    <w:tl2br w:val="nil"/>
                    <w:tr2bl w:val="nil"/>
                  </w:tcBorders>
                  <w:noWrap w:val="0"/>
                  <w:vAlign w:val="center"/>
                </w:tcPr>
                <w:p w14:paraId="30165CE4">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工艺名称</w:t>
                  </w:r>
                </w:p>
              </w:tc>
              <w:tc>
                <w:tcPr>
                  <w:tcW w:w="115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0329FC6A">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污染物指标</w:t>
                  </w:r>
                </w:p>
              </w:tc>
              <w:tc>
                <w:tcPr>
                  <w:tcW w:w="139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09B1BB9B">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单位</w:t>
                  </w:r>
                </w:p>
              </w:tc>
              <w:tc>
                <w:tcPr>
                  <w:tcW w:w="82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080911E3">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产物系数</w:t>
                  </w:r>
                </w:p>
              </w:tc>
              <w:tc>
                <w:tcPr>
                  <w:tcW w:w="1311" w:type="dxa"/>
                  <w:tcBorders>
                    <w:top w:val="single" w:color="auto" w:sz="8" w:space="0"/>
                    <w:left w:val="single" w:color="auto" w:sz="2" w:space="0"/>
                    <w:bottom w:val="single" w:color="auto" w:sz="2" w:space="0"/>
                    <w:right w:val="single" w:color="auto" w:sz="8" w:space="0"/>
                    <w:tl2br w:val="nil"/>
                    <w:tr2bl w:val="nil"/>
                  </w:tcBorders>
                  <w:noWrap w:val="0"/>
                  <w:vAlign w:val="center"/>
                </w:tcPr>
                <w:p w14:paraId="728058AA">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末端治理技术</w:t>
                  </w:r>
                </w:p>
              </w:tc>
            </w:tr>
            <w:tr w14:paraId="28D33EB3">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vMerge w:val="restart"/>
                  <w:tcBorders>
                    <w:top w:val="single" w:color="auto" w:sz="2" w:space="0"/>
                    <w:left w:val="single" w:color="auto" w:sz="8" w:space="0"/>
                    <w:bottom w:val="single" w:color="auto" w:sz="2" w:space="0"/>
                    <w:right w:val="single" w:color="auto" w:sz="2" w:space="0"/>
                    <w:tl2br w:val="nil"/>
                    <w:tr2bl w:val="nil"/>
                  </w:tcBorders>
                  <w:noWrap w:val="0"/>
                  <w:vAlign w:val="center"/>
                </w:tcPr>
                <w:p w14:paraId="1BF9A1E0">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铸件</w:t>
                  </w:r>
                </w:p>
              </w:tc>
              <w:tc>
                <w:tcPr>
                  <w:tcW w:w="1771" w:type="dxa"/>
                  <w:vMerge w:val="restart"/>
                  <w:tcBorders>
                    <w:top w:val="single" w:color="auto" w:sz="2" w:space="0"/>
                    <w:left w:val="single" w:color="auto" w:sz="2" w:space="0"/>
                    <w:bottom w:val="single" w:color="auto" w:sz="2" w:space="0"/>
                    <w:right w:val="single" w:color="auto" w:sz="2" w:space="0"/>
                    <w:tl2br w:val="nil"/>
                    <w:tr2bl w:val="nil"/>
                  </w:tcBorders>
                  <w:noWrap w:val="0"/>
                  <w:vAlign w:val="center"/>
                </w:tcPr>
                <w:p w14:paraId="5795EE89">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生铁、废钢、铁合金、中间合金锭、石灰石、增碳剂、电解铜</w:t>
                  </w:r>
                </w:p>
              </w:tc>
              <w:tc>
                <w:tcPr>
                  <w:tcW w:w="1080" w:type="dxa"/>
                  <w:vMerge w:val="restart"/>
                  <w:tcBorders>
                    <w:top w:val="single" w:color="auto" w:sz="2" w:space="0"/>
                    <w:left w:val="single" w:color="auto" w:sz="2" w:space="0"/>
                    <w:bottom w:val="single" w:color="auto" w:sz="2" w:space="0"/>
                    <w:right w:val="single" w:color="auto" w:sz="2" w:space="0"/>
                    <w:tl2br w:val="nil"/>
                    <w:tr2bl w:val="nil"/>
                  </w:tcBorders>
                  <w:noWrap w:val="0"/>
                  <w:vAlign w:val="center"/>
                </w:tcPr>
                <w:p w14:paraId="3D9BBA4D">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熔炼</w:t>
                  </w:r>
                  <w:r>
                    <w:rPr>
                      <w:rFonts w:hint="eastAsia" w:ascii="Times New Roman" w:hAnsi="Times New Roman" w:cs="Times New Roman"/>
                      <w:color w:val="auto"/>
                      <w:sz w:val="21"/>
                      <w:szCs w:val="21"/>
                      <w:lang w:eastAsia="zh-CN" w:bidi="ar"/>
                    </w:rPr>
                    <w:t>（</w:t>
                  </w:r>
                  <w:r>
                    <w:rPr>
                      <w:rFonts w:hint="default" w:ascii="Times New Roman" w:hAnsi="Times New Roman" w:cs="Times New Roman"/>
                      <w:color w:val="auto"/>
                      <w:sz w:val="21"/>
                      <w:szCs w:val="21"/>
                      <w:lang w:bidi="ar"/>
                    </w:rPr>
                    <w:t>感应电炉/电阻炉及其他</w:t>
                  </w:r>
                  <w:r>
                    <w:rPr>
                      <w:rFonts w:hint="eastAsia" w:ascii="Times New Roman" w:hAnsi="Times New Roman" w:cs="Times New Roman"/>
                      <w:color w:val="auto"/>
                      <w:sz w:val="21"/>
                      <w:szCs w:val="21"/>
                      <w:lang w:eastAsia="zh-CN" w:bidi="ar"/>
                    </w:rPr>
                    <w:t>）</w:t>
                  </w:r>
                </w:p>
              </w:tc>
              <w:tc>
                <w:tcPr>
                  <w:tcW w:w="115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336A4330">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工业废气量</w:t>
                  </w:r>
                </w:p>
              </w:tc>
              <w:tc>
                <w:tcPr>
                  <w:tcW w:w="139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3BDC4C15">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立方米/吨产品</w:t>
                  </w:r>
                </w:p>
              </w:tc>
              <w:tc>
                <w:tcPr>
                  <w:tcW w:w="82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37F75D8B">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7483</w:t>
                  </w:r>
                </w:p>
              </w:tc>
              <w:tc>
                <w:tcPr>
                  <w:tcW w:w="1311" w:type="dxa"/>
                  <w:tcBorders>
                    <w:top w:val="single" w:color="auto" w:sz="2" w:space="0"/>
                    <w:left w:val="single" w:color="auto" w:sz="2" w:space="0"/>
                    <w:bottom w:val="single" w:color="auto" w:sz="2" w:space="0"/>
                    <w:right w:val="single" w:color="auto" w:sz="8" w:space="0"/>
                    <w:tl2br w:val="nil"/>
                    <w:tr2bl w:val="nil"/>
                  </w:tcBorders>
                  <w:noWrap w:val="0"/>
                  <w:vAlign w:val="center"/>
                </w:tcPr>
                <w:p w14:paraId="23D2356E">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08C748DD">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vMerge w:val="continue"/>
                  <w:tcBorders>
                    <w:top w:val="single" w:color="auto" w:sz="2" w:space="0"/>
                    <w:left w:val="single" w:color="auto" w:sz="8" w:space="0"/>
                    <w:bottom w:val="single" w:color="auto" w:sz="2" w:space="0"/>
                    <w:right w:val="single" w:color="auto" w:sz="2" w:space="0"/>
                    <w:tl2br w:val="nil"/>
                    <w:tr2bl w:val="nil"/>
                  </w:tcBorders>
                  <w:noWrap w:val="0"/>
                  <w:vAlign w:val="center"/>
                </w:tcPr>
                <w:p w14:paraId="6A0994D0">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lang w:bidi="ar"/>
                    </w:rPr>
                  </w:pPr>
                </w:p>
              </w:tc>
              <w:tc>
                <w:tcPr>
                  <w:tcW w:w="1771" w:type="dxa"/>
                  <w:vMerge w:val="continue"/>
                  <w:tcBorders>
                    <w:top w:val="single" w:color="auto" w:sz="2" w:space="0"/>
                    <w:left w:val="single" w:color="auto" w:sz="2" w:space="0"/>
                    <w:bottom w:val="single" w:color="auto" w:sz="2" w:space="0"/>
                    <w:right w:val="single" w:color="auto" w:sz="2" w:space="0"/>
                    <w:tl2br w:val="nil"/>
                    <w:tr2bl w:val="nil"/>
                  </w:tcBorders>
                  <w:noWrap w:val="0"/>
                  <w:vAlign w:val="center"/>
                </w:tcPr>
                <w:p w14:paraId="56095AC4">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lang w:bidi="ar"/>
                    </w:rPr>
                  </w:pPr>
                </w:p>
              </w:tc>
              <w:tc>
                <w:tcPr>
                  <w:tcW w:w="1080" w:type="dxa"/>
                  <w:vMerge w:val="continue"/>
                  <w:tcBorders>
                    <w:top w:val="single" w:color="auto" w:sz="2" w:space="0"/>
                    <w:left w:val="single" w:color="auto" w:sz="2" w:space="0"/>
                    <w:bottom w:val="single" w:color="auto" w:sz="2" w:space="0"/>
                    <w:right w:val="single" w:color="auto" w:sz="2" w:space="0"/>
                    <w:tl2br w:val="nil"/>
                    <w:tr2bl w:val="nil"/>
                  </w:tcBorders>
                  <w:noWrap w:val="0"/>
                  <w:vAlign w:val="center"/>
                </w:tcPr>
                <w:p w14:paraId="6E70FF11">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lang w:bidi="ar"/>
                    </w:rPr>
                  </w:pPr>
                </w:p>
              </w:tc>
              <w:tc>
                <w:tcPr>
                  <w:tcW w:w="115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0B694949">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颗粒物</w:t>
                  </w:r>
                </w:p>
              </w:tc>
              <w:tc>
                <w:tcPr>
                  <w:tcW w:w="139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57E58880">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千克/吨产品</w:t>
                  </w:r>
                </w:p>
              </w:tc>
              <w:tc>
                <w:tcPr>
                  <w:tcW w:w="82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27299E67">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0.479</w:t>
                  </w:r>
                </w:p>
              </w:tc>
              <w:tc>
                <w:tcPr>
                  <w:tcW w:w="1311" w:type="dxa"/>
                  <w:tcBorders>
                    <w:top w:val="single" w:color="auto" w:sz="2" w:space="0"/>
                    <w:left w:val="single" w:color="auto" w:sz="2" w:space="0"/>
                    <w:bottom w:val="single" w:color="auto" w:sz="2" w:space="0"/>
                    <w:right w:val="single" w:color="auto" w:sz="8" w:space="0"/>
                    <w:tl2br w:val="nil"/>
                    <w:tr2bl w:val="nil"/>
                  </w:tcBorders>
                  <w:noWrap w:val="0"/>
                  <w:vAlign w:val="center"/>
                </w:tcPr>
                <w:p w14:paraId="30529879">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袋式除尘</w:t>
                  </w:r>
                </w:p>
              </w:tc>
            </w:tr>
          </w:tbl>
          <w:p w14:paraId="3B7BFCBB">
            <w:pPr>
              <w:keepNext w:val="0"/>
              <w:keepLines w:val="0"/>
              <w:widowControl/>
              <w:suppressLineNumbers w:val="0"/>
              <w:snapToGrid w:val="0"/>
              <w:spacing w:before="0" w:beforeLines="0" w:beforeAutospacing="0" w:after="0" w:afterLines="0" w:afterAutospacing="0"/>
              <w:ind w:left="0" w:right="0" w:firstLine="480" w:firstLineChars="200"/>
              <w:jc w:val="both"/>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rPr>
              <w:t>本项目采用中频感应电炉，每天熔炼工序运行</w:t>
            </w:r>
            <w:r>
              <w:rPr>
                <w:rFonts w:hint="eastAsia" w:ascii="Times New Roman" w:hAnsi="Times New Roman" w:cs="Times New Roman"/>
                <w:color w:val="auto"/>
                <w:kern w:val="2"/>
                <w:sz w:val="24"/>
                <w:szCs w:val="24"/>
                <w:u w:val="none" w:color="auto"/>
                <w:lang w:val="en-US" w:eastAsia="zh-CN"/>
              </w:rPr>
              <w:t>12</w:t>
            </w:r>
            <w:r>
              <w:rPr>
                <w:rFonts w:hint="default" w:ascii="Times New Roman" w:hAnsi="Times New Roman" w:cs="Times New Roman"/>
                <w:color w:val="auto"/>
                <w:kern w:val="2"/>
                <w:sz w:val="24"/>
                <w:szCs w:val="24"/>
                <w:u w:val="none" w:color="auto"/>
              </w:rPr>
              <w:t>h，年运行时间约为</w:t>
            </w:r>
            <w:r>
              <w:rPr>
                <w:rFonts w:hint="eastAsia" w:ascii="Times New Roman" w:hAnsi="Times New Roman" w:cs="Times New Roman"/>
                <w:color w:val="auto"/>
                <w:kern w:val="2"/>
                <w:sz w:val="24"/>
                <w:szCs w:val="24"/>
                <w:u w:val="none" w:color="auto"/>
                <w:lang w:val="en-US" w:eastAsia="zh-CN"/>
              </w:rPr>
              <w:t>3600</w:t>
            </w:r>
            <w:r>
              <w:rPr>
                <w:rFonts w:hint="default" w:ascii="Times New Roman" w:hAnsi="Times New Roman" w:cs="Times New Roman"/>
                <w:color w:val="auto"/>
                <w:kern w:val="2"/>
                <w:sz w:val="24"/>
                <w:szCs w:val="24"/>
                <w:u w:val="none" w:color="auto"/>
              </w:rPr>
              <w:t>h。在原料熔炼金属时由于金属中含有各种杂质因此会产生一定量的废气和烟尘，参照《排放源统计调查产排污核算方法和系数手册—机械行业系数手册》中“熔炼（感应电炉/电阻炉及其他）”工艺，熔炼废物中污染物指标仅为颗粒物，无重金属产生，中频电炉熔炼颗粒物产污系数为0.479kg/t-产品，工业废气量7483m</w:t>
            </w:r>
            <w:r>
              <w:rPr>
                <w:rFonts w:hint="default" w:ascii="Times New Roman" w:hAnsi="Times New Roman" w:cs="Times New Roman"/>
                <w:color w:val="auto"/>
                <w:kern w:val="2"/>
                <w:sz w:val="24"/>
                <w:szCs w:val="24"/>
                <w:u w:val="none" w:color="auto"/>
                <w:vertAlign w:val="superscript"/>
              </w:rPr>
              <w:t>3</w:t>
            </w:r>
            <w:r>
              <w:rPr>
                <w:rFonts w:hint="default" w:ascii="Times New Roman" w:hAnsi="Times New Roman" w:cs="Times New Roman"/>
                <w:color w:val="auto"/>
                <w:kern w:val="2"/>
                <w:sz w:val="24"/>
                <w:szCs w:val="24"/>
                <w:u w:val="none" w:color="auto"/>
              </w:rPr>
              <w:t>/t-产品。</w:t>
            </w:r>
          </w:p>
          <w:p w14:paraId="6E5A5F59">
            <w:pPr>
              <w:keepNext w:val="0"/>
              <w:keepLines w:val="0"/>
              <w:widowControl/>
              <w:suppressLineNumbers w:val="0"/>
              <w:snapToGrid w:val="0"/>
              <w:spacing w:before="0" w:beforeLines="0" w:beforeAutospacing="0" w:after="0" w:afterLines="0" w:afterAutospacing="0"/>
              <w:ind w:left="0" w:right="0" w:firstLine="480" w:firstLineChars="200"/>
              <w:jc w:val="both"/>
              <w:rPr>
                <w:rFonts w:hint="default" w:ascii="Times New Roman" w:hAnsi="Times New Roman" w:cs="Times New Roman"/>
                <w:color w:val="auto"/>
                <w:kern w:val="2"/>
                <w:sz w:val="24"/>
                <w:szCs w:val="24"/>
                <w:highlight w:val="yellow"/>
                <w:u w:val="none" w:color="auto"/>
              </w:rPr>
            </w:pPr>
            <w:r>
              <w:rPr>
                <w:rFonts w:hint="default" w:ascii="Times New Roman" w:hAnsi="Times New Roman" w:cs="Times New Roman"/>
                <w:color w:val="auto"/>
                <w:kern w:val="2"/>
                <w:sz w:val="24"/>
                <w:szCs w:val="24"/>
                <w:u w:val="none" w:color="auto"/>
              </w:rPr>
              <w:t>本项目铸件</w:t>
            </w:r>
            <w:r>
              <w:rPr>
                <w:rFonts w:hint="eastAsia" w:ascii="Times New Roman" w:hAnsi="Times New Roman" w:cs="Times New Roman"/>
                <w:color w:val="auto"/>
                <w:kern w:val="2"/>
                <w:sz w:val="24"/>
                <w:szCs w:val="24"/>
                <w:u w:val="none" w:color="auto"/>
                <w:lang w:val="en-US" w:eastAsia="zh-CN"/>
              </w:rPr>
              <w:t>产量为5000</w:t>
            </w:r>
            <w:r>
              <w:rPr>
                <w:rFonts w:hint="default" w:ascii="Times New Roman" w:hAnsi="Times New Roman" w:cs="Times New Roman"/>
                <w:color w:val="auto"/>
                <w:kern w:val="2"/>
                <w:sz w:val="24"/>
                <w:szCs w:val="24"/>
                <w:u w:val="none" w:color="auto"/>
              </w:rPr>
              <w:t>吨，则经计算烟尘产生量为</w:t>
            </w:r>
            <w:r>
              <w:rPr>
                <w:rFonts w:hint="eastAsia" w:ascii="Times New Roman" w:hAnsi="Times New Roman" w:cs="Times New Roman"/>
                <w:color w:val="auto"/>
                <w:kern w:val="2"/>
                <w:sz w:val="24"/>
                <w:szCs w:val="24"/>
                <w:u w:val="none" w:color="auto"/>
                <w:lang w:val="en-US" w:eastAsia="zh-CN"/>
              </w:rPr>
              <w:t>2.395</w:t>
            </w:r>
            <w:r>
              <w:rPr>
                <w:rFonts w:hint="default" w:ascii="Times New Roman" w:hAnsi="Times New Roman" w:cs="Times New Roman"/>
                <w:color w:val="auto"/>
                <w:kern w:val="2"/>
                <w:sz w:val="24"/>
                <w:szCs w:val="24"/>
                <w:u w:val="none" w:color="auto"/>
              </w:rPr>
              <w:t>t/a，拟在中频炉上方</w:t>
            </w:r>
            <w:r>
              <w:rPr>
                <w:rFonts w:hint="default" w:ascii="Times New Roman" w:hAnsi="Times New Roman" w:cs="Times New Roman"/>
                <w:color w:val="auto"/>
                <w:kern w:val="2"/>
                <w:sz w:val="24"/>
                <w:szCs w:val="24"/>
                <w:u w:val="none" w:color="auto"/>
                <w:lang w:val="en-US" w:eastAsia="zh-CN"/>
              </w:rPr>
              <w:t>设置炉盖一体化</w:t>
            </w:r>
            <w:r>
              <w:rPr>
                <w:rFonts w:hint="eastAsia" w:ascii="Times New Roman" w:hAnsi="Times New Roman" w:cs="Times New Roman"/>
                <w:color w:val="auto"/>
                <w:kern w:val="2"/>
                <w:sz w:val="24"/>
                <w:szCs w:val="24"/>
                <w:u w:val="none" w:color="auto"/>
                <w:lang w:val="en-US" w:eastAsia="zh-CN"/>
              </w:rPr>
              <w:t>废气收集</w:t>
            </w:r>
            <w:r>
              <w:rPr>
                <w:rFonts w:hint="default" w:ascii="Times New Roman" w:hAnsi="Times New Roman" w:cs="Times New Roman"/>
                <w:color w:val="auto"/>
                <w:kern w:val="2"/>
                <w:sz w:val="24"/>
                <w:szCs w:val="24"/>
                <w:u w:val="none" w:color="auto"/>
                <w:lang w:val="en-US" w:eastAsia="zh-CN"/>
              </w:rPr>
              <w:t>装置</w:t>
            </w:r>
            <w:r>
              <w:rPr>
                <w:rFonts w:hint="default" w:ascii="Times New Roman" w:hAnsi="Times New Roman" w:cs="Times New Roman"/>
                <w:color w:val="auto"/>
                <w:kern w:val="2"/>
                <w:sz w:val="24"/>
                <w:szCs w:val="24"/>
                <w:u w:val="none" w:color="auto"/>
              </w:rPr>
              <w:t>。参考《袋式除尘工程通用技术规范》</w:t>
            </w:r>
            <w:r>
              <w:rPr>
                <w:rFonts w:hint="eastAsia" w:ascii="Times New Roman" w:hAnsi="Times New Roman" w:cs="Times New Roman"/>
                <w:color w:val="auto"/>
                <w:kern w:val="2"/>
                <w:sz w:val="24"/>
                <w:szCs w:val="24"/>
                <w:u w:val="none" w:color="auto"/>
                <w:lang w:eastAsia="zh-CN"/>
              </w:rPr>
              <w:t>（</w:t>
            </w:r>
            <w:r>
              <w:rPr>
                <w:rFonts w:hint="default" w:ascii="Times New Roman" w:hAnsi="Times New Roman" w:cs="Times New Roman"/>
                <w:color w:val="auto"/>
                <w:kern w:val="2"/>
                <w:sz w:val="24"/>
                <w:szCs w:val="24"/>
                <w:u w:val="none" w:color="auto"/>
              </w:rPr>
              <w:t>HJ2020-2012</w:t>
            </w:r>
            <w:r>
              <w:rPr>
                <w:rFonts w:hint="eastAsia" w:ascii="Times New Roman" w:hAnsi="Times New Roman" w:cs="Times New Roman"/>
                <w:color w:val="auto"/>
                <w:kern w:val="2"/>
                <w:sz w:val="24"/>
                <w:szCs w:val="24"/>
                <w:u w:val="none" w:color="auto"/>
                <w:lang w:eastAsia="zh-CN"/>
              </w:rPr>
              <w:t>）</w:t>
            </w:r>
            <w:r>
              <w:rPr>
                <w:rFonts w:hint="default" w:ascii="Times New Roman" w:hAnsi="Times New Roman" w:cs="Times New Roman"/>
                <w:color w:val="auto"/>
                <w:kern w:val="2"/>
                <w:sz w:val="24"/>
                <w:szCs w:val="24"/>
                <w:u w:val="none" w:color="auto"/>
              </w:rPr>
              <w:t>，集气罩应能实现对烟气</w:t>
            </w:r>
            <w:r>
              <w:rPr>
                <w:rFonts w:hint="eastAsia" w:ascii="Times New Roman" w:hAnsi="Times New Roman" w:cs="Times New Roman"/>
                <w:color w:val="auto"/>
                <w:kern w:val="2"/>
                <w:sz w:val="24"/>
                <w:szCs w:val="24"/>
                <w:u w:val="none" w:color="auto"/>
                <w:lang w:eastAsia="zh-CN"/>
              </w:rPr>
              <w:t>（</w:t>
            </w:r>
            <w:r>
              <w:rPr>
                <w:rFonts w:hint="default" w:ascii="Times New Roman" w:hAnsi="Times New Roman" w:cs="Times New Roman"/>
                <w:color w:val="auto"/>
                <w:kern w:val="2"/>
                <w:sz w:val="24"/>
                <w:szCs w:val="24"/>
                <w:u w:val="none" w:color="auto"/>
              </w:rPr>
              <w:t>尘</w:t>
            </w:r>
            <w:r>
              <w:rPr>
                <w:rFonts w:hint="eastAsia" w:ascii="Times New Roman" w:hAnsi="Times New Roman" w:cs="Times New Roman"/>
                <w:color w:val="auto"/>
                <w:kern w:val="2"/>
                <w:sz w:val="24"/>
                <w:szCs w:val="24"/>
                <w:u w:val="none" w:color="auto"/>
                <w:lang w:eastAsia="zh-CN"/>
              </w:rPr>
              <w:t>）</w:t>
            </w:r>
            <w:r>
              <w:rPr>
                <w:rFonts w:hint="default" w:ascii="Times New Roman" w:hAnsi="Times New Roman" w:cs="Times New Roman"/>
                <w:color w:val="auto"/>
                <w:kern w:val="2"/>
                <w:sz w:val="24"/>
                <w:szCs w:val="24"/>
                <w:u w:val="none" w:color="auto"/>
              </w:rPr>
              <w:t>的捕集效果，捕集率不低于：密闭罩100%、半密闭罩95%、吹吸罩90%、屋顶排烟罩90%。根据本项目特点，中频炉在投加金属、投加</w:t>
            </w:r>
            <w:r>
              <w:rPr>
                <w:rFonts w:hint="eastAsia" w:ascii="Times New Roman" w:hAnsi="Times New Roman" w:cs="Times New Roman"/>
                <w:color w:val="auto"/>
                <w:kern w:val="2"/>
                <w:sz w:val="24"/>
                <w:szCs w:val="24"/>
                <w:u w:val="none" w:color="auto"/>
                <w:lang w:val="en-US" w:eastAsia="zh-CN"/>
              </w:rPr>
              <w:t>辅料</w:t>
            </w:r>
            <w:r>
              <w:rPr>
                <w:rFonts w:hint="default" w:ascii="Times New Roman" w:hAnsi="Times New Roman" w:cs="Times New Roman"/>
                <w:color w:val="auto"/>
                <w:kern w:val="2"/>
                <w:sz w:val="24"/>
                <w:szCs w:val="24"/>
                <w:u w:val="none" w:color="auto"/>
              </w:rPr>
              <w:t>、开炉的时候会有部分废气溢出，因此本项目炉盖一体化装置收集效率按90%计。经计算，本工艺中产生的颗粒物为</w:t>
            </w:r>
            <w:r>
              <w:rPr>
                <w:rFonts w:hint="eastAsia" w:ascii="Times New Roman" w:hAnsi="Times New Roman" w:cs="Times New Roman"/>
                <w:color w:val="auto"/>
                <w:kern w:val="2"/>
                <w:sz w:val="24"/>
                <w:szCs w:val="24"/>
                <w:u w:val="none" w:color="auto"/>
                <w:lang w:val="en-US" w:eastAsia="zh-CN"/>
              </w:rPr>
              <w:t>2.395</w:t>
            </w:r>
            <w:r>
              <w:rPr>
                <w:rFonts w:hint="default" w:ascii="Times New Roman" w:hAnsi="Times New Roman" w:cs="Times New Roman"/>
                <w:color w:val="auto"/>
                <w:kern w:val="2"/>
                <w:sz w:val="24"/>
                <w:szCs w:val="24"/>
                <w:u w:val="none" w:color="auto"/>
              </w:rPr>
              <w:t>t/a，熔炼废气（颗粒物）有组织收集量为</w:t>
            </w:r>
            <w:r>
              <w:rPr>
                <w:rFonts w:hint="eastAsia" w:ascii="Times New Roman" w:hAnsi="Times New Roman" w:cs="Times New Roman"/>
                <w:color w:val="auto"/>
                <w:kern w:val="2"/>
                <w:sz w:val="24"/>
                <w:szCs w:val="24"/>
                <w:u w:val="none" w:color="auto"/>
                <w:lang w:val="en-US" w:eastAsia="zh-CN"/>
              </w:rPr>
              <w:t>2.156</w:t>
            </w:r>
            <w:r>
              <w:rPr>
                <w:rFonts w:hint="default" w:ascii="Times New Roman" w:hAnsi="Times New Roman" w:cs="Times New Roman"/>
                <w:color w:val="auto"/>
                <w:kern w:val="2"/>
                <w:sz w:val="24"/>
                <w:szCs w:val="24"/>
                <w:u w:val="none" w:color="auto"/>
              </w:rPr>
              <w:t>t/a，无组织排放量为0.</w:t>
            </w:r>
            <w:r>
              <w:rPr>
                <w:rFonts w:hint="eastAsia" w:ascii="Times New Roman" w:hAnsi="Times New Roman" w:cs="Times New Roman"/>
                <w:color w:val="auto"/>
                <w:kern w:val="2"/>
                <w:sz w:val="24"/>
                <w:szCs w:val="24"/>
                <w:u w:val="none" w:color="auto"/>
                <w:lang w:val="en-US" w:eastAsia="zh-CN"/>
              </w:rPr>
              <w:t>240</w:t>
            </w:r>
            <w:r>
              <w:rPr>
                <w:rFonts w:hint="default" w:ascii="Times New Roman" w:hAnsi="Times New Roman" w:cs="Times New Roman"/>
                <w:color w:val="auto"/>
                <w:kern w:val="2"/>
                <w:sz w:val="24"/>
                <w:szCs w:val="24"/>
                <w:u w:val="none" w:color="auto"/>
              </w:rPr>
              <w:t>t/a，无组织排放速率为0.0</w:t>
            </w:r>
            <w:r>
              <w:rPr>
                <w:rFonts w:hint="eastAsia" w:ascii="Times New Roman" w:hAnsi="Times New Roman" w:cs="Times New Roman"/>
                <w:color w:val="auto"/>
                <w:kern w:val="2"/>
                <w:sz w:val="24"/>
                <w:szCs w:val="24"/>
                <w:u w:val="none" w:color="auto"/>
                <w:lang w:val="en-US" w:eastAsia="zh-CN"/>
              </w:rPr>
              <w:t>67</w:t>
            </w:r>
            <w:r>
              <w:rPr>
                <w:rFonts w:hint="default" w:ascii="Times New Roman" w:hAnsi="Times New Roman" w:cs="Times New Roman"/>
                <w:color w:val="auto"/>
                <w:kern w:val="2"/>
                <w:sz w:val="24"/>
                <w:szCs w:val="24"/>
                <w:u w:val="none" w:color="auto"/>
              </w:rPr>
              <w:t>kg/h。</w:t>
            </w:r>
          </w:p>
          <w:p w14:paraId="326F4EFA">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1.3</w:t>
            </w:r>
            <w:r>
              <w:rPr>
                <w:rFonts w:hint="eastAsia" w:ascii="Times New Roman" w:hAnsi="Times New Roman" w:cs="Times New Roman"/>
                <w:b/>
                <w:color w:val="auto"/>
                <w:sz w:val="24"/>
                <w:szCs w:val="24"/>
                <w:lang w:val="en-US" w:eastAsia="zh-CN"/>
              </w:rPr>
              <w:t>造型</w:t>
            </w:r>
            <w:r>
              <w:rPr>
                <w:rFonts w:hint="default" w:ascii="Times New Roman" w:hAnsi="Times New Roman" w:cs="Times New Roman"/>
                <w:b/>
                <w:color w:val="auto"/>
                <w:sz w:val="24"/>
                <w:szCs w:val="24"/>
              </w:rPr>
              <w:t>废气</w:t>
            </w:r>
          </w:p>
          <w:p w14:paraId="70A96AD5">
            <w:pPr>
              <w:keepNext w:val="0"/>
              <w:keepLines w:val="0"/>
              <w:widowControl/>
              <w:suppressLineNumbers w:val="0"/>
              <w:autoSpaceDE w:val="0"/>
              <w:snapToGrid w:val="0"/>
              <w:spacing w:before="0" w:beforeAutospacing="0" w:after="0" w:afterAutospacing="0"/>
              <w:ind w:left="0" w:right="0" w:firstLine="480" w:firstLineChars="200"/>
              <w:jc w:val="both"/>
              <w:rPr>
                <w:rFonts w:hint="default" w:ascii="Times New Roman" w:hAnsi="Times New Roman" w:cs="Times New Roman"/>
                <w:color w:val="auto"/>
                <w:kern w:val="2"/>
                <w:sz w:val="24"/>
                <w:szCs w:val="24"/>
              </w:rPr>
            </w:pPr>
            <w:r>
              <w:rPr>
                <w:rFonts w:hint="default" w:ascii="Times New Roman" w:hAnsi="Times New Roman" w:cs="Times New Roman"/>
                <w:color w:val="auto"/>
                <w:kern w:val="2"/>
                <w:sz w:val="24"/>
                <w:szCs w:val="24"/>
                <w:lang w:bidi="ar"/>
              </w:rPr>
              <w:t>根据《排放源统计调查产排污核算方法和系数手册—机械行业系数手册》中“造型/浇注”工艺中产排污系数表，本项目产污情况如下表。</w:t>
            </w:r>
          </w:p>
          <w:p w14:paraId="2429A40B">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b/>
                <w:color w:val="auto"/>
                <w:kern w:val="2"/>
                <w:sz w:val="21"/>
                <w:szCs w:val="21"/>
                <w:lang w:bidi="ar"/>
              </w:rPr>
            </w:pPr>
            <w:r>
              <w:rPr>
                <w:rFonts w:hint="default" w:ascii="Times New Roman" w:hAnsi="Times New Roman" w:cs="Times New Roman"/>
                <w:b/>
                <w:color w:val="auto"/>
                <w:kern w:val="2"/>
                <w:sz w:val="21"/>
                <w:szCs w:val="21"/>
                <w:lang w:bidi="ar"/>
              </w:rPr>
              <w:t xml:space="preserve">表4-2 </w:t>
            </w:r>
            <w:r>
              <w:rPr>
                <w:rFonts w:hint="default" w:ascii="Times New Roman" w:hAnsi="Times New Roman" w:cs="Times New Roman"/>
                <w:b/>
                <w:color w:val="auto"/>
                <w:kern w:val="2"/>
                <w:sz w:val="21"/>
                <w:szCs w:val="21"/>
                <w:lang w:val="en-US" w:eastAsia="zh-CN" w:bidi="ar"/>
              </w:rPr>
              <w:t>造型</w:t>
            </w:r>
            <w:r>
              <w:rPr>
                <w:rFonts w:hint="default" w:ascii="Times New Roman" w:hAnsi="Times New Roman" w:cs="Times New Roman"/>
                <w:b/>
                <w:color w:val="auto"/>
                <w:kern w:val="2"/>
                <w:sz w:val="21"/>
                <w:szCs w:val="21"/>
                <w:lang w:bidi="ar"/>
              </w:rPr>
              <w:t>废气产排污情况一览表</w:t>
            </w:r>
          </w:p>
          <w:tbl>
            <w:tblPr>
              <w:tblStyle w:val="56"/>
              <w:tblW w:w="4999" w:type="pct"/>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744"/>
              <w:gridCol w:w="1156"/>
              <w:gridCol w:w="1350"/>
              <w:gridCol w:w="1500"/>
              <w:gridCol w:w="1395"/>
              <w:gridCol w:w="825"/>
              <w:gridCol w:w="1311"/>
            </w:tblGrid>
            <w:tr w14:paraId="2C1A034C">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tcBorders>
                    <w:top w:val="single" w:color="auto" w:sz="8" w:space="0"/>
                    <w:left w:val="single" w:color="auto" w:sz="8" w:space="0"/>
                    <w:bottom w:val="single" w:color="auto" w:sz="2" w:space="0"/>
                    <w:right w:val="single" w:color="auto" w:sz="2" w:space="0"/>
                    <w:tl2br w:val="nil"/>
                    <w:tr2bl w:val="nil"/>
                  </w:tcBorders>
                  <w:noWrap w:val="0"/>
                  <w:vAlign w:val="center"/>
                </w:tcPr>
                <w:p w14:paraId="71991E63">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产品名称</w:t>
                  </w:r>
                </w:p>
              </w:tc>
              <w:tc>
                <w:tcPr>
                  <w:tcW w:w="1156" w:type="dxa"/>
                  <w:tcBorders>
                    <w:top w:val="single" w:color="auto" w:sz="8" w:space="0"/>
                    <w:left w:val="single" w:color="auto" w:sz="2" w:space="0"/>
                    <w:bottom w:val="single" w:color="auto" w:sz="2" w:space="0"/>
                    <w:right w:val="single" w:color="auto" w:sz="2" w:space="0"/>
                    <w:tl2br w:val="nil"/>
                    <w:tr2bl w:val="nil"/>
                  </w:tcBorders>
                  <w:noWrap w:val="0"/>
                  <w:vAlign w:val="center"/>
                </w:tcPr>
                <w:p w14:paraId="1EE11DDF">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原料名称</w:t>
                  </w:r>
                </w:p>
              </w:tc>
              <w:tc>
                <w:tcPr>
                  <w:tcW w:w="1350" w:type="dxa"/>
                  <w:tcBorders>
                    <w:top w:val="single" w:color="auto" w:sz="8" w:space="0"/>
                    <w:left w:val="single" w:color="auto" w:sz="2" w:space="0"/>
                    <w:bottom w:val="single" w:color="auto" w:sz="2" w:space="0"/>
                    <w:right w:val="single" w:color="auto" w:sz="2" w:space="0"/>
                    <w:tl2br w:val="nil"/>
                    <w:tr2bl w:val="nil"/>
                  </w:tcBorders>
                  <w:noWrap w:val="0"/>
                  <w:vAlign w:val="center"/>
                </w:tcPr>
                <w:p w14:paraId="2700B98D">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工艺名称</w:t>
                  </w:r>
                </w:p>
              </w:tc>
              <w:tc>
                <w:tcPr>
                  <w:tcW w:w="1500" w:type="dxa"/>
                  <w:tcBorders>
                    <w:top w:val="single" w:color="auto" w:sz="8" w:space="0"/>
                    <w:left w:val="single" w:color="auto" w:sz="2" w:space="0"/>
                    <w:bottom w:val="single" w:color="auto" w:sz="2" w:space="0"/>
                    <w:right w:val="single" w:color="auto" w:sz="2" w:space="0"/>
                    <w:tl2br w:val="nil"/>
                    <w:tr2bl w:val="nil"/>
                  </w:tcBorders>
                  <w:noWrap w:val="0"/>
                  <w:vAlign w:val="center"/>
                </w:tcPr>
                <w:p w14:paraId="4477B31A">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污染物指标</w:t>
                  </w:r>
                </w:p>
              </w:tc>
              <w:tc>
                <w:tcPr>
                  <w:tcW w:w="139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063AF8C1">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单位</w:t>
                  </w:r>
                </w:p>
              </w:tc>
              <w:tc>
                <w:tcPr>
                  <w:tcW w:w="82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0B66E2E3">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产物系数</w:t>
                  </w:r>
                </w:p>
              </w:tc>
              <w:tc>
                <w:tcPr>
                  <w:tcW w:w="1311" w:type="dxa"/>
                  <w:tcBorders>
                    <w:top w:val="single" w:color="auto" w:sz="8" w:space="0"/>
                    <w:left w:val="single" w:color="auto" w:sz="2" w:space="0"/>
                    <w:bottom w:val="single" w:color="auto" w:sz="2" w:space="0"/>
                    <w:right w:val="single" w:color="auto" w:sz="8" w:space="0"/>
                    <w:tl2br w:val="nil"/>
                    <w:tr2bl w:val="nil"/>
                  </w:tcBorders>
                  <w:noWrap w:val="0"/>
                  <w:vAlign w:val="center"/>
                </w:tcPr>
                <w:p w14:paraId="66D92568">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末端治理技术</w:t>
                  </w:r>
                </w:p>
              </w:tc>
            </w:tr>
            <w:tr w14:paraId="70BF5223">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vMerge w:val="restart"/>
                  <w:tcBorders>
                    <w:left w:val="single" w:color="auto" w:sz="8" w:space="0"/>
                    <w:right w:val="single" w:color="auto" w:sz="2" w:space="0"/>
                    <w:tl2br w:val="nil"/>
                    <w:tr2bl w:val="nil"/>
                  </w:tcBorders>
                  <w:noWrap w:val="0"/>
                  <w:vAlign w:val="center"/>
                </w:tcPr>
                <w:p w14:paraId="4B42CF16">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0"/>
                      <w:szCs w:val="20"/>
                      <w:lang w:val="en-US" w:eastAsia="zh-CN"/>
                    </w:rPr>
                  </w:pPr>
                  <w:r>
                    <w:rPr>
                      <w:rFonts w:hint="eastAsia" w:ascii="Times New Roman" w:hAnsi="Times New Roman" w:cs="Times New Roman"/>
                      <w:color w:val="auto"/>
                      <w:sz w:val="20"/>
                      <w:szCs w:val="20"/>
                      <w:lang w:val="en-US" w:eastAsia="zh-CN"/>
                    </w:rPr>
                    <w:t>铸件</w:t>
                  </w:r>
                </w:p>
              </w:tc>
              <w:tc>
                <w:tcPr>
                  <w:tcW w:w="1156" w:type="dxa"/>
                  <w:vMerge w:val="restart"/>
                  <w:tcBorders>
                    <w:top w:val="single" w:color="auto" w:sz="2" w:space="0"/>
                    <w:left w:val="single" w:color="auto" w:sz="2" w:space="0"/>
                    <w:bottom w:val="single" w:color="auto" w:sz="2" w:space="0"/>
                    <w:right w:val="single" w:color="auto" w:sz="2" w:space="0"/>
                    <w:tl2br w:val="nil"/>
                    <w:tr2bl w:val="nil"/>
                  </w:tcBorders>
                  <w:noWrap w:val="0"/>
                  <w:vAlign w:val="center"/>
                </w:tcPr>
                <w:p w14:paraId="7AF53F6C">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lang w:bidi="ar"/>
                    </w:rPr>
                  </w:pPr>
                  <w:r>
                    <w:rPr>
                      <w:rFonts w:hint="default" w:ascii="Times New Roman" w:hAnsi="Times New Roman" w:cs="Times New Roman"/>
                      <w:color w:val="auto"/>
                      <w:sz w:val="21"/>
                      <w:szCs w:val="21"/>
                      <w:lang w:bidi="ar"/>
                    </w:rPr>
                    <w:t>金属液等、脱模剂</w:t>
                  </w:r>
                </w:p>
              </w:tc>
              <w:tc>
                <w:tcPr>
                  <w:tcW w:w="1350" w:type="dxa"/>
                  <w:vMerge w:val="restart"/>
                  <w:tcBorders>
                    <w:top w:val="single" w:color="auto" w:sz="2" w:space="0"/>
                    <w:left w:val="single" w:color="auto" w:sz="2" w:space="0"/>
                    <w:bottom w:val="single" w:color="auto" w:sz="2" w:space="0"/>
                    <w:right w:val="single" w:color="auto" w:sz="2" w:space="0"/>
                    <w:tl2br w:val="nil"/>
                    <w:tr2bl w:val="nil"/>
                  </w:tcBorders>
                  <w:noWrap w:val="0"/>
                  <w:vAlign w:val="center"/>
                </w:tcPr>
                <w:p w14:paraId="1CE27311">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lang w:bidi="ar"/>
                    </w:rPr>
                  </w:pPr>
                  <w:r>
                    <w:rPr>
                      <w:rFonts w:hint="default" w:ascii="Times New Roman" w:hAnsi="Times New Roman" w:cs="Times New Roman"/>
                      <w:color w:val="auto"/>
                      <w:sz w:val="21"/>
                      <w:szCs w:val="21"/>
                      <w:lang w:bidi="ar"/>
                    </w:rPr>
                    <w:t>造型/浇注</w:t>
                  </w:r>
                  <w:r>
                    <w:rPr>
                      <w:rFonts w:hint="eastAsia" w:ascii="Times New Roman" w:hAnsi="Times New Roman" w:cs="Times New Roman"/>
                      <w:color w:val="auto"/>
                      <w:sz w:val="21"/>
                      <w:szCs w:val="21"/>
                      <w:lang w:eastAsia="zh-CN" w:bidi="ar"/>
                    </w:rPr>
                    <w:t>（</w:t>
                  </w:r>
                  <w:r>
                    <w:rPr>
                      <w:rFonts w:hint="default" w:ascii="Times New Roman" w:hAnsi="Times New Roman" w:cs="Times New Roman"/>
                      <w:color w:val="auto"/>
                      <w:sz w:val="21"/>
                      <w:szCs w:val="21"/>
                      <w:lang w:bidi="ar"/>
                    </w:rPr>
                    <w:t>重力、低压：限金属型，石膏/陶瓷型/石墨型等</w:t>
                  </w:r>
                  <w:r>
                    <w:rPr>
                      <w:rFonts w:hint="eastAsia" w:ascii="Times New Roman" w:hAnsi="Times New Roman" w:cs="Times New Roman"/>
                      <w:color w:val="auto"/>
                      <w:sz w:val="21"/>
                      <w:szCs w:val="21"/>
                      <w:lang w:eastAsia="zh-CN" w:bidi="ar"/>
                    </w:rPr>
                    <w:t>）</w:t>
                  </w:r>
                </w:p>
              </w:tc>
              <w:tc>
                <w:tcPr>
                  <w:tcW w:w="1500" w:type="dxa"/>
                  <w:tcBorders>
                    <w:top w:val="single" w:color="auto" w:sz="2" w:space="0"/>
                    <w:left w:val="single" w:color="auto" w:sz="2" w:space="0"/>
                    <w:bottom w:val="single" w:color="auto" w:sz="2" w:space="0"/>
                    <w:right w:val="single" w:color="auto" w:sz="2" w:space="0"/>
                    <w:tl2br w:val="nil"/>
                    <w:tr2bl w:val="nil"/>
                  </w:tcBorders>
                  <w:noWrap w:val="0"/>
                  <w:vAlign w:val="center"/>
                </w:tcPr>
                <w:p w14:paraId="0719FE75">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工业废气量</w:t>
                  </w:r>
                </w:p>
              </w:tc>
              <w:tc>
                <w:tcPr>
                  <w:tcW w:w="139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5D2FD9D7">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立方米/吨产品</w:t>
                  </w:r>
                </w:p>
              </w:tc>
              <w:tc>
                <w:tcPr>
                  <w:tcW w:w="82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28F034D3">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6000</w:t>
                  </w:r>
                </w:p>
              </w:tc>
              <w:tc>
                <w:tcPr>
                  <w:tcW w:w="1311" w:type="dxa"/>
                  <w:tcBorders>
                    <w:top w:val="single" w:color="auto" w:sz="2" w:space="0"/>
                    <w:left w:val="single" w:color="auto" w:sz="2" w:space="0"/>
                    <w:bottom w:val="single" w:color="auto" w:sz="2" w:space="0"/>
                    <w:right w:val="single" w:color="auto" w:sz="8" w:space="0"/>
                    <w:tl2br w:val="nil"/>
                    <w:tr2bl w:val="nil"/>
                  </w:tcBorders>
                  <w:noWrap w:val="0"/>
                  <w:vAlign w:val="center"/>
                </w:tcPr>
                <w:p w14:paraId="0EAB87A0">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7FD29CE6">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vMerge w:val="continue"/>
                  <w:tcBorders>
                    <w:left w:val="single" w:color="auto" w:sz="8" w:space="0"/>
                    <w:right w:val="single" w:color="auto" w:sz="2" w:space="0"/>
                    <w:tl2br w:val="nil"/>
                    <w:tr2bl w:val="nil"/>
                  </w:tcBorders>
                  <w:noWrap w:val="0"/>
                  <w:vAlign w:val="center"/>
                </w:tcPr>
                <w:p w14:paraId="0BDE3E02">
                  <w:pPr>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color w:val="auto"/>
                      <w:sz w:val="20"/>
                      <w:szCs w:val="20"/>
                    </w:rPr>
                  </w:pPr>
                </w:p>
              </w:tc>
              <w:tc>
                <w:tcPr>
                  <w:tcW w:w="1156" w:type="dxa"/>
                  <w:vMerge w:val="continue"/>
                  <w:tcBorders>
                    <w:top w:val="single" w:color="auto" w:sz="2" w:space="0"/>
                    <w:left w:val="single" w:color="auto" w:sz="2" w:space="0"/>
                    <w:bottom w:val="single" w:color="auto" w:sz="2" w:space="0"/>
                    <w:right w:val="single" w:color="auto" w:sz="2" w:space="0"/>
                    <w:tl2br w:val="nil"/>
                    <w:tr2bl w:val="nil"/>
                  </w:tcBorders>
                  <w:noWrap w:val="0"/>
                  <w:vAlign w:val="center"/>
                </w:tcPr>
                <w:p w14:paraId="640525A3">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 w:val="20"/>
                      <w:szCs w:val="20"/>
                    </w:rPr>
                  </w:pPr>
                </w:p>
              </w:tc>
              <w:tc>
                <w:tcPr>
                  <w:tcW w:w="1350" w:type="dxa"/>
                  <w:vMerge w:val="continue"/>
                  <w:tcBorders>
                    <w:top w:val="single" w:color="auto" w:sz="2" w:space="0"/>
                    <w:left w:val="single" w:color="auto" w:sz="2" w:space="0"/>
                    <w:bottom w:val="single" w:color="auto" w:sz="2" w:space="0"/>
                    <w:right w:val="single" w:color="auto" w:sz="2" w:space="0"/>
                    <w:tl2br w:val="nil"/>
                    <w:tr2bl w:val="nil"/>
                  </w:tcBorders>
                  <w:noWrap w:val="0"/>
                  <w:vAlign w:val="center"/>
                </w:tcPr>
                <w:p w14:paraId="3D994736">
                  <w:pPr>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color w:val="auto"/>
                      <w:sz w:val="20"/>
                      <w:szCs w:val="20"/>
                    </w:rPr>
                  </w:pPr>
                </w:p>
              </w:tc>
              <w:tc>
                <w:tcPr>
                  <w:tcW w:w="1500" w:type="dxa"/>
                  <w:tcBorders>
                    <w:top w:val="single" w:color="auto" w:sz="2" w:space="0"/>
                    <w:left w:val="single" w:color="auto" w:sz="2" w:space="0"/>
                    <w:bottom w:val="single" w:color="auto" w:sz="2" w:space="0"/>
                    <w:right w:val="single" w:color="auto" w:sz="2" w:space="0"/>
                    <w:tl2br w:val="nil"/>
                    <w:tr2bl w:val="nil"/>
                  </w:tcBorders>
                  <w:noWrap w:val="0"/>
                  <w:vAlign w:val="center"/>
                </w:tcPr>
                <w:p w14:paraId="5874BF80">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颗粒物</w:t>
                  </w:r>
                </w:p>
              </w:tc>
              <w:tc>
                <w:tcPr>
                  <w:tcW w:w="139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61E7DBC0">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千克/吨产品</w:t>
                  </w:r>
                </w:p>
              </w:tc>
              <w:tc>
                <w:tcPr>
                  <w:tcW w:w="82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40F91C05">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0.247</w:t>
                  </w:r>
                </w:p>
              </w:tc>
              <w:tc>
                <w:tcPr>
                  <w:tcW w:w="1311" w:type="dxa"/>
                  <w:tcBorders>
                    <w:top w:val="single" w:color="auto" w:sz="2" w:space="0"/>
                    <w:left w:val="single" w:color="auto" w:sz="2" w:space="0"/>
                    <w:bottom w:val="single" w:color="auto" w:sz="2" w:space="0"/>
                    <w:right w:val="single" w:color="auto" w:sz="8" w:space="0"/>
                    <w:tl2br w:val="nil"/>
                    <w:tr2bl w:val="nil"/>
                  </w:tcBorders>
                  <w:noWrap w:val="0"/>
                  <w:vAlign w:val="center"/>
                </w:tcPr>
                <w:p w14:paraId="4905A330">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袋式除尘</w:t>
                  </w:r>
                </w:p>
              </w:tc>
            </w:tr>
          </w:tbl>
          <w:p w14:paraId="2B7892CD">
            <w:pPr>
              <w:keepNext w:val="0"/>
              <w:keepLines w:val="0"/>
              <w:widowControl/>
              <w:suppressLineNumbers w:val="0"/>
              <w:snapToGrid w:val="0"/>
              <w:spacing w:before="0" w:beforeAutospacing="0" w:after="0" w:afterAutospacing="0"/>
              <w:ind w:left="0" w:right="0" w:firstLine="480" w:firstLineChars="200"/>
              <w:jc w:val="both"/>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rPr>
              <w:t>造型过程中产生的废气，参照《排放源统计调查产排污核算方法和系数手册—机械行业系数手册》中“造型/浇注</w:t>
            </w:r>
            <w:r>
              <w:rPr>
                <w:rFonts w:hint="eastAsia" w:ascii="Times New Roman" w:hAnsi="Times New Roman" w:cs="Times New Roman"/>
                <w:color w:val="auto"/>
                <w:kern w:val="2"/>
                <w:sz w:val="24"/>
                <w:szCs w:val="24"/>
                <w:u w:val="none" w:color="auto"/>
                <w:lang w:eastAsia="zh-CN"/>
              </w:rPr>
              <w:t>（</w:t>
            </w:r>
            <w:r>
              <w:rPr>
                <w:rFonts w:hint="default" w:ascii="Times New Roman" w:hAnsi="Times New Roman" w:cs="Times New Roman"/>
                <w:color w:val="auto"/>
                <w:kern w:val="2"/>
                <w:sz w:val="24"/>
                <w:szCs w:val="24"/>
                <w:u w:val="none" w:color="auto"/>
              </w:rPr>
              <w:t>重力、低压：限金属型，石膏/陶瓷型/石墨型等</w:t>
            </w:r>
            <w:r>
              <w:rPr>
                <w:rFonts w:hint="eastAsia" w:ascii="Times New Roman" w:hAnsi="Times New Roman" w:cs="Times New Roman"/>
                <w:color w:val="auto"/>
                <w:kern w:val="2"/>
                <w:sz w:val="24"/>
                <w:szCs w:val="24"/>
                <w:u w:val="none" w:color="auto"/>
                <w:lang w:eastAsia="zh-CN"/>
              </w:rPr>
              <w:t>）</w:t>
            </w:r>
            <w:r>
              <w:rPr>
                <w:rFonts w:hint="default" w:ascii="Times New Roman" w:hAnsi="Times New Roman" w:cs="Times New Roman"/>
                <w:color w:val="auto"/>
                <w:kern w:val="2"/>
                <w:sz w:val="24"/>
                <w:szCs w:val="24"/>
                <w:u w:val="none" w:color="auto"/>
              </w:rPr>
              <w:t>”工艺颗粒物产污系数为0.</w:t>
            </w:r>
            <w:r>
              <w:rPr>
                <w:rFonts w:hint="eastAsia" w:ascii="Times New Roman" w:hAnsi="Times New Roman" w:cs="Times New Roman"/>
                <w:color w:val="auto"/>
                <w:kern w:val="2"/>
                <w:sz w:val="24"/>
                <w:szCs w:val="24"/>
                <w:u w:val="none" w:color="auto"/>
                <w:lang w:val="en-US" w:eastAsia="zh-CN"/>
              </w:rPr>
              <w:t>247</w:t>
            </w:r>
            <w:r>
              <w:rPr>
                <w:rFonts w:hint="default" w:ascii="Times New Roman" w:hAnsi="Times New Roman" w:cs="Times New Roman"/>
                <w:color w:val="auto"/>
                <w:kern w:val="2"/>
                <w:sz w:val="24"/>
                <w:szCs w:val="24"/>
                <w:u w:val="none" w:color="auto"/>
              </w:rPr>
              <w:t>kg/t-产品，每天造型工序运行</w:t>
            </w:r>
            <w:r>
              <w:rPr>
                <w:rFonts w:hint="eastAsia" w:ascii="Times New Roman" w:hAnsi="Times New Roman" w:cs="Times New Roman"/>
                <w:color w:val="auto"/>
                <w:kern w:val="2"/>
                <w:sz w:val="24"/>
                <w:szCs w:val="24"/>
                <w:u w:val="none" w:color="auto"/>
                <w:lang w:val="en-US" w:eastAsia="zh-CN"/>
              </w:rPr>
              <w:t>12</w:t>
            </w:r>
            <w:r>
              <w:rPr>
                <w:rFonts w:hint="default" w:ascii="Times New Roman" w:hAnsi="Times New Roman" w:cs="Times New Roman"/>
                <w:color w:val="auto"/>
                <w:kern w:val="2"/>
                <w:sz w:val="24"/>
                <w:szCs w:val="24"/>
                <w:u w:val="none" w:color="auto"/>
              </w:rPr>
              <w:t>h，年运行时间约为</w:t>
            </w:r>
            <w:r>
              <w:rPr>
                <w:rFonts w:hint="eastAsia" w:ascii="Times New Roman" w:hAnsi="Times New Roman" w:cs="Times New Roman"/>
                <w:color w:val="auto"/>
                <w:kern w:val="2"/>
                <w:sz w:val="24"/>
                <w:szCs w:val="24"/>
                <w:u w:val="none" w:color="auto"/>
                <w:lang w:val="en-US" w:eastAsia="zh-CN"/>
              </w:rPr>
              <w:t>3600</w:t>
            </w:r>
            <w:r>
              <w:rPr>
                <w:rFonts w:hint="default" w:ascii="Times New Roman" w:hAnsi="Times New Roman" w:cs="Times New Roman"/>
                <w:color w:val="auto"/>
                <w:kern w:val="2"/>
                <w:sz w:val="24"/>
                <w:szCs w:val="24"/>
                <w:u w:val="none" w:color="auto"/>
              </w:rPr>
              <w:t>h</w:t>
            </w:r>
            <w:r>
              <w:rPr>
                <w:rFonts w:hint="eastAsia" w:ascii="Times New Roman" w:hAnsi="Times New Roman" w:cs="Times New Roman"/>
                <w:color w:val="auto"/>
                <w:kern w:val="2"/>
                <w:sz w:val="24"/>
                <w:szCs w:val="24"/>
                <w:u w:val="none" w:color="auto"/>
                <w:lang w:eastAsia="zh-CN"/>
              </w:rPr>
              <w:t>。</w:t>
            </w:r>
            <w:r>
              <w:rPr>
                <w:rFonts w:hint="default" w:ascii="Times New Roman" w:hAnsi="Times New Roman" w:cs="Times New Roman"/>
                <w:color w:val="auto"/>
                <w:kern w:val="2"/>
                <w:sz w:val="24"/>
                <w:szCs w:val="24"/>
                <w:u w:val="none" w:color="auto"/>
              </w:rPr>
              <w:t>本项目</w:t>
            </w:r>
            <w:r>
              <w:rPr>
                <w:rFonts w:hint="default" w:ascii="Times New Roman" w:hAnsi="Times New Roman" w:cs="Times New Roman"/>
                <w:color w:val="auto"/>
                <w:kern w:val="2"/>
                <w:sz w:val="24"/>
                <w:szCs w:val="24"/>
                <w:u w:val="none" w:color="auto"/>
                <w:lang w:val="en-US" w:eastAsia="zh-CN"/>
              </w:rPr>
              <w:t>造型</w:t>
            </w:r>
            <w:r>
              <w:rPr>
                <w:rFonts w:hint="eastAsia" w:ascii="Times New Roman" w:hAnsi="Times New Roman" w:cs="Times New Roman"/>
                <w:color w:val="auto"/>
                <w:kern w:val="2"/>
                <w:sz w:val="24"/>
                <w:szCs w:val="24"/>
                <w:u w:val="none" w:color="auto"/>
                <w:lang w:val="en-US" w:eastAsia="zh-CN"/>
              </w:rPr>
              <w:t>工序采用集气罩对废气进行收集，</w:t>
            </w:r>
            <w:r>
              <w:rPr>
                <w:rFonts w:hint="default" w:ascii="Times New Roman" w:hAnsi="Times New Roman" w:cs="Times New Roman"/>
                <w:color w:val="auto"/>
                <w:kern w:val="2"/>
                <w:sz w:val="24"/>
                <w:szCs w:val="24"/>
                <w:u w:val="none" w:color="auto"/>
              </w:rPr>
              <w:t>采用的集气罩属于顶吸罩，</w:t>
            </w:r>
            <w:r>
              <w:rPr>
                <w:rFonts w:hint="default" w:ascii="Times New Roman" w:hAnsi="Times New Roman" w:cs="Times New Roman"/>
                <w:color w:val="auto"/>
                <w:kern w:val="2"/>
                <w:sz w:val="24"/>
                <w:szCs w:val="24"/>
                <w:u w:val="none" w:color="auto"/>
                <w:lang w:val="en-US" w:eastAsia="zh-CN"/>
              </w:rPr>
              <w:t>根据上文分析</w:t>
            </w:r>
            <w:r>
              <w:rPr>
                <w:rFonts w:hint="default" w:ascii="Times New Roman" w:hAnsi="Times New Roman" w:cs="Times New Roman"/>
                <w:color w:val="auto"/>
                <w:kern w:val="2"/>
                <w:sz w:val="24"/>
                <w:szCs w:val="24"/>
                <w:u w:val="none" w:color="auto"/>
              </w:rPr>
              <w:t>集气罩收集效率取值为90%。经计算，本工艺中产生的颗粒物为</w:t>
            </w:r>
            <w:r>
              <w:rPr>
                <w:rFonts w:hint="eastAsia" w:ascii="Times New Roman" w:hAnsi="Times New Roman" w:cs="Times New Roman"/>
                <w:color w:val="auto"/>
                <w:kern w:val="2"/>
                <w:sz w:val="24"/>
                <w:szCs w:val="24"/>
                <w:u w:val="none" w:color="auto"/>
                <w:lang w:val="en-US" w:eastAsia="zh-CN"/>
              </w:rPr>
              <w:t>1.235</w:t>
            </w:r>
            <w:r>
              <w:rPr>
                <w:rFonts w:hint="default" w:ascii="Times New Roman" w:hAnsi="Times New Roman" w:cs="Times New Roman"/>
                <w:color w:val="auto"/>
                <w:kern w:val="2"/>
                <w:sz w:val="24"/>
                <w:szCs w:val="24"/>
                <w:u w:val="none" w:color="auto"/>
              </w:rPr>
              <w:t>t/a，则有组织废气产生量为1.</w:t>
            </w:r>
            <w:r>
              <w:rPr>
                <w:rFonts w:hint="eastAsia" w:ascii="Times New Roman" w:hAnsi="Times New Roman" w:cs="Times New Roman"/>
                <w:color w:val="auto"/>
                <w:kern w:val="2"/>
                <w:sz w:val="24"/>
                <w:szCs w:val="24"/>
                <w:u w:val="none" w:color="auto"/>
                <w:lang w:val="en-US" w:eastAsia="zh-CN"/>
              </w:rPr>
              <w:t>112</w:t>
            </w:r>
            <w:r>
              <w:rPr>
                <w:rFonts w:hint="default" w:ascii="Times New Roman" w:hAnsi="Times New Roman" w:cs="Times New Roman"/>
                <w:color w:val="auto"/>
                <w:kern w:val="2"/>
                <w:sz w:val="24"/>
                <w:szCs w:val="24"/>
                <w:u w:val="none" w:color="auto"/>
              </w:rPr>
              <w:t>t/a，无组织废气产生量为0.1</w:t>
            </w:r>
            <w:r>
              <w:rPr>
                <w:rFonts w:hint="eastAsia" w:ascii="Times New Roman" w:hAnsi="Times New Roman" w:cs="Times New Roman"/>
                <w:color w:val="auto"/>
                <w:kern w:val="2"/>
                <w:sz w:val="24"/>
                <w:szCs w:val="24"/>
                <w:u w:val="none" w:color="auto"/>
                <w:lang w:val="en-US" w:eastAsia="zh-CN"/>
              </w:rPr>
              <w:t>24</w:t>
            </w:r>
            <w:r>
              <w:rPr>
                <w:rFonts w:hint="default" w:ascii="Times New Roman" w:hAnsi="Times New Roman" w:cs="Times New Roman"/>
                <w:color w:val="auto"/>
                <w:kern w:val="2"/>
                <w:sz w:val="24"/>
                <w:szCs w:val="24"/>
                <w:u w:val="none" w:color="auto"/>
              </w:rPr>
              <w:t>t/a</w:t>
            </w:r>
            <w:r>
              <w:rPr>
                <w:rFonts w:hint="eastAsia" w:ascii="Times New Roman" w:hAnsi="Times New Roman" w:cs="Times New Roman"/>
                <w:color w:val="auto"/>
                <w:kern w:val="2"/>
                <w:sz w:val="24"/>
                <w:szCs w:val="24"/>
                <w:u w:val="none" w:color="auto"/>
                <w:lang w:eastAsia="zh-CN"/>
              </w:rPr>
              <w:t>，无组织排放速率为0.0</w:t>
            </w:r>
            <w:r>
              <w:rPr>
                <w:rFonts w:hint="eastAsia" w:ascii="Times New Roman" w:hAnsi="Times New Roman" w:cs="Times New Roman"/>
                <w:color w:val="auto"/>
                <w:kern w:val="2"/>
                <w:sz w:val="24"/>
                <w:szCs w:val="24"/>
                <w:u w:val="none" w:color="auto"/>
                <w:lang w:val="en-US" w:eastAsia="zh-CN"/>
              </w:rPr>
              <w:t>34</w:t>
            </w:r>
            <w:r>
              <w:rPr>
                <w:rFonts w:hint="eastAsia" w:ascii="Times New Roman" w:hAnsi="Times New Roman" w:cs="Times New Roman"/>
                <w:color w:val="auto"/>
                <w:kern w:val="2"/>
                <w:sz w:val="24"/>
                <w:szCs w:val="24"/>
                <w:u w:val="none" w:color="auto"/>
                <w:lang w:eastAsia="zh-CN"/>
              </w:rPr>
              <w:t>kg/h</w:t>
            </w:r>
            <w:r>
              <w:rPr>
                <w:rFonts w:hint="default" w:ascii="Times New Roman" w:hAnsi="Times New Roman" w:cs="Times New Roman"/>
                <w:color w:val="auto"/>
                <w:kern w:val="2"/>
                <w:sz w:val="24"/>
                <w:szCs w:val="24"/>
                <w:u w:val="none" w:color="auto"/>
              </w:rPr>
              <w:t>。</w:t>
            </w:r>
          </w:p>
          <w:p w14:paraId="26F0D8A5">
            <w:pPr>
              <w:keepNext w:val="0"/>
              <w:keepLines w:val="0"/>
              <w:numPr>
                <w:ilvl w:val="0"/>
                <w:numId w:val="0"/>
              </w:numPr>
              <w:suppressLineNumbers w:val="0"/>
              <w:spacing w:before="0" w:beforeLines="0" w:beforeAutospacing="0" w:after="0" w:afterLines="0" w:afterAutospacing="0"/>
              <w:ind w:left="0" w:right="0" w:firstLine="482" w:firstLineChars="200"/>
              <w:jc w:val="both"/>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1.</w:t>
            </w:r>
            <w:r>
              <w:rPr>
                <w:rFonts w:hint="eastAsia" w:ascii="Times New Roman" w:hAnsi="Times New Roman" w:cs="Times New Roman"/>
                <w:b/>
                <w:color w:val="auto"/>
                <w:sz w:val="24"/>
                <w:szCs w:val="24"/>
                <w:lang w:val="en-US" w:eastAsia="zh-CN"/>
              </w:rPr>
              <w:t>4</w:t>
            </w:r>
            <w:r>
              <w:rPr>
                <w:rFonts w:hint="default" w:ascii="Times New Roman" w:hAnsi="Times New Roman" w:cs="Times New Roman"/>
                <w:b/>
                <w:color w:val="auto"/>
                <w:sz w:val="24"/>
                <w:szCs w:val="24"/>
              </w:rPr>
              <w:t>砂处理工序</w:t>
            </w:r>
          </w:p>
          <w:p w14:paraId="5BFF02CA">
            <w:pPr>
              <w:keepNext w:val="0"/>
              <w:keepLines w:val="0"/>
              <w:widowControl/>
              <w:suppressLineNumbers w:val="0"/>
              <w:autoSpaceDE w:val="0"/>
              <w:snapToGrid w:val="0"/>
              <w:spacing w:before="0" w:beforeLines="0" w:beforeAutospacing="0" w:after="0" w:afterLines="0" w:afterAutospacing="0"/>
              <w:ind w:left="0" w:right="0" w:firstLine="480" w:firstLineChars="200"/>
              <w:jc w:val="both"/>
              <w:rPr>
                <w:rFonts w:hint="default" w:ascii="Times New Roman" w:hAnsi="Times New Roman" w:cs="Times New Roman"/>
                <w:color w:val="auto"/>
                <w:kern w:val="2"/>
                <w:sz w:val="24"/>
                <w:szCs w:val="24"/>
              </w:rPr>
            </w:pPr>
            <w:r>
              <w:rPr>
                <w:rFonts w:hint="default" w:ascii="Times New Roman" w:hAnsi="Times New Roman" w:cs="Times New Roman"/>
                <w:color w:val="auto"/>
                <w:kern w:val="2"/>
                <w:sz w:val="24"/>
                <w:szCs w:val="24"/>
                <w:lang w:bidi="ar"/>
              </w:rPr>
              <w:t>《排放源统计调查产排污核算方法和系数手册—机械行业系数手册》</w:t>
            </w:r>
            <w:r>
              <w:rPr>
                <w:rFonts w:hint="eastAsia" w:ascii="Times New Roman" w:hAnsi="Times New Roman" w:cs="Times New Roman"/>
                <w:color w:val="auto"/>
                <w:kern w:val="2"/>
                <w:sz w:val="24"/>
                <w:szCs w:val="24"/>
                <w:lang w:val="en-US" w:eastAsia="zh-CN" w:bidi="ar"/>
              </w:rPr>
              <w:t>中无金属覆砂（水玻璃砂）“砂处理”工艺产排污系数，铁模覆砂（水玻璃砂）砂处理原料与砂处理（熔模）相近，因此</w:t>
            </w:r>
            <w:r>
              <w:rPr>
                <w:rFonts w:hint="default" w:ascii="Times New Roman" w:hAnsi="Times New Roman" w:cs="Times New Roman"/>
                <w:color w:val="auto"/>
                <w:kern w:val="2"/>
                <w:sz w:val="24"/>
                <w:szCs w:val="24"/>
                <w:lang w:bidi="ar"/>
              </w:rPr>
              <w:t>根据《排放源统计调查产排污核算方法和系数手册—机械行业系数手册》中“</w:t>
            </w:r>
            <w:r>
              <w:rPr>
                <w:rFonts w:hint="default" w:ascii="Times New Roman" w:hAnsi="Times New Roman" w:cs="Times New Roman"/>
                <w:color w:val="auto"/>
                <w:kern w:val="2"/>
                <w:sz w:val="24"/>
                <w:szCs w:val="24"/>
                <w:lang w:val="en-US" w:eastAsia="zh-CN" w:bidi="ar"/>
              </w:rPr>
              <w:t>砂处理（熔模）</w:t>
            </w:r>
            <w:r>
              <w:rPr>
                <w:rFonts w:hint="default" w:ascii="Times New Roman" w:hAnsi="Times New Roman" w:cs="Times New Roman"/>
                <w:color w:val="auto"/>
                <w:kern w:val="2"/>
                <w:sz w:val="24"/>
                <w:szCs w:val="24"/>
                <w:lang w:bidi="ar"/>
              </w:rPr>
              <w:t>”工艺中产排污系数</w:t>
            </w:r>
            <w:r>
              <w:rPr>
                <w:rFonts w:hint="eastAsia" w:ascii="Times New Roman" w:hAnsi="Times New Roman" w:cs="Times New Roman"/>
                <w:color w:val="auto"/>
                <w:kern w:val="2"/>
                <w:sz w:val="24"/>
                <w:szCs w:val="24"/>
                <w:lang w:val="en-US" w:eastAsia="zh-CN" w:bidi="ar"/>
              </w:rPr>
              <w:t>进行核算</w:t>
            </w:r>
            <w:r>
              <w:rPr>
                <w:rFonts w:hint="default" w:ascii="Times New Roman" w:hAnsi="Times New Roman" w:cs="Times New Roman"/>
                <w:color w:val="auto"/>
                <w:kern w:val="2"/>
                <w:sz w:val="24"/>
                <w:szCs w:val="24"/>
                <w:lang w:bidi="ar"/>
              </w:rPr>
              <w:t>，本项目产污情况如下表。</w:t>
            </w:r>
          </w:p>
          <w:p w14:paraId="6620C78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kern w:val="2"/>
                <w:sz w:val="21"/>
                <w:szCs w:val="21"/>
                <w:lang w:bidi="ar"/>
              </w:rPr>
            </w:pPr>
          </w:p>
          <w:p w14:paraId="7439BAD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kern w:val="2"/>
                <w:sz w:val="21"/>
                <w:szCs w:val="21"/>
                <w:lang w:bidi="ar"/>
              </w:rPr>
            </w:pPr>
          </w:p>
          <w:p w14:paraId="55B4DF3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kern w:val="2"/>
                <w:sz w:val="21"/>
                <w:szCs w:val="21"/>
                <w:lang w:bidi="ar"/>
              </w:rPr>
            </w:pPr>
          </w:p>
          <w:p w14:paraId="39397AC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kern w:val="2"/>
                <w:sz w:val="21"/>
                <w:szCs w:val="21"/>
                <w:lang w:bidi="ar"/>
              </w:rPr>
            </w:pPr>
          </w:p>
          <w:p w14:paraId="11AAB09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lang w:bidi="ar"/>
              </w:rPr>
              <w:t>表4-</w:t>
            </w:r>
            <w:r>
              <w:rPr>
                <w:rFonts w:hint="eastAsia" w:ascii="Times New Roman" w:hAnsi="Times New Roman" w:cs="Times New Roman"/>
                <w:b/>
                <w:color w:val="auto"/>
                <w:kern w:val="2"/>
                <w:sz w:val="21"/>
                <w:szCs w:val="21"/>
                <w:lang w:val="en-US" w:eastAsia="zh-CN" w:bidi="ar"/>
              </w:rPr>
              <w:t>3</w:t>
            </w:r>
            <w:r>
              <w:rPr>
                <w:rFonts w:hint="default" w:ascii="Times New Roman" w:hAnsi="Times New Roman" w:cs="Times New Roman"/>
                <w:b/>
                <w:color w:val="auto"/>
                <w:kern w:val="2"/>
                <w:sz w:val="21"/>
                <w:szCs w:val="21"/>
                <w:lang w:bidi="ar"/>
              </w:rPr>
              <w:t xml:space="preserve"> 砂处理废气产排污情况一览表</w:t>
            </w:r>
          </w:p>
          <w:tbl>
            <w:tblPr>
              <w:tblStyle w:val="56"/>
              <w:tblW w:w="8281" w:type="dxa"/>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744"/>
              <w:gridCol w:w="1381"/>
              <w:gridCol w:w="1470"/>
              <w:gridCol w:w="1155"/>
              <w:gridCol w:w="1395"/>
              <w:gridCol w:w="825"/>
              <w:gridCol w:w="1311"/>
            </w:tblGrid>
            <w:tr w14:paraId="725A619C">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tcBorders>
                    <w:top w:val="single" w:color="auto" w:sz="8" w:space="0"/>
                    <w:left w:val="single" w:color="auto" w:sz="8" w:space="0"/>
                    <w:bottom w:val="single" w:color="auto" w:sz="2" w:space="0"/>
                    <w:right w:val="single" w:color="auto" w:sz="2" w:space="0"/>
                    <w:tl2br w:val="nil"/>
                    <w:tr2bl w:val="nil"/>
                  </w:tcBorders>
                  <w:noWrap w:val="0"/>
                  <w:vAlign w:val="center"/>
                </w:tcPr>
                <w:p w14:paraId="7AA1EFAC">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产品名称</w:t>
                  </w:r>
                </w:p>
              </w:tc>
              <w:tc>
                <w:tcPr>
                  <w:tcW w:w="1381" w:type="dxa"/>
                  <w:tcBorders>
                    <w:top w:val="single" w:color="auto" w:sz="8" w:space="0"/>
                    <w:left w:val="single" w:color="auto" w:sz="2" w:space="0"/>
                    <w:bottom w:val="single" w:color="auto" w:sz="2" w:space="0"/>
                    <w:right w:val="single" w:color="auto" w:sz="2" w:space="0"/>
                    <w:tl2br w:val="nil"/>
                    <w:tr2bl w:val="nil"/>
                  </w:tcBorders>
                  <w:noWrap w:val="0"/>
                  <w:vAlign w:val="center"/>
                </w:tcPr>
                <w:p w14:paraId="1E3D5EBF">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原料名称</w:t>
                  </w:r>
                </w:p>
              </w:tc>
              <w:tc>
                <w:tcPr>
                  <w:tcW w:w="1470" w:type="dxa"/>
                  <w:tcBorders>
                    <w:top w:val="single" w:color="auto" w:sz="8" w:space="0"/>
                    <w:left w:val="single" w:color="auto" w:sz="2" w:space="0"/>
                    <w:bottom w:val="single" w:color="auto" w:sz="2" w:space="0"/>
                    <w:right w:val="single" w:color="auto" w:sz="2" w:space="0"/>
                    <w:tl2br w:val="nil"/>
                    <w:tr2bl w:val="nil"/>
                  </w:tcBorders>
                  <w:noWrap w:val="0"/>
                  <w:vAlign w:val="center"/>
                </w:tcPr>
                <w:p w14:paraId="3DA7ABBF">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工艺名称</w:t>
                  </w:r>
                </w:p>
              </w:tc>
              <w:tc>
                <w:tcPr>
                  <w:tcW w:w="115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433FA76A">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污染物指标</w:t>
                  </w:r>
                </w:p>
              </w:tc>
              <w:tc>
                <w:tcPr>
                  <w:tcW w:w="139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5BC29BBC">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单位</w:t>
                  </w:r>
                </w:p>
              </w:tc>
              <w:tc>
                <w:tcPr>
                  <w:tcW w:w="82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4FF2DF6E">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产物系数</w:t>
                  </w:r>
                </w:p>
              </w:tc>
              <w:tc>
                <w:tcPr>
                  <w:tcW w:w="1311" w:type="dxa"/>
                  <w:tcBorders>
                    <w:top w:val="single" w:color="auto" w:sz="8" w:space="0"/>
                    <w:left w:val="single" w:color="auto" w:sz="2" w:space="0"/>
                    <w:bottom w:val="single" w:color="auto" w:sz="2" w:space="0"/>
                    <w:right w:val="single" w:color="auto" w:sz="8" w:space="0"/>
                    <w:tl2br w:val="nil"/>
                    <w:tr2bl w:val="nil"/>
                  </w:tcBorders>
                  <w:noWrap w:val="0"/>
                  <w:vAlign w:val="center"/>
                </w:tcPr>
                <w:p w14:paraId="6820EB16">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末端治理技术</w:t>
                  </w:r>
                </w:p>
              </w:tc>
            </w:tr>
            <w:tr w14:paraId="533BFF5A">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vMerge w:val="restart"/>
                  <w:tcBorders>
                    <w:top w:val="single" w:color="auto" w:sz="2" w:space="0"/>
                    <w:left w:val="single" w:color="auto" w:sz="8" w:space="0"/>
                    <w:bottom w:val="single" w:color="auto" w:sz="2" w:space="0"/>
                    <w:right w:val="single" w:color="auto" w:sz="2" w:space="0"/>
                    <w:tl2br w:val="nil"/>
                    <w:tr2bl w:val="nil"/>
                  </w:tcBorders>
                  <w:noWrap w:val="0"/>
                  <w:vAlign w:val="center"/>
                </w:tcPr>
                <w:p w14:paraId="5548E944">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铸件</w:t>
                  </w:r>
                </w:p>
              </w:tc>
              <w:tc>
                <w:tcPr>
                  <w:tcW w:w="1381" w:type="dxa"/>
                  <w:vMerge w:val="restart"/>
                  <w:tcBorders>
                    <w:top w:val="single" w:color="auto" w:sz="2" w:space="0"/>
                    <w:left w:val="single" w:color="auto" w:sz="2" w:space="0"/>
                    <w:bottom w:val="single" w:color="auto" w:sz="2" w:space="0"/>
                    <w:right w:val="single" w:color="auto" w:sz="2" w:space="0"/>
                    <w:tl2br w:val="nil"/>
                    <w:tr2bl w:val="nil"/>
                  </w:tcBorders>
                  <w:noWrap w:val="0"/>
                  <w:vAlign w:val="center"/>
                </w:tcPr>
                <w:p w14:paraId="560BC702">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水玻璃、硅溶胶、原砂、再生砂、硬化剂</w:t>
                  </w:r>
                </w:p>
              </w:tc>
              <w:tc>
                <w:tcPr>
                  <w:tcW w:w="1470" w:type="dxa"/>
                  <w:vMerge w:val="restart"/>
                  <w:tcBorders>
                    <w:top w:val="single" w:color="auto" w:sz="2" w:space="0"/>
                    <w:left w:val="single" w:color="auto" w:sz="2" w:space="0"/>
                    <w:bottom w:val="single" w:color="auto" w:sz="2" w:space="0"/>
                    <w:right w:val="single" w:color="auto" w:sz="2" w:space="0"/>
                    <w:tl2br w:val="nil"/>
                    <w:tr2bl w:val="nil"/>
                  </w:tcBorders>
                  <w:noWrap w:val="0"/>
                  <w:vAlign w:val="center"/>
                </w:tcPr>
                <w:p w14:paraId="6A858F01">
                  <w:pPr>
                    <w:keepNext w:val="0"/>
                    <w:keepLines w:val="0"/>
                    <w:widowControl/>
                    <w:suppressLineNumbers w:val="0"/>
                    <w:autoSpaceDE w:val="0"/>
                    <w:snapToGrid w:val="0"/>
                    <w:spacing w:before="0" w:beforeAutospacing="0" w:after="0" w:afterAutospacing="0" w:line="240" w:lineRule="auto"/>
                    <w:ind w:left="0" w:right="0"/>
                    <w:jc w:val="center"/>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bidi="ar"/>
                    </w:rPr>
                    <w:t>砂处理</w:t>
                  </w:r>
                  <w:r>
                    <w:rPr>
                      <w:rFonts w:hint="eastAsia" w:ascii="Times New Roman" w:hAnsi="Times New Roman" w:cs="Times New Roman"/>
                      <w:color w:val="auto"/>
                      <w:sz w:val="21"/>
                      <w:szCs w:val="21"/>
                      <w:lang w:eastAsia="zh-CN" w:bidi="ar"/>
                    </w:rPr>
                    <w:t>（</w:t>
                  </w:r>
                  <w:r>
                    <w:rPr>
                      <w:rFonts w:hint="eastAsia" w:ascii="Times New Roman" w:hAnsi="Times New Roman" w:cs="Times New Roman"/>
                      <w:color w:val="auto"/>
                      <w:sz w:val="21"/>
                      <w:szCs w:val="21"/>
                      <w:lang w:val="en-US" w:eastAsia="zh-CN" w:bidi="ar"/>
                    </w:rPr>
                    <w:t>熔模</w:t>
                  </w:r>
                  <w:r>
                    <w:rPr>
                      <w:rFonts w:hint="eastAsia" w:ascii="Times New Roman" w:hAnsi="Times New Roman" w:cs="Times New Roman"/>
                      <w:color w:val="auto"/>
                      <w:sz w:val="21"/>
                      <w:szCs w:val="21"/>
                      <w:lang w:eastAsia="zh-CN" w:bidi="ar"/>
                    </w:rPr>
                    <w:t>）</w:t>
                  </w:r>
                </w:p>
              </w:tc>
              <w:tc>
                <w:tcPr>
                  <w:tcW w:w="115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4BF8C5FF">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工业废气量</w:t>
                  </w:r>
                </w:p>
              </w:tc>
              <w:tc>
                <w:tcPr>
                  <w:tcW w:w="139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75C6BFEC">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立方米/吨产品</w:t>
                  </w:r>
                </w:p>
              </w:tc>
              <w:tc>
                <w:tcPr>
                  <w:tcW w:w="82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1ED3026F">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15347</w:t>
                  </w:r>
                </w:p>
              </w:tc>
              <w:tc>
                <w:tcPr>
                  <w:tcW w:w="1311" w:type="dxa"/>
                  <w:tcBorders>
                    <w:top w:val="single" w:color="auto" w:sz="2" w:space="0"/>
                    <w:left w:val="single" w:color="auto" w:sz="2" w:space="0"/>
                    <w:bottom w:val="single" w:color="auto" w:sz="2" w:space="0"/>
                    <w:right w:val="single" w:color="auto" w:sz="8" w:space="0"/>
                    <w:tl2br w:val="nil"/>
                    <w:tr2bl w:val="nil"/>
                  </w:tcBorders>
                  <w:noWrap w:val="0"/>
                  <w:vAlign w:val="center"/>
                </w:tcPr>
                <w:p w14:paraId="52854388">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34063CD2">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vMerge w:val="continue"/>
                  <w:tcBorders>
                    <w:top w:val="single" w:color="auto" w:sz="2" w:space="0"/>
                    <w:left w:val="single" w:color="auto" w:sz="8" w:space="0"/>
                    <w:bottom w:val="single" w:color="auto" w:sz="2" w:space="0"/>
                    <w:right w:val="single" w:color="auto" w:sz="2" w:space="0"/>
                    <w:tl2br w:val="nil"/>
                    <w:tr2bl w:val="nil"/>
                  </w:tcBorders>
                  <w:noWrap w:val="0"/>
                  <w:vAlign w:val="center"/>
                </w:tcPr>
                <w:p w14:paraId="37C43282">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lang w:bidi="ar"/>
                    </w:rPr>
                  </w:pPr>
                </w:p>
              </w:tc>
              <w:tc>
                <w:tcPr>
                  <w:tcW w:w="1381" w:type="dxa"/>
                  <w:vMerge w:val="continue"/>
                  <w:tcBorders>
                    <w:top w:val="single" w:color="auto" w:sz="2" w:space="0"/>
                    <w:left w:val="single" w:color="auto" w:sz="2" w:space="0"/>
                    <w:bottom w:val="single" w:color="auto" w:sz="2" w:space="0"/>
                    <w:right w:val="single" w:color="auto" w:sz="2" w:space="0"/>
                    <w:tl2br w:val="nil"/>
                    <w:tr2bl w:val="nil"/>
                  </w:tcBorders>
                  <w:noWrap w:val="0"/>
                  <w:vAlign w:val="center"/>
                </w:tcPr>
                <w:p w14:paraId="57E0B56A">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lang w:bidi="ar"/>
                    </w:rPr>
                  </w:pPr>
                </w:p>
              </w:tc>
              <w:tc>
                <w:tcPr>
                  <w:tcW w:w="1470" w:type="dxa"/>
                  <w:vMerge w:val="continue"/>
                  <w:tcBorders>
                    <w:top w:val="single" w:color="auto" w:sz="2" w:space="0"/>
                    <w:left w:val="single" w:color="auto" w:sz="2" w:space="0"/>
                    <w:bottom w:val="single" w:color="auto" w:sz="2" w:space="0"/>
                    <w:right w:val="single" w:color="auto" w:sz="2" w:space="0"/>
                    <w:tl2br w:val="nil"/>
                    <w:tr2bl w:val="nil"/>
                  </w:tcBorders>
                  <w:noWrap w:val="0"/>
                  <w:vAlign w:val="center"/>
                </w:tcPr>
                <w:p w14:paraId="05EE6898">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lang w:bidi="ar"/>
                    </w:rPr>
                  </w:pPr>
                </w:p>
              </w:tc>
              <w:tc>
                <w:tcPr>
                  <w:tcW w:w="115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6AAAAD42">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颗粒物</w:t>
                  </w:r>
                </w:p>
              </w:tc>
              <w:tc>
                <w:tcPr>
                  <w:tcW w:w="139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77732A73">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千克/吨产品</w:t>
                  </w:r>
                </w:p>
              </w:tc>
              <w:tc>
                <w:tcPr>
                  <w:tcW w:w="82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0873435E">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bidi="ar"/>
                    </w:rPr>
                    <w:t>3.48</w:t>
                  </w:r>
                </w:p>
              </w:tc>
              <w:tc>
                <w:tcPr>
                  <w:tcW w:w="1311" w:type="dxa"/>
                  <w:tcBorders>
                    <w:top w:val="single" w:color="auto" w:sz="2" w:space="0"/>
                    <w:left w:val="single" w:color="auto" w:sz="2" w:space="0"/>
                    <w:bottom w:val="single" w:color="auto" w:sz="2" w:space="0"/>
                    <w:right w:val="single" w:color="auto" w:sz="8" w:space="0"/>
                    <w:tl2br w:val="nil"/>
                    <w:tr2bl w:val="nil"/>
                  </w:tcBorders>
                  <w:noWrap w:val="0"/>
                  <w:vAlign w:val="center"/>
                </w:tcPr>
                <w:p w14:paraId="13096CE0">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袋式除尘</w:t>
                  </w:r>
                </w:p>
              </w:tc>
            </w:tr>
          </w:tbl>
          <w:p w14:paraId="45392DA9">
            <w:pPr>
              <w:keepNext w:val="0"/>
              <w:keepLines w:val="0"/>
              <w:widowControl/>
              <w:suppressLineNumbers w:val="0"/>
              <w:snapToGrid w:val="0"/>
              <w:spacing w:before="0" w:beforeLines="0" w:beforeAutospacing="0" w:after="0" w:afterLines="0" w:afterAutospacing="0"/>
              <w:ind w:left="0" w:right="0" w:firstLine="480" w:firstLineChars="200"/>
              <w:jc w:val="both"/>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砂处理工序年运行时间为</w:t>
            </w:r>
            <w:r>
              <w:rPr>
                <w:rFonts w:hint="eastAsia" w:ascii="Times New Roman" w:hAnsi="Times New Roman" w:cs="Times New Roman"/>
                <w:color w:val="auto"/>
                <w:sz w:val="24"/>
                <w:szCs w:val="24"/>
                <w:u w:val="none" w:color="auto"/>
                <w:lang w:val="en-US" w:eastAsia="zh-CN"/>
              </w:rPr>
              <w:t>3600</w:t>
            </w:r>
            <w:r>
              <w:rPr>
                <w:rFonts w:hint="default" w:ascii="Times New Roman" w:hAnsi="Times New Roman" w:cs="Times New Roman"/>
                <w:color w:val="auto"/>
                <w:sz w:val="24"/>
                <w:szCs w:val="24"/>
                <w:u w:val="none" w:color="auto"/>
              </w:rPr>
              <w:t>h，本项目砂处理</w:t>
            </w:r>
            <w:r>
              <w:rPr>
                <w:rFonts w:hint="default" w:ascii="Times New Roman" w:hAnsi="Times New Roman" w:cs="Times New Roman"/>
                <w:color w:val="auto"/>
                <w:sz w:val="24"/>
                <w:szCs w:val="24"/>
                <w:u w:val="none" w:color="auto"/>
                <w:lang w:val="en-US" w:eastAsia="zh-CN"/>
              </w:rPr>
              <w:t>工序密闭</w:t>
            </w:r>
            <w:r>
              <w:rPr>
                <w:rFonts w:hint="default" w:ascii="Times New Roman" w:hAnsi="Times New Roman" w:cs="Times New Roman"/>
                <w:color w:val="auto"/>
                <w:sz w:val="24"/>
                <w:szCs w:val="24"/>
                <w:u w:val="none" w:color="auto"/>
              </w:rPr>
              <w:t>，</w:t>
            </w:r>
            <w:r>
              <w:rPr>
                <w:rFonts w:hint="eastAsia" w:ascii="Times New Roman" w:hAnsi="Times New Roman" w:cs="Times New Roman"/>
                <w:color w:val="auto"/>
                <w:sz w:val="24"/>
                <w:szCs w:val="24"/>
                <w:u w:val="none" w:color="auto"/>
                <w:lang w:val="en-US" w:eastAsia="zh-CN"/>
              </w:rPr>
              <w:t>砂处理</w:t>
            </w:r>
            <w:r>
              <w:rPr>
                <w:rFonts w:hint="default" w:ascii="Times New Roman" w:hAnsi="Times New Roman" w:cs="Times New Roman"/>
                <w:color w:val="auto"/>
                <w:sz w:val="24"/>
                <w:szCs w:val="24"/>
                <w:u w:val="none" w:color="auto"/>
              </w:rPr>
              <w:t>废气经设备密闭操作+自带集气管道收集，集气效率</w:t>
            </w:r>
            <w:r>
              <w:rPr>
                <w:rFonts w:hint="default" w:ascii="Times New Roman" w:hAnsi="Times New Roman" w:cs="Times New Roman"/>
                <w:color w:val="auto"/>
                <w:sz w:val="24"/>
                <w:szCs w:val="24"/>
                <w:u w:val="none" w:color="auto"/>
                <w:lang w:val="en-US" w:eastAsia="zh-CN"/>
              </w:rPr>
              <w:t>按</w:t>
            </w:r>
            <w:r>
              <w:rPr>
                <w:rFonts w:hint="default" w:ascii="Times New Roman" w:hAnsi="Times New Roman" w:cs="Times New Roman"/>
                <w:color w:val="auto"/>
                <w:sz w:val="24"/>
                <w:szCs w:val="24"/>
                <w:u w:val="none" w:color="auto"/>
              </w:rPr>
              <w:t>9</w:t>
            </w:r>
            <w:r>
              <w:rPr>
                <w:rFonts w:hint="default" w:ascii="Times New Roman" w:hAnsi="Times New Roman" w:cs="Times New Roman"/>
                <w:color w:val="auto"/>
                <w:sz w:val="24"/>
                <w:szCs w:val="24"/>
                <w:u w:val="none" w:color="auto"/>
                <w:lang w:val="en-US" w:eastAsia="zh-CN"/>
              </w:rPr>
              <w:t>8</w:t>
            </w:r>
            <w:r>
              <w:rPr>
                <w:rFonts w:hint="default" w:ascii="Times New Roman" w:hAnsi="Times New Roman" w:cs="Times New Roman"/>
                <w:color w:val="auto"/>
                <w:sz w:val="24"/>
                <w:szCs w:val="24"/>
                <w:u w:val="none" w:color="auto"/>
              </w:rPr>
              <w:t>%</w:t>
            </w:r>
            <w:r>
              <w:rPr>
                <w:rFonts w:hint="default" w:ascii="Times New Roman" w:hAnsi="Times New Roman" w:cs="Times New Roman"/>
                <w:color w:val="auto"/>
                <w:sz w:val="24"/>
                <w:szCs w:val="24"/>
                <w:u w:val="none" w:color="auto"/>
                <w:lang w:val="en-US" w:eastAsia="zh-CN"/>
              </w:rPr>
              <w:t>计</w:t>
            </w:r>
            <w:r>
              <w:rPr>
                <w:rFonts w:hint="default" w:ascii="Times New Roman" w:hAnsi="Times New Roman" w:cs="Times New Roman"/>
                <w:color w:val="auto"/>
                <w:sz w:val="24"/>
                <w:szCs w:val="24"/>
                <w:u w:val="none" w:color="auto"/>
              </w:rPr>
              <w:t>，经计算，本工艺中产生的颗粒物为</w:t>
            </w:r>
            <w:r>
              <w:rPr>
                <w:rFonts w:hint="eastAsia" w:ascii="Times New Roman" w:hAnsi="Times New Roman" w:cs="Times New Roman"/>
                <w:color w:val="auto"/>
                <w:sz w:val="24"/>
                <w:szCs w:val="24"/>
                <w:u w:val="none" w:color="auto"/>
                <w:lang w:val="en-US" w:eastAsia="zh-CN"/>
              </w:rPr>
              <w:t>17.400</w:t>
            </w:r>
            <w:r>
              <w:rPr>
                <w:rFonts w:hint="default" w:ascii="Times New Roman" w:hAnsi="Times New Roman" w:cs="Times New Roman"/>
                <w:color w:val="auto"/>
                <w:sz w:val="24"/>
                <w:szCs w:val="24"/>
                <w:u w:val="none" w:color="auto"/>
              </w:rPr>
              <w:t>t/a，则有组织废气颗粒物产生量为</w:t>
            </w:r>
            <w:r>
              <w:rPr>
                <w:rFonts w:hint="eastAsia" w:ascii="Times New Roman" w:hAnsi="Times New Roman" w:cs="Times New Roman"/>
                <w:color w:val="auto"/>
                <w:sz w:val="24"/>
                <w:szCs w:val="24"/>
                <w:u w:val="none" w:color="auto"/>
                <w:lang w:val="en-US" w:eastAsia="zh-CN"/>
              </w:rPr>
              <w:t>17.052</w:t>
            </w:r>
            <w:r>
              <w:rPr>
                <w:rFonts w:hint="default" w:ascii="Times New Roman" w:hAnsi="Times New Roman" w:cs="Times New Roman"/>
                <w:color w:val="auto"/>
                <w:sz w:val="24"/>
                <w:szCs w:val="24"/>
                <w:u w:val="none" w:color="auto"/>
              </w:rPr>
              <w:t>t/a，无组织废气颗粒物产生量为0.</w:t>
            </w:r>
            <w:r>
              <w:rPr>
                <w:rFonts w:hint="eastAsia" w:ascii="Times New Roman" w:hAnsi="Times New Roman" w:cs="Times New Roman"/>
                <w:color w:val="auto"/>
                <w:sz w:val="24"/>
                <w:szCs w:val="24"/>
                <w:u w:val="none" w:color="auto"/>
                <w:lang w:val="en-US" w:eastAsia="zh-CN"/>
              </w:rPr>
              <w:t>348</w:t>
            </w:r>
            <w:r>
              <w:rPr>
                <w:rFonts w:hint="default" w:ascii="Times New Roman" w:hAnsi="Times New Roman" w:cs="Times New Roman"/>
                <w:color w:val="auto"/>
                <w:sz w:val="24"/>
                <w:szCs w:val="24"/>
                <w:u w:val="none" w:color="auto"/>
              </w:rPr>
              <w:t>t/a</w:t>
            </w:r>
            <w:r>
              <w:rPr>
                <w:rFonts w:hint="default" w:ascii="Times New Roman" w:hAnsi="Times New Roman" w:cs="Times New Roman"/>
                <w:color w:val="auto"/>
                <w:sz w:val="24"/>
                <w:szCs w:val="24"/>
                <w:u w:val="none" w:color="auto"/>
                <w:lang w:eastAsia="zh-CN"/>
              </w:rPr>
              <w:t>，无组织排放速率为0.</w:t>
            </w:r>
            <w:r>
              <w:rPr>
                <w:rFonts w:hint="eastAsia" w:ascii="Times New Roman" w:hAnsi="Times New Roman" w:cs="Times New Roman"/>
                <w:color w:val="auto"/>
                <w:sz w:val="24"/>
                <w:szCs w:val="24"/>
                <w:u w:val="none" w:color="auto"/>
                <w:lang w:val="en-US" w:eastAsia="zh-CN"/>
              </w:rPr>
              <w:t>097</w:t>
            </w:r>
            <w:r>
              <w:rPr>
                <w:rFonts w:hint="default" w:ascii="Times New Roman" w:hAnsi="Times New Roman" w:cs="Times New Roman"/>
                <w:color w:val="auto"/>
                <w:sz w:val="24"/>
                <w:szCs w:val="24"/>
                <w:u w:val="none" w:color="auto"/>
                <w:lang w:eastAsia="zh-CN"/>
              </w:rPr>
              <w:t>kg/h</w:t>
            </w:r>
            <w:r>
              <w:rPr>
                <w:rFonts w:hint="default" w:ascii="Times New Roman" w:hAnsi="Times New Roman" w:cs="Times New Roman"/>
                <w:color w:val="auto"/>
                <w:sz w:val="24"/>
                <w:szCs w:val="24"/>
                <w:u w:val="none" w:color="auto"/>
              </w:rPr>
              <w:t>。</w:t>
            </w:r>
          </w:p>
          <w:p w14:paraId="78EAD0E4">
            <w:pPr>
              <w:keepNext w:val="0"/>
              <w:keepLines w:val="0"/>
              <w:numPr>
                <w:ilvl w:val="0"/>
                <w:numId w:val="0"/>
              </w:numPr>
              <w:suppressLineNumbers w:val="0"/>
              <w:spacing w:before="0" w:beforeLines="0" w:beforeAutospacing="0" w:after="0" w:afterLines="0" w:afterAutospacing="0"/>
              <w:ind w:left="0" w:right="0" w:firstLine="482" w:firstLineChars="200"/>
              <w:jc w:val="both"/>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1.</w:t>
            </w:r>
            <w:r>
              <w:rPr>
                <w:rFonts w:hint="eastAsia" w:ascii="Times New Roman" w:hAnsi="Times New Roman" w:cs="Times New Roman"/>
                <w:b/>
                <w:color w:val="auto"/>
                <w:sz w:val="24"/>
                <w:szCs w:val="24"/>
                <w:lang w:val="en-US" w:eastAsia="zh-CN"/>
              </w:rPr>
              <w:t>5</w:t>
            </w:r>
            <w:r>
              <w:rPr>
                <w:rFonts w:hint="eastAsia" w:ascii="Times New Roman" w:hAnsi="Times New Roman" w:cs="Times New Roman"/>
                <w:b/>
                <w:bCs/>
                <w:color w:val="auto"/>
                <w:kern w:val="2"/>
                <w:sz w:val="24"/>
                <w:szCs w:val="24"/>
                <w:lang w:val="en-US" w:eastAsia="zh-CN" w:bidi="ar"/>
              </w:rPr>
              <w:t>打磨清理</w:t>
            </w:r>
            <w:r>
              <w:rPr>
                <w:rFonts w:hint="default" w:ascii="Times New Roman" w:hAnsi="Times New Roman" w:cs="Times New Roman"/>
                <w:b/>
                <w:color w:val="auto"/>
                <w:sz w:val="24"/>
                <w:szCs w:val="24"/>
              </w:rPr>
              <w:t>废气</w:t>
            </w:r>
          </w:p>
          <w:p w14:paraId="3285CDCB">
            <w:pPr>
              <w:keepNext w:val="0"/>
              <w:keepLines w:val="0"/>
              <w:widowControl/>
              <w:numPr>
                <w:ilvl w:val="0"/>
                <w:numId w:val="0"/>
              </w:numPr>
              <w:suppressLineNumbers w:val="0"/>
              <w:autoSpaceDE w:val="0"/>
              <w:snapToGrid w:val="0"/>
              <w:spacing w:before="0" w:beforeAutospacing="0" w:after="0" w:afterAutospacing="0"/>
              <w:ind w:left="0" w:right="0" w:rightChars="0" w:firstLine="480" w:firstLineChars="200"/>
              <w:jc w:val="both"/>
              <w:rPr>
                <w:rFonts w:hint="default" w:ascii="Times New Roman" w:hAnsi="Times New Roman" w:cs="Times New Roman"/>
                <w:color w:val="auto"/>
                <w:kern w:val="2"/>
                <w:sz w:val="24"/>
                <w:szCs w:val="24"/>
              </w:rPr>
            </w:pPr>
            <w:r>
              <w:rPr>
                <w:rFonts w:hint="default" w:ascii="Times New Roman" w:hAnsi="Times New Roman" w:cs="Times New Roman"/>
                <w:color w:val="auto"/>
                <w:kern w:val="2"/>
                <w:sz w:val="24"/>
                <w:szCs w:val="24"/>
                <w:lang w:bidi="ar"/>
              </w:rPr>
              <w:t>根据《排放源统计调查产排污核算方法和系数手册—机械行业系数手册》中“预处理”工艺中产排污系数表，本项目</w:t>
            </w:r>
            <w:r>
              <w:rPr>
                <w:rFonts w:hint="eastAsia" w:ascii="Times New Roman" w:hAnsi="Times New Roman" w:cs="Times New Roman"/>
                <w:color w:val="auto"/>
                <w:kern w:val="2"/>
                <w:sz w:val="24"/>
                <w:szCs w:val="24"/>
                <w:lang w:val="en-US" w:eastAsia="zh-CN" w:bidi="ar"/>
              </w:rPr>
              <w:t>打磨</w:t>
            </w:r>
            <w:r>
              <w:rPr>
                <w:rFonts w:hint="default" w:ascii="Times New Roman" w:hAnsi="Times New Roman" w:cs="Times New Roman"/>
                <w:color w:val="auto"/>
                <w:kern w:val="2"/>
                <w:sz w:val="24"/>
                <w:szCs w:val="24"/>
                <w:lang w:bidi="ar"/>
              </w:rPr>
              <w:t>清理工序产污情况如下表。</w:t>
            </w:r>
          </w:p>
          <w:p w14:paraId="1156A155">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lang w:bidi="ar"/>
              </w:rPr>
              <w:t>表4-</w:t>
            </w:r>
            <w:r>
              <w:rPr>
                <w:rFonts w:hint="eastAsia" w:ascii="Times New Roman" w:hAnsi="Times New Roman" w:cs="Times New Roman"/>
                <w:b/>
                <w:color w:val="auto"/>
                <w:kern w:val="2"/>
                <w:sz w:val="21"/>
                <w:szCs w:val="21"/>
                <w:lang w:val="en-US" w:eastAsia="zh-CN" w:bidi="ar"/>
              </w:rPr>
              <w:t>4</w:t>
            </w:r>
            <w:r>
              <w:rPr>
                <w:rFonts w:hint="default" w:ascii="Times New Roman" w:hAnsi="Times New Roman" w:cs="Times New Roman"/>
                <w:b/>
                <w:color w:val="auto"/>
                <w:kern w:val="2"/>
                <w:sz w:val="21"/>
                <w:szCs w:val="21"/>
                <w:lang w:bidi="ar"/>
              </w:rPr>
              <w:t xml:space="preserve"> </w:t>
            </w:r>
            <w:r>
              <w:rPr>
                <w:rFonts w:hint="eastAsia" w:ascii="Times New Roman" w:hAnsi="Times New Roman" w:cs="Times New Roman"/>
                <w:b/>
                <w:color w:val="auto"/>
                <w:kern w:val="2"/>
                <w:sz w:val="21"/>
                <w:szCs w:val="21"/>
                <w:lang w:val="en-US" w:eastAsia="zh-CN" w:bidi="ar"/>
              </w:rPr>
              <w:t>打磨</w:t>
            </w:r>
            <w:r>
              <w:rPr>
                <w:rFonts w:hint="default" w:ascii="Times New Roman" w:hAnsi="Times New Roman" w:cs="Times New Roman"/>
                <w:b/>
                <w:color w:val="auto"/>
                <w:kern w:val="2"/>
                <w:sz w:val="21"/>
                <w:szCs w:val="21"/>
                <w:lang w:bidi="ar"/>
              </w:rPr>
              <w:t>清理废气产排污情况一览表</w:t>
            </w:r>
          </w:p>
          <w:tbl>
            <w:tblPr>
              <w:tblStyle w:val="56"/>
              <w:tblW w:w="8281" w:type="dxa"/>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744"/>
              <w:gridCol w:w="2221"/>
              <w:gridCol w:w="1095"/>
              <w:gridCol w:w="1080"/>
              <w:gridCol w:w="1005"/>
              <w:gridCol w:w="825"/>
              <w:gridCol w:w="1311"/>
            </w:tblGrid>
            <w:tr w14:paraId="167BF1AE">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tcBorders>
                    <w:top w:val="single" w:color="auto" w:sz="8" w:space="0"/>
                    <w:left w:val="single" w:color="auto" w:sz="8" w:space="0"/>
                    <w:bottom w:val="single" w:color="auto" w:sz="2" w:space="0"/>
                    <w:right w:val="single" w:color="auto" w:sz="2" w:space="0"/>
                    <w:tl2br w:val="nil"/>
                    <w:tr2bl w:val="nil"/>
                  </w:tcBorders>
                  <w:noWrap w:val="0"/>
                  <w:vAlign w:val="center"/>
                </w:tcPr>
                <w:p w14:paraId="69F2686F">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产品名称</w:t>
                  </w:r>
                </w:p>
              </w:tc>
              <w:tc>
                <w:tcPr>
                  <w:tcW w:w="2221" w:type="dxa"/>
                  <w:tcBorders>
                    <w:top w:val="single" w:color="auto" w:sz="8" w:space="0"/>
                    <w:left w:val="single" w:color="auto" w:sz="2" w:space="0"/>
                    <w:bottom w:val="single" w:color="auto" w:sz="2" w:space="0"/>
                    <w:right w:val="single" w:color="auto" w:sz="2" w:space="0"/>
                    <w:tl2br w:val="nil"/>
                    <w:tr2bl w:val="nil"/>
                  </w:tcBorders>
                  <w:noWrap w:val="0"/>
                  <w:vAlign w:val="center"/>
                </w:tcPr>
                <w:p w14:paraId="1FA3B65D">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原料名称</w:t>
                  </w:r>
                </w:p>
              </w:tc>
              <w:tc>
                <w:tcPr>
                  <w:tcW w:w="109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4954E8EA">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工艺名称</w:t>
                  </w:r>
                </w:p>
              </w:tc>
              <w:tc>
                <w:tcPr>
                  <w:tcW w:w="1080" w:type="dxa"/>
                  <w:tcBorders>
                    <w:top w:val="single" w:color="auto" w:sz="8" w:space="0"/>
                    <w:left w:val="single" w:color="auto" w:sz="2" w:space="0"/>
                    <w:bottom w:val="single" w:color="auto" w:sz="2" w:space="0"/>
                    <w:right w:val="single" w:color="auto" w:sz="2" w:space="0"/>
                    <w:tl2br w:val="nil"/>
                    <w:tr2bl w:val="nil"/>
                  </w:tcBorders>
                  <w:noWrap w:val="0"/>
                  <w:vAlign w:val="center"/>
                </w:tcPr>
                <w:p w14:paraId="51A97A75">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污染物指标</w:t>
                  </w:r>
                </w:p>
              </w:tc>
              <w:tc>
                <w:tcPr>
                  <w:tcW w:w="100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77DF36CF">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单位</w:t>
                  </w:r>
                </w:p>
              </w:tc>
              <w:tc>
                <w:tcPr>
                  <w:tcW w:w="82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614AA09E">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产物系数</w:t>
                  </w:r>
                </w:p>
              </w:tc>
              <w:tc>
                <w:tcPr>
                  <w:tcW w:w="1311" w:type="dxa"/>
                  <w:tcBorders>
                    <w:top w:val="single" w:color="auto" w:sz="8" w:space="0"/>
                    <w:left w:val="single" w:color="auto" w:sz="2" w:space="0"/>
                    <w:bottom w:val="single" w:color="auto" w:sz="2" w:space="0"/>
                    <w:right w:val="single" w:color="auto" w:sz="8" w:space="0"/>
                    <w:tl2br w:val="nil"/>
                    <w:tr2bl w:val="nil"/>
                  </w:tcBorders>
                  <w:noWrap w:val="0"/>
                  <w:vAlign w:val="center"/>
                </w:tcPr>
                <w:p w14:paraId="0C95089A">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末端治理技术</w:t>
                  </w:r>
                </w:p>
              </w:tc>
            </w:tr>
            <w:tr w14:paraId="54F5237C">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vMerge w:val="restart"/>
                  <w:tcBorders>
                    <w:top w:val="single" w:color="auto" w:sz="2" w:space="0"/>
                    <w:left w:val="single" w:color="auto" w:sz="8" w:space="0"/>
                    <w:bottom w:val="single" w:color="auto" w:sz="2" w:space="0"/>
                    <w:right w:val="single" w:color="auto" w:sz="2" w:space="0"/>
                    <w:tl2br w:val="nil"/>
                    <w:tr2bl w:val="nil"/>
                  </w:tcBorders>
                  <w:noWrap w:val="0"/>
                  <w:vAlign w:val="center"/>
                </w:tcPr>
                <w:p w14:paraId="2212EEC4">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干式预处理件</w:t>
                  </w:r>
                </w:p>
              </w:tc>
              <w:tc>
                <w:tcPr>
                  <w:tcW w:w="2221" w:type="dxa"/>
                  <w:vMerge w:val="restart"/>
                  <w:tcBorders>
                    <w:top w:val="single" w:color="auto" w:sz="2" w:space="0"/>
                    <w:left w:val="single" w:color="auto" w:sz="2" w:space="0"/>
                    <w:bottom w:val="single" w:color="auto" w:sz="2" w:space="0"/>
                    <w:right w:val="single" w:color="auto" w:sz="2" w:space="0"/>
                    <w:tl2br w:val="nil"/>
                    <w:tr2bl w:val="nil"/>
                  </w:tcBorders>
                  <w:noWrap w:val="0"/>
                  <w:vAlign w:val="center"/>
                </w:tcPr>
                <w:p w14:paraId="4D6B0F7C">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钢材（含板材、构件等）、铝材（含板材、构件等）、铝合金（含板材、构件等）、铁材、</w:t>
                  </w:r>
                  <w:r>
                    <w:rPr>
                      <w:rFonts w:hint="eastAsia" w:ascii="Times New Roman" w:hAnsi="Times New Roman" w:cs="Times New Roman"/>
                      <w:color w:val="auto"/>
                      <w:sz w:val="21"/>
                      <w:szCs w:val="21"/>
                      <w:lang w:eastAsia="zh-CN" w:bidi="ar"/>
                    </w:rPr>
                    <w:t>其他</w:t>
                  </w:r>
                  <w:r>
                    <w:rPr>
                      <w:rFonts w:hint="default" w:ascii="Times New Roman" w:hAnsi="Times New Roman" w:cs="Times New Roman"/>
                      <w:color w:val="auto"/>
                      <w:sz w:val="21"/>
                      <w:szCs w:val="21"/>
                      <w:lang w:bidi="ar"/>
                    </w:rPr>
                    <w:t>金属材料</w:t>
                  </w:r>
                </w:p>
              </w:tc>
              <w:tc>
                <w:tcPr>
                  <w:tcW w:w="1095" w:type="dxa"/>
                  <w:vMerge w:val="restart"/>
                  <w:tcBorders>
                    <w:top w:val="single" w:color="auto" w:sz="2" w:space="0"/>
                    <w:left w:val="single" w:color="auto" w:sz="2" w:space="0"/>
                    <w:bottom w:val="single" w:color="auto" w:sz="2" w:space="0"/>
                    <w:right w:val="single" w:color="auto" w:sz="2" w:space="0"/>
                    <w:tl2br w:val="nil"/>
                    <w:tr2bl w:val="nil"/>
                  </w:tcBorders>
                  <w:noWrap w:val="0"/>
                  <w:vAlign w:val="center"/>
                </w:tcPr>
                <w:p w14:paraId="34808F09">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抛丸、喷砂、打磨、滚筒</w:t>
                  </w:r>
                </w:p>
              </w:tc>
              <w:tc>
                <w:tcPr>
                  <w:tcW w:w="1080" w:type="dxa"/>
                  <w:tcBorders>
                    <w:top w:val="single" w:color="auto" w:sz="2" w:space="0"/>
                    <w:left w:val="single" w:color="auto" w:sz="2" w:space="0"/>
                    <w:bottom w:val="single" w:color="auto" w:sz="2" w:space="0"/>
                    <w:right w:val="single" w:color="auto" w:sz="2" w:space="0"/>
                    <w:tl2br w:val="nil"/>
                    <w:tr2bl w:val="nil"/>
                  </w:tcBorders>
                  <w:noWrap w:val="0"/>
                  <w:vAlign w:val="center"/>
                </w:tcPr>
                <w:p w14:paraId="6E833727">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工业废气量</w:t>
                  </w:r>
                </w:p>
              </w:tc>
              <w:tc>
                <w:tcPr>
                  <w:tcW w:w="100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66DD5BEE">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立方米/吨原料</w:t>
                  </w:r>
                </w:p>
              </w:tc>
              <w:tc>
                <w:tcPr>
                  <w:tcW w:w="82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354F2608">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8500</w:t>
                  </w:r>
                </w:p>
              </w:tc>
              <w:tc>
                <w:tcPr>
                  <w:tcW w:w="1311" w:type="dxa"/>
                  <w:tcBorders>
                    <w:top w:val="single" w:color="auto" w:sz="2" w:space="0"/>
                    <w:left w:val="single" w:color="auto" w:sz="2" w:space="0"/>
                    <w:bottom w:val="single" w:color="auto" w:sz="2" w:space="0"/>
                    <w:right w:val="single" w:color="auto" w:sz="8" w:space="0"/>
                    <w:tl2br w:val="nil"/>
                    <w:tr2bl w:val="nil"/>
                  </w:tcBorders>
                  <w:noWrap w:val="0"/>
                  <w:vAlign w:val="center"/>
                </w:tcPr>
                <w:p w14:paraId="13360D82">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3E7DB0C4">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vMerge w:val="continue"/>
                  <w:tcBorders>
                    <w:top w:val="single" w:color="auto" w:sz="2" w:space="0"/>
                    <w:left w:val="single" w:color="auto" w:sz="8" w:space="0"/>
                    <w:bottom w:val="single" w:color="auto" w:sz="2" w:space="0"/>
                    <w:right w:val="single" w:color="auto" w:sz="2" w:space="0"/>
                    <w:tl2br w:val="nil"/>
                    <w:tr2bl w:val="nil"/>
                  </w:tcBorders>
                  <w:noWrap w:val="0"/>
                  <w:vAlign w:val="center"/>
                </w:tcPr>
                <w:p w14:paraId="061C2DC8">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lang w:bidi="ar"/>
                    </w:rPr>
                  </w:pPr>
                </w:p>
              </w:tc>
              <w:tc>
                <w:tcPr>
                  <w:tcW w:w="2221" w:type="dxa"/>
                  <w:vMerge w:val="continue"/>
                  <w:tcBorders>
                    <w:top w:val="single" w:color="auto" w:sz="2" w:space="0"/>
                    <w:left w:val="single" w:color="auto" w:sz="2" w:space="0"/>
                    <w:bottom w:val="single" w:color="auto" w:sz="2" w:space="0"/>
                    <w:right w:val="single" w:color="auto" w:sz="2" w:space="0"/>
                    <w:tl2br w:val="nil"/>
                    <w:tr2bl w:val="nil"/>
                  </w:tcBorders>
                  <w:noWrap w:val="0"/>
                  <w:vAlign w:val="center"/>
                </w:tcPr>
                <w:p w14:paraId="28A20C34">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lang w:bidi="ar"/>
                    </w:rPr>
                  </w:pPr>
                </w:p>
              </w:tc>
              <w:tc>
                <w:tcPr>
                  <w:tcW w:w="1095" w:type="dxa"/>
                  <w:vMerge w:val="continue"/>
                  <w:tcBorders>
                    <w:top w:val="single" w:color="auto" w:sz="2" w:space="0"/>
                    <w:left w:val="single" w:color="auto" w:sz="2" w:space="0"/>
                    <w:bottom w:val="single" w:color="auto" w:sz="2" w:space="0"/>
                    <w:right w:val="single" w:color="auto" w:sz="2" w:space="0"/>
                    <w:tl2br w:val="nil"/>
                    <w:tr2bl w:val="nil"/>
                  </w:tcBorders>
                  <w:noWrap w:val="0"/>
                  <w:vAlign w:val="center"/>
                </w:tcPr>
                <w:p w14:paraId="22CCEEA1">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lang w:bidi="ar"/>
                    </w:rPr>
                  </w:pPr>
                </w:p>
              </w:tc>
              <w:tc>
                <w:tcPr>
                  <w:tcW w:w="1080" w:type="dxa"/>
                  <w:tcBorders>
                    <w:top w:val="single" w:color="auto" w:sz="2" w:space="0"/>
                    <w:left w:val="single" w:color="auto" w:sz="2" w:space="0"/>
                    <w:bottom w:val="single" w:color="auto" w:sz="2" w:space="0"/>
                    <w:right w:val="single" w:color="auto" w:sz="2" w:space="0"/>
                    <w:tl2br w:val="nil"/>
                    <w:tr2bl w:val="nil"/>
                  </w:tcBorders>
                  <w:noWrap w:val="0"/>
                  <w:vAlign w:val="center"/>
                </w:tcPr>
                <w:p w14:paraId="4898720B">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颗粒物</w:t>
                  </w:r>
                </w:p>
              </w:tc>
              <w:tc>
                <w:tcPr>
                  <w:tcW w:w="100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2B6ECA08">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千克/吨原料</w:t>
                  </w:r>
                </w:p>
              </w:tc>
              <w:tc>
                <w:tcPr>
                  <w:tcW w:w="82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2D388848">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2.19</w:t>
                  </w:r>
                </w:p>
              </w:tc>
              <w:tc>
                <w:tcPr>
                  <w:tcW w:w="1311" w:type="dxa"/>
                  <w:tcBorders>
                    <w:top w:val="single" w:color="auto" w:sz="2" w:space="0"/>
                    <w:left w:val="single" w:color="auto" w:sz="2" w:space="0"/>
                    <w:bottom w:val="single" w:color="auto" w:sz="2" w:space="0"/>
                    <w:right w:val="single" w:color="auto" w:sz="8" w:space="0"/>
                    <w:tl2br w:val="nil"/>
                    <w:tr2bl w:val="nil"/>
                  </w:tcBorders>
                  <w:noWrap w:val="0"/>
                  <w:vAlign w:val="center"/>
                </w:tcPr>
                <w:p w14:paraId="4685A4E3">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袋式除尘</w:t>
                  </w:r>
                </w:p>
              </w:tc>
            </w:tr>
          </w:tbl>
          <w:p w14:paraId="117EA3CA">
            <w:pPr>
              <w:keepNext w:val="0"/>
              <w:keepLines w:val="0"/>
              <w:widowControl/>
              <w:suppressLineNumbers w:val="0"/>
              <w:snapToGrid w:val="0"/>
              <w:spacing w:before="0" w:beforeLines="0" w:beforeAutospacing="0" w:after="0" w:afterLines="0" w:afterAutospacing="0"/>
              <w:ind w:left="0" w:right="0" w:firstLine="480" w:firstLineChars="200"/>
              <w:jc w:val="both"/>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根据《排放源统计调查产排污核算方法和系数手册》</w:t>
            </w:r>
            <w:r>
              <w:rPr>
                <w:rFonts w:hint="eastAsia"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2021年6月</w:t>
            </w:r>
            <w:r>
              <w:rPr>
                <w:rFonts w:hint="eastAsia"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机械行业产排污系数手册预处理核算环节（抛丸、打磨），钢材</w:t>
            </w:r>
            <w:r>
              <w:rPr>
                <w:rFonts w:hint="eastAsia"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含板材构件等</w:t>
            </w:r>
            <w:r>
              <w:rPr>
                <w:rFonts w:hint="eastAsia"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、铁材、</w:t>
            </w:r>
            <w:r>
              <w:rPr>
                <w:rFonts w:hint="eastAsia" w:ascii="Times New Roman" w:hAnsi="Times New Roman" w:cs="Times New Roman"/>
                <w:color w:val="auto"/>
                <w:sz w:val="24"/>
                <w:szCs w:val="24"/>
                <w:u w:val="none" w:color="auto"/>
                <w:lang w:eastAsia="zh-CN"/>
              </w:rPr>
              <w:t>其他</w:t>
            </w:r>
            <w:r>
              <w:rPr>
                <w:rFonts w:hint="default" w:ascii="Times New Roman" w:hAnsi="Times New Roman" w:cs="Times New Roman"/>
                <w:color w:val="auto"/>
                <w:sz w:val="24"/>
                <w:szCs w:val="24"/>
                <w:u w:val="none" w:color="auto"/>
              </w:rPr>
              <w:t>金属材料等抛丸颗粒物产污系数2.19千克/吨</w:t>
            </w:r>
            <w:r>
              <w:rPr>
                <w:rFonts w:hint="eastAsia"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原料，本项目</w:t>
            </w:r>
            <w:r>
              <w:rPr>
                <w:rFonts w:hint="eastAsia" w:ascii="Times New Roman" w:hAnsi="Times New Roman" w:cs="Times New Roman"/>
                <w:color w:val="auto"/>
                <w:sz w:val="24"/>
                <w:szCs w:val="24"/>
                <w:u w:val="none" w:color="auto"/>
                <w:lang w:val="en-US" w:eastAsia="zh-CN"/>
              </w:rPr>
              <w:t>采用</w:t>
            </w:r>
            <w:r>
              <w:rPr>
                <w:rFonts w:hint="default" w:ascii="Times New Roman" w:hAnsi="Times New Roman" w:cs="Times New Roman"/>
                <w:color w:val="auto"/>
                <w:sz w:val="24"/>
                <w:szCs w:val="24"/>
                <w:u w:val="none" w:color="auto"/>
                <w:lang w:val="en-US" w:eastAsia="zh-CN"/>
              </w:rPr>
              <w:t>滚筒式滚球机</w:t>
            </w:r>
            <w:r>
              <w:rPr>
                <w:rFonts w:hint="eastAsia" w:ascii="Times New Roman" w:hAnsi="Times New Roman" w:cs="Times New Roman"/>
                <w:color w:val="auto"/>
                <w:sz w:val="24"/>
                <w:szCs w:val="24"/>
                <w:u w:val="none" w:color="auto"/>
                <w:lang w:val="en-US" w:eastAsia="zh-CN"/>
              </w:rPr>
              <w:t>进行铸件打磨清理，</w:t>
            </w:r>
            <w:r>
              <w:rPr>
                <w:rFonts w:hint="default" w:ascii="Times New Roman" w:hAnsi="Times New Roman" w:cs="Times New Roman"/>
                <w:color w:val="auto"/>
                <w:sz w:val="24"/>
                <w:szCs w:val="24"/>
                <w:u w:val="none" w:color="auto"/>
              </w:rPr>
              <w:t>需要清理的工件量5000t/a，</w:t>
            </w:r>
            <w:r>
              <w:rPr>
                <w:rFonts w:hint="default" w:ascii="Times New Roman" w:hAnsi="Times New Roman" w:cs="Times New Roman"/>
                <w:color w:val="auto"/>
                <w:sz w:val="24"/>
                <w:szCs w:val="24"/>
                <w:u w:val="none" w:color="auto"/>
                <w:lang w:val="en-US" w:eastAsia="zh-CN"/>
              </w:rPr>
              <w:t>打磨清理</w:t>
            </w:r>
            <w:r>
              <w:rPr>
                <w:rFonts w:hint="default" w:ascii="Times New Roman" w:hAnsi="Times New Roman" w:cs="Times New Roman"/>
                <w:color w:val="auto"/>
                <w:sz w:val="24"/>
                <w:szCs w:val="24"/>
                <w:u w:val="none" w:color="auto"/>
              </w:rPr>
              <w:t>工序年运行</w:t>
            </w:r>
            <w:r>
              <w:rPr>
                <w:rFonts w:hint="eastAsia" w:ascii="Times New Roman" w:hAnsi="Times New Roman" w:cs="Times New Roman"/>
                <w:color w:val="auto"/>
                <w:sz w:val="24"/>
                <w:szCs w:val="24"/>
                <w:u w:val="none" w:color="auto"/>
                <w:lang w:val="en-US" w:eastAsia="zh-CN"/>
              </w:rPr>
              <w:t>3600</w:t>
            </w:r>
            <w:r>
              <w:rPr>
                <w:rFonts w:hint="default" w:ascii="Times New Roman" w:hAnsi="Times New Roman" w:cs="Times New Roman"/>
                <w:color w:val="auto"/>
                <w:sz w:val="24"/>
                <w:szCs w:val="24"/>
                <w:u w:val="none" w:color="auto"/>
              </w:rPr>
              <w:t>h。本项目</w:t>
            </w:r>
            <w:r>
              <w:rPr>
                <w:rFonts w:hint="default" w:ascii="Times New Roman" w:hAnsi="Times New Roman" w:cs="Times New Roman"/>
                <w:color w:val="auto"/>
                <w:sz w:val="24"/>
                <w:szCs w:val="24"/>
                <w:u w:val="none" w:color="auto"/>
                <w:lang w:val="en-US" w:eastAsia="zh-CN"/>
              </w:rPr>
              <w:t>打磨清理</w:t>
            </w:r>
            <w:r>
              <w:rPr>
                <w:rFonts w:hint="default" w:ascii="Times New Roman" w:hAnsi="Times New Roman" w:cs="Times New Roman"/>
                <w:color w:val="auto"/>
                <w:sz w:val="24"/>
                <w:szCs w:val="24"/>
                <w:u w:val="none" w:color="auto"/>
              </w:rPr>
              <w:t>废气经设备密闭操作+自带集气管道收集，</w:t>
            </w:r>
            <w:r>
              <w:rPr>
                <w:rFonts w:hint="eastAsia" w:ascii="Times New Roman" w:hAnsi="Times New Roman" w:cs="Times New Roman"/>
                <w:color w:val="auto"/>
                <w:sz w:val="24"/>
                <w:szCs w:val="24"/>
                <w:u w:val="none" w:color="auto"/>
                <w:lang w:val="en-US" w:eastAsia="zh-CN"/>
              </w:rPr>
              <w:t>废气</w:t>
            </w:r>
            <w:r>
              <w:rPr>
                <w:rFonts w:hint="default" w:ascii="Times New Roman" w:hAnsi="Times New Roman" w:cs="Times New Roman"/>
                <w:color w:val="auto"/>
                <w:sz w:val="24"/>
                <w:szCs w:val="24"/>
                <w:u w:val="none" w:color="auto"/>
              </w:rPr>
              <w:t>收集效率按</w:t>
            </w:r>
            <w:r>
              <w:rPr>
                <w:rFonts w:hint="default" w:ascii="Times New Roman" w:hAnsi="Times New Roman" w:cs="Times New Roman"/>
                <w:color w:val="auto"/>
                <w:sz w:val="24"/>
                <w:szCs w:val="24"/>
                <w:u w:val="none" w:color="auto"/>
                <w:lang w:val="en-US" w:eastAsia="zh-CN"/>
              </w:rPr>
              <w:t>98</w:t>
            </w:r>
            <w:r>
              <w:rPr>
                <w:rFonts w:hint="default" w:ascii="Times New Roman" w:hAnsi="Times New Roman" w:cs="Times New Roman"/>
                <w:color w:val="auto"/>
                <w:sz w:val="24"/>
                <w:szCs w:val="24"/>
                <w:u w:val="none" w:color="auto"/>
              </w:rPr>
              <w:t>%计，经计算，本工艺中产生的颗粒物为</w:t>
            </w:r>
            <w:r>
              <w:rPr>
                <w:rFonts w:hint="eastAsia" w:ascii="Times New Roman" w:hAnsi="Times New Roman" w:cs="Times New Roman"/>
                <w:color w:val="auto"/>
                <w:sz w:val="24"/>
                <w:szCs w:val="24"/>
                <w:u w:val="none" w:color="auto"/>
                <w:lang w:val="en-US" w:eastAsia="zh-CN"/>
              </w:rPr>
              <w:t>10.950</w:t>
            </w:r>
            <w:r>
              <w:rPr>
                <w:rFonts w:hint="default" w:ascii="Times New Roman" w:hAnsi="Times New Roman" w:cs="Times New Roman"/>
                <w:color w:val="auto"/>
                <w:sz w:val="24"/>
                <w:szCs w:val="24"/>
                <w:u w:val="none" w:color="auto"/>
              </w:rPr>
              <w:t>t/a，则有组织废气颗粒物产生量为</w:t>
            </w:r>
            <w:r>
              <w:rPr>
                <w:rFonts w:hint="eastAsia" w:ascii="Times New Roman" w:hAnsi="Times New Roman" w:cs="Times New Roman"/>
                <w:color w:val="auto"/>
                <w:sz w:val="24"/>
                <w:szCs w:val="24"/>
                <w:u w:val="none" w:color="auto"/>
                <w:lang w:val="en-US" w:eastAsia="zh-CN"/>
              </w:rPr>
              <w:t>10.731</w:t>
            </w:r>
            <w:r>
              <w:rPr>
                <w:rFonts w:hint="default" w:ascii="Times New Roman" w:hAnsi="Times New Roman" w:cs="Times New Roman"/>
                <w:color w:val="auto"/>
                <w:sz w:val="24"/>
                <w:szCs w:val="24"/>
                <w:u w:val="none" w:color="auto"/>
              </w:rPr>
              <w:t>t/a，无组织废气颗粒物产生量为0.</w:t>
            </w:r>
            <w:r>
              <w:rPr>
                <w:rFonts w:hint="eastAsia" w:ascii="Times New Roman" w:hAnsi="Times New Roman" w:cs="Times New Roman"/>
                <w:color w:val="auto"/>
                <w:sz w:val="24"/>
                <w:szCs w:val="24"/>
                <w:u w:val="none" w:color="auto"/>
                <w:lang w:val="en-US" w:eastAsia="zh-CN"/>
              </w:rPr>
              <w:t>219</w:t>
            </w:r>
            <w:r>
              <w:rPr>
                <w:rFonts w:hint="default" w:ascii="Times New Roman" w:hAnsi="Times New Roman" w:cs="Times New Roman"/>
                <w:color w:val="auto"/>
                <w:sz w:val="24"/>
                <w:szCs w:val="24"/>
                <w:u w:val="none" w:color="auto"/>
              </w:rPr>
              <w:t>t/a</w:t>
            </w:r>
            <w:r>
              <w:rPr>
                <w:rFonts w:hint="default" w:ascii="Times New Roman" w:hAnsi="Times New Roman" w:cs="Times New Roman"/>
                <w:color w:val="auto"/>
                <w:sz w:val="24"/>
                <w:szCs w:val="24"/>
                <w:u w:val="none" w:color="auto"/>
                <w:lang w:eastAsia="zh-CN"/>
              </w:rPr>
              <w:t>，无组织排放速率为0.</w:t>
            </w:r>
            <w:r>
              <w:rPr>
                <w:rFonts w:hint="eastAsia" w:ascii="Times New Roman" w:hAnsi="Times New Roman" w:cs="Times New Roman"/>
                <w:color w:val="auto"/>
                <w:sz w:val="24"/>
                <w:szCs w:val="24"/>
                <w:u w:val="none" w:color="auto"/>
                <w:lang w:val="en-US" w:eastAsia="zh-CN"/>
              </w:rPr>
              <w:t>061</w:t>
            </w:r>
            <w:r>
              <w:rPr>
                <w:rFonts w:hint="default" w:ascii="Times New Roman" w:hAnsi="Times New Roman" w:cs="Times New Roman"/>
                <w:color w:val="auto"/>
                <w:sz w:val="24"/>
                <w:szCs w:val="24"/>
                <w:u w:val="none" w:color="auto"/>
                <w:lang w:eastAsia="zh-CN"/>
              </w:rPr>
              <w:t>kg/h</w:t>
            </w:r>
            <w:r>
              <w:rPr>
                <w:rFonts w:hint="default" w:ascii="Times New Roman" w:hAnsi="Times New Roman" w:cs="Times New Roman"/>
                <w:color w:val="auto"/>
                <w:sz w:val="24"/>
                <w:szCs w:val="24"/>
                <w:u w:val="none" w:color="auto"/>
              </w:rPr>
              <w:t>。</w:t>
            </w:r>
          </w:p>
          <w:p w14:paraId="43ADA18B">
            <w:pPr>
              <w:keepNext w:val="0"/>
              <w:keepLines w:val="0"/>
              <w:numPr>
                <w:ilvl w:val="0"/>
                <w:numId w:val="0"/>
              </w:numPr>
              <w:suppressLineNumbers w:val="0"/>
              <w:spacing w:before="0" w:beforeAutospacing="0" w:after="0" w:afterAutospacing="0"/>
              <w:ind w:left="0" w:right="0" w:firstLine="482" w:firstLineChars="200"/>
              <w:jc w:val="both"/>
              <w:rPr>
                <w:rFonts w:hint="eastAsia" w:ascii="Times New Roman" w:hAnsi="Times New Roman" w:eastAsia="宋体" w:cs="Times New Roman"/>
                <w:b/>
                <w:color w:val="auto"/>
                <w:sz w:val="24"/>
                <w:szCs w:val="24"/>
                <w:lang w:val="en-US" w:eastAsia="zh-CN"/>
              </w:rPr>
            </w:pPr>
            <w:r>
              <w:rPr>
                <w:rFonts w:hint="default" w:ascii="Times New Roman" w:hAnsi="Times New Roman" w:cs="Times New Roman"/>
                <w:b/>
                <w:color w:val="auto"/>
                <w:sz w:val="24"/>
                <w:szCs w:val="24"/>
              </w:rPr>
              <w:t>本项目熔炼废气</w:t>
            </w:r>
            <w:r>
              <w:rPr>
                <w:rFonts w:hint="eastAsia" w:ascii="Times New Roman" w:hAnsi="Times New Roman" w:cs="Times New Roman"/>
                <w:b/>
                <w:color w:val="auto"/>
                <w:sz w:val="24"/>
                <w:szCs w:val="24"/>
                <w:lang w:eastAsia="zh-CN"/>
              </w:rPr>
              <w:t>、</w:t>
            </w:r>
            <w:r>
              <w:rPr>
                <w:rFonts w:hint="eastAsia" w:ascii="Times New Roman" w:hAnsi="Times New Roman" w:cs="Times New Roman"/>
                <w:b/>
                <w:color w:val="auto"/>
                <w:sz w:val="24"/>
                <w:szCs w:val="24"/>
                <w:lang w:val="en-US" w:eastAsia="zh-CN"/>
              </w:rPr>
              <w:t>造型废气、</w:t>
            </w:r>
            <w:r>
              <w:rPr>
                <w:rFonts w:hint="default" w:ascii="Times New Roman" w:hAnsi="Times New Roman" w:cs="Times New Roman"/>
                <w:b/>
                <w:color w:val="auto"/>
                <w:sz w:val="24"/>
                <w:szCs w:val="24"/>
              </w:rPr>
              <w:t>砂处理废气</w:t>
            </w:r>
            <w:r>
              <w:rPr>
                <w:rFonts w:hint="eastAsia" w:ascii="Times New Roman" w:hAnsi="Times New Roman" w:cs="Times New Roman"/>
                <w:b/>
                <w:color w:val="auto"/>
                <w:sz w:val="24"/>
                <w:szCs w:val="24"/>
                <w:lang w:eastAsia="zh-CN"/>
              </w:rPr>
              <w:t>、</w:t>
            </w:r>
            <w:r>
              <w:rPr>
                <w:rFonts w:hint="eastAsia" w:ascii="Times New Roman" w:hAnsi="Times New Roman" w:cs="Times New Roman"/>
                <w:b/>
                <w:color w:val="auto"/>
                <w:sz w:val="24"/>
                <w:szCs w:val="24"/>
                <w:lang w:val="en-US" w:eastAsia="zh-CN"/>
              </w:rPr>
              <w:t>打磨清理</w:t>
            </w:r>
            <w:r>
              <w:rPr>
                <w:rFonts w:hint="eastAsia" w:ascii="Times New Roman" w:hAnsi="Times New Roman" w:cs="Times New Roman"/>
                <w:b/>
                <w:color w:val="auto"/>
                <w:sz w:val="24"/>
                <w:szCs w:val="24"/>
                <w:lang w:eastAsia="zh-CN"/>
              </w:rPr>
              <w:t>废气</w:t>
            </w:r>
            <w:r>
              <w:rPr>
                <w:rFonts w:hint="eastAsia" w:ascii="Times New Roman" w:hAnsi="Times New Roman" w:cs="Times New Roman"/>
                <w:b/>
                <w:color w:val="auto"/>
                <w:sz w:val="24"/>
                <w:szCs w:val="24"/>
                <w:lang w:val="en-US" w:eastAsia="zh-CN"/>
              </w:rPr>
              <w:t>经收集后</w:t>
            </w:r>
            <w:r>
              <w:rPr>
                <w:rFonts w:hint="default" w:ascii="Times New Roman" w:hAnsi="Times New Roman" w:cs="Times New Roman"/>
                <w:b/>
                <w:color w:val="auto"/>
                <w:sz w:val="24"/>
                <w:szCs w:val="24"/>
              </w:rPr>
              <w:t>经一套</w:t>
            </w:r>
            <w:r>
              <w:rPr>
                <w:rFonts w:hint="eastAsia" w:ascii="Times New Roman" w:hAnsi="Times New Roman" w:cs="Times New Roman"/>
                <w:b/>
                <w:color w:val="auto"/>
                <w:sz w:val="24"/>
                <w:szCs w:val="24"/>
                <w:lang w:val="en-US" w:eastAsia="zh-CN"/>
              </w:rPr>
              <w:t>布袋除尘器</w:t>
            </w:r>
            <w:r>
              <w:rPr>
                <w:rFonts w:hint="default" w:ascii="Times New Roman" w:hAnsi="Times New Roman" w:cs="Times New Roman"/>
                <w:b/>
                <w:color w:val="auto"/>
                <w:sz w:val="24"/>
                <w:szCs w:val="24"/>
              </w:rPr>
              <w:t>处理后</w:t>
            </w:r>
            <w:r>
              <w:rPr>
                <w:rFonts w:hint="eastAsia" w:ascii="Times New Roman" w:hAnsi="Times New Roman" w:cs="Times New Roman"/>
                <w:b/>
                <w:color w:val="auto"/>
                <w:sz w:val="24"/>
                <w:szCs w:val="24"/>
                <w:lang w:val="en-US" w:eastAsia="zh-CN"/>
              </w:rPr>
              <w:t>通过1根</w:t>
            </w:r>
            <w:r>
              <w:rPr>
                <w:rFonts w:hint="default" w:ascii="Times New Roman" w:hAnsi="Times New Roman" w:cs="Times New Roman"/>
                <w:b/>
                <w:color w:val="auto"/>
                <w:sz w:val="24"/>
                <w:szCs w:val="24"/>
              </w:rPr>
              <w:t>15m排气筒（DA001）外排，熔炼工序风机风量为</w:t>
            </w:r>
            <w:r>
              <w:rPr>
                <w:rFonts w:hint="eastAsia" w:ascii="Times New Roman" w:hAnsi="Times New Roman" w:cs="Times New Roman"/>
                <w:b/>
                <w:color w:val="auto"/>
                <w:sz w:val="24"/>
                <w:szCs w:val="24"/>
                <w:lang w:val="en-US" w:eastAsia="zh-CN"/>
              </w:rPr>
              <w:t>10395</w:t>
            </w:r>
            <w:r>
              <w:rPr>
                <w:rFonts w:hint="default" w:ascii="Times New Roman" w:hAnsi="Times New Roman" w:cs="Times New Roman"/>
                <w:b/>
                <w:color w:val="auto"/>
                <w:sz w:val="24"/>
                <w:szCs w:val="24"/>
              </w:rPr>
              <w:t>m</w:t>
            </w:r>
            <w:r>
              <w:rPr>
                <w:rFonts w:hint="default" w:ascii="Times New Roman" w:hAnsi="Times New Roman" w:cs="Times New Roman"/>
                <w:b/>
                <w:color w:val="auto"/>
                <w:sz w:val="24"/>
                <w:szCs w:val="24"/>
                <w:vertAlign w:val="superscript"/>
              </w:rPr>
              <w:t>3</w:t>
            </w:r>
            <w:r>
              <w:rPr>
                <w:rFonts w:hint="default" w:ascii="Times New Roman" w:hAnsi="Times New Roman" w:cs="Times New Roman"/>
                <w:b/>
                <w:color w:val="auto"/>
                <w:sz w:val="24"/>
                <w:szCs w:val="24"/>
              </w:rPr>
              <w:t>/h，</w:t>
            </w:r>
            <w:r>
              <w:rPr>
                <w:rFonts w:hint="default" w:ascii="Times New Roman" w:hAnsi="Times New Roman" w:cs="Times New Roman"/>
                <w:b/>
                <w:color w:val="auto"/>
                <w:sz w:val="24"/>
                <w:szCs w:val="24"/>
                <w:lang w:val="en-US" w:eastAsia="zh-CN"/>
              </w:rPr>
              <w:t>造型</w:t>
            </w:r>
            <w:r>
              <w:rPr>
                <w:rFonts w:hint="default" w:ascii="Times New Roman" w:hAnsi="Times New Roman" w:cs="Times New Roman"/>
                <w:b/>
                <w:color w:val="auto"/>
                <w:sz w:val="24"/>
                <w:szCs w:val="24"/>
              </w:rPr>
              <w:t>工序风机风量为</w:t>
            </w:r>
            <w:r>
              <w:rPr>
                <w:rFonts w:hint="eastAsia" w:ascii="Times New Roman" w:hAnsi="Times New Roman" w:cs="Times New Roman"/>
                <w:b/>
                <w:color w:val="auto"/>
                <w:sz w:val="24"/>
                <w:szCs w:val="24"/>
                <w:lang w:val="en-US" w:eastAsia="zh-CN"/>
              </w:rPr>
              <w:t>8333</w:t>
            </w:r>
            <w:r>
              <w:rPr>
                <w:rFonts w:hint="default" w:ascii="Times New Roman" w:hAnsi="Times New Roman" w:cs="Times New Roman"/>
                <w:b/>
                <w:color w:val="auto"/>
                <w:sz w:val="24"/>
                <w:szCs w:val="24"/>
              </w:rPr>
              <w:t>m</w:t>
            </w:r>
            <w:r>
              <w:rPr>
                <w:rFonts w:hint="default" w:ascii="Times New Roman" w:hAnsi="Times New Roman" w:cs="Times New Roman"/>
                <w:b/>
                <w:color w:val="auto"/>
                <w:sz w:val="24"/>
                <w:szCs w:val="24"/>
                <w:vertAlign w:val="superscript"/>
              </w:rPr>
              <w:t>3</w:t>
            </w:r>
            <w:r>
              <w:rPr>
                <w:rFonts w:hint="default" w:ascii="Times New Roman" w:hAnsi="Times New Roman" w:cs="Times New Roman"/>
                <w:b/>
                <w:color w:val="auto"/>
                <w:sz w:val="24"/>
                <w:szCs w:val="24"/>
              </w:rPr>
              <w:t>/h，砂处理工序风量为</w:t>
            </w:r>
            <w:r>
              <w:rPr>
                <w:rFonts w:hint="eastAsia" w:ascii="Times New Roman" w:hAnsi="Times New Roman" w:cs="Times New Roman"/>
                <w:b/>
                <w:color w:val="auto"/>
                <w:sz w:val="24"/>
                <w:szCs w:val="24"/>
                <w:lang w:val="en-US" w:eastAsia="zh-CN"/>
              </w:rPr>
              <w:t>21315</w:t>
            </w:r>
            <w:r>
              <w:rPr>
                <w:rFonts w:hint="default" w:ascii="Times New Roman" w:hAnsi="Times New Roman" w:cs="Times New Roman"/>
                <w:b/>
                <w:color w:val="auto"/>
                <w:sz w:val="24"/>
                <w:szCs w:val="24"/>
              </w:rPr>
              <w:t>m</w:t>
            </w:r>
            <w:r>
              <w:rPr>
                <w:rFonts w:hint="default" w:ascii="Times New Roman" w:hAnsi="Times New Roman" w:cs="Times New Roman"/>
                <w:b/>
                <w:color w:val="auto"/>
                <w:sz w:val="24"/>
                <w:szCs w:val="24"/>
                <w:vertAlign w:val="superscript"/>
              </w:rPr>
              <w:t>3</w:t>
            </w:r>
            <w:r>
              <w:rPr>
                <w:rFonts w:hint="default" w:ascii="Times New Roman" w:hAnsi="Times New Roman" w:cs="Times New Roman"/>
                <w:b/>
                <w:color w:val="auto"/>
                <w:sz w:val="24"/>
                <w:szCs w:val="24"/>
              </w:rPr>
              <w:t>/h</w:t>
            </w:r>
            <w:r>
              <w:rPr>
                <w:rFonts w:hint="eastAsia" w:ascii="Times New Roman" w:hAnsi="Times New Roman" w:cs="Times New Roman"/>
                <w:b/>
                <w:color w:val="auto"/>
                <w:sz w:val="24"/>
                <w:szCs w:val="24"/>
                <w:lang w:eastAsia="zh-CN"/>
              </w:rPr>
              <w:t>，</w:t>
            </w:r>
            <w:r>
              <w:rPr>
                <w:rFonts w:hint="eastAsia" w:ascii="Times New Roman" w:hAnsi="Times New Roman" w:cs="Times New Roman"/>
                <w:b/>
                <w:color w:val="auto"/>
                <w:sz w:val="24"/>
                <w:szCs w:val="24"/>
                <w:lang w:val="en-US" w:eastAsia="zh-CN"/>
              </w:rPr>
              <w:t>打磨清理</w:t>
            </w:r>
            <w:r>
              <w:rPr>
                <w:rFonts w:hint="eastAsia" w:ascii="Times New Roman" w:hAnsi="Times New Roman" w:cs="Times New Roman"/>
                <w:b/>
                <w:color w:val="auto"/>
                <w:sz w:val="24"/>
                <w:szCs w:val="24"/>
                <w:lang w:eastAsia="zh-CN"/>
              </w:rPr>
              <w:t>工序风机风量为</w:t>
            </w:r>
            <w:r>
              <w:rPr>
                <w:rFonts w:hint="eastAsia" w:ascii="Times New Roman" w:hAnsi="Times New Roman" w:cs="Times New Roman"/>
                <w:b/>
                <w:color w:val="auto"/>
                <w:sz w:val="24"/>
                <w:szCs w:val="24"/>
                <w:lang w:val="en-US" w:eastAsia="zh-CN"/>
              </w:rPr>
              <w:t>11806</w:t>
            </w:r>
            <w:r>
              <w:rPr>
                <w:rFonts w:hint="eastAsia" w:ascii="Times New Roman" w:hAnsi="Times New Roman" w:cs="Times New Roman"/>
                <w:b/>
                <w:color w:val="auto"/>
                <w:sz w:val="24"/>
                <w:szCs w:val="24"/>
                <w:lang w:eastAsia="zh-CN"/>
              </w:rPr>
              <w:t>m</w:t>
            </w:r>
            <w:r>
              <w:rPr>
                <w:rFonts w:hint="eastAsia" w:ascii="Times New Roman" w:hAnsi="Times New Roman" w:cs="Times New Roman"/>
                <w:b/>
                <w:color w:val="auto"/>
                <w:sz w:val="24"/>
                <w:szCs w:val="24"/>
                <w:vertAlign w:val="superscript"/>
                <w:lang w:eastAsia="zh-CN"/>
              </w:rPr>
              <w:t>3</w:t>
            </w:r>
            <w:r>
              <w:rPr>
                <w:rFonts w:hint="eastAsia" w:ascii="Times New Roman" w:hAnsi="Times New Roman" w:cs="Times New Roman"/>
                <w:b/>
                <w:color w:val="auto"/>
                <w:sz w:val="24"/>
                <w:szCs w:val="24"/>
                <w:lang w:eastAsia="zh-CN"/>
              </w:rPr>
              <w:t>/h</w:t>
            </w:r>
            <w:r>
              <w:rPr>
                <w:rFonts w:hint="default" w:ascii="Times New Roman" w:hAnsi="Times New Roman" w:cs="Times New Roman"/>
                <w:b/>
                <w:color w:val="auto"/>
                <w:sz w:val="24"/>
                <w:szCs w:val="24"/>
              </w:rPr>
              <w:t>。DA001号排气筒（熔炼废气</w:t>
            </w:r>
            <w:r>
              <w:rPr>
                <w:rFonts w:hint="default" w:ascii="Times New Roman" w:hAnsi="Times New Roman" w:cs="Times New Roman"/>
                <w:b/>
                <w:color w:val="auto"/>
                <w:sz w:val="24"/>
                <w:szCs w:val="24"/>
                <w:lang w:eastAsia="zh-CN"/>
              </w:rPr>
              <w:t>、</w:t>
            </w:r>
            <w:r>
              <w:rPr>
                <w:rFonts w:hint="default" w:ascii="Times New Roman" w:hAnsi="Times New Roman" w:cs="Times New Roman"/>
                <w:b/>
                <w:color w:val="auto"/>
                <w:sz w:val="24"/>
                <w:szCs w:val="24"/>
                <w:lang w:val="en-US" w:eastAsia="zh-CN"/>
              </w:rPr>
              <w:t>造型废气、</w:t>
            </w:r>
            <w:r>
              <w:rPr>
                <w:rFonts w:hint="default" w:ascii="Times New Roman" w:hAnsi="Times New Roman" w:cs="Times New Roman"/>
                <w:b/>
                <w:color w:val="auto"/>
                <w:sz w:val="24"/>
                <w:szCs w:val="24"/>
              </w:rPr>
              <w:t>砂处理废气</w:t>
            </w:r>
            <w:r>
              <w:rPr>
                <w:rFonts w:hint="default" w:ascii="Times New Roman" w:hAnsi="Times New Roman" w:cs="Times New Roman"/>
                <w:b/>
                <w:color w:val="auto"/>
                <w:sz w:val="24"/>
                <w:szCs w:val="24"/>
                <w:lang w:eastAsia="zh-CN"/>
              </w:rPr>
              <w:t>、</w:t>
            </w:r>
            <w:r>
              <w:rPr>
                <w:rFonts w:hint="default" w:ascii="Times New Roman" w:hAnsi="Times New Roman" w:cs="Times New Roman"/>
                <w:b/>
                <w:color w:val="auto"/>
                <w:sz w:val="24"/>
                <w:szCs w:val="24"/>
                <w:lang w:val="en-US" w:eastAsia="zh-CN"/>
              </w:rPr>
              <w:t>打磨清理</w:t>
            </w:r>
            <w:r>
              <w:rPr>
                <w:rFonts w:hint="default" w:ascii="Times New Roman" w:hAnsi="Times New Roman" w:cs="Times New Roman"/>
                <w:b/>
                <w:color w:val="auto"/>
                <w:sz w:val="24"/>
                <w:szCs w:val="24"/>
                <w:lang w:eastAsia="zh-CN"/>
              </w:rPr>
              <w:t>废气</w:t>
            </w:r>
            <w:r>
              <w:rPr>
                <w:rFonts w:hint="default" w:ascii="Times New Roman" w:hAnsi="Times New Roman" w:cs="Times New Roman"/>
                <w:b/>
                <w:color w:val="auto"/>
                <w:sz w:val="24"/>
                <w:szCs w:val="24"/>
              </w:rPr>
              <w:t>）</w:t>
            </w:r>
            <w:r>
              <w:rPr>
                <w:rFonts w:hint="eastAsia" w:ascii="Times New Roman" w:hAnsi="Times New Roman" w:cs="Times New Roman"/>
                <w:b/>
                <w:color w:val="auto"/>
                <w:sz w:val="24"/>
                <w:szCs w:val="24"/>
                <w:lang w:val="en-US" w:eastAsia="zh-CN"/>
              </w:rPr>
              <w:t>废气量为51847m</w:t>
            </w:r>
            <w:r>
              <w:rPr>
                <w:rFonts w:hint="eastAsia" w:ascii="Times New Roman" w:hAnsi="Times New Roman" w:cs="Times New Roman"/>
                <w:b/>
                <w:color w:val="auto"/>
                <w:sz w:val="24"/>
                <w:szCs w:val="24"/>
                <w:vertAlign w:val="superscript"/>
                <w:lang w:val="en-US" w:eastAsia="zh-CN"/>
              </w:rPr>
              <w:t>3</w:t>
            </w:r>
            <w:r>
              <w:rPr>
                <w:rFonts w:hint="eastAsia" w:ascii="Times New Roman" w:hAnsi="Times New Roman" w:cs="Times New Roman"/>
                <w:b/>
                <w:color w:val="auto"/>
                <w:sz w:val="24"/>
                <w:szCs w:val="24"/>
                <w:lang w:val="en-US" w:eastAsia="zh-CN"/>
              </w:rPr>
              <w:t>/h，</w:t>
            </w:r>
            <w:r>
              <w:rPr>
                <w:rFonts w:hint="default" w:ascii="Times New Roman" w:hAnsi="Times New Roman" w:cs="Times New Roman"/>
                <w:b/>
                <w:color w:val="auto"/>
                <w:sz w:val="24"/>
                <w:szCs w:val="24"/>
              </w:rPr>
              <w:t>颗粒物有组织</w:t>
            </w:r>
            <w:r>
              <w:rPr>
                <w:rFonts w:hint="eastAsia" w:ascii="Times New Roman" w:hAnsi="Times New Roman" w:cs="Times New Roman"/>
                <w:b/>
                <w:color w:val="auto"/>
                <w:sz w:val="24"/>
                <w:szCs w:val="24"/>
                <w:lang w:val="en-US" w:eastAsia="zh-CN"/>
              </w:rPr>
              <w:t>产生量为31.050t/a、产生速率为8.625kg/h、产生浓度为166.35mg/m</w:t>
            </w:r>
            <w:r>
              <w:rPr>
                <w:rFonts w:hint="eastAsia" w:ascii="Times New Roman" w:hAnsi="Times New Roman" w:cs="Times New Roman"/>
                <w:b/>
                <w:color w:val="auto"/>
                <w:sz w:val="24"/>
                <w:szCs w:val="24"/>
                <w:vertAlign w:val="superscript"/>
                <w:lang w:val="en-US" w:eastAsia="zh-CN"/>
              </w:rPr>
              <w:t>3</w:t>
            </w:r>
            <w:r>
              <w:rPr>
                <w:rFonts w:hint="eastAsia" w:ascii="Times New Roman" w:hAnsi="Times New Roman" w:cs="Times New Roman"/>
                <w:b/>
                <w:color w:val="auto"/>
                <w:sz w:val="24"/>
                <w:szCs w:val="24"/>
                <w:vertAlign w:val="baseline"/>
                <w:lang w:val="en-US" w:eastAsia="zh-CN"/>
              </w:rPr>
              <w:t>。参照《排放源统计调查产排污核算方法和系数手册—机械行业系数手册》工艺中布袋除尘器除尘效率为95%，除尘效率与颗粒物产生浓度相关，因本工艺颗粒物产生浓度较低，因此本工艺布袋除尘器除尘效率取85%，则DA001号排气筒颗粒物</w:t>
            </w:r>
            <w:r>
              <w:rPr>
                <w:rFonts w:hint="default" w:ascii="Times New Roman" w:hAnsi="Times New Roman" w:cs="Times New Roman"/>
                <w:b/>
                <w:color w:val="auto"/>
                <w:sz w:val="24"/>
                <w:szCs w:val="24"/>
              </w:rPr>
              <w:t>排放量为</w:t>
            </w:r>
            <w:r>
              <w:rPr>
                <w:rFonts w:hint="eastAsia" w:ascii="Times New Roman" w:hAnsi="Times New Roman" w:cs="Times New Roman"/>
                <w:b/>
                <w:color w:val="auto"/>
                <w:sz w:val="24"/>
                <w:szCs w:val="24"/>
                <w:lang w:val="en-US" w:eastAsia="zh-CN"/>
              </w:rPr>
              <w:t>4.658</w:t>
            </w:r>
            <w:r>
              <w:rPr>
                <w:rFonts w:hint="default" w:ascii="Times New Roman" w:hAnsi="Times New Roman" w:cs="Times New Roman"/>
                <w:b/>
                <w:color w:val="auto"/>
                <w:sz w:val="24"/>
                <w:szCs w:val="24"/>
              </w:rPr>
              <w:t>t/a，有组织排放速率为</w:t>
            </w:r>
            <w:r>
              <w:rPr>
                <w:rFonts w:hint="eastAsia" w:ascii="Times New Roman" w:hAnsi="Times New Roman" w:cs="Times New Roman"/>
                <w:b/>
                <w:color w:val="auto"/>
                <w:sz w:val="24"/>
                <w:szCs w:val="24"/>
                <w:lang w:val="en-US" w:eastAsia="zh-CN"/>
              </w:rPr>
              <w:t>1.294</w:t>
            </w:r>
            <w:r>
              <w:rPr>
                <w:rFonts w:hint="default" w:ascii="Times New Roman" w:hAnsi="Times New Roman" w:cs="Times New Roman"/>
                <w:b/>
                <w:color w:val="auto"/>
                <w:sz w:val="24"/>
                <w:szCs w:val="24"/>
              </w:rPr>
              <w:t>kg/h，排放浓度为</w:t>
            </w:r>
            <w:r>
              <w:rPr>
                <w:rFonts w:hint="eastAsia" w:ascii="Times New Roman" w:hAnsi="Times New Roman" w:cs="Times New Roman"/>
                <w:b/>
                <w:color w:val="auto"/>
                <w:sz w:val="24"/>
                <w:szCs w:val="24"/>
                <w:lang w:val="en-US" w:eastAsia="zh-CN"/>
              </w:rPr>
              <w:t>24.95</w:t>
            </w:r>
            <w:r>
              <w:rPr>
                <w:rFonts w:hint="default" w:ascii="Times New Roman" w:hAnsi="Times New Roman" w:cs="Times New Roman"/>
                <w:b/>
                <w:color w:val="auto"/>
                <w:sz w:val="24"/>
                <w:szCs w:val="24"/>
              </w:rPr>
              <w:t>mg/m</w:t>
            </w:r>
            <w:r>
              <w:rPr>
                <w:rFonts w:hint="default" w:ascii="Times New Roman" w:hAnsi="Times New Roman" w:cs="Times New Roman"/>
                <w:b/>
                <w:color w:val="auto"/>
                <w:sz w:val="24"/>
                <w:szCs w:val="24"/>
                <w:vertAlign w:val="superscript"/>
              </w:rPr>
              <w:t>3</w:t>
            </w:r>
            <w:r>
              <w:rPr>
                <w:rFonts w:hint="default" w:ascii="Times New Roman" w:hAnsi="Times New Roman" w:cs="Times New Roman"/>
                <w:b/>
                <w:color w:val="auto"/>
                <w:sz w:val="24"/>
                <w:szCs w:val="24"/>
              </w:rPr>
              <w:t>。</w:t>
            </w:r>
            <w:r>
              <w:rPr>
                <w:rFonts w:hint="eastAsia" w:ascii="Times New Roman" w:hAnsi="Times New Roman" w:cs="Times New Roman"/>
                <w:b/>
                <w:color w:val="auto"/>
                <w:sz w:val="24"/>
                <w:szCs w:val="24"/>
                <w:lang w:val="en-US" w:eastAsia="zh-CN"/>
              </w:rPr>
              <w:t>DA001排放口</w:t>
            </w:r>
            <w:r>
              <w:rPr>
                <w:rFonts w:hint="default" w:ascii="Times New Roman" w:hAnsi="Times New Roman" w:cs="Times New Roman"/>
                <w:b/>
                <w:color w:val="auto"/>
                <w:sz w:val="24"/>
                <w:szCs w:val="24"/>
              </w:rPr>
              <w:t>颗粒物有组织排放</w:t>
            </w:r>
            <w:r>
              <w:rPr>
                <w:rFonts w:hint="eastAsia" w:ascii="Times New Roman" w:hAnsi="Times New Roman" w:cs="Times New Roman"/>
                <w:b/>
                <w:color w:val="auto"/>
                <w:sz w:val="24"/>
                <w:szCs w:val="24"/>
                <w:lang w:val="en-US" w:eastAsia="zh-CN"/>
              </w:rPr>
              <w:t>可以满足</w:t>
            </w:r>
            <w:r>
              <w:rPr>
                <w:rFonts w:hint="default" w:ascii="Times New Roman" w:hAnsi="Times New Roman" w:cs="Times New Roman"/>
                <w:b/>
                <w:color w:val="auto"/>
                <w:sz w:val="24"/>
                <w:szCs w:val="24"/>
              </w:rPr>
              <w:t>《铸造工业大气污染物排放标准》（GB39726-2020）表1标准限值</w:t>
            </w:r>
            <w:r>
              <w:rPr>
                <w:rFonts w:hint="eastAsia" w:ascii="Times New Roman" w:hAnsi="Times New Roman" w:cs="Times New Roman"/>
                <w:b/>
                <w:color w:val="auto"/>
                <w:sz w:val="24"/>
                <w:szCs w:val="24"/>
                <w:lang w:val="en-US" w:eastAsia="zh-CN"/>
              </w:rPr>
              <w:t>要求。本项目厂房封闭，在采取定期洒水抑尘措施后，厂区内颗粒物无组织排放可以满足《铸造工业大气污染物排放标准》（GB39726-2020）附录A标准限值要求。</w:t>
            </w:r>
          </w:p>
          <w:p w14:paraId="008CC242">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1.</w:t>
            </w:r>
            <w:r>
              <w:rPr>
                <w:rFonts w:hint="eastAsia" w:ascii="Times New Roman" w:hAnsi="Times New Roman" w:cs="Times New Roman"/>
                <w:b/>
                <w:color w:val="auto"/>
                <w:sz w:val="24"/>
                <w:szCs w:val="24"/>
                <w:lang w:val="en-US" w:eastAsia="zh-CN"/>
              </w:rPr>
              <w:t>6</w:t>
            </w:r>
            <w:r>
              <w:rPr>
                <w:rFonts w:hint="default" w:ascii="宋体" w:hAnsi="Times New Roman" w:cs="Times New Roman"/>
                <w:b/>
                <w:color w:val="auto"/>
                <w:sz w:val="24"/>
                <w:szCs w:val="24"/>
              </w:rPr>
              <w:t>浇注废气</w:t>
            </w:r>
          </w:p>
          <w:p w14:paraId="3C89C157">
            <w:pPr>
              <w:keepNext w:val="0"/>
              <w:keepLines w:val="0"/>
              <w:widowControl/>
              <w:suppressLineNumbers w:val="0"/>
              <w:snapToGrid w:val="0"/>
              <w:spacing w:before="0" w:beforeAutospacing="0" w:after="0" w:afterAutospacing="0"/>
              <w:ind w:left="0" w:right="0" w:firstLine="480" w:firstLineChars="200"/>
              <w:jc w:val="both"/>
              <w:rPr>
                <w:rFonts w:hint="default" w:ascii="Times New Roman" w:hAnsi="Times New Roman" w:cs="Times New Roman"/>
                <w:color w:val="auto"/>
                <w:kern w:val="2"/>
                <w:sz w:val="24"/>
                <w:szCs w:val="24"/>
                <w:u w:val="none" w:color="auto"/>
              </w:rPr>
            </w:pPr>
            <w:r>
              <w:rPr>
                <w:rFonts w:hint="default" w:ascii="宋体" w:hAnsi="Times New Roman" w:cs="Times New Roman"/>
                <w:color w:val="auto"/>
                <w:kern w:val="2"/>
                <w:sz w:val="24"/>
                <w:szCs w:val="24"/>
                <w:u w:val="none" w:color="auto"/>
              </w:rPr>
              <w:t>根据《排放源统计调查产排污核算方法和系数手册—机械行业系数手册》中“造型/浇注”工艺中产排污系数表，本项目浇注废气产污情况如下表。</w:t>
            </w:r>
          </w:p>
          <w:p w14:paraId="197991D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lang w:bidi="ar"/>
              </w:rPr>
              <w:t>表4-</w:t>
            </w:r>
            <w:r>
              <w:rPr>
                <w:rFonts w:hint="default" w:ascii="Times New Roman" w:hAnsi="Times New Roman" w:cs="Times New Roman"/>
                <w:b/>
                <w:color w:val="auto"/>
                <w:kern w:val="2"/>
                <w:sz w:val="21"/>
                <w:szCs w:val="21"/>
                <w:lang w:val="en-US" w:eastAsia="zh-CN" w:bidi="ar"/>
              </w:rPr>
              <w:t>5</w:t>
            </w:r>
            <w:r>
              <w:rPr>
                <w:rFonts w:hint="default" w:ascii="Times New Roman" w:hAnsi="Times New Roman" w:cs="Times New Roman"/>
                <w:b/>
                <w:color w:val="auto"/>
                <w:kern w:val="2"/>
                <w:sz w:val="21"/>
                <w:szCs w:val="21"/>
                <w:lang w:bidi="ar"/>
              </w:rPr>
              <w:t xml:space="preserve"> 浇</w:t>
            </w:r>
            <w:r>
              <w:rPr>
                <w:rFonts w:hint="default" w:ascii="宋体" w:hAnsi="Times New Roman" w:cs="Times New Roman"/>
                <w:b/>
                <w:color w:val="auto"/>
                <w:kern w:val="2"/>
                <w:sz w:val="21"/>
                <w:szCs w:val="21"/>
                <w:lang w:bidi="ar"/>
              </w:rPr>
              <w:t>注废气产排污情况一览表</w:t>
            </w:r>
          </w:p>
          <w:tbl>
            <w:tblPr>
              <w:tblStyle w:val="56"/>
              <w:tblW w:w="4999" w:type="pct"/>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744"/>
              <w:gridCol w:w="1156"/>
              <w:gridCol w:w="1728"/>
              <w:gridCol w:w="1122"/>
              <w:gridCol w:w="1395"/>
              <w:gridCol w:w="825"/>
              <w:gridCol w:w="1311"/>
            </w:tblGrid>
            <w:tr w14:paraId="5D398604">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tcBorders>
                    <w:top w:val="single" w:color="auto" w:sz="8" w:space="0"/>
                    <w:left w:val="single" w:color="auto" w:sz="8" w:space="0"/>
                    <w:bottom w:val="single" w:color="auto" w:sz="2" w:space="0"/>
                    <w:right w:val="single" w:color="auto" w:sz="2" w:space="0"/>
                    <w:tl2br w:val="nil"/>
                    <w:tr2bl w:val="nil"/>
                  </w:tcBorders>
                  <w:noWrap w:val="0"/>
                  <w:vAlign w:val="center"/>
                </w:tcPr>
                <w:p w14:paraId="168263FC">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宋体" w:hAnsi="Times New Roman" w:cs="Times New Roman"/>
                      <w:b/>
                      <w:color w:val="auto"/>
                      <w:sz w:val="21"/>
                      <w:szCs w:val="21"/>
                      <w:lang w:bidi="ar"/>
                    </w:rPr>
                    <w:t>产品名称</w:t>
                  </w:r>
                </w:p>
              </w:tc>
              <w:tc>
                <w:tcPr>
                  <w:tcW w:w="1156" w:type="dxa"/>
                  <w:tcBorders>
                    <w:top w:val="single" w:color="auto" w:sz="8" w:space="0"/>
                    <w:left w:val="single" w:color="auto" w:sz="2" w:space="0"/>
                    <w:bottom w:val="single" w:color="auto" w:sz="2" w:space="0"/>
                    <w:right w:val="single" w:color="auto" w:sz="2" w:space="0"/>
                    <w:tl2br w:val="nil"/>
                    <w:tr2bl w:val="nil"/>
                  </w:tcBorders>
                  <w:noWrap w:val="0"/>
                  <w:vAlign w:val="center"/>
                </w:tcPr>
                <w:p w14:paraId="4ADF5E07">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宋体" w:hAnsi="Times New Roman" w:cs="Times New Roman"/>
                      <w:b/>
                      <w:color w:val="auto"/>
                      <w:sz w:val="21"/>
                      <w:szCs w:val="21"/>
                      <w:lang w:bidi="ar"/>
                    </w:rPr>
                    <w:t>原料名称</w:t>
                  </w:r>
                </w:p>
              </w:tc>
              <w:tc>
                <w:tcPr>
                  <w:tcW w:w="1728" w:type="dxa"/>
                  <w:tcBorders>
                    <w:top w:val="single" w:color="auto" w:sz="8" w:space="0"/>
                    <w:left w:val="single" w:color="auto" w:sz="2" w:space="0"/>
                    <w:bottom w:val="single" w:color="auto" w:sz="2" w:space="0"/>
                    <w:right w:val="single" w:color="auto" w:sz="2" w:space="0"/>
                    <w:tl2br w:val="nil"/>
                    <w:tr2bl w:val="nil"/>
                  </w:tcBorders>
                  <w:noWrap w:val="0"/>
                  <w:vAlign w:val="center"/>
                </w:tcPr>
                <w:p w14:paraId="674180C3">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宋体" w:hAnsi="Times New Roman" w:cs="Times New Roman"/>
                      <w:b/>
                      <w:color w:val="auto"/>
                      <w:sz w:val="21"/>
                      <w:szCs w:val="21"/>
                      <w:lang w:bidi="ar"/>
                    </w:rPr>
                    <w:t>工艺名称</w:t>
                  </w:r>
                </w:p>
              </w:tc>
              <w:tc>
                <w:tcPr>
                  <w:tcW w:w="1122" w:type="dxa"/>
                  <w:tcBorders>
                    <w:top w:val="single" w:color="auto" w:sz="8" w:space="0"/>
                    <w:left w:val="single" w:color="auto" w:sz="2" w:space="0"/>
                    <w:bottom w:val="single" w:color="auto" w:sz="2" w:space="0"/>
                    <w:right w:val="single" w:color="auto" w:sz="2" w:space="0"/>
                    <w:tl2br w:val="nil"/>
                    <w:tr2bl w:val="nil"/>
                  </w:tcBorders>
                  <w:noWrap w:val="0"/>
                  <w:vAlign w:val="center"/>
                </w:tcPr>
                <w:p w14:paraId="381279D0">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宋体" w:hAnsi="Times New Roman" w:cs="Times New Roman"/>
                      <w:b/>
                      <w:color w:val="auto"/>
                      <w:sz w:val="21"/>
                      <w:szCs w:val="21"/>
                      <w:lang w:bidi="ar"/>
                    </w:rPr>
                    <w:t>污染物指标</w:t>
                  </w:r>
                </w:p>
              </w:tc>
              <w:tc>
                <w:tcPr>
                  <w:tcW w:w="139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74C4F812">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宋体" w:hAnsi="Times New Roman" w:cs="Times New Roman"/>
                      <w:b/>
                      <w:color w:val="auto"/>
                      <w:sz w:val="21"/>
                      <w:szCs w:val="21"/>
                      <w:lang w:bidi="ar"/>
                    </w:rPr>
                    <w:t>单位</w:t>
                  </w:r>
                </w:p>
              </w:tc>
              <w:tc>
                <w:tcPr>
                  <w:tcW w:w="82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33AF7965">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宋体" w:hAnsi="Times New Roman" w:cs="Times New Roman"/>
                      <w:b/>
                      <w:color w:val="auto"/>
                      <w:sz w:val="21"/>
                      <w:szCs w:val="21"/>
                      <w:lang w:bidi="ar"/>
                    </w:rPr>
                    <w:t>产物系数</w:t>
                  </w:r>
                </w:p>
              </w:tc>
              <w:tc>
                <w:tcPr>
                  <w:tcW w:w="1311" w:type="dxa"/>
                  <w:tcBorders>
                    <w:top w:val="single" w:color="auto" w:sz="8" w:space="0"/>
                    <w:left w:val="single" w:color="auto" w:sz="2" w:space="0"/>
                    <w:bottom w:val="single" w:color="auto" w:sz="2" w:space="0"/>
                    <w:right w:val="single" w:color="auto" w:sz="8" w:space="0"/>
                    <w:tl2br w:val="nil"/>
                    <w:tr2bl w:val="nil"/>
                  </w:tcBorders>
                  <w:noWrap w:val="0"/>
                  <w:vAlign w:val="center"/>
                </w:tcPr>
                <w:p w14:paraId="24AC3EB8">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宋体" w:hAnsi="Times New Roman" w:cs="Times New Roman"/>
                      <w:b/>
                      <w:color w:val="auto"/>
                      <w:sz w:val="21"/>
                      <w:szCs w:val="21"/>
                      <w:lang w:bidi="ar"/>
                    </w:rPr>
                    <w:t>末端治理技术</w:t>
                  </w:r>
                </w:p>
              </w:tc>
            </w:tr>
            <w:tr w14:paraId="51D10C27">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tcBorders>
                    <w:top w:val="single" w:color="auto" w:sz="2" w:space="0"/>
                    <w:left w:val="single" w:color="auto" w:sz="8" w:space="0"/>
                    <w:right w:val="single" w:color="auto" w:sz="2" w:space="0"/>
                    <w:tl2br w:val="nil"/>
                    <w:tr2bl w:val="nil"/>
                  </w:tcBorders>
                  <w:noWrap w:val="0"/>
                  <w:vAlign w:val="center"/>
                </w:tcPr>
                <w:p w14:paraId="77A044C0">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0"/>
                      <w:szCs w:val="20"/>
                      <w:lang w:val="en-US" w:eastAsia="zh-CN"/>
                    </w:rPr>
                  </w:pPr>
                  <w:r>
                    <w:rPr>
                      <w:rFonts w:hint="eastAsia" w:ascii="Times New Roman" w:hAnsi="Times New Roman" w:cs="Times New Roman"/>
                      <w:color w:val="auto"/>
                      <w:sz w:val="20"/>
                      <w:szCs w:val="20"/>
                      <w:lang w:val="en-US" w:eastAsia="zh-CN"/>
                    </w:rPr>
                    <w:t>铸件</w:t>
                  </w:r>
                </w:p>
              </w:tc>
              <w:tc>
                <w:tcPr>
                  <w:tcW w:w="1156" w:type="dxa"/>
                  <w:tcBorders>
                    <w:top w:val="single" w:color="auto" w:sz="2" w:space="0"/>
                    <w:left w:val="single" w:color="auto" w:sz="2" w:space="0"/>
                    <w:bottom w:val="single" w:color="auto" w:sz="2" w:space="0"/>
                    <w:right w:val="single" w:color="auto" w:sz="2" w:space="0"/>
                    <w:tl2br w:val="nil"/>
                    <w:tr2bl w:val="nil"/>
                  </w:tcBorders>
                  <w:noWrap w:val="0"/>
                  <w:vAlign w:val="center"/>
                </w:tcPr>
                <w:p w14:paraId="367AC8F9">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lang w:bidi="ar"/>
                    </w:rPr>
                  </w:pPr>
                  <w:r>
                    <w:rPr>
                      <w:rFonts w:hint="default" w:ascii="宋体" w:hAnsi="Times New Roman" w:cs="Times New Roman"/>
                      <w:color w:val="auto"/>
                      <w:sz w:val="21"/>
                      <w:szCs w:val="21"/>
                      <w:lang w:bidi="ar"/>
                    </w:rPr>
                    <w:t>金属液等、脱模剂</w:t>
                  </w:r>
                </w:p>
              </w:tc>
              <w:tc>
                <w:tcPr>
                  <w:tcW w:w="1728" w:type="dxa"/>
                  <w:tcBorders>
                    <w:top w:val="single" w:color="auto" w:sz="2" w:space="0"/>
                    <w:left w:val="single" w:color="auto" w:sz="2" w:space="0"/>
                    <w:bottom w:val="single" w:color="auto" w:sz="2" w:space="0"/>
                    <w:right w:val="single" w:color="auto" w:sz="2" w:space="0"/>
                    <w:tl2br w:val="nil"/>
                    <w:tr2bl w:val="nil"/>
                  </w:tcBorders>
                  <w:noWrap w:val="0"/>
                  <w:vAlign w:val="center"/>
                </w:tcPr>
                <w:p w14:paraId="331DB576">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lang w:bidi="ar"/>
                    </w:rPr>
                  </w:pPr>
                  <w:r>
                    <w:rPr>
                      <w:rFonts w:hint="default" w:ascii="宋体" w:hAnsi="Times New Roman" w:cs="Times New Roman"/>
                      <w:color w:val="auto"/>
                      <w:sz w:val="21"/>
                      <w:szCs w:val="21"/>
                      <w:lang w:bidi="ar"/>
                    </w:rPr>
                    <w:t>造型/浇注</w:t>
                  </w:r>
                  <w:r>
                    <w:rPr>
                      <w:rFonts w:hint="eastAsia" w:ascii="宋体" w:hAnsi="Times New Roman" w:cs="Times New Roman"/>
                      <w:color w:val="auto"/>
                      <w:sz w:val="21"/>
                      <w:szCs w:val="21"/>
                      <w:lang w:eastAsia="zh-CN" w:bidi="ar"/>
                    </w:rPr>
                    <w:t>（</w:t>
                  </w:r>
                  <w:r>
                    <w:rPr>
                      <w:rFonts w:hint="default" w:ascii="宋体" w:hAnsi="Times New Roman" w:cs="Times New Roman"/>
                      <w:color w:val="auto"/>
                      <w:sz w:val="21"/>
                      <w:szCs w:val="21"/>
                      <w:lang w:bidi="ar"/>
                    </w:rPr>
                    <w:t>重力、低压：限金属型，石膏/陶瓷型/石墨型等</w:t>
                  </w:r>
                  <w:r>
                    <w:rPr>
                      <w:rFonts w:hint="eastAsia" w:ascii="宋体" w:hAnsi="Times New Roman" w:cs="Times New Roman"/>
                      <w:color w:val="auto"/>
                      <w:sz w:val="21"/>
                      <w:szCs w:val="21"/>
                      <w:lang w:eastAsia="zh-CN" w:bidi="ar"/>
                    </w:rPr>
                    <w:t>）</w:t>
                  </w:r>
                </w:p>
              </w:tc>
              <w:tc>
                <w:tcPr>
                  <w:tcW w:w="1122" w:type="dxa"/>
                  <w:tcBorders>
                    <w:top w:val="single" w:color="auto" w:sz="2" w:space="0"/>
                    <w:left w:val="single" w:color="auto" w:sz="2" w:space="0"/>
                    <w:bottom w:val="single" w:color="auto" w:sz="2" w:space="0"/>
                    <w:right w:val="single" w:color="auto" w:sz="2" w:space="0"/>
                    <w:tl2br w:val="nil"/>
                    <w:tr2bl w:val="nil"/>
                  </w:tcBorders>
                  <w:shd w:val="clear" w:color="auto" w:fill="auto"/>
                  <w:noWrap w:val="0"/>
                  <w:vAlign w:val="center"/>
                </w:tcPr>
                <w:p w14:paraId="799C084A">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宋体" w:hAnsi="Times New Roman" w:cs="Times New Roman"/>
                      <w:color w:val="auto"/>
                      <w:sz w:val="21"/>
                      <w:szCs w:val="21"/>
                      <w:lang w:bidi="ar"/>
                    </w:rPr>
                    <w:t>颗粒物</w:t>
                  </w:r>
                </w:p>
              </w:tc>
              <w:tc>
                <w:tcPr>
                  <w:tcW w:w="1395" w:type="dxa"/>
                  <w:tcBorders>
                    <w:top w:val="single" w:color="auto" w:sz="2" w:space="0"/>
                    <w:left w:val="single" w:color="auto" w:sz="2" w:space="0"/>
                    <w:bottom w:val="single" w:color="auto" w:sz="2" w:space="0"/>
                    <w:right w:val="single" w:color="auto" w:sz="2" w:space="0"/>
                    <w:tl2br w:val="nil"/>
                    <w:tr2bl w:val="nil"/>
                  </w:tcBorders>
                  <w:shd w:val="clear" w:color="auto" w:fill="auto"/>
                  <w:noWrap w:val="0"/>
                  <w:vAlign w:val="center"/>
                </w:tcPr>
                <w:p w14:paraId="706CF933">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宋体" w:hAnsi="Times New Roman" w:cs="Times New Roman"/>
                      <w:color w:val="auto"/>
                      <w:sz w:val="21"/>
                      <w:szCs w:val="21"/>
                      <w:lang w:bidi="ar"/>
                    </w:rPr>
                    <w:t>千克/吨产品</w:t>
                  </w:r>
                </w:p>
              </w:tc>
              <w:tc>
                <w:tcPr>
                  <w:tcW w:w="825" w:type="dxa"/>
                  <w:tcBorders>
                    <w:top w:val="single" w:color="auto" w:sz="2" w:space="0"/>
                    <w:left w:val="single" w:color="auto" w:sz="2" w:space="0"/>
                    <w:bottom w:val="single" w:color="auto" w:sz="2" w:space="0"/>
                    <w:right w:val="single" w:color="auto" w:sz="2" w:space="0"/>
                    <w:tl2br w:val="nil"/>
                    <w:tr2bl w:val="nil"/>
                  </w:tcBorders>
                  <w:shd w:val="clear" w:color="auto" w:fill="auto"/>
                  <w:noWrap w:val="0"/>
                  <w:vAlign w:val="center"/>
                </w:tcPr>
                <w:p w14:paraId="13B344BB">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 w:val="21"/>
                      <w:szCs w:val="21"/>
                      <w:lang w:bidi="ar"/>
                    </w:rPr>
                    <w:t>0.247</w:t>
                  </w:r>
                </w:p>
              </w:tc>
              <w:tc>
                <w:tcPr>
                  <w:tcW w:w="1311" w:type="dxa"/>
                  <w:tcBorders>
                    <w:top w:val="single" w:color="auto" w:sz="2" w:space="0"/>
                    <w:left w:val="single" w:color="auto" w:sz="2" w:space="0"/>
                    <w:bottom w:val="single" w:color="auto" w:sz="2" w:space="0"/>
                    <w:right w:val="single" w:color="auto" w:sz="8" w:space="0"/>
                    <w:tl2br w:val="nil"/>
                    <w:tr2bl w:val="nil"/>
                  </w:tcBorders>
                  <w:shd w:val="clear" w:color="auto" w:fill="auto"/>
                  <w:noWrap w:val="0"/>
                  <w:vAlign w:val="center"/>
                </w:tcPr>
                <w:p w14:paraId="351A1937">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宋体" w:hAnsi="Times New Roman" w:cs="Times New Roman"/>
                      <w:color w:val="auto"/>
                      <w:sz w:val="21"/>
                      <w:szCs w:val="21"/>
                      <w:lang w:bidi="ar"/>
                    </w:rPr>
                    <w:t>袋式除尘</w:t>
                  </w:r>
                </w:p>
              </w:tc>
            </w:tr>
          </w:tbl>
          <w:p w14:paraId="3FF8DBDF">
            <w:pPr>
              <w:keepNext w:val="0"/>
              <w:keepLines w:val="0"/>
              <w:widowControl/>
              <w:suppressLineNumbers w:val="0"/>
              <w:snapToGrid w:val="0"/>
              <w:spacing w:before="0" w:beforeAutospacing="0" w:after="0" w:afterAutospacing="0"/>
              <w:ind w:left="0" w:right="0" w:firstLine="480" w:firstLineChars="200"/>
              <w:jc w:val="both"/>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rPr>
              <w:t>本项目浇注工序每天运行</w:t>
            </w:r>
            <w:r>
              <w:rPr>
                <w:rFonts w:hint="default" w:ascii="Times New Roman" w:hAnsi="Times New Roman" w:cs="Times New Roman"/>
                <w:color w:val="auto"/>
                <w:kern w:val="2"/>
                <w:sz w:val="24"/>
                <w:szCs w:val="24"/>
                <w:u w:val="none" w:color="auto"/>
                <w:lang w:val="en-US" w:eastAsia="zh-CN"/>
              </w:rPr>
              <w:t>8</w:t>
            </w:r>
            <w:r>
              <w:rPr>
                <w:rFonts w:hint="default" w:ascii="Times New Roman" w:hAnsi="Times New Roman" w:cs="Times New Roman"/>
                <w:color w:val="auto"/>
                <w:kern w:val="2"/>
                <w:sz w:val="24"/>
                <w:szCs w:val="24"/>
                <w:u w:val="none" w:color="auto"/>
              </w:rPr>
              <w:t>h，年运行时间约为</w:t>
            </w:r>
            <w:r>
              <w:rPr>
                <w:rFonts w:hint="default" w:ascii="Times New Roman" w:hAnsi="Times New Roman" w:cs="Times New Roman"/>
                <w:color w:val="auto"/>
                <w:kern w:val="2"/>
                <w:sz w:val="24"/>
                <w:szCs w:val="24"/>
                <w:u w:val="none" w:color="auto"/>
                <w:lang w:val="en-US" w:eastAsia="zh-CN"/>
              </w:rPr>
              <w:t>2400</w:t>
            </w:r>
            <w:r>
              <w:rPr>
                <w:rFonts w:hint="default" w:ascii="Times New Roman" w:hAnsi="Times New Roman" w:cs="Times New Roman"/>
                <w:color w:val="auto"/>
                <w:kern w:val="2"/>
                <w:sz w:val="24"/>
                <w:szCs w:val="24"/>
                <w:u w:val="none" w:color="auto"/>
              </w:rPr>
              <w:t>h。本项目浇注</w:t>
            </w:r>
            <w:r>
              <w:rPr>
                <w:rFonts w:hint="eastAsia" w:ascii="Times New Roman" w:hAnsi="Times New Roman" w:cs="Times New Roman"/>
                <w:color w:val="auto"/>
                <w:kern w:val="2"/>
                <w:sz w:val="24"/>
                <w:szCs w:val="24"/>
                <w:u w:val="none" w:color="auto"/>
                <w:lang w:val="en-US" w:eastAsia="zh-CN"/>
              </w:rPr>
              <w:t>工序上方设置集气罩对废气进行收集</w:t>
            </w:r>
            <w:r>
              <w:rPr>
                <w:rFonts w:hint="default" w:ascii="Times New Roman" w:hAnsi="Times New Roman" w:cs="Times New Roman"/>
                <w:color w:val="auto"/>
                <w:kern w:val="2"/>
                <w:sz w:val="24"/>
                <w:szCs w:val="24"/>
                <w:u w:val="none" w:color="auto"/>
              </w:rPr>
              <w:t>。铸件</w:t>
            </w:r>
            <w:r>
              <w:rPr>
                <w:rFonts w:hint="eastAsia" w:ascii="Times New Roman" w:hAnsi="Times New Roman" w:cs="Times New Roman"/>
                <w:color w:val="auto"/>
                <w:kern w:val="2"/>
                <w:sz w:val="24"/>
                <w:szCs w:val="24"/>
                <w:u w:val="none" w:color="auto"/>
                <w:lang w:val="en-US" w:eastAsia="zh-CN"/>
              </w:rPr>
              <w:t>量</w:t>
            </w:r>
            <w:r>
              <w:rPr>
                <w:rFonts w:hint="default" w:ascii="Times New Roman" w:hAnsi="Times New Roman" w:cs="Times New Roman"/>
                <w:color w:val="auto"/>
                <w:kern w:val="2"/>
                <w:sz w:val="24"/>
                <w:szCs w:val="24"/>
                <w:u w:val="none" w:color="auto"/>
              </w:rPr>
              <w:t>为</w:t>
            </w:r>
            <w:r>
              <w:rPr>
                <w:rFonts w:hint="eastAsia" w:ascii="Times New Roman" w:hAnsi="Times New Roman" w:cs="Times New Roman"/>
                <w:color w:val="auto"/>
                <w:kern w:val="2"/>
                <w:sz w:val="24"/>
                <w:szCs w:val="24"/>
                <w:u w:val="none" w:color="auto"/>
                <w:lang w:val="en-US" w:eastAsia="zh-CN"/>
              </w:rPr>
              <w:t>5000</w:t>
            </w:r>
            <w:r>
              <w:rPr>
                <w:rFonts w:hint="default" w:ascii="Times New Roman" w:hAnsi="Times New Roman" w:cs="Times New Roman"/>
                <w:color w:val="auto"/>
                <w:kern w:val="2"/>
                <w:sz w:val="24"/>
                <w:szCs w:val="24"/>
                <w:u w:val="none" w:color="auto"/>
              </w:rPr>
              <w:t>t/年，则经计算颗粒物产生量为</w:t>
            </w:r>
            <w:r>
              <w:rPr>
                <w:rFonts w:hint="eastAsia" w:ascii="Times New Roman" w:hAnsi="Times New Roman" w:cs="Times New Roman"/>
                <w:color w:val="auto"/>
                <w:kern w:val="2"/>
                <w:sz w:val="24"/>
                <w:szCs w:val="24"/>
                <w:u w:val="none" w:color="auto"/>
                <w:lang w:val="en-US" w:eastAsia="zh-CN"/>
              </w:rPr>
              <w:t>1.235</w:t>
            </w:r>
            <w:r>
              <w:rPr>
                <w:rFonts w:hint="default" w:ascii="Times New Roman" w:hAnsi="Times New Roman" w:cs="Times New Roman"/>
                <w:color w:val="auto"/>
                <w:kern w:val="2"/>
                <w:sz w:val="24"/>
                <w:szCs w:val="24"/>
                <w:u w:val="none" w:color="auto"/>
              </w:rPr>
              <w:t>t/a</w:t>
            </w:r>
            <w:r>
              <w:rPr>
                <w:rFonts w:hint="eastAsia" w:ascii="Times New Roman" w:hAnsi="Times New Roman" w:cs="Times New Roman"/>
                <w:color w:val="auto"/>
                <w:kern w:val="2"/>
                <w:sz w:val="24"/>
                <w:szCs w:val="24"/>
                <w:u w:val="none" w:color="auto"/>
                <w:lang w:eastAsia="zh-CN"/>
              </w:rPr>
              <w:t>，则有组织废气颗粒物产生量为</w:t>
            </w:r>
            <w:r>
              <w:rPr>
                <w:rFonts w:hint="eastAsia" w:ascii="Times New Roman" w:hAnsi="Times New Roman" w:cs="Times New Roman"/>
                <w:color w:val="auto"/>
                <w:kern w:val="2"/>
                <w:sz w:val="24"/>
                <w:szCs w:val="24"/>
                <w:u w:val="none" w:color="auto"/>
                <w:lang w:val="en-US" w:eastAsia="zh-CN"/>
              </w:rPr>
              <w:t>1.112</w:t>
            </w:r>
            <w:r>
              <w:rPr>
                <w:rFonts w:hint="eastAsia" w:ascii="Times New Roman" w:hAnsi="Times New Roman" w:cs="Times New Roman"/>
                <w:color w:val="auto"/>
                <w:kern w:val="2"/>
                <w:sz w:val="24"/>
                <w:szCs w:val="24"/>
                <w:u w:val="none" w:color="auto"/>
                <w:lang w:eastAsia="zh-CN"/>
              </w:rPr>
              <w:t>t/a，无组织废气颗粒物产生量为0.</w:t>
            </w:r>
            <w:r>
              <w:rPr>
                <w:rFonts w:hint="eastAsia" w:ascii="Times New Roman" w:hAnsi="Times New Roman" w:cs="Times New Roman"/>
                <w:color w:val="auto"/>
                <w:kern w:val="2"/>
                <w:sz w:val="24"/>
                <w:szCs w:val="24"/>
                <w:u w:val="none" w:color="auto"/>
                <w:lang w:val="en-US" w:eastAsia="zh-CN"/>
              </w:rPr>
              <w:t>1249</w:t>
            </w:r>
            <w:r>
              <w:rPr>
                <w:rFonts w:hint="eastAsia" w:ascii="Times New Roman" w:hAnsi="Times New Roman" w:cs="Times New Roman"/>
                <w:color w:val="auto"/>
                <w:kern w:val="2"/>
                <w:sz w:val="24"/>
                <w:szCs w:val="24"/>
                <w:u w:val="none" w:color="auto"/>
                <w:lang w:eastAsia="zh-CN"/>
              </w:rPr>
              <w:t>t/a，无组织排放速率为0.</w:t>
            </w:r>
            <w:r>
              <w:rPr>
                <w:rFonts w:hint="eastAsia" w:ascii="Times New Roman" w:hAnsi="Times New Roman" w:cs="Times New Roman"/>
                <w:color w:val="auto"/>
                <w:kern w:val="2"/>
                <w:sz w:val="24"/>
                <w:szCs w:val="24"/>
                <w:u w:val="none" w:color="auto"/>
                <w:lang w:val="en-US" w:eastAsia="zh-CN"/>
              </w:rPr>
              <w:t>051</w:t>
            </w:r>
            <w:r>
              <w:rPr>
                <w:rFonts w:hint="eastAsia" w:ascii="Times New Roman" w:hAnsi="Times New Roman" w:cs="Times New Roman"/>
                <w:color w:val="auto"/>
                <w:kern w:val="2"/>
                <w:sz w:val="24"/>
                <w:szCs w:val="24"/>
                <w:u w:val="none" w:color="auto"/>
                <w:lang w:eastAsia="zh-CN"/>
              </w:rPr>
              <w:t>kg/h。</w:t>
            </w:r>
          </w:p>
          <w:p w14:paraId="4BB2FFDF">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cs="Times New Roman"/>
                <w:b/>
                <w:color w:val="auto"/>
                <w:sz w:val="24"/>
                <w:szCs w:val="24"/>
                <w:lang w:val="en-US" w:eastAsia="zh-CN"/>
              </w:rPr>
            </w:pPr>
            <w:r>
              <w:rPr>
                <w:rFonts w:hint="eastAsia" w:ascii="Times New Roman" w:hAnsi="Times New Roman" w:cs="Times New Roman"/>
                <w:b/>
                <w:color w:val="auto"/>
                <w:sz w:val="24"/>
                <w:szCs w:val="24"/>
                <w:lang w:val="en-US" w:eastAsia="zh-CN"/>
              </w:rPr>
              <w:t>1.7</w:t>
            </w:r>
            <w:r>
              <w:rPr>
                <w:rFonts w:hint="default" w:ascii="Times New Roman" w:hAnsi="Times New Roman" w:cs="Times New Roman"/>
                <w:b/>
                <w:color w:val="auto"/>
                <w:sz w:val="24"/>
                <w:szCs w:val="24"/>
                <w:lang w:val="en-US" w:eastAsia="zh-CN"/>
              </w:rPr>
              <w:t>落砂</w:t>
            </w:r>
          </w:p>
          <w:p w14:paraId="45B39BEB">
            <w:pPr>
              <w:keepNext w:val="0"/>
              <w:keepLines w:val="0"/>
              <w:numPr>
                <w:ilvl w:val="0"/>
                <w:numId w:val="0"/>
              </w:numPr>
              <w:suppressLineNumbers w:val="0"/>
              <w:spacing w:before="0" w:beforeAutospacing="0" w:after="0" w:afterAutospacing="0"/>
              <w:ind w:left="0" w:right="0" w:firstLine="480" w:firstLineChars="200"/>
              <w:jc w:val="both"/>
              <w:rPr>
                <w:rFonts w:hint="default" w:ascii="Times New Roman" w:hAnsi="Times New Roman" w:cs="Times New Roman"/>
                <w:b w:val="0"/>
                <w:bCs/>
                <w:color w:val="auto"/>
                <w:sz w:val="24"/>
                <w:szCs w:val="24"/>
                <w:lang w:val="en-US" w:eastAsia="zh-CN"/>
              </w:rPr>
            </w:pPr>
            <w:r>
              <w:rPr>
                <w:rFonts w:hint="default" w:ascii="Times New Roman" w:hAnsi="Times New Roman" w:cs="Times New Roman"/>
                <w:b w:val="0"/>
                <w:bCs/>
                <w:color w:val="auto"/>
                <w:sz w:val="24"/>
                <w:szCs w:val="24"/>
                <w:lang w:val="en-US" w:eastAsia="zh-CN"/>
              </w:rPr>
              <w:t>本项目落砂过程会产生颗粒物，每天落砂约3h，年落砂时间为900h/a，</w:t>
            </w:r>
            <w:r>
              <w:rPr>
                <w:rFonts w:hint="eastAsia" w:ascii="Times New Roman" w:hAnsi="Times New Roman" w:cs="Times New Roman"/>
                <w:b w:val="0"/>
                <w:bCs/>
                <w:color w:val="auto"/>
                <w:sz w:val="24"/>
                <w:szCs w:val="24"/>
                <w:lang w:val="en-US" w:eastAsia="zh-CN"/>
              </w:rPr>
              <w:t>本项目采用水玻璃砂，</w:t>
            </w:r>
            <w:r>
              <w:rPr>
                <w:rFonts w:hint="default" w:ascii="Times New Roman" w:hAnsi="Times New Roman" w:cs="Times New Roman"/>
                <w:b w:val="0"/>
                <w:bCs/>
                <w:color w:val="auto"/>
                <w:sz w:val="24"/>
                <w:szCs w:val="24"/>
                <w:lang w:val="en-US" w:eastAsia="zh-CN"/>
              </w:rPr>
              <w:t>参照《逸散性工业粉尘控制技术》中</w:t>
            </w:r>
            <w:r>
              <w:rPr>
                <w:rFonts w:hint="eastAsia" w:ascii="Times New Roman" w:hAnsi="Times New Roman" w:cs="Times New Roman"/>
                <w:b w:val="0"/>
                <w:bCs/>
                <w:color w:val="auto"/>
                <w:sz w:val="24"/>
                <w:szCs w:val="24"/>
                <w:lang w:val="en-US" w:eastAsia="zh-CN"/>
              </w:rPr>
              <w:t>表7-1灰铁铸造厂逸散尘排放因子中铸件出砂排放系数</w:t>
            </w:r>
            <w:r>
              <w:rPr>
                <w:rFonts w:hint="default" w:ascii="Times New Roman" w:hAnsi="Times New Roman" w:cs="Times New Roman"/>
                <w:b w:val="0"/>
                <w:bCs/>
                <w:color w:val="auto"/>
                <w:sz w:val="24"/>
                <w:szCs w:val="24"/>
                <w:lang w:val="en-US" w:eastAsia="zh-CN"/>
              </w:rPr>
              <w:t>，</w:t>
            </w:r>
            <w:r>
              <w:rPr>
                <w:rFonts w:hint="eastAsia" w:ascii="Times New Roman" w:hAnsi="Times New Roman" w:cs="Times New Roman"/>
                <w:b w:val="0"/>
                <w:bCs/>
                <w:color w:val="auto"/>
                <w:sz w:val="24"/>
                <w:szCs w:val="24"/>
                <w:lang w:val="en-US" w:eastAsia="zh-CN"/>
              </w:rPr>
              <w:t>落砂</w:t>
            </w:r>
            <w:r>
              <w:rPr>
                <w:rFonts w:hint="default" w:ascii="Times New Roman" w:hAnsi="Times New Roman" w:cs="Times New Roman"/>
                <w:b w:val="0"/>
                <w:bCs/>
                <w:color w:val="auto"/>
                <w:sz w:val="24"/>
                <w:szCs w:val="24"/>
                <w:lang w:val="en-US" w:eastAsia="zh-CN"/>
              </w:rPr>
              <w:t>产生颗粒物量按0.</w:t>
            </w:r>
            <w:r>
              <w:rPr>
                <w:rFonts w:hint="eastAsia" w:ascii="Times New Roman" w:hAnsi="Times New Roman" w:cs="Times New Roman"/>
                <w:b w:val="0"/>
                <w:bCs/>
                <w:color w:val="auto"/>
                <w:sz w:val="24"/>
                <w:szCs w:val="24"/>
                <w:lang w:val="en-US" w:eastAsia="zh-CN"/>
              </w:rPr>
              <w:t>6</w:t>
            </w:r>
            <w:r>
              <w:rPr>
                <w:rFonts w:hint="default" w:ascii="Times New Roman" w:hAnsi="Times New Roman" w:cs="Times New Roman"/>
                <w:b w:val="0"/>
                <w:bCs/>
                <w:color w:val="auto"/>
                <w:sz w:val="24"/>
                <w:szCs w:val="24"/>
                <w:lang w:val="en-US" w:eastAsia="zh-CN"/>
              </w:rPr>
              <w:t>kg/t-产品计，则落砂颗粒物产生量为</w:t>
            </w:r>
            <w:r>
              <w:rPr>
                <w:rFonts w:hint="eastAsia" w:ascii="Times New Roman" w:hAnsi="Times New Roman" w:cs="Times New Roman"/>
                <w:b w:val="0"/>
                <w:bCs/>
                <w:color w:val="auto"/>
                <w:sz w:val="24"/>
                <w:szCs w:val="24"/>
                <w:lang w:val="en-US" w:eastAsia="zh-CN"/>
              </w:rPr>
              <w:t>3</w:t>
            </w:r>
            <w:r>
              <w:rPr>
                <w:rFonts w:hint="default" w:ascii="Times New Roman" w:hAnsi="Times New Roman" w:cs="Times New Roman"/>
                <w:b w:val="0"/>
                <w:bCs/>
                <w:color w:val="auto"/>
                <w:sz w:val="24"/>
                <w:szCs w:val="24"/>
                <w:lang w:val="en-US" w:eastAsia="zh-CN"/>
              </w:rPr>
              <w:t>t/a。落砂工序上方设置集气罩对废气进行收集。铸件量为5000t/年，则经计算颗粒物产生量为</w:t>
            </w:r>
            <w:r>
              <w:rPr>
                <w:rFonts w:hint="eastAsia" w:ascii="Times New Roman" w:hAnsi="Times New Roman" w:cs="Times New Roman"/>
                <w:b w:val="0"/>
                <w:bCs/>
                <w:color w:val="auto"/>
                <w:sz w:val="24"/>
                <w:szCs w:val="24"/>
                <w:lang w:val="en-US" w:eastAsia="zh-CN"/>
              </w:rPr>
              <w:t>3</w:t>
            </w:r>
            <w:r>
              <w:rPr>
                <w:rFonts w:hint="default" w:ascii="Times New Roman" w:hAnsi="Times New Roman" w:cs="Times New Roman"/>
                <w:b w:val="0"/>
                <w:bCs/>
                <w:color w:val="auto"/>
                <w:sz w:val="24"/>
                <w:szCs w:val="24"/>
                <w:lang w:val="en-US" w:eastAsia="zh-CN"/>
              </w:rPr>
              <w:t>t/a，则有组织废气颗粒物产生量为</w:t>
            </w:r>
            <w:r>
              <w:rPr>
                <w:rFonts w:hint="eastAsia" w:ascii="Times New Roman" w:hAnsi="Times New Roman" w:cs="Times New Roman"/>
                <w:b w:val="0"/>
                <w:bCs/>
                <w:color w:val="auto"/>
                <w:sz w:val="24"/>
                <w:szCs w:val="24"/>
                <w:lang w:val="en-US" w:eastAsia="zh-CN"/>
              </w:rPr>
              <w:t>2.700</w:t>
            </w:r>
            <w:r>
              <w:rPr>
                <w:rFonts w:hint="default" w:ascii="Times New Roman" w:hAnsi="Times New Roman" w:cs="Times New Roman"/>
                <w:b w:val="0"/>
                <w:bCs/>
                <w:color w:val="auto"/>
                <w:sz w:val="24"/>
                <w:szCs w:val="24"/>
                <w:lang w:val="en-US" w:eastAsia="zh-CN"/>
              </w:rPr>
              <w:t>t/a，无组织废气颗粒物产生量为0.</w:t>
            </w:r>
            <w:r>
              <w:rPr>
                <w:rFonts w:hint="eastAsia" w:ascii="Times New Roman" w:hAnsi="Times New Roman" w:cs="Times New Roman"/>
                <w:b w:val="0"/>
                <w:bCs/>
                <w:color w:val="auto"/>
                <w:sz w:val="24"/>
                <w:szCs w:val="24"/>
                <w:lang w:val="en-US" w:eastAsia="zh-CN"/>
              </w:rPr>
              <w:t>3</w:t>
            </w:r>
            <w:r>
              <w:rPr>
                <w:rFonts w:hint="default" w:ascii="Times New Roman" w:hAnsi="Times New Roman" w:cs="Times New Roman"/>
                <w:b w:val="0"/>
                <w:bCs/>
                <w:color w:val="auto"/>
                <w:sz w:val="24"/>
                <w:szCs w:val="24"/>
                <w:lang w:val="en-US" w:eastAsia="zh-CN"/>
              </w:rPr>
              <w:t>t/a，无组织</w:t>
            </w:r>
            <w:r>
              <w:rPr>
                <w:rFonts w:hint="eastAsia" w:ascii="Times New Roman" w:hAnsi="Times New Roman" w:cs="Times New Roman"/>
                <w:b w:val="0"/>
                <w:bCs/>
                <w:color w:val="auto"/>
                <w:sz w:val="24"/>
                <w:szCs w:val="24"/>
                <w:lang w:val="en-US" w:eastAsia="zh-CN"/>
              </w:rPr>
              <w:t>颗粒物</w:t>
            </w:r>
            <w:r>
              <w:rPr>
                <w:rFonts w:hint="default" w:ascii="Times New Roman" w:hAnsi="Times New Roman" w:cs="Times New Roman"/>
                <w:b w:val="0"/>
                <w:bCs/>
                <w:color w:val="auto"/>
                <w:sz w:val="24"/>
                <w:szCs w:val="24"/>
                <w:lang w:val="en-US" w:eastAsia="zh-CN"/>
              </w:rPr>
              <w:t>排放速率为0.</w:t>
            </w:r>
            <w:r>
              <w:rPr>
                <w:rFonts w:hint="eastAsia" w:ascii="Times New Roman" w:hAnsi="Times New Roman" w:cs="Times New Roman"/>
                <w:b w:val="0"/>
                <w:bCs/>
                <w:color w:val="auto"/>
                <w:sz w:val="24"/>
                <w:szCs w:val="24"/>
                <w:lang w:val="en-US" w:eastAsia="zh-CN"/>
              </w:rPr>
              <w:t>333</w:t>
            </w:r>
            <w:r>
              <w:rPr>
                <w:rFonts w:hint="default" w:ascii="Times New Roman" w:hAnsi="Times New Roman" w:cs="Times New Roman"/>
                <w:b w:val="0"/>
                <w:bCs/>
                <w:color w:val="auto"/>
                <w:sz w:val="24"/>
                <w:szCs w:val="24"/>
                <w:lang w:val="en-US" w:eastAsia="zh-CN"/>
              </w:rPr>
              <w:t>kg/h。</w:t>
            </w:r>
          </w:p>
          <w:p w14:paraId="3A1C7499">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cs="Times New Roman"/>
                <w:b/>
                <w:color w:val="auto"/>
                <w:sz w:val="24"/>
                <w:szCs w:val="24"/>
                <w:lang w:val="en-US" w:eastAsia="zh-CN"/>
              </w:rPr>
            </w:pPr>
            <w:r>
              <w:rPr>
                <w:rFonts w:hint="default" w:ascii="Times New Roman" w:hAnsi="Times New Roman" w:cs="Times New Roman"/>
                <w:b/>
                <w:color w:val="auto"/>
                <w:sz w:val="24"/>
                <w:szCs w:val="24"/>
                <w:lang w:val="en-US" w:eastAsia="zh-CN"/>
              </w:rPr>
              <w:t>1.</w:t>
            </w:r>
            <w:r>
              <w:rPr>
                <w:rFonts w:hint="eastAsia" w:ascii="Times New Roman" w:hAnsi="Times New Roman" w:cs="Times New Roman"/>
                <w:b/>
                <w:color w:val="auto"/>
                <w:sz w:val="24"/>
                <w:szCs w:val="24"/>
                <w:lang w:val="en-US" w:eastAsia="zh-CN"/>
              </w:rPr>
              <w:t>8</w:t>
            </w:r>
            <w:r>
              <w:rPr>
                <w:rFonts w:hint="default" w:ascii="Times New Roman" w:hAnsi="Times New Roman" w:cs="Times New Roman"/>
                <w:b/>
                <w:color w:val="auto"/>
                <w:sz w:val="24"/>
                <w:szCs w:val="24"/>
                <w:lang w:val="en-US" w:eastAsia="zh-CN"/>
              </w:rPr>
              <w:t>球冒分离废气</w:t>
            </w:r>
          </w:p>
          <w:p w14:paraId="24B36524">
            <w:pPr>
              <w:keepNext w:val="0"/>
              <w:keepLines w:val="0"/>
              <w:numPr>
                <w:ilvl w:val="0"/>
                <w:numId w:val="0"/>
              </w:numPr>
              <w:suppressLineNumbers w:val="0"/>
              <w:spacing w:before="0" w:beforeAutospacing="0" w:after="0" w:afterAutospacing="0"/>
              <w:ind w:left="0" w:right="0" w:firstLine="480" w:firstLineChars="200"/>
              <w:jc w:val="both"/>
              <w:rPr>
                <w:rFonts w:hint="default" w:ascii="Times New Roman" w:hAnsi="Times New Roman" w:cs="Times New Roman"/>
                <w:b w:val="0"/>
                <w:bCs/>
                <w:color w:val="auto"/>
                <w:sz w:val="24"/>
                <w:szCs w:val="24"/>
                <w:lang w:val="en-US" w:eastAsia="zh-CN"/>
              </w:rPr>
            </w:pPr>
            <w:r>
              <w:rPr>
                <w:rFonts w:hint="default" w:ascii="Times New Roman" w:hAnsi="Times New Roman" w:cs="Times New Roman"/>
                <w:b w:val="0"/>
                <w:bCs/>
                <w:color w:val="auto"/>
                <w:sz w:val="24"/>
                <w:szCs w:val="24"/>
                <w:lang w:val="en-US" w:eastAsia="zh-CN"/>
              </w:rPr>
              <w:t>本项目采用挑球器（或称自动分离分选设备）可以实现浇冒口与铸件的自动分离，球冒分离过程会产生颗粒物，每天约3h，年时间为900h/a，本项目产品较规整，需要球帽分离的量较少，参照《逸散性工业粉尘控制技术》中表7-1灰铁铸造厂逸散尘排放因子，球冒分离产生颗粒物量按0.08kg/t-产品计，则球冒分离颗粒物产生量为0.</w:t>
            </w:r>
            <w:r>
              <w:rPr>
                <w:rFonts w:hint="eastAsia" w:ascii="Times New Roman" w:hAnsi="Times New Roman" w:cs="Times New Roman"/>
                <w:b w:val="0"/>
                <w:bCs/>
                <w:color w:val="auto"/>
                <w:sz w:val="24"/>
                <w:szCs w:val="24"/>
                <w:lang w:val="en-US" w:eastAsia="zh-CN"/>
              </w:rPr>
              <w:t>4</w:t>
            </w:r>
            <w:r>
              <w:rPr>
                <w:rFonts w:hint="default" w:ascii="Times New Roman" w:hAnsi="Times New Roman" w:cs="Times New Roman"/>
                <w:b w:val="0"/>
                <w:bCs/>
                <w:color w:val="auto"/>
                <w:sz w:val="24"/>
                <w:szCs w:val="24"/>
                <w:lang w:val="en-US" w:eastAsia="zh-CN"/>
              </w:rPr>
              <w:t>t/a。球冒分离工序上方设置集气罩对废气进行收集。铸件量为5000t/年，则经计算颗粒物产生量为</w:t>
            </w:r>
            <w:r>
              <w:rPr>
                <w:rFonts w:hint="eastAsia" w:ascii="Times New Roman" w:hAnsi="Times New Roman" w:cs="Times New Roman"/>
                <w:b w:val="0"/>
                <w:bCs/>
                <w:color w:val="auto"/>
                <w:sz w:val="24"/>
                <w:szCs w:val="24"/>
                <w:lang w:val="en-US" w:eastAsia="zh-CN"/>
              </w:rPr>
              <w:t>0.4</w:t>
            </w:r>
            <w:r>
              <w:rPr>
                <w:rFonts w:hint="default" w:ascii="Times New Roman" w:hAnsi="Times New Roman" w:cs="Times New Roman"/>
                <w:b w:val="0"/>
                <w:bCs/>
                <w:color w:val="auto"/>
                <w:sz w:val="24"/>
                <w:szCs w:val="24"/>
                <w:lang w:val="en-US" w:eastAsia="zh-CN"/>
              </w:rPr>
              <w:t>t/a，则有组织废气颗粒物产生量为</w:t>
            </w:r>
            <w:r>
              <w:rPr>
                <w:rFonts w:hint="eastAsia" w:ascii="Times New Roman" w:hAnsi="Times New Roman" w:cs="Times New Roman"/>
                <w:b w:val="0"/>
                <w:bCs/>
                <w:color w:val="auto"/>
                <w:sz w:val="24"/>
                <w:szCs w:val="24"/>
                <w:lang w:val="en-US" w:eastAsia="zh-CN"/>
              </w:rPr>
              <w:t>0.360</w:t>
            </w:r>
            <w:r>
              <w:rPr>
                <w:rFonts w:hint="default" w:ascii="Times New Roman" w:hAnsi="Times New Roman" w:cs="Times New Roman"/>
                <w:b w:val="0"/>
                <w:bCs/>
                <w:color w:val="auto"/>
                <w:sz w:val="24"/>
                <w:szCs w:val="24"/>
                <w:lang w:val="en-US" w:eastAsia="zh-CN"/>
              </w:rPr>
              <w:t>t/a，无组织废气颗粒物产生量为0.</w:t>
            </w:r>
            <w:r>
              <w:rPr>
                <w:rFonts w:hint="eastAsia" w:ascii="Times New Roman" w:hAnsi="Times New Roman" w:cs="Times New Roman"/>
                <w:b w:val="0"/>
                <w:bCs/>
                <w:color w:val="auto"/>
                <w:sz w:val="24"/>
                <w:szCs w:val="24"/>
                <w:lang w:val="en-US" w:eastAsia="zh-CN"/>
              </w:rPr>
              <w:t>040</w:t>
            </w:r>
            <w:r>
              <w:rPr>
                <w:rFonts w:hint="default" w:ascii="Times New Roman" w:hAnsi="Times New Roman" w:cs="Times New Roman"/>
                <w:b w:val="0"/>
                <w:bCs/>
                <w:color w:val="auto"/>
                <w:sz w:val="24"/>
                <w:szCs w:val="24"/>
                <w:lang w:val="en-US" w:eastAsia="zh-CN"/>
              </w:rPr>
              <w:t>t/a，无组织排放速率为0.0</w:t>
            </w:r>
            <w:r>
              <w:rPr>
                <w:rFonts w:hint="eastAsia" w:ascii="Times New Roman" w:hAnsi="Times New Roman" w:cs="Times New Roman"/>
                <w:b w:val="0"/>
                <w:bCs/>
                <w:color w:val="auto"/>
                <w:sz w:val="24"/>
                <w:szCs w:val="24"/>
                <w:lang w:val="en-US" w:eastAsia="zh-CN"/>
              </w:rPr>
              <w:t>44</w:t>
            </w:r>
            <w:r>
              <w:rPr>
                <w:rFonts w:hint="default" w:ascii="Times New Roman" w:hAnsi="Times New Roman" w:cs="Times New Roman"/>
                <w:b w:val="0"/>
                <w:bCs/>
                <w:color w:val="auto"/>
                <w:sz w:val="24"/>
                <w:szCs w:val="24"/>
                <w:lang w:val="en-US" w:eastAsia="zh-CN"/>
              </w:rPr>
              <w:t>kg/h。</w:t>
            </w:r>
          </w:p>
          <w:p w14:paraId="52A56FA1">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cs="Times New Roman"/>
                <w:b/>
                <w:bCs/>
                <w:color w:val="auto"/>
                <w:sz w:val="24"/>
                <w:szCs w:val="24"/>
                <w:lang w:val="en-US" w:eastAsia="zh-CN"/>
              </w:rPr>
            </w:pPr>
            <w:r>
              <w:rPr>
                <w:rFonts w:hint="eastAsia" w:ascii="宋体" w:hAnsi="宋体" w:eastAsia="宋体" w:cs="宋体"/>
                <w:b/>
                <w:bCs/>
                <w:color w:val="auto"/>
                <w:kern w:val="2"/>
                <w:sz w:val="24"/>
                <w:szCs w:val="24"/>
              </w:rPr>
              <w:t>本项目浇注</w:t>
            </w:r>
            <w:r>
              <w:rPr>
                <w:rFonts w:hint="eastAsia" w:ascii="宋体" w:hAnsi="宋体" w:eastAsia="宋体" w:cs="宋体"/>
                <w:b/>
                <w:bCs/>
                <w:color w:val="auto"/>
                <w:kern w:val="2"/>
                <w:sz w:val="24"/>
                <w:szCs w:val="24"/>
                <w:lang w:eastAsia="zh-CN"/>
              </w:rPr>
              <w:t>、</w:t>
            </w:r>
            <w:r>
              <w:rPr>
                <w:rFonts w:hint="eastAsia" w:ascii="宋体" w:hAnsi="宋体" w:eastAsia="宋体" w:cs="宋体"/>
                <w:b/>
                <w:bCs/>
                <w:color w:val="auto"/>
                <w:kern w:val="2"/>
                <w:sz w:val="24"/>
                <w:szCs w:val="24"/>
                <w:lang w:val="en-US" w:eastAsia="zh-CN"/>
              </w:rPr>
              <w:t>落砂、球帽分离废气</w:t>
            </w:r>
            <w:r>
              <w:rPr>
                <w:rFonts w:hint="eastAsia" w:ascii="宋体" w:hAnsi="宋体" w:eastAsia="宋体" w:cs="宋体"/>
                <w:b/>
                <w:bCs/>
                <w:color w:val="auto"/>
                <w:kern w:val="2"/>
                <w:sz w:val="24"/>
                <w:szCs w:val="24"/>
              </w:rPr>
              <w:t>经集气罩收集</w:t>
            </w:r>
            <w:r>
              <w:rPr>
                <w:rFonts w:hint="eastAsia" w:ascii="宋体" w:hAnsi="宋体" w:eastAsia="宋体" w:cs="宋体"/>
                <w:b/>
                <w:bCs/>
                <w:color w:val="auto"/>
                <w:kern w:val="2"/>
                <w:sz w:val="24"/>
                <w:szCs w:val="24"/>
                <w:lang w:val="en-US" w:eastAsia="zh-CN"/>
              </w:rPr>
              <w:t>后经一套</w:t>
            </w:r>
            <w:r>
              <w:rPr>
                <w:rFonts w:hint="eastAsia" w:ascii="宋体" w:hAnsi="宋体" w:eastAsia="宋体" w:cs="宋体"/>
                <w:b/>
                <w:bCs/>
                <w:color w:val="auto"/>
                <w:kern w:val="2"/>
                <w:sz w:val="24"/>
                <w:szCs w:val="24"/>
              </w:rPr>
              <w:t>布袋除尘器</w:t>
            </w:r>
            <w:r>
              <w:rPr>
                <w:rFonts w:hint="eastAsia" w:ascii="宋体" w:hAnsi="宋体" w:eastAsia="宋体" w:cs="宋体"/>
                <w:b/>
                <w:bCs/>
                <w:color w:val="auto"/>
                <w:kern w:val="2"/>
                <w:sz w:val="24"/>
                <w:szCs w:val="24"/>
                <w:lang w:val="en-US" w:eastAsia="zh-CN"/>
              </w:rPr>
              <w:t>处理后通过1根</w:t>
            </w:r>
            <w:r>
              <w:rPr>
                <w:rFonts w:hint="default" w:ascii="Times New Roman" w:hAnsi="Times New Roman" w:eastAsia="宋体" w:cs="Times New Roman"/>
                <w:b/>
                <w:bCs/>
                <w:color w:val="auto"/>
                <w:kern w:val="2"/>
                <w:sz w:val="24"/>
                <w:szCs w:val="24"/>
              </w:rPr>
              <w:t>15m</w:t>
            </w:r>
            <w:r>
              <w:rPr>
                <w:rFonts w:hint="eastAsia" w:ascii="宋体" w:hAnsi="宋体" w:eastAsia="宋体" w:cs="宋体"/>
                <w:b/>
                <w:bCs/>
                <w:color w:val="auto"/>
                <w:kern w:val="2"/>
                <w:sz w:val="24"/>
                <w:szCs w:val="24"/>
              </w:rPr>
              <w:t>排气筒（</w:t>
            </w:r>
            <w:r>
              <w:rPr>
                <w:rFonts w:hint="default" w:ascii="Times New Roman" w:hAnsi="Times New Roman" w:eastAsia="宋体" w:cs="Times New Roman"/>
                <w:b/>
                <w:bCs/>
                <w:color w:val="auto"/>
                <w:kern w:val="2"/>
                <w:sz w:val="24"/>
                <w:szCs w:val="24"/>
              </w:rPr>
              <w:t>DA002</w:t>
            </w:r>
            <w:r>
              <w:rPr>
                <w:rFonts w:hint="eastAsia" w:ascii="宋体" w:hAnsi="宋体" w:eastAsia="宋体" w:cs="宋体"/>
                <w:b/>
                <w:bCs/>
                <w:color w:val="auto"/>
                <w:kern w:val="2"/>
                <w:sz w:val="24"/>
                <w:szCs w:val="24"/>
              </w:rPr>
              <w:t>）排放。本项目采用的集气罩属于顶吸罩，根据上文分析集气罩收集效率取值为</w:t>
            </w:r>
            <w:r>
              <w:rPr>
                <w:rFonts w:hint="default" w:ascii="Times New Roman" w:hAnsi="Times New Roman" w:eastAsia="宋体" w:cs="Times New Roman"/>
                <w:b/>
                <w:bCs/>
                <w:color w:val="auto"/>
                <w:kern w:val="2"/>
                <w:sz w:val="24"/>
                <w:szCs w:val="24"/>
              </w:rPr>
              <w:t>90%</w:t>
            </w:r>
            <w:r>
              <w:rPr>
                <w:rFonts w:hint="eastAsia" w:ascii="宋体" w:hAnsi="宋体" w:eastAsia="宋体" w:cs="宋体"/>
                <w:b/>
                <w:bCs/>
                <w:color w:val="auto"/>
                <w:kern w:val="2"/>
                <w:sz w:val="24"/>
                <w:szCs w:val="24"/>
              </w:rPr>
              <w:t>，废气量为</w:t>
            </w:r>
            <w:r>
              <w:rPr>
                <w:rFonts w:hint="eastAsia" w:ascii="Times New Roman" w:hAnsi="Times New Roman" w:eastAsia="宋体" w:cs="Times New Roman"/>
                <w:b/>
                <w:bCs/>
                <w:color w:val="auto"/>
                <w:kern w:val="2"/>
                <w:sz w:val="24"/>
                <w:szCs w:val="24"/>
                <w:lang w:val="en-US" w:eastAsia="zh-CN"/>
              </w:rPr>
              <w:t>20000</w:t>
            </w:r>
            <w:r>
              <w:rPr>
                <w:rFonts w:hint="default" w:ascii="Times New Roman" w:hAnsi="Times New Roman" w:eastAsia="宋体" w:cs="Times New Roman"/>
                <w:b/>
                <w:bCs/>
                <w:color w:val="auto"/>
                <w:kern w:val="2"/>
                <w:sz w:val="24"/>
                <w:szCs w:val="24"/>
              </w:rPr>
              <w:t>m</w:t>
            </w:r>
            <w:r>
              <w:rPr>
                <w:rFonts w:hint="default" w:ascii="Times New Roman" w:hAnsi="Times New Roman" w:eastAsia="宋体" w:cs="Times New Roman"/>
                <w:b/>
                <w:bCs/>
                <w:color w:val="auto"/>
                <w:kern w:val="2"/>
                <w:sz w:val="24"/>
                <w:szCs w:val="24"/>
                <w:vertAlign w:val="superscript"/>
              </w:rPr>
              <w:t>3</w:t>
            </w:r>
            <w:r>
              <w:rPr>
                <w:rFonts w:hint="default" w:ascii="Times New Roman" w:hAnsi="Times New Roman" w:eastAsia="宋体" w:cs="Times New Roman"/>
                <w:b/>
                <w:bCs/>
                <w:color w:val="auto"/>
                <w:kern w:val="2"/>
                <w:sz w:val="24"/>
                <w:szCs w:val="24"/>
              </w:rPr>
              <w:t>/h</w:t>
            </w:r>
            <w:r>
              <w:rPr>
                <w:rFonts w:hint="eastAsia" w:ascii="宋体" w:hAnsi="宋体" w:eastAsia="宋体" w:cs="宋体"/>
                <w:b/>
                <w:bCs/>
                <w:color w:val="auto"/>
                <w:kern w:val="2"/>
                <w:sz w:val="24"/>
                <w:szCs w:val="24"/>
              </w:rPr>
              <w:t>，颗粒物有组织产生量为</w:t>
            </w:r>
            <w:r>
              <w:rPr>
                <w:rFonts w:hint="eastAsia" w:ascii="Times New Roman" w:hAnsi="Times New Roman" w:eastAsia="宋体" w:cs="Times New Roman"/>
                <w:b/>
                <w:bCs/>
                <w:color w:val="auto"/>
                <w:kern w:val="2"/>
                <w:sz w:val="24"/>
                <w:szCs w:val="24"/>
                <w:lang w:val="en-US" w:eastAsia="zh-CN"/>
              </w:rPr>
              <w:t>4.175</w:t>
            </w:r>
            <w:r>
              <w:rPr>
                <w:rFonts w:hint="default" w:ascii="Times New Roman" w:hAnsi="Times New Roman" w:eastAsia="宋体" w:cs="Times New Roman"/>
                <w:b/>
                <w:bCs/>
                <w:color w:val="auto"/>
                <w:kern w:val="2"/>
                <w:sz w:val="24"/>
                <w:szCs w:val="24"/>
              </w:rPr>
              <w:t>t/a</w:t>
            </w:r>
            <w:r>
              <w:rPr>
                <w:rFonts w:hint="eastAsia" w:ascii="宋体" w:hAnsi="宋体" w:eastAsia="宋体" w:cs="宋体"/>
                <w:b/>
                <w:bCs/>
                <w:color w:val="auto"/>
                <w:kern w:val="2"/>
                <w:sz w:val="24"/>
                <w:szCs w:val="24"/>
              </w:rPr>
              <w:t>、产生速率为</w:t>
            </w:r>
            <w:r>
              <w:rPr>
                <w:rFonts w:hint="default" w:ascii="Times New Roman" w:hAnsi="Times New Roman" w:eastAsia="宋体" w:cs="Times New Roman"/>
                <w:b/>
                <w:bCs/>
                <w:color w:val="auto"/>
                <w:kern w:val="2"/>
                <w:sz w:val="24"/>
                <w:szCs w:val="24"/>
                <w:lang w:val="en-US" w:eastAsia="zh-CN"/>
              </w:rPr>
              <w:t>0.463kg/h</w:t>
            </w:r>
            <w:r>
              <w:rPr>
                <w:rFonts w:hint="eastAsia" w:ascii="Times New Roman" w:hAnsi="Times New Roman" w:eastAsia="宋体" w:cs="Times New Roman"/>
                <w:b/>
                <w:bCs/>
                <w:color w:val="auto"/>
                <w:kern w:val="2"/>
                <w:sz w:val="24"/>
                <w:szCs w:val="24"/>
                <w:lang w:val="en-US" w:eastAsia="zh-CN"/>
              </w:rPr>
              <w:t>（浇铸工作单独运行）</w:t>
            </w:r>
            <w:r>
              <w:rPr>
                <w:rFonts w:hint="eastAsia" w:ascii="宋体" w:hAnsi="宋体" w:eastAsia="宋体" w:cs="宋体"/>
                <w:b/>
                <w:bCs/>
                <w:color w:val="auto"/>
                <w:kern w:val="2"/>
                <w:sz w:val="24"/>
                <w:szCs w:val="24"/>
                <w:lang w:val="en-US" w:eastAsia="zh-CN"/>
              </w:rPr>
              <w:t>-</w:t>
            </w:r>
            <w:r>
              <w:rPr>
                <w:rFonts w:hint="eastAsia" w:ascii="Times New Roman" w:hAnsi="Times New Roman" w:eastAsia="宋体" w:cs="Times New Roman"/>
                <w:b/>
                <w:bCs/>
                <w:color w:val="auto"/>
                <w:kern w:val="2"/>
                <w:sz w:val="24"/>
                <w:szCs w:val="24"/>
                <w:lang w:val="en-US" w:eastAsia="zh-CN"/>
              </w:rPr>
              <w:t>3.863</w:t>
            </w:r>
            <w:r>
              <w:rPr>
                <w:rFonts w:hint="default" w:ascii="Times New Roman" w:hAnsi="Times New Roman" w:eastAsia="宋体" w:cs="Times New Roman"/>
                <w:b/>
                <w:bCs/>
                <w:color w:val="auto"/>
                <w:kern w:val="2"/>
                <w:sz w:val="24"/>
                <w:szCs w:val="24"/>
              </w:rPr>
              <w:t>kg/h</w:t>
            </w:r>
            <w:r>
              <w:rPr>
                <w:rFonts w:hint="eastAsia" w:ascii="宋体" w:hAnsi="宋体" w:eastAsia="宋体" w:cs="宋体"/>
                <w:b/>
                <w:bCs/>
                <w:color w:val="auto"/>
                <w:kern w:val="2"/>
                <w:sz w:val="24"/>
                <w:szCs w:val="24"/>
              </w:rPr>
              <w:t>、产生浓度为</w:t>
            </w:r>
            <w:r>
              <w:rPr>
                <w:rFonts w:hint="default" w:ascii="Times New Roman" w:hAnsi="Times New Roman" w:eastAsia="宋体" w:cs="Times New Roman"/>
                <w:b/>
                <w:bCs/>
                <w:color w:val="auto"/>
                <w:kern w:val="2"/>
                <w:sz w:val="24"/>
                <w:szCs w:val="24"/>
                <w:lang w:val="en-US" w:eastAsia="zh-CN"/>
              </w:rPr>
              <w:t>23.16mg/m</w:t>
            </w:r>
            <w:r>
              <w:rPr>
                <w:rFonts w:hint="default" w:ascii="Times New Roman" w:hAnsi="Times New Roman" w:eastAsia="宋体" w:cs="Times New Roman"/>
                <w:b/>
                <w:bCs/>
                <w:color w:val="auto"/>
                <w:kern w:val="2"/>
                <w:sz w:val="24"/>
                <w:szCs w:val="24"/>
                <w:vertAlign w:val="superscript"/>
                <w:lang w:val="en-US" w:eastAsia="zh-CN"/>
              </w:rPr>
              <w:t>3</w:t>
            </w:r>
            <w:r>
              <w:rPr>
                <w:rFonts w:hint="default" w:ascii="Times New Roman" w:hAnsi="Times New Roman" w:eastAsia="宋体" w:cs="Times New Roman"/>
                <w:b/>
                <w:bCs/>
                <w:color w:val="auto"/>
                <w:kern w:val="2"/>
                <w:sz w:val="24"/>
                <w:szCs w:val="24"/>
                <w:vertAlign w:val="baseline"/>
                <w:lang w:val="en-US" w:eastAsia="zh-CN"/>
              </w:rPr>
              <w:t>（浇铸工作单独运行）</w:t>
            </w:r>
            <w:r>
              <w:rPr>
                <w:rFonts w:hint="default" w:ascii="Times New Roman" w:hAnsi="Times New Roman" w:eastAsia="宋体" w:cs="Times New Roman"/>
                <w:b/>
                <w:bCs/>
                <w:color w:val="auto"/>
                <w:kern w:val="2"/>
                <w:sz w:val="24"/>
                <w:szCs w:val="24"/>
                <w:lang w:val="en-US" w:eastAsia="zh-CN"/>
              </w:rPr>
              <w:t>-193</w:t>
            </w:r>
            <w:r>
              <w:rPr>
                <w:rFonts w:hint="eastAsia" w:ascii="Times New Roman" w:hAnsi="Times New Roman" w:eastAsia="宋体" w:cs="Times New Roman"/>
                <w:b/>
                <w:bCs/>
                <w:color w:val="auto"/>
                <w:kern w:val="2"/>
                <w:sz w:val="24"/>
                <w:szCs w:val="24"/>
                <w:lang w:val="en-US" w:eastAsia="zh-CN"/>
              </w:rPr>
              <w:t>.16</w:t>
            </w:r>
            <w:r>
              <w:rPr>
                <w:rFonts w:hint="default" w:ascii="Times New Roman" w:hAnsi="Times New Roman" w:eastAsia="宋体" w:cs="Times New Roman"/>
                <w:b/>
                <w:bCs/>
                <w:color w:val="auto"/>
                <w:kern w:val="2"/>
                <w:sz w:val="24"/>
                <w:szCs w:val="24"/>
              </w:rPr>
              <w:t>mg/m</w:t>
            </w:r>
            <w:r>
              <w:rPr>
                <w:rFonts w:hint="default" w:ascii="Times New Roman" w:hAnsi="Times New Roman" w:eastAsia="宋体" w:cs="Times New Roman"/>
                <w:b/>
                <w:bCs/>
                <w:color w:val="auto"/>
                <w:kern w:val="2"/>
                <w:sz w:val="24"/>
                <w:szCs w:val="24"/>
                <w:vertAlign w:val="superscript"/>
              </w:rPr>
              <w:t>3</w:t>
            </w:r>
            <w:r>
              <w:rPr>
                <w:rFonts w:hint="eastAsia" w:ascii="宋体" w:hAnsi="宋体" w:eastAsia="宋体" w:cs="宋体"/>
                <w:b/>
                <w:bCs/>
                <w:color w:val="auto"/>
                <w:kern w:val="2"/>
                <w:sz w:val="24"/>
                <w:szCs w:val="24"/>
              </w:rPr>
              <w:t>。参照《排放源统计调查产排污核算方法和系数手册</w:t>
            </w:r>
            <w:r>
              <w:rPr>
                <w:rFonts w:hint="default" w:ascii="Times New Roman" w:hAnsi="Times New Roman" w:eastAsia="宋体" w:cs="Times New Roman"/>
                <w:b/>
                <w:bCs/>
                <w:color w:val="auto"/>
                <w:kern w:val="2"/>
                <w:sz w:val="24"/>
                <w:szCs w:val="24"/>
              </w:rPr>
              <w:t>—</w:t>
            </w:r>
            <w:r>
              <w:rPr>
                <w:rFonts w:hint="eastAsia" w:ascii="宋体" w:hAnsi="宋体" w:eastAsia="宋体" w:cs="宋体"/>
                <w:b/>
                <w:bCs/>
                <w:color w:val="auto"/>
                <w:kern w:val="2"/>
                <w:sz w:val="24"/>
                <w:szCs w:val="24"/>
              </w:rPr>
              <w:t>机械行业系数手册》工艺中布袋除尘器除尘效率为</w:t>
            </w:r>
            <w:r>
              <w:rPr>
                <w:rFonts w:hint="default" w:ascii="Times New Roman" w:hAnsi="Times New Roman" w:eastAsia="宋体" w:cs="Times New Roman"/>
                <w:b/>
                <w:bCs/>
                <w:color w:val="auto"/>
                <w:kern w:val="2"/>
                <w:sz w:val="24"/>
                <w:szCs w:val="24"/>
              </w:rPr>
              <w:t>95%</w:t>
            </w:r>
            <w:r>
              <w:rPr>
                <w:rFonts w:hint="eastAsia" w:ascii="宋体" w:hAnsi="宋体" w:eastAsia="宋体" w:cs="宋体"/>
                <w:b/>
                <w:bCs/>
                <w:color w:val="auto"/>
                <w:kern w:val="2"/>
                <w:sz w:val="24"/>
                <w:szCs w:val="24"/>
              </w:rPr>
              <w:t>，除尘效率与颗粒物产生浓度相关，因本工艺颗粒物产生浓度</w:t>
            </w:r>
            <w:r>
              <w:rPr>
                <w:rFonts w:hint="eastAsia" w:ascii="宋体" w:hAnsi="宋体" w:cs="宋体"/>
                <w:b/>
                <w:bCs/>
                <w:color w:val="auto"/>
                <w:kern w:val="2"/>
                <w:sz w:val="24"/>
                <w:szCs w:val="24"/>
                <w:lang w:eastAsia="zh-CN"/>
              </w:rPr>
              <w:t>较</w:t>
            </w:r>
            <w:r>
              <w:rPr>
                <w:rFonts w:hint="eastAsia" w:ascii="宋体" w:hAnsi="宋体" w:eastAsia="宋体" w:cs="宋体"/>
                <w:b/>
                <w:bCs/>
                <w:color w:val="auto"/>
                <w:kern w:val="2"/>
                <w:sz w:val="24"/>
                <w:szCs w:val="24"/>
              </w:rPr>
              <w:t>低，因此本工艺布袋除尘器除尘效率取</w:t>
            </w:r>
            <w:r>
              <w:rPr>
                <w:rFonts w:hint="default" w:ascii="Times New Roman" w:hAnsi="Times New Roman" w:eastAsia="宋体" w:cs="Times New Roman"/>
                <w:b/>
                <w:bCs/>
                <w:color w:val="auto"/>
                <w:kern w:val="2"/>
                <w:sz w:val="24"/>
                <w:szCs w:val="24"/>
              </w:rPr>
              <w:t>50%</w:t>
            </w:r>
            <w:r>
              <w:rPr>
                <w:rFonts w:hint="default" w:ascii="Times New Roman" w:hAnsi="Times New Roman" w:eastAsia="宋体" w:cs="Times New Roman"/>
                <w:b/>
                <w:bCs/>
                <w:color w:val="auto"/>
                <w:kern w:val="2"/>
                <w:sz w:val="24"/>
                <w:szCs w:val="24"/>
                <w:lang w:val="en-US" w:eastAsia="zh-CN"/>
              </w:rPr>
              <w:t>（浇铸工作单独运行）</w:t>
            </w:r>
            <w:r>
              <w:rPr>
                <w:rFonts w:hint="eastAsia" w:ascii="Times New Roman" w:hAnsi="Times New Roman" w:eastAsia="宋体" w:cs="Times New Roman"/>
                <w:b/>
                <w:bCs/>
                <w:color w:val="auto"/>
                <w:kern w:val="2"/>
                <w:sz w:val="24"/>
                <w:szCs w:val="24"/>
                <w:lang w:val="en-US" w:eastAsia="zh-CN"/>
              </w:rPr>
              <w:t>-85%</w:t>
            </w:r>
            <w:r>
              <w:rPr>
                <w:rFonts w:hint="eastAsia" w:ascii="宋体" w:hAnsi="宋体" w:eastAsia="宋体" w:cs="宋体"/>
                <w:b/>
                <w:bCs/>
                <w:color w:val="auto"/>
                <w:kern w:val="2"/>
                <w:sz w:val="24"/>
                <w:szCs w:val="24"/>
              </w:rPr>
              <w:t>，则</w:t>
            </w:r>
            <w:r>
              <w:rPr>
                <w:rFonts w:hint="default" w:ascii="Times New Roman" w:hAnsi="Times New Roman" w:eastAsia="宋体" w:cs="Times New Roman"/>
                <w:b/>
                <w:bCs/>
                <w:color w:val="auto"/>
                <w:kern w:val="2"/>
                <w:sz w:val="24"/>
                <w:szCs w:val="24"/>
              </w:rPr>
              <w:t>DA002</w:t>
            </w:r>
            <w:r>
              <w:rPr>
                <w:rFonts w:hint="eastAsia" w:ascii="宋体" w:hAnsi="宋体" w:eastAsia="宋体" w:cs="宋体"/>
                <w:b/>
                <w:bCs/>
                <w:color w:val="auto"/>
                <w:kern w:val="2"/>
                <w:sz w:val="24"/>
                <w:szCs w:val="24"/>
              </w:rPr>
              <w:t>号排气筒颗粒物排放量为</w:t>
            </w:r>
            <w:r>
              <w:rPr>
                <w:rFonts w:hint="default" w:ascii="Times New Roman" w:hAnsi="Times New Roman" w:eastAsia="宋体" w:cs="Times New Roman"/>
                <w:b/>
                <w:bCs/>
                <w:color w:val="auto"/>
                <w:kern w:val="2"/>
                <w:sz w:val="24"/>
                <w:szCs w:val="24"/>
              </w:rPr>
              <w:t>0.</w:t>
            </w:r>
            <w:r>
              <w:rPr>
                <w:rFonts w:hint="eastAsia" w:ascii="Times New Roman" w:hAnsi="Times New Roman" w:eastAsia="宋体" w:cs="Times New Roman"/>
                <w:b/>
                <w:bCs/>
                <w:color w:val="auto"/>
                <w:kern w:val="2"/>
                <w:sz w:val="24"/>
                <w:szCs w:val="24"/>
                <w:lang w:val="en-US" w:eastAsia="zh-CN"/>
              </w:rPr>
              <w:t>869</w:t>
            </w:r>
            <w:r>
              <w:rPr>
                <w:rFonts w:hint="default" w:ascii="Times New Roman" w:hAnsi="Times New Roman" w:eastAsia="宋体" w:cs="Times New Roman"/>
                <w:b/>
                <w:bCs/>
                <w:color w:val="auto"/>
                <w:kern w:val="2"/>
                <w:sz w:val="24"/>
                <w:szCs w:val="24"/>
              </w:rPr>
              <w:t>t/a</w:t>
            </w:r>
            <w:r>
              <w:rPr>
                <w:rFonts w:hint="eastAsia" w:ascii="宋体" w:hAnsi="宋体" w:eastAsia="宋体" w:cs="宋体"/>
                <w:b/>
                <w:bCs/>
                <w:color w:val="auto"/>
                <w:kern w:val="2"/>
                <w:sz w:val="24"/>
                <w:szCs w:val="24"/>
              </w:rPr>
              <w:t>，有组织排放速率为</w:t>
            </w:r>
            <w:r>
              <w:rPr>
                <w:rFonts w:hint="default" w:ascii="Times New Roman" w:hAnsi="Times New Roman" w:eastAsia="宋体" w:cs="Times New Roman"/>
                <w:b/>
                <w:bCs/>
                <w:color w:val="auto"/>
                <w:kern w:val="2"/>
                <w:sz w:val="24"/>
                <w:szCs w:val="24"/>
                <w:lang w:val="en-US" w:eastAsia="zh-CN"/>
              </w:rPr>
              <w:t>0.232kg/h（浇铸工作单独运行）-</w:t>
            </w:r>
            <w:r>
              <w:rPr>
                <w:rFonts w:hint="default" w:ascii="Times New Roman" w:hAnsi="Times New Roman" w:eastAsia="宋体" w:cs="Times New Roman"/>
                <w:b/>
                <w:bCs/>
                <w:color w:val="auto"/>
                <w:kern w:val="2"/>
                <w:sz w:val="24"/>
                <w:szCs w:val="24"/>
              </w:rPr>
              <w:t>0.</w:t>
            </w:r>
            <w:r>
              <w:rPr>
                <w:rFonts w:hint="default" w:ascii="Times New Roman" w:hAnsi="Times New Roman" w:eastAsia="宋体" w:cs="Times New Roman"/>
                <w:b/>
                <w:bCs/>
                <w:color w:val="auto"/>
                <w:kern w:val="2"/>
                <w:sz w:val="24"/>
                <w:szCs w:val="24"/>
                <w:lang w:val="en-US" w:eastAsia="zh-CN"/>
              </w:rPr>
              <w:t>579</w:t>
            </w:r>
            <w:r>
              <w:rPr>
                <w:rFonts w:hint="default" w:ascii="Times New Roman" w:hAnsi="Times New Roman" w:eastAsia="宋体" w:cs="Times New Roman"/>
                <w:b/>
                <w:bCs/>
                <w:color w:val="auto"/>
                <w:kern w:val="2"/>
                <w:sz w:val="24"/>
                <w:szCs w:val="24"/>
              </w:rPr>
              <w:t>kg/h</w:t>
            </w:r>
            <w:r>
              <w:rPr>
                <w:rFonts w:hint="eastAsia" w:ascii="宋体" w:hAnsi="宋体" w:eastAsia="宋体" w:cs="宋体"/>
                <w:b/>
                <w:bCs/>
                <w:color w:val="auto"/>
                <w:kern w:val="2"/>
                <w:sz w:val="24"/>
                <w:szCs w:val="24"/>
              </w:rPr>
              <w:t>，排放浓度为</w:t>
            </w:r>
            <w:r>
              <w:rPr>
                <w:rFonts w:hint="default" w:ascii="Times New Roman" w:hAnsi="Times New Roman" w:eastAsia="宋体" w:cs="Times New Roman"/>
                <w:b/>
                <w:bCs/>
                <w:color w:val="auto"/>
                <w:kern w:val="2"/>
                <w:sz w:val="24"/>
                <w:szCs w:val="24"/>
                <w:lang w:val="en-US" w:eastAsia="zh-CN"/>
              </w:rPr>
              <w:t>11.58mg/m</w:t>
            </w:r>
            <w:r>
              <w:rPr>
                <w:rFonts w:hint="default" w:ascii="Times New Roman" w:hAnsi="Times New Roman" w:eastAsia="宋体" w:cs="Times New Roman"/>
                <w:b/>
                <w:bCs/>
                <w:color w:val="auto"/>
                <w:kern w:val="2"/>
                <w:sz w:val="24"/>
                <w:szCs w:val="24"/>
                <w:vertAlign w:val="superscript"/>
                <w:lang w:val="en-US" w:eastAsia="zh-CN"/>
              </w:rPr>
              <w:t>3</w:t>
            </w:r>
            <w:r>
              <w:rPr>
                <w:rFonts w:hint="default" w:ascii="Times New Roman" w:hAnsi="Times New Roman" w:eastAsia="宋体" w:cs="Times New Roman"/>
                <w:b/>
                <w:bCs/>
                <w:color w:val="auto"/>
                <w:kern w:val="2"/>
                <w:sz w:val="24"/>
                <w:szCs w:val="24"/>
                <w:vertAlign w:val="baseline"/>
                <w:lang w:val="en-US" w:eastAsia="zh-CN"/>
              </w:rPr>
              <w:t>（浇铸工作单独运行</w:t>
            </w:r>
            <w:r>
              <w:rPr>
                <w:rFonts w:hint="default" w:ascii="Times New Roman" w:hAnsi="Times New Roman" w:eastAsia="宋体" w:cs="Times New Roman"/>
                <w:b/>
                <w:bCs/>
                <w:color w:val="auto"/>
                <w:kern w:val="2"/>
                <w:sz w:val="24"/>
                <w:szCs w:val="24"/>
                <w:vertAlign w:val="superscript"/>
                <w:lang w:val="en-US" w:eastAsia="zh-CN"/>
              </w:rPr>
              <w:t>）</w:t>
            </w:r>
            <w:r>
              <w:rPr>
                <w:rFonts w:hint="default" w:ascii="Times New Roman" w:hAnsi="Times New Roman" w:eastAsia="宋体" w:cs="Times New Roman"/>
                <w:b/>
                <w:bCs/>
                <w:color w:val="auto"/>
                <w:kern w:val="2"/>
                <w:sz w:val="24"/>
                <w:szCs w:val="24"/>
                <w:lang w:val="en-US" w:eastAsia="zh-CN"/>
              </w:rPr>
              <w:t>-28.97</w:t>
            </w:r>
            <w:r>
              <w:rPr>
                <w:rFonts w:hint="default" w:ascii="Times New Roman" w:hAnsi="Times New Roman" w:eastAsia="宋体" w:cs="Times New Roman"/>
                <w:b/>
                <w:bCs/>
                <w:color w:val="auto"/>
                <w:kern w:val="2"/>
                <w:sz w:val="24"/>
                <w:szCs w:val="24"/>
              </w:rPr>
              <w:t>mg/m</w:t>
            </w:r>
            <w:r>
              <w:rPr>
                <w:rFonts w:hint="default" w:ascii="Times New Roman" w:hAnsi="Times New Roman" w:eastAsia="宋体" w:cs="Times New Roman"/>
                <w:b/>
                <w:bCs/>
                <w:color w:val="auto"/>
                <w:kern w:val="2"/>
                <w:sz w:val="24"/>
                <w:szCs w:val="24"/>
                <w:vertAlign w:val="superscript"/>
              </w:rPr>
              <w:t>3</w:t>
            </w:r>
            <w:r>
              <w:rPr>
                <w:rFonts w:hint="eastAsia" w:ascii="宋体" w:hAnsi="宋体" w:eastAsia="宋体" w:cs="宋体"/>
                <w:b/>
                <w:bCs/>
                <w:color w:val="auto"/>
                <w:kern w:val="2"/>
                <w:sz w:val="24"/>
                <w:szCs w:val="24"/>
              </w:rPr>
              <w:t>。</w:t>
            </w:r>
            <w:r>
              <w:rPr>
                <w:rFonts w:hint="default" w:ascii="Times New Roman" w:hAnsi="Times New Roman" w:eastAsia="宋体" w:cs="Times New Roman"/>
                <w:b/>
                <w:bCs/>
                <w:color w:val="auto"/>
                <w:kern w:val="2"/>
                <w:sz w:val="24"/>
                <w:szCs w:val="24"/>
              </w:rPr>
              <w:t>DA002</w:t>
            </w:r>
            <w:r>
              <w:rPr>
                <w:rFonts w:hint="eastAsia" w:ascii="宋体" w:hAnsi="宋体" w:eastAsia="宋体" w:cs="宋体"/>
                <w:b/>
                <w:bCs/>
                <w:color w:val="auto"/>
                <w:kern w:val="2"/>
                <w:sz w:val="24"/>
                <w:szCs w:val="24"/>
              </w:rPr>
              <w:t>排放口颗粒物有组织排放可以满足《铸造工业大气污染物排放标准》（</w:t>
            </w:r>
            <w:r>
              <w:rPr>
                <w:rFonts w:hint="default" w:ascii="Times New Roman" w:hAnsi="Times New Roman" w:eastAsia="宋体" w:cs="Times New Roman"/>
                <w:b/>
                <w:bCs/>
                <w:color w:val="auto"/>
                <w:kern w:val="2"/>
                <w:sz w:val="24"/>
                <w:szCs w:val="24"/>
              </w:rPr>
              <w:t>GB39726-2020</w:t>
            </w:r>
            <w:r>
              <w:rPr>
                <w:rFonts w:hint="eastAsia" w:ascii="宋体" w:hAnsi="宋体" w:eastAsia="宋体" w:cs="宋体"/>
                <w:b/>
                <w:bCs/>
                <w:color w:val="auto"/>
                <w:kern w:val="2"/>
                <w:sz w:val="24"/>
                <w:szCs w:val="24"/>
              </w:rPr>
              <w:t>）表</w:t>
            </w:r>
            <w:r>
              <w:rPr>
                <w:rFonts w:hint="default" w:ascii="Times New Roman" w:hAnsi="Times New Roman" w:eastAsia="宋体" w:cs="Times New Roman"/>
                <w:b/>
                <w:bCs/>
                <w:color w:val="auto"/>
                <w:kern w:val="2"/>
                <w:sz w:val="24"/>
                <w:szCs w:val="24"/>
              </w:rPr>
              <w:t>1</w:t>
            </w:r>
            <w:r>
              <w:rPr>
                <w:rFonts w:hint="eastAsia" w:ascii="宋体" w:hAnsi="宋体" w:eastAsia="宋体" w:cs="宋体"/>
                <w:b/>
                <w:bCs/>
                <w:color w:val="auto"/>
                <w:kern w:val="2"/>
                <w:sz w:val="24"/>
                <w:szCs w:val="24"/>
              </w:rPr>
              <w:t>标准限值要求。本项目厂房封闭，在采取定期洒水抑尘措施后，厂区内颗粒物无组织排放可以满足《铸造工业大气污染物排放标准》（</w:t>
            </w:r>
            <w:r>
              <w:rPr>
                <w:rFonts w:hint="default" w:ascii="Times New Roman" w:hAnsi="Times New Roman" w:eastAsia="宋体" w:cs="Times New Roman"/>
                <w:b/>
                <w:bCs/>
                <w:color w:val="auto"/>
                <w:kern w:val="2"/>
                <w:sz w:val="24"/>
                <w:szCs w:val="24"/>
              </w:rPr>
              <w:t>GB39726-2020</w:t>
            </w:r>
            <w:r>
              <w:rPr>
                <w:rFonts w:hint="eastAsia" w:ascii="宋体" w:hAnsi="宋体" w:eastAsia="宋体" w:cs="宋体"/>
                <w:b/>
                <w:bCs/>
                <w:color w:val="auto"/>
                <w:kern w:val="2"/>
                <w:sz w:val="24"/>
                <w:szCs w:val="24"/>
              </w:rPr>
              <w:t>）附录</w:t>
            </w:r>
            <w:r>
              <w:rPr>
                <w:rFonts w:hint="default" w:ascii="Times New Roman" w:hAnsi="Times New Roman" w:eastAsia="宋体" w:cs="Times New Roman"/>
                <w:b/>
                <w:bCs/>
                <w:color w:val="auto"/>
                <w:kern w:val="2"/>
                <w:sz w:val="24"/>
                <w:szCs w:val="24"/>
              </w:rPr>
              <w:t>A</w:t>
            </w:r>
            <w:r>
              <w:rPr>
                <w:rFonts w:hint="eastAsia" w:ascii="宋体" w:hAnsi="宋体" w:eastAsia="宋体" w:cs="宋体"/>
                <w:b/>
                <w:bCs/>
                <w:color w:val="auto"/>
                <w:kern w:val="2"/>
                <w:sz w:val="24"/>
                <w:szCs w:val="24"/>
              </w:rPr>
              <w:t>标准限值要求。</w:t>
            </w:r>
          </w:p>
          <w:p w14:paraId="6761C6D0">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1.</w:t>
            </w:r>
            <w:r>
              <w:rPr>
                <w:rFonts w:hint="eastAsia" w:ascii="Times New Roman" w:hAnsi="Times New Roman" w:cs="Times New Roman"/>
                <w:b/>
                <w:color w:val="auto"/>
                <w:sz w:val="24"/>
                <w:szCs w:val="24"/>
                <w:lang w:val="en-US" w:eastAsia="zh-CN"/>
              </w:rPr>
              <w:t>9</w:t>
            </w:r>
            <w:r>
              <w:rPr>
                <w:rFonts w:hint="default" w:ascii="Times New Roman" w:hAnsi="Times New Roman" w:cs="Times New Roman"/>
                <w:b/>
                <w:color w:val="auto"/>
                <w:sz w:val="24"/>
                <w:szCs w:val="24"/>
              </w:rPr>
              <w:t>淬火/回火废气</w:t>
            </w:r>
          </w:p>
          <w:p w14:paraId="39D46061">
            <w:pPr>
              <w:keepNext w:val="0"/>
              <w:keepLines w:val="0"/>
              <w:widowControl/>
              <w:suppressLineNumbers w:val="0"/>
              <w:autoSpaceDE w:val="0"/>
              <w:snapToGrid w:val="0"/>
              <w:spacing w:before="0" w:beforeLines="0" w:beforeAutospacing="0" w:after="0" w:afterLines="0" w:afterAutospacing="0"/>
              <w:ind w:left="0" w:right="0" w:firstLine="480" w:firstLineChars="200"/>
              <w:jc w:val="both"/>
              <w:rPr>
                <w:rFonts w:hint="default" w:ascii="Times New Roman" w:hAnsi="Times New Roman" w:cs="Times New Roman"/>
                <w:color w:val="auto"/>
                <w:kern w:val="2"/>
                <w:sz w:val="24"/>
                <w:szCs w:val="24"/>
              </w:rPr>
            </w:pPr>
            <w:r>
              <w:rPr>
                <w:rFonts w:hint="default" w:ascii="Times New Roman" w:hAnsi="Times New Roman" w:cs="Times New Roman"/>
                <w:color w:val="auto"/>
                <w:kern w:val="2"/>
                <w:sz w:val="24"/>
                <w:szCs w:val="24"/>
                <w:lang w:bidi="ar"/>
              </w:rPr>
              <w:t>根据《排放源统计调查产排污核算方法和系数手册—机械行业系数手册》中“热处理”工艺中产排污系数表，本项目淬火/回火工序产污情况如下表。</w:t>
            </w:r>
          </w:p>
          <w:p w14:paraId="74DDC00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lang w:bidi="ar"/>
              </w:rPr>
              <w:t>表4-</w:t>
            </w:r>
            <w:r>
              <w:rPr>
                <w:rFonts w:hint="default" w:ascii="Times New Roman" w:hAnsi="Times New Roman" w:cs="Times New Roman"/>
                <w:b/>
                <w:color w:val="auto"/>
                <w:kern w:val="2"/>
                <w:sz w:val="21"/>
                <w:szCs w:val="21"/>
                <w:lang w:val="en-US" w:eastAsia="zh-CN" w:bidi="ar"/>
              </w:rPr>
              <w:t>6</w:t>
            </w:r>
            <w:r>
              <w:rPr>
                <w:rFonts w:hint="default" w:ascii="Times New Roman" w:hAnsi="Times New Roman" w:cs="Times New Roman"/>
                <w:b/>
                <w:color w:val="auto"/>
                <w:kern w:val="2"/>
                <w:sz w:val="21"/>
                <w:szCs w:val="21"/>
                <w:lang w:bidi="ar"/>
              </w:rPr>
              <w:t xml:space="preserve"> 清理废气产排污情况一览表</w:t>
            </w:r>
          </w:p>
          <w:tbl>
            <w:tblPr>
              <w:tblStyle w:val="56"/>
              <w:tblW w:w="8281" w:type="dxa"/>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744"/>
              <w:gridCol w:w="856"/>
              <w:gridCol w:w="1470"/>
              <w:gridCol w:w="1485"/>
              <w:gridCol w:w="1590"/>
              <w:gridCol w:w="825"/>
              <w:gridCol w:w="1311"/>
            </w:tblGrid>
            <w:tr w14:paraId="519F6AA3">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tcBorders>
                    <w:top w:val="single" w:color="auto" w:sz="8" w:space="0"/>
                    <w:left w:val="single" w:color="auto" w:sz="8" w:space="0"/>
                    <w:bottom w:val="single" w:color="auto" w:sz="2" w:space="0"/>
                    <w:right w:val="single" w:color="auto" w:sz="2" w:space="0"/>
                    <w:tl2br w:val="nil"/>
                    <w:tr2bl w:val="nil"/>
                  </w:tcBorders>
                  <w:noWrap w:val="0"/>
                  <w:vAlign w:val="center"/>
                </w:tcPr>
                <w:p w14:paraId="13377B53">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产品名称</w:t>
                  </w:r>
                </w:p>
              </w:tc>
              <w:tc>
                <w:tcPr>
                  <w:tcW w:w="856" w:type="dxa"/>
                  <w:tcBorders>
                    <w:top w:val="single" w:color="auto" w:sz="8" w:space="0"/>
                    <w:left w:val="single" w:color="auto" w:sz="2" w:space="0"/>
                    <w:bottom w:val="single" w:color="auto" w:sz="2" w:space="0"/>
                    <w:right w:val="single" w:color="auto" w:sz="2" w:space="0"/>
                    <w:tl2br w:val="nil"/>
                    <w:tr2bl w:val="nil"/>
                  </w:tcBorders>
                  <w:noWrap w:val="0"/>
                  <w:vAlign w:val="center"/>
                </w:tcPr>
                <w:p w14:paraId="34A5D3D5">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原料名称</w:t>
                  </w:r>
                </w:p>
              </w:tc>
              <w:tc>
                <w:tcPr>
                  <w:tcW w:w="1470" w:type="dxa"/>
                  <w:tcBorders>
                    <w:top w:val="single" w:color="auto" w:sz="8" w:space="0"/>
                    <w:left w:val="single" w:color="auto" w:sz="2" w:space="0"/>
                    <w:bottom w:val="single" w:color="auto" w:sz="2" w:space="0"/>
                    <w:right w:val="single" w:color="auto" w:sz="2" w:space="0"/>
                    <w:tl2br w:val="nil"/>
                    <w:tr2bl w:val="nil"/>
                  </w:tcBorders>
                  <w:noWrap w:val="0"/>
                  <w:vAlign w:val="center"/>
                </w:tcPr>
                <w:p w14:paraId="2DE67286">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工艺名称</w:t>
                  </w:r>
                </w:p>
              </w:tc>
              <w:tc>
                <w:tcPr>
                  <w:tcW w:w="148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7CD1B426">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污染物指标</w:t>
                  </w:r>
                </w:p>
              </w:tc>
              <w:tc>
                <w:tcPr>
                  <w:tcW w:w="1590" w:type="dxa"/>
                  <w:tcBorders>
                    <w:top w:val="single" w:color="auto" w:sz="8" w:space="0"/>
                    <w:left w:val="single" w:color="auto" w:sz="2" w:space="0"/>
                    <w:bottom w:val="single" w:color="auto" w:sz="2" w:space="0"/>
                    <w:right w:val="single" w:color="auto" w:sz="2" w:space="0"/>
                    <w:tl2br w:val="nil"/>
                    <w:tr2bl w:val="nil"/>
                  </w:tcBorders>
                  <w:noWrap w:val="0"/>
                  <w:vAlign w:val="center"/>
                </w:tcPr>
                <w:p w14:paraId="66D43044">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单位</w:t>
                  </w:r>
                </w:p>
              </w:tc>
              <w:tc>
                <w:tcPr>
                  <w:tcW w:w="82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2B0EF51C">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产物系数</w:t>
                  </w:r>
                </w:p>
              </w:tc>
              <w:tc>
                <w:tcPr>
                  <w:tcW w:w="1311" w:type="dxa"/>
                  <w:tcBorders>
                    <w:top w:val="single" w:color="auto" w:sz="8" w:space="0"/>
                    <w:left w:val="single" w:color="auto" w:sz="2" w:space="0"/>
                    <w:bottom w:val="single" w:color="auto" w:sz="2" w:space="0"/>
                    <w:right w:val="single" w:color="auto" w:sz="8" w:space="0"/>
                    <w:tl2br w:val="nil"/>
                    <w:tr2bl w:val="nil"/>
                  </w:tcBorders>
                  <w:noWrap w:val="0"/>
                  <w:vAlign w:val="center"/>
                </w:tcPr>
                <w:p w14:paraId="0BFFDDF6">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bidi="ar"/>
                    </w:rPr>
                    <w:t>末端治理技术</w:t>
                  </w:r>
                </w:p>
              </w:tc>
            </w:tr>
            <w:tr w14:paraId="6E0C5715">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vMerge w:val="restart"/>
                  <w:tcBorders>
                    <w:top w:val="single" w:color="auto" w:sz="2" w:space="0"/>
                    <w:left w:val="single" w:color="auto" w:sz="8" w:space="0"/>
                    <w:bottom w:val="single" w:color="auto" w:sz="2" w:space="0"/>
                    <w:right w:val="single" w:color="auto" w:sz="2" w:space="0"/>
                    <w:tl2br w:val="nil"/>
                    <w:tr2bl w:val="nil"/>
                  </w:tcBorders>
                  <w:noWrap w:val="0"/>
                  <w:vAlign w:val="center"/>
                </w:tcPr>
                <w:p w14:paraId="538AC125">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热处理件</w:t>
                  </w:r>
                </w:p>
              </w:tc>
              <w:tc>
                <w:tcPr>
                  <w:tcW w:w="856" w:type="dxa"/>
                  <w:vMerge w:val="restart"/>
                  <w:tcBorders>
                    <w:top w:val="single" w:color="auto" w:sz="2" w:space="0"/>
                    <w:left w:val="single" w:color="auto" w:sz="2" w:space="0"/>
                    <w:bottom w:val="single" w:color="auto" w:sz="2" w:space="0"/>
                    <w:right w:val="single" w:color="auto" w:sz="2" w:space="0"/>
                    <w:tl2br w:val="nil"/>
                    <w:tr2bl w:val="nil"/>
                  </w:tcBorders>
                  <w:noWrap w:val="0"/>
                  <w:vAlign w:val="center"/>
                </w:tcPr>
                <w:p w14:paraId="61E98737">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淬火油</w:t>
                  </w:r>
                </w:p>
              </w:tc>
              <w:tc>
                <w:tcPr>
                  <w:tcW w:w="1470" w:type="dxa"/>
                  <w:vMerge w:val="restart"/>
                  <w:tcBorders>
                    <w:top w:val="single" w:color="auto" w:sz="2" w:space="0"/>
                    <w:left w:val="single" w:color="auto" w:sz="2" w:space="0"/>
                    <w:bottom w:val="single" w:color="auto" w:sz="2" w:space="0"/>
                    <w:right w:val="single" w:color="auto" w:sz="2" w:space="0"/>
                    <w:tl2br w:val="nil"/>
                    <w:tr2bl w:val="nil"/>
                  </w:tcBorders>
                  <w:noWrap w:val="0"/>
                  <w:vAlign w:val="center"/>
                </w:tcPr>
                <w:p w14:paraId="47DE8559">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整体热处理（淬火/回火）</w:t>
                  </w:r>
                </w:p>
              </w:tc>
              <w:tc>
                <w:tcPr>
                  <w:tcW w:w="1485" w:type="dxa"/>
                  <w:tcBorders>
                    <w:top w:val="single" w:color="auto" w:sz="2" w:space="0"/>
                    <w:left w:val="single" w:color="auto" w:sz="2" w:space="0"/>
                    <w:bottom w:val="single" w:color="auto" w:sz="2" w:space="0"/>
                    <w:right w:val="single" w:color="auto" w:sz="2" w:space="0"/>
                    <w:tl2br w:val="nil"/>
                    <w:tr2bl w:val="nil"/>
                  </w:tcBorders>
                  <w:shd w:val="clear" w:color="auto" w:fill="auto"/>
                  <w:noWrap w:val="0"/>
                  <w:vAlign w:val="center"/>
                </w:tcPr>
                <w:p w14:paraId="53FC70DC">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 w:val="21"/>
                      <w:szCs w:val="21"/>
                    </w:rPr>
                    <w:t>挥发性有机物</w:t>
                  </w:r>
                </w:p>
              </w:tc>
              <w:tc>
                <w:tcPr>
                  <w:tcW w:w="1590" w:type="dxa"/>
                  <w:tcBorders>
                    <w:top w:val="single" w:color="auto" w:sz="2" w:space="0"/>
                    <w:left w:val="single" w:color="auto" w:sz="2" w:space="0"/>
                    <w:bottom w:val="single" w:color="auto" w:sz="2" w:space="0"/>
                    <w:right w:val="single" w:color="auto" w:sz="2" w:space="0"/>
                    <w:tl2br w:val="nil"/>
                    <w:tr2bl w:val="nil"/>
                  </w:tcBorders>
                  <w:shd w:val="clear" w:color="auto" w:fill="auto"/>
                  <w:noWrap w:val="0"/>
                  <w:vAlign w:val="center"/>
                </w:tcPr>
                <w:p w14:paraId="2B217679">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 w:val="21"/>
                      <w:szCs w:val="21"/>
                      <w:lang w:bidi="ar"/>
                    </w:rPr>
                    <w:t>千克/吨原料</w:t>
                  </w:r>
                </w:p>
              </w:tc>
              <w:tc>
                <w:tcPr>
                  <w:tcW w:w="825" w:type="dxa"/>
                  <w:tcBorders>
                    <w:top w:val="single" w:color="auto" w:sz="2" w:space="0"/>
                    <w:left w:val="single" w:color="auto" w:sz="2" w:space="0"/>
                    <w:bottom w:val="single" w:color="auto" w:sz="2" w:space="0"/>
                    <w:right w:val="single" w:color="auto" w:sz="2" w:space="0"/>
                    <w:tl2br w:val="nil"/>
                    <w:tr2bl w:val="nil"/>
                  </w:tcBorders>
                  <w:shd w:val="clear" w:color="auto" w:fill="auto"/>
                  <w:noWrap w:val="0"/>
                  <w:vAlign w:val="center"/>
                </w:tcPr>
                <w:p w14:paraId="5A1FDC11">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 w:val="21"/>
                      <w:szCs w:val="21"/>
                      <w:lang w:bidi="ar"/>
                    </w:rPr>
                    <w:t>0.01</w:t>
                  </w:r>
                </w:p>
              </w:tc>
              <w:tc>
                <w:tcPr>
                  <w:tcW w:w="1311" w:type="dxa"/>
                  <w:tcBorders>
                    <w:top w:val="single" w:color="auto" w:sz="2" w:space="0"/>
                    <w:left w:val="single" w:color="auto" w:sz="2" w:space="0"/>
                    <w:bottom w:val="single" w:color="auto" w:sz="2" w:space="0"/>
                    <w:right w:val="single" w:color="auto" w:sz="8" w:space="0"/>
                    <w:tl2br w:val="nil"/>
                    <w:tr2bl w:val="nil"/>
                  </w:tcBorders>
                  <w:shd w:val="clear" w:color="auto" w:fill="auto"/>
                  <w:noWrap w:val="0"/>
                  <w:vAlign w:val="center"/>
                </w:tcPr>
                <w:p w14:paraId="18C73857">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cs="Times New Roman"/>
                      <w:color w:val="auto"/>
                      <w:sz w:val="21"/>
                      <w:szCs w:val="21"/>
                      <w:lang w:val="en-US" w:eastAsia="zh-CN" w:bidi="ar-SA"/>
                    </w:rPr>
                    <w:t>-</w:t>
                  </w:r>
                </w:p>
              </w:tc>
            </w:tr>
            <w:tr w14:paraId="6F50FBEE">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vMerge w:val="continue"/>
                  <w:tcBorders>
                    <w:top w:val="single" w:color="auto" w:sz="2" w:space="0"/>
                    <w:left w:val="single" w:color="auto" w:sz="8" w:space="0"/>
                    <w:bottom w:val="single" w:color="auto" w:sz="2" w:space="0"/>
                    <w:right w:val="single" w:color="auto" w:sz="2" w:space="0"/>
                    <w:tl2br w:val="nil"/>
                    <w:tr2bl w:val="nil"/>
                  </w:tcBorders>
                  <w:noWrap w:val="0"/>
                  <w:vAlign w:val="center"/>
                </w:tcPr>
                <w:p w14:paraId="21094DB5">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lang w:bidi="ar"/>
                    </w:rPr>
                  </w:pPr>
                </w:p>
              </w:tc>
              <w:tc>
                <w:tcPr>
                  <w:tcW w:w="856" w:type="dxa"/>
                  <w:vMerge w:val="continue"/>
                  <w:tcBorders>
                    <w:top w:val="single" w:color="auto" w:sz="2" w:space="0"/>
                    <w:left w:val="single" w:color="auto" w:sz="2" w:space="0"/>
                    <w:bottom w:val="single" w:color="auto" w:sz="2" w:space="0"/>
                    <w:right w:val="single" w:color="auto" w:sz="2" w:space="0"/>
                    <w:tl2br w:val="nil"/>
                    <w:tr2bl w:val="nil"/>
                  </w:tcBorders>
                  <w:noWrap w:val="0"/>
                  <w:vAlign w:val="center"/>
                </w:tcPr>
                <w:p w14:paraId="7B06D205">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lang w:bidi="ar"/>
                    </w:rPr>
                  </w:pPr>
                </w:p>
              </w:tc>
              <w:tc>
                <w:tcPr>
                  <w:tcW w:w="1470" w:type="dxa"/>
                  <w:vMerge w:val="continue"/>
                  <w:tcBorders>
                    <w:top w:val="single" w:color="auto" w:sz="2" w:space="0"/>
                    <w:left w:val="single" w:color="auto" w:sz="2" w:space="0"/>
                    <w:bottom w:val="single" w:color="auto" w:sz="2" w:space="0"/>
                    <w:right w:val="single" w:color="auto" w:sz="2" w:space="0"/>
                    <w:tl2br w:val="nil"/>
                    <w:tr2bl w:val="nil"/>
                  </w:tcBorders>
                  <w:noWrap w:val="0"/>
                  <w:vAlign w:val="center"/>
                </w:tcPr>
                <w:p w14:paraId="50AED77B">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cs="Times New Roman"/>
                      <w:color w:val="auto"/>
                      <w:sz w:val="21"/>
                      <w:szCs w:val="21"/>
                      <w:lang w:bidi="ar"/>
                    </w:rPr>
                  </w:pPr>
                </w:p>
              </w:tc>
              <w:tc>
                <w:tcPr>
                  <w:tcW w:w="1485" w:type="dxa"/>
                  <w:tcBorders>
                    <w:top w:val="single" w:color="auto" w:sz="2" w:space="0"/>
                    <w:left w:val="single" w:color="auto" w:sz="2" w:space="0"/>
                    <w:bottom w:val="single" w:color="auto" w:sz="2" w:space="0"/>
                    <w:right w:val="single" w:color="auto" w:sz="2" w:space="0"/>
                    <w:tl2br w:val="nil"/>
                    <w:tr2bl w:val="nil"/>
                  </w:tcBorders>
                  <w:shd w:val="clear" w:color="auto" w:fill="auto"/>
                  <w:noWrap w:val="0"/>
                  <w:vAlign w:val="center"/>
                </w:tcPr>
                <w:p w14:paraId="6F963095">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 w:val="21"/>
                      <w:szCs w:val="21"/>
                      <w:lang w:bidi="ar"/>
                    </w:rPr>
                    <w:t>颗粒物</w:t>
                  </w:r>
                </w:p>
              </w:tc>
              <w:tc>
                <w:tcPr>
                  <w:tcW w:w="1590" w:type="dxa"/>
                  <w:tcBorders>
                    <w:top w:val="single" w:color="auto" w:sz="2" w:space="0"/>
                    <w:left w:val="single" w:color="auto" w:sz="2" w:space="0"/>
                    <w:bottom w:val="single" w:color="auto" w:sz="2" w:space="0"/>
                    <w:right w:val="single" w:color="auto" w:sz="2" w:space="0"/>
                    <w:tl2br w:val="nil"/>
                    <w:tr2bl w:val="nil"/>
                  </w:tcBorders>
                  <w:shd w:val="clear" w:color="auto" w:fill="auto"/>
                  <w:noWrap w:val="0"/>
                  <w:vAlign w:val="center"/>
                </w:tcPr>
                <w:p w14:paraId="09E6ED42">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 w:val="21"/>
                      <w:szCs w:val="21"/>
                      <w:lang w:bidi="ar"/>
                    </w:rPr>
                    <w:t>千克/吨原料</w:t>
                  </w:r>
                </w:p>
              </w:tc>
              <w:tc>
                <w:tcPr>
                  <w:tcW w:w="825" w:type="dxa"/>
                  <w:tcBorders>
                    <w:top w:val="single" w:color="auto" w:sz="2" w:space="0"/>
                    <w:left w:val="single" w:color="auto" w:sz="2" w:space="0"/>
                    <w:bottom w:val="single" w:color="auto" w:sz="2" w:space="0"/>
                    <w:right w:val="single" w:color="auto" w:sz="2" w:space="0"/>
                    <w:tl2br w:val="nil"/>
                    <w:tr2bl w:val="nil"/>
                  </w:tcBorders>
                  <w:shd w:val="clear" w:color="auto" w:fill="auto"/>
                  <w:noWrap w:val="0"/>
                  <w:vAlign w:val="center"/>
                </w:tcPr>
                <w:p w14:paraId="4F064091">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 w:val="21"/>
                      <w:szCs w:val="21"/>
                      <w:lang w:bidi="ar"/>
                    </w:rPr>
                    <w:t>200</w:t>
                  </w:r>
                </w:p>
              </w:tc>
              <w:tc>
                <w:tcPr>
                  <w:tcW w:w="1311" w:type="dxa"/>
                  <w:tcBorders>
                    <w:top w:val="single" w:color="auto" w:sz="2" w:space="0"/>
                    <w:left w:val="single" w:color="auto" w:sz="2" w:space="0"/>
                    <w:bottom w:val="single" w:color="auto" w:sz="2" w:space="0"/>
                    <w:right w:val="single" w:color="auto" w:sz="8" w:space="0"/>
                    <w:tl2br w:val="nil"/>
                    <w:tr2bl w:val="nil"/>
                  </w:tcBorders>
                  <w:shd w:val="clear" w:color="auto" w:fill="auto"/>
                  <w:noWrap w:val="0"/>
                  <w:vAlign w:val="center"/>
                </w:tcPr>
                <w:p w14:paraId="4FE072F1">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 w:val="21"/>
                      <w:szCs w:val="21"/>
                      <w:lang w:val="en-US" w:eastAsia="zh-CN" w:bidi="ar"/>
                    </w:rPr>
                    <w:t>油雾净化器</w:t>
                  </w:r>
                </w:p>
              </w:tc>
            </w:tr>
          </w:tbl>
          <w:p w14:paraId="10B9DEE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cs="Times New Roman"/>
                <w:color w:val="auto"/>
                <w:sz w:val="24"/>
                <w:szCs w:val="24"/>
                <w:u w:val="none" w:color="auto"/>
              </w:rPr>
              <w:t>淬火、回火过程中淬火油在高温环境下会分解挥发产生油烟废气（主要为烃类物质，以非甲烷总烃计以及颗粒物）。根据《排放源统计调查产排污核算方法和系数手册</w:t>
            </w:r>
            <w:r>
              <w:rPr>
                <w:rFonts w:hint="eastAsia"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机械行业系数手册》中“热处理”工序，颗粒物产污系数为200千克/吨</w:t>
            </w:r>
            <w:r>
              <w:rPr>
                <w:rFonts w:hint="eastAsia"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原料；挥发性有机物（以非甲烷总烃计）产污系数为0.01千克/吨</w:t>
            </w:r>
            <w:r>
              <w:rPr>
                <w:rFonts w:hint="eastAsia"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原料。本项目需要淬火/回火的工件量约</w:t>
            </w:r>
            <w:r>
              <w:rPr>
                <w:rFonts w:hint="eastAsia" w:ascii="Times New Roman" w:hAnsi="Times New Roman" w:cs="Times New Roman"/>
                <w:color w:val="auto"/>
                <w:sz w:val="24"/>
                <w:szCs w:val="24"/>
                <w:u w:val="none" w:color="auto"/>
                <w:lang w:val="en-US" w:eastAsia="zh-CN"/>
              </w:rPr>
              <w:t>1000</w:t>
            </w:r>
            <w:r>
              <w:rPr>
                <w:rFonts w:hint="default" w:ascii="Times New Roman" w:hAnsi="Times New Roman" w:cs="Times New Roman"/>
                <w:color w:val="auto"/>
                <w:sz w:val="24"/>
                <w:szCs w:val="24"/>
                <w:u w:val="none" w:color="auto"/>
              </w:rPr>
              <w:t>t/a，使用淬火油原料量为</w:t>
            </w:r>
            <w:r>
              <w:rPr>
                <w:rFonts w:hint="eastAsia" w:ascii="Times New Roman" w:hAnsi="Times New Roman"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rPr>
              <w:t>t/a，则颗粒物产生量</w:t>
            </w:r>
            <w:r>
              <w:rPr>
                <w:rFonts w:hint="eastAsia" w:ascii="Times New Roman" w:hAnsi="Times New Roman" w:cs="Times New Roman"/>
                <w:color w:val="auto"/>
                <w:sz w:val="24"/>
                <w:szCs w:val="24"/>
                <w:u w:val="none" w:color="auto"/>
                <w:lang w:val="en-US" w:eastAsia="zh-CN"/>
              </w:rPr>
              <w:t>0.400</w:t>
            </w:r>
            <w:r>
              <w:rPr>
                <w:rFonts w:hint="default" w:ascii="Times New Roman" w:hAnsi="Times New Roman" w:cs="Times New Roman"/>
                <w:color w:val="auto"/>
                <w:sz w:val="24"/>
                <w:szCs w:val="24"/>
                <w:u w:val="none" w:color="auto"/>
              </w:rPr>
              <w:t>t/a，挥发性有机物（以非甲烷总烃计）产生量约0.000</w:t>
            </w:r>
            <w:r>
              <w:rPr>
                <w:rFonts w:hint="eastAsia" w:ascii="Times New Roman" w:hAnsi="Times New Roman" w:cs="Times New Roman"/>
                <w:color w:val="auto"/>
                <w:sz w:val="24"/>
                <w:szCs w:val="24"/>
                <w:u w:val="none" w:color="auto"/>
                <w:lang w:val="en-US" w:eastAsia="zh-CN"/>
              </w:rPr>
              <w:t>02</w:t>
            </w:r>
            <w:r>
              <w:rPr>
                <w:rFonts w:hint="default" w:ascii="Times New Roman" w:hAnsi="Times New Roman" w:cs="Times New Roman"/>
                <w:color w:val="auto"/>
                <w:sz w:val="24"/>
                <w:szCs w:val="24"/>
                <w:u w:val="none" w:color="auto"/>
              </w:rPr>
              <w:t>t/a。项目</w:t>
            </w:r>
            <w:r>
              <w:rPr>
                <w:rFonts w:hint="eastAsia" w:ascii="Times New Roman" w:hAnsi="Times New Roman" w:cs="Times New Roman"/>
                <w:color w:val="auto"/>
                <w:sz w:val="24"/>
                <w:szCs w:val="24"/>
                <w:u w:val="none" w:color="auto"/>
                <w:lang w:val="en-US" w:eastAsia="zh-CN"/>
              </w:rPr>
              <w:t>电</w:t>
            </w:r>
            <w:r>
              <w:rPr>
                <w:rFonts w:hint="default" w:ascii="Times New Roman" w:hAnsi="Times New Roman" w:cs="Times New Roman"/>
                <w:color w:val="auto"/>
                <w:sz w:val="24"/>
                <w:szCs w:val="24"/>
                <w:u w:val="none" w:color="auto"/>
              </w:rPr>
              <w:t>淬火油槽上方、回火</w:t>
            </w:r>
            <w:r>
              <w:rPr>
                <w:rFonts w:hint="eastAsia" w:ascii="Times New Roman" w:hAnsi="Times New Roman" w:cs="Times New Roman"/>
                <w:color w:val="auto"/>
                <w:sz w:val="24"/>
                <w:szCs w:val="24"/>
                <w:u w:val="none" w:color="auto"/>
                <w:lang w:val="en-US" w:eastAsia="zh-CN"/>
              </w:rPr>
              <w:t>电</w:t>
            </w:r>
            <w:r>
              <w:rPr>
                <w:rFonts w:hint="default" w:ascii="Times New Roman" w:hAnsi="Times New Roman" w:cs="Times New Roman"/>
                <w:color w:val="auto"/>
                <w:sz w:val="24"/>
                <w:szCs w:val="24"/>
                <w:u w:val="none" w:color="auto"/>
              </w:rPr>
              <w:t>炉上方拟安装收集装置（收集效率90%），经风机收集后经“高压静电油烟净化”处理后通过1根15m高的排气筒（DA00</w:t>
            </w:r>
            <w:r>
              <w:rPr>
                <w:rFonts w:hint="eastAsia" w:ascii="Times New Roman" w:hAnsi="Times New Roman"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）排放。年工作时间600小时，风机风量为</w:t>
            </w:r>
            <w:r>
              <w:rPr>
                <w:rFonts w:hint="eastAsia" w:ascii="Times New Roman" w:hAnsi="Times New Roman" w:cs="Times New Roman"/>
                <w:color w:val="auto"/>
                <w:sz w:val="24"/>
                <w:szCs w:val="24"/>
                <w:u w:val="none" w:color="auto"/>
                <w:lang w:val="en-US" w:eastAsia="zh-CN"/>
              </w:rPr>
              <w:t>3000</w:t>
            </w:r>
            <w:r>
              <w:rPr>
                <w:rFonts w:hint="default" w:ascii="Times New Roman" w:hAnsi="Times New Roman" w:cs="Times New Roman"/>
                <w:color w:val="auto"/>
                <w:sz w:val="24"/>
                <w:szCs w:val="24"/>
                <w:u w:val="none" w:color="auto"/>
              </w:rPr>
              <w:t>m</w:t>
            </w:r>
            <w:r>
              <w:rPr>
                <w:rFonts w:hint="default" w:ascii="Times New Roman" w:hAnsi="Times New Roman" w:cs="Times New Roman"/>
                <w:color w:val="auto"/>
                <w:sz w:val="24"/>
                <w:szCs w:val="24"/>
                <w:u w:val="none" w:color="auto"/>
                <w:vertAlign w:val="superscript"/>
              </w:rPr>
              <w:t>3</w:t>
            </w:r>
            <w:r>
              <w:rPr>
                <w:rFonts w:hint="default" w:ascii="Times New Roman" w:hAnsi="Times New Roman" w:cs="Times New Roman"/>
                <w:color w:val="auto"/>
                <w:sz w:val="24"/>
                <w:szCs w:val="24"/>
                <w:u w:val="none" w:color="auto"/>
              </w:rPr>
              <w:t>/h，处理效率按《机械行业系数手册》中油雾净化器的</w:t>
            </w:r>
            <w:r>
              <w:rPr>
                <w:rFonts w:hint="eastAsia" w:ascii="Times New Roman" w:hAnsi="Times New Roman" w:cs="Times New Roman"/>
                <w:color w:val="auto"/>
                <w:sz w:val="24"/>
                <w:szCs w:val="24"/>
                <w:u w:val="none" w:color="auto"/>
                <w:lang w:val="en-US" w:eastAsia="zh-CN"/>
              </w:rPr>
              <w:t>颗粒物</w:t>
            </w:r>
            <w:r>
              <w:rPr>
                <w:rFonts w:hint="default" w:ascii="Times New Roman" w:hAnsi="Times New Roman" w:cs="Times New Roman"/>
                <w:color w:val="auto"/>
                <w:sz w:val="24"/>
                <w:szCs w:val="24"/>
                <w:u w:val="none" w:color="auto"/>
              </w:rPr>
              <w:t>处理效率 90%计</w:t>
            </w:r>
            <w:r>
              <w:rPr>
                <w:rFonts w:hint="eastAsia"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val="en-US" w:eastAsia="zh-CN"/>
              </w:rPr>
              <w:t>非甲烷总烃无处理效率计</w:t>
            </w:r>
            <w:r>
              <w:rPr>
                <w:rFonts w:hint="default" w:ascii="Times New Roman" w:hAnsi="Times New Roman" w:cs="Times New Roman"/>
                <w:color w:val="auto"/>
                <w:sz w:val="24"/>
                <w:szCs w:val="24"/>
                <w:u w:val="none" w:color="auto"/>
              </w:rPr>
              <w:t>，则淬火/回火废气颗粒物有组织</w:t>
            </w:r>
            <w:r>
              <w:rPr>
                <w:rFonts w:hint="default" w:ascii="Times New Roman" w:hAnsi="Times New Roman" w:cs="Times New Roman"/>
                <w:color w:val="auto"/>
                <w:sz w:val="24"/>
                <w:szCs w:val="24"/>
                <w:u w:val="none" w:color="auto"/>
                <w:lang w:val="en-US" w:eastAsia="zh-CN"/>
              </w:rPr>
              <w:t>产生量为</w:t>
            </w:r>
            <w:r>
              <w:rPr>
                <w:rFonts w:hint="eastAsia" w:ascii="Times New Roman" w:hAnsi="Times New Roman" w:cs="Times New Roman"/>
                <w:color w:val="auto"/>
                <w:sz w:val="24"/>
                <w:szCs w:val="24"/>
                <w:u w:val="none" w:color="auto"/>
                <w:lang w:val="en-US" w:eastAsia="zh-CN"/>
              </w:rPr>
              <w:t>0.360</w:t>
            </w:r>
            <w:r>
              <w:rPr>
                <w:rFonts w:hint="default" w:ascii="Times New Roman" w:hAnsi="Times New Roman" w:cs="Times New Roman"/>
                <w:color w:val="auto"/>
                <w:sz w:val="24"/>
                <w:szCs w:val="24"/>
                <w:u w:val="none" w:color="auto"/>
                <w:lang w:val="en-US" w:eastAsia="zh-CN"/>
              </w:rPr>
              <w:t>t/a、产生速率为0.</w:t>
            </w:r>
            <w:r>
              <w:rPr>
                <w:rFonts w:hint="eastAsia" w:ascii="Times New Roman" w:hAnsi="Times New Roman" w:cs="Times New Roman"/>
                <w:color w:val="auto"/>
                <w:sz w:val="24"/>
                <w:szCs w:val="24"/>
                <w:u w:val="none" w:color="auto"/>
                <w:lang w:val="en-US" w:eastAsia="zh-CN"/>
              </w:rPr>
              <w:t>600</w:t>
            </w:r>
            <w:r>
              <w:rPr>
                <w:rFonts w:hint="default" w:ascii="Times New Roman" w:hAnsi="Times New Roman" w:cs="Times New Roman"/>
                <w:color w:val="auto"/>
                <w:sz w:val="24"/>
                <w:szCs w:val="24"/>
                <w:u w:val="none" w:color="auto"/>
                <w:lang w:val="en-US" w:eastAsia="zh-CN"/>
              </w:rPr>
              <w:t>3kg/h、产生浓度为</w:t>
            </w:r>
            <w:r>
              <w:rPr>
                <w:rFonts w:hint="eastAsia" w:ascii="Times New Roman" w:hAnsi="Times New Roman" w:cs="Times New Roman"/>
                <w:color w:val="auto"/>
                <w:sz w:val="24"/>
                <w:szCs w:val="24"/>
                <w:u w:val="none" w:color="auto"/>
                <w:lang w:val="en-US" w:eastAsia="zh-CN"/>
              </w:rPr>
              <w:t>200</w:t>
            </w:r>
            <w:r>
              <w:rPr>
                <w:rFonts w:hint="default" w:ascii="Times New Roman" w:hAnsi="Times New Roman" w:cs="Times New Roman"/>
                <w:color w:val="auto"/>
                <w:sz w:val="24"/>
                <w:szCs w:val="24"/>
                <w:u w:val="none" w:color="auto"/>
                <w:lang w:val="en-US" w:eastAsia="zh-CN"/>
              </w:rPr>
              <w:t>mg/m</w:t>
            </w:r>
            <w:r>
              <w:rPr>
                <w:rFonts w:hint="default" w:ascii="Times New Roman" w:hAnsi="Times New Roman" w:cs="Times New Roman"/>
                <w:color w:val="auto"/>
                <w:sz w:val="24"/>
                <w:szCs w:val="24"/>
                <w:u w:val="none" w:color="auto"/>
                <w:vertAlign w:val="superscript"/>
                <w:lang w:val="en-US" w:eastAsia="zh-CN"/>
              </w:rPr>
              <w:t>3</w:t>
            </w:r>
            <w:r>
              <w:rPr>
                <w:rFonts w:hint="eastAsia" w:ascii="Times New Roman" w:hAnsi="Times New Roman"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rPr>
              <w:t>颗粒物有组织排放量为0.</w:t>
            </w:r>
            <w:r>
              <w:rPr>
                <w:rFonts w:hint="eastAsia" w:ascii="Times New Roman" w:hAnsi="Times New Roman" w:cs="Times New Roman"/>
                <w:color w:val="auto"/>
                <w:sz w:val="24"/>
                <w:szCs w:val="24"/>
                <w:u w:val="none" w:color="auto"/>
                <w:lang w:val="en-US" w:eastAsia="zh-CN"/>
              </w:rPr>
              <w:t>036</w:t>
            </w:r>
            <w:r>
              <w:rPr>
                <w:rFonts w:hint="default" w:ascii="Times New Roman" w:hAnsi="Times New Roman" w:cs="Times New Roman"/>
                <w:color w:val="auto"/>
                <w:sz w:val="24"/>
                <w:szCs w:val="24"/>
                <w:u w:val="none" w:color="auto"/>
              </w:rPr>
              <w:t>t/a，</w:t>
            </w:r>
            <w:r>
              <w:rPr>
                <w:rFonts w:hint="default" w:ascii="Times New Roman" w:hAnsi="Times New Roman" w:cs="Times New Roman"/>
                <w:color w:val="auto"/>
                <w:kern w:val="2"/>
                <w:sz w:val="24"/>
                <w:szCs w:val="24"/>
                <w:u w:val="none" w:color="auto"/>
              </w:rPr>
              <w:t>有组织排放速率为0.</w:t>
            </w:r>
            <w:r>
              <w:rPr>
                <w:rFonts w:hint="eastAsia" w:ascii="Times New Roman" w:hAnsi="Times New Roman" w:cs="Times New Roman"/>
                <w:color w:val="auto"/>
                <w:kern w:val="2"/>
                <w:sz w:val="24"/>
                <w:szCs w:val="24"/>
                <w:u w:val="none" w:color="auto"/>
                <w:lang w:val="en-US" w:eastAsia="zh-CN"/>
              </w:rPr>
              <w:t>06</w:t>
            </w:r>
            <w:r>
              <w:rPr>
                <w:rFonts w:hint="default" w:ascii="Times New Roman" w:hAnsi="Times New Roman" w:cs="Times New Roman"/>
                <w:color w:val="auto"/>
                <w:kern w:val="2"/>
                <w:sz w:val="24"/>
                <w:szCs w:val="24"/>
                <w:u w:val="none" w:color="auto"/>
              </w:rPr>
              <w:t>kg/h，有组织排放浓度为</w:t>
            </w:r>
            <w:r>
              <w:rPr>
                <w:rFonts w:hint="eastAsia" w:ascii="Times New Roman" w:hAnsi="Times New Roman" w:cs="Times New Roman"/>
                <w:color w:val="auto"/>
                <w:kern w:val="2"/>
                <w:sz w:val="24"/>
                <w:szCs w:val="24"/>
                <w:u w:val="none" w:color="auto"/>
                <w:lang w:val="en-US" w:eastAsia="zh-CN"/>
              </w:rPr>
              <w:t>20</w:t>
            </w:r>
            <w:r>
              <w:rPr>
                <w:rFonts w:hint="default" w:ascii="Times New Roman" w:hAnsi="Times New Roman" w:cs="Times New Roman"/>
                <w:color w:val="auto"/>
                <w:kern w:val="2"/>
                <w:sz w:val="24"/>
                <w:szCs w:val="24"/>
                <w:u w:val="none" w:color="auto"/>
              </w:rPr>
              <w:t>mg/m³</w:t>
            </w:r>
            <w:r>
              <w:rPr>
                <w:rFonts w:hint="eastAsia" w:ascii="Times New Roman" w:hAnsi="Times New Roman" w:cs="Times New Roman"/>
                <w:color w:val="auto"/>
                <w:kern w:val="2"/>
                <w:sz w:val="24"/>
                <w:szCs w:val="24"/>
                <w:u w:val="none" w:color="auto"/>
                <w:lang w:eastAsia="zh-CN"/>
              </w:rPr>
              <w:t>；</w:t>
            </w:r>
            <w:r>
              <w:rPr>
                <w:rFonts w:hint="default" w:ascii="Times New Roman" w:hAnsi="Times New Roman" w:cs="Times New Roman"/>
                <w:color w:val="auto"/>
                <w:sz w:val="24"/>
                <w:szCs w:val="24"/>
                <w:u w:val="none" w:color="auto"/>
                <w:lang w:val="en-US" w:eastAsia="zh-CN"/>
              </w:rPr>
              <w:t>非甲烷总烃</w:t>
            </w:r>
            <w:r>
              <w:rPr>
                <w:rFonts w:hint="default" w:ascii="Times New Roman" w:hAnsi="Times New Roman" w:cs="Times New Roman"/>
                <w:color w:val="auto"/>
                <w:sz w:val="24"/>
                <w:szCs w:val="24"/>
                <w:u w:val="none" w:color="auto"/>
              </w:rPr>
              <w:t>有组织产生量为0.</w:t>
            </w:r>
            <w:r>
              <w:rPr>
                <w:rFonts w:hint="eastAsia" w:ascii="Times New Roman" w:hAnsi="Times New Roman" w:cs="Times New Roman"/>
                <w:color w:val="auto"/>
                <w:sz w:val="24"/>
                <w:szCs w:val="24"/>
                <w:u w:val="none" w:color="auto"/>
                <w:lang w:val="en-US" w:eastAsia="zh-CN"/>
              </w:rPr>
              <w:t>00002</w:t>
            </w:r>
            <w:r>
              <w:rPr>
                <w:rFonts w:hint="default" w:ascii="Times New Roman" w:hAnsi="Times New Roman" w:cs="Times New Roman"/>
                <w:color w:val="auto"/>
                <w:sz w:val="24"/>
                <w:szCs w:val="24"/>
                <w:u w:val="none" w:color="auto"/>
              </w:rPr>
              <w:t>t/a、产生速率为0.</w:t>
            </w:r>
            <w:r>
              <w:rPr>
                <w:rFonts w:hint="eastAsia" w:ascii="Times New Roman" w:hAnsi="Times New Roman" w:cs="Times New Roman"/>
                <w:color w:val="auto"/>
                <w:sz w:val="24"/>
                <w:szCs w:val="24"/>
                <w:u w:val="none" w:color="auto"/>
                <w:lang w:val="en-US" w:eastAsia="zh-CN"/>
              </w:rPr>
              <w:t>00</w:t>
            </w:r>
            <w:r>
              <w:rPr>
                <w:rFonts w:hint="default" w:ascii="Times New Roman" w:hAnsi="Times New Roman" w:cs="Times New Roman"/>
                <w:color w:val="auto"/>
                <w:sz w:val="24"/>
                <w:szCs w:val="24"/>
                <w:u w:val="none" w:color="auto"/>
              </w:rPr>
              <w:t>003kg/h、产生浓度为</w:t>
            </w:r>
            <w:r>
              <w:rPr>
                <w:rFonts w:hint="eastAsia" w:ascii="Times New Roman" w:hAnsi="Times New Roman" w:cs="Times New Roman"/>
                <w:color w:val="auto"/>
                <w:sz w:val="24"/>
                <w:szCs w:val="24"/>
                <w:u w:val="none" w:color="auto"/>
                <w:lang w:val="en-US" w:eastAsia="zh-CN"/>
              </w:rPr>
              <w:t>0.01</w:t>
            </w:r>
            <w:r>
              <w:rPr>
                <w:rFonts w:hint="default" w:ascii="Times New Roman" w:hAnsi="Times New Roman" w:cs="Times New Roman"/>
                <w:color w:val="auto"/>
                <w:sz w:val="24"/>
                <w:szCs w:val="24"/>
                <w:u w:val="none" w:color="auto"/>
              </w:rPr>
              <w:t>mg/m</w:t>
            </w:r>
            <w:r>
              <w:rPr>
                <w:rFonts w:hint="default" w:ascii="Times New Roman" w:hAnsi="Times New Roman" w:cs="Times New Roman"/>
                <w:color w:val="auto"/>
                <w:sz w:val="24"/>
                <w:szCs w:val="24"/>
                <w:u w:val="none" w:color="auto"/>
                <w:vertAlign w:val="superscript"/>
              </w:rPr>
              <w:t>3</w:t>
            </w:r>
            <w:r>
              <w:rPr>
                <w:rFonts w:hint="default" w:ascii="Times New Roman" w:hAnsi="Times New Roman" w:cs="Times New Roman"/>
                <w:color w:val="auto"/>
                <w:sz w:val="24"/>
                <w:szCs w:val="24"/>
                <w:u w:val="none" w:color="auto"/>
              </w:rPr>
              <w:t>，</w:t>
            </w:r>
            <w:r>
              <w:rPr>
                <w:rFonts w:hint="eastAsia" w:ascii="Times New Roman" w:hAnsi="Times New Roman" w:cs="Times New Roman"/>
                <w:color w:val="auto"/>
                <w:sz w:val="24"/>
                <w:szCs w:val="24"/>
                <w:u w:val="none" w:color="auto"/>
                <w:lang w:val="en-US" w:eastAsia="zh-CN"/>
              </w:rPr>
              <w:t>非甲烷总烃</w:t>
            </w:r>
            <w:r>
              <w:rPr>
                <w:rFonts w:hint="default" w:ascii="Times New Roman" w:hAnsi="Times New Roman" w:cs="Times New Roman"/>
                <w:color w:val="auto"/>
                <w:sz w:val="24"/>
                <w:szCs w:val="24"/>
                <w:u w:val="none" w:color="auto"/>
              </w:rPr>
              <w:t>有组织排放量为0.0</w:t>
            </w:r>
            <w:r>
              <w:rPr>
                <w:rFonts w:hint="eastAsia" w:ascii="Times New Roman" w:hAnsi="Times New Roman" w:cs="Times New Roman"/>
                <w:color w:val="auto"/>
                <w:sz w:val="24"/>
                <w:szCs w:val="24"/>
                <w:u w:val="none" w:color="auto"/>
                <w:lang w:val="en-US" w:eastAsia="zh-CN"/>
              </w:rPr>
              <w:t>0002</w:t>
            </w:r>
            <w:r>
              <w:rPr>
                <w:rFonts w:hint="default" w:ascii="Times New Roman" w:hAnsi="Times New Roman" w:cs="Times New Roman"/>
                <w:color w:val="auto"/>
                <w:sz w:val="24"/>
                <w:szCs w:val="24"/>
                <w:u w:val="none" w:color="auto"/>
              </w:rPr>
              <w:t>t/a，</w:t>
            </w:r>
            <w:r>
              <w:rPr>
                <w:rFonts w:hint="default" w:ascii="Times New Roman" w:hAnsi="Times New Roman" w:cs="Times New Roman"/>
                <w:color w:val="auto"/>
                <w:kern w:val="2"/>
                <w:sz w:val="24"/>
                <w:szCs w:val="24"/>
                <w:u w:val="none" w:color="auto"/>
              </w:rPr>
              <w:t>有组织排放速率为0.</w:t>
            </w:r>
            <w:r>
              <w:rPr>
                <w:rFonts w:hint="eastAsia" w:ascii="Times New Roman" w:hAnsi="Times New Roman" w:cs="Times New Roman"/>
                <w:color w:val="auto"/>
                <w:kern w:val="2"/>
                <w:sz w:val="24"/>
                <w:szCs w:val="24"/>
                <w:u w:val="none" w:color="auto"/>
                <w:lang w:val="en-US" w:eastAsia="zh-CN"/>
              </w:rPr>
              <w:t>00003</w:t>
            </w:r>
            <w:r>
              <w:rPr>
                <w:rFonts w:hint="default" w:ascii="Times New Roman" w:hAnsi="Times New Roman" w:cs="Times New Roman"/>
                <w:color w:val="auto"/>
                <w:kern w:val="2"/>
                <w:sz w:val="24"/>
                <w:szCs w:val="24"/>
                <w:u w:val="none" w:color="auto"/>
              </w:rPr>
              <w:t>kg/h，有组织排放浓度为</w:t>
            </w:r>
            <w:r>
              <w:rPr>
                <w:rFonts w:hint="eastAsia" w:ascii="Times New Roman" w:hAnsi="Times New Roman" w:cs="Times New Roman"/>
                <w:color w:val="auto"/>
                <w:kern w:val="2"/>
                <w:sz w:val="24"/>
                <w:szCs w:val="24"/>
                <w:u w:val="none" w:color="auto"/>
                <w:lang w:val="en-US" w:eastAsia="zh-CN"/>
              </w:rPr>
              <w:t>0.01</w:t>
            </w:r>
            <w:r>
              <w:rPr>
                <w:rFonts w:hint="default" w:ascii="Times New Roman" w:hAnsi="Times New Roman" w:cs="Times New Roman"/>
                <w:color w:val="auto"/>
                <w:kern w:val="2"/>
                <w:sz w:val="24"/>
                <w:szCs w:val="24"/>
                <w:u w:val="none" w:color="auto"/>
              </w:rPr>
              <w:t>mg/m³</w:t>
            </w:r>
            <w:r>
              <w:rPr>
                <w:rFonts w:hint="eastAsia" w:ascii="Times New Roman" w:hAnsi="Times New Roman" w:cs="Times New Roman"/>
                <w:color w:val="auto"/>
                <w:kern w:val="2"/>
                <w:sz w:val="24"/>
                <w:szCs w:val="24"/>
                <w:u w:val="none" w:color="auto"/>
                <w:lang w:eastAsia="zh-CN"/>
              </w:rPr>
              <w:t>。</w:t>
            </w:r>
            <w:r>
              <w:rPr>
                <w:rFonts w:hint="eastAsia" w:ascii="Times New Roman" w:hAnsi="Times New Roman" w:cs="Times New Roman"/>
                <w:color w:val="auto"/>
                <w:kern w:val="2"/>
                <w:sz w:val="24"/>
                <w:szCs w:val="24"/>
                <w:u w:val="none" w:color="auto"/>
                <w:lang w:val="en-US" w:eastAsia="zh-CN"/>
              </w:rPr>
              <w:t>DA003排放口</w:t>
            </w:r>
            <w:r>
              <w:rPr>
                <w:rFonts w:hint="eastAsia" w:ascii="Times New Roman" w:hAnsi="Times New Roman" w:cs="Times New Roman"/>
                <w:color w:val="auto"/>
                <w:kern w:val="2"/>
                <w:sz w:val="24"/>
                <w:szCs w:val="24"/>
                <w:u w:val="none" w:color="auto"/>
                <w:lang w:eastAsia="zh-CN"/>
              </w:rPr>
              <w:t>颗粒物有组织排放</w:t>
            </w:r>
            <w:r>
              <w:rPr>
                <w:rFonts w:hint="eastAsia" w:ascii="Times New Roman" w:hAnsi="Times New Roman" w:cs="Times New Roman"/>
                <w:color w:val="auto"/>
                <w:kern w:val="2"/>
                <w:sz w:val="24"/>
                <w:szCs w:val="24"/>
                <w:u w:val="none" w:color="auto"/>
                <w:lang w:val="en-US" w:eastAsia="zh-CN"/>
              </w:rPr>
              <w:t>可以满足</w:t>
            </w:r>
            <w:r>
              <w:rPr>
                <w:rFonts w:hint="eastAsia" w:ascii="Times New Roman" w:hAnsi="Times New Roman" w:cs="Times New Roman"/>
                <w:color w:val="auto"/>
                <w:kern w:val="2"/>
                <w:sz w:val="24"/>
                <w:szCs w:val="24"/>
                <w:u w:val="none" w:color="auto"/>
                <w:lang w:eastAsia="zh-CN"/>
              </w:rPr>
              <w:t>《铸造工业大气污染物排放标准》（GB39726-2020）表1标准限值</w:t>
            </w:r>
            <w:r>
              <w:rPr>
                <w:rFonts w:hint="eastAsia" w:ascii="Times New Roman" w:hAnsi="Times New Roman" w:cs="Times New Roman"/>
                <w:color w:val="auto"/>
                <w:kern w:val="2"/>
                <w:sz w:val="24"/>
                <w:szCs w:val="24"/>
                <w:u w:val="none" w:color="auto"/>
                <w:lang w:val="en-US" w:eastAsia="zh-CN"/>
              </w:rPr>
              <w:t>要求。本项目厂房封闭，在采取定期洒水抑尘措施后，厂区内颗粒物无组织排放可以满足《铸造工业大气污染物排放标准》（GB39726-2020）附录A标准限值要求。</w:t>
            </w:r>
          </w:p>
          <w:p w14:paraId="71D6B0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（7）危险废物贮存库废气</w:t>
            </w:r>
          </w:p>
          <w:p w14:paraId="3F374A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危险废物贮存库存储危废主要为</w:t>
            </w:r>
            <w:r>
              <w:rPr>
                <w:rFonts w:hint="default" w:ascii="Times New Roman" w:hAnsi="Times New Roman" w:eastAsia="宋体" w:cs="Times New Roman"/>
                <w:color w:val="auto"/>
                <w:sz w:val="24"/>
                <w:szCs w:val="24"/>
                <w:u w:val="none" w:color="auto"/>
                <w:lang w:val="en-US" w:eastAsia="zh-CN"/>
              </w:rPr>
              <w:t>废机油、废油桶、废淬火油、淬火废渣</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z w:val="24"/>
                <w:szCs w:val="24"/>
                <w:u w:val="none" w:color="auto"/>
                <w:lang w:val="en-US" w:eastAsia="zh-CN"/>
              </w:rPr>
              <w:t>废机油</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z w:val="24"/>
                <w:szCs w:val="24"/>
                <w:u w:val="none" w:color="auto"/>
                <w:lang w:val="en-US" w:eastAsia="zh-CN"/>
              </w:rPr>
              <w:t>废淬火油</w:t>
            </w:r>
            <w:r>
              <w:rPr>
                <w:rFonts w:hint="default" w:ascii="Times New Roman" w:hAnsi="Times New Roman" w:eastAsia="宋体" w:cs="Times New Roman"/>
                <w:color w:val="auto"/>
                <w:sz w:val="24"/>
                <w:szCs w:val="24"/>
                <w:u w:val="none" w:color="auto"/>
              </w:rPr>
              <w:t>采用密封塑料桶装储存，危险废物贮存库密闭，在储存过</w:t>
            </w:r>
            <w:r>
              <w:rPr>
                <w:rFonts w:hint="eastAsia" w:ascii="Times New Roman" w:hAnsi="Times New Roman" w:cs="Times New Roman"/>
                <w:color w:val="auto"/>
                <w:sz w:val="24"/>
                <w:szCs w:val="24"/>
                <w:u w:val="none" w:color="auto"/>
                <w:lang w:eastAsia="zh-CN"/>
              </w:rPr>
              <w:t>程中</w:t>
            </w:r>
            <w:r>
              <w:rPr>
                <w:rFonts w:hint="default" w:ascii="Times New Roman" w:hAnsi="Times New Roman" w:eastAsia="宋体" w:cs="Times New Roman"/>
                <w:color w:val="auto"/>
                <w:sz w:val="24"/>
                <w:szCs w:val="24"/>
                <w:u w:val="none" w:color="auto"/>
              </w:rPr>
              <w:t>有机污染物的挥发量较小产生量较小，对周围环境影响较小，本次评价不进行定量分析。</w:t>
            </w:r>
          </w:p>
          <w:p w14:paraId="59E9D8D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u w:val="none" w:color="auto"/>
              </w:rPr>
            </w:pPr>
          </w:p>
          <w:p w14:paraId="1A67368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jc w:val="both"/>
              <w:textAlignment w:val="auto"/>
              <w:rPr>
                <w:rFonts w:hint="default" w:ascii="Times New Roman" w:hAnsi="Times New Roman" w:eastAsia="宋体" w:cs="Times New Roman"/>
                <w:color w:val="auto"/>
                <w:sz w:val="24"/>
                <w:szCs w:val="24"/>
                <w:u w:val="none" w:color="auto"/>
              </w:rPr>
            </w:pPr>
          </w:p>
          <w:p w14:paraId="784E150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u w:val="none" w:color="auto"/>
              </w:rPr>
            </w:pPr>
          </w:p>
          <w:p w14:paraId="5D82C99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u w:val="none" w:color="auto"/>
              </w:rPr>
            </w:pPr>
          </w:p>
          <w:p w14:paraId="006FB6E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u w:val="none" w:color="auto"/>
              </w:rPr>
            </w:pPr>
          </w:p>
          <w:p w14:paraId="022DBAE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u w:val="none" w:color="auto"/>
              </w:rPr>
            </w:pPr>
          </w:p>
          <w:p w14:paraId="4F45D8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jc w:val="both"/>
              <w:textAlignment w:val="auto"/>
              <w:rPr>
                <w:rFonts w:hint="default" w:ascii="Times New Roman" w:hAnsi="Times New Roman" w:eastAsia="宋体" w:cs="Times New Roman"/>
                <w:color w:val="auto"/>
                <w:sz w:val="24"/>
                <w:szCs w:val="24"/>
                <w:u w:val="none" w:color="auto"/>
              </w:rPr>
            </w:pPr>
          </w:p>
        </w:tc>
      </w:tr>
    </w:tbl>
    <w:p w14:paraId="4FDF3323">
      <w:pPr>
        <w:rPr>
          <w:rFonts w:hint="default" w:ascii="Times New Roman" w:hAnsi="Times New Roman" w:eastAsia="宋体" w:cs="Times New Roman"/>
          <w:color w:val="auto"/>
          <w:kern w:val="2"/>
          <w:sz w:val="24"/>
          <w:szCs w:val="24"/>
          <w:u w:val="none" w:color="auto"/>
        </w:rPr>
        <w:sectPr>
          <w:pgSz w:w="11907" w:h="16840" w:orient="landscape"/>
          <w:pgMar w:top="1440" w:right="1440" w:bottom="1389" w:left="1440" w:header="851" w:footer="850" w:gutter="0"/>
          <w:pgBorders>
            <w:top w:val="none" w:sz="0" w:space="0"/>
            <w:left w:val="none" w:sz="0" w:space="0"/>
            <w:bottom w:val="none" w:sz="0" w:space="0"/>
            <w:right w:val="none" w:sz="0" w:space="0"/>
          </w:pgBorders>
          <w:cols w:space="720" w:num="1"/>
        </w:sectPr>
      </w:pPr>
    </w:p>
    <w:tbl>
      <w:tblPr>
        <w:tblStyle w:val="56"/>
        <w:tblW w:w="5055"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654"/>
        <w:gridCol w:w="13491"/>
      </w:tblGrid>
      <w:tr w14:paraId="621ED2A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402" w:hRule="atLeast"/>
          <w:jc w:val="center"/>
        </w:trPr>
        <w:tc>
          <w:tcPr>
            <w:tcW w:w="231" w:type="pct"/>
            <w:tcBorders>
              <w:tl2br w:val="nil"/>
              <w:tr2bl w:val="nil"/>
            </w:tcBorders>
            <w:noWrap w:val="0"/>
            <w:tcMar>
              <w:left w:w="28" w:type="dxa"/>
              <w:right w:w="28" w:type="dxa"/>
            </w:tcMar>
            <w:vAlign w:val="center"/>
          </w:tcPr>
          <w:p w14:paraId="27B6F245">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kern w:val="2"/>
                <w:sz w:val="24"/>
                <w:szCs w:val="24"/>
                <w:u w:val="none" w:color="auto"/>
                <w:lang w:val="en-US" w:eastAsia="zh-CN" w:bidi="ar-SA"/>
              </w:rPr>
            </w:pPr>
            <w:r>
              <w:rPr>
                <w:rFonts w:hint="default" w:ascii="Times New Roman" w:hAnsi="Times New Roman" w:eastAsia="宋体" w:cs="Times New Roman"/>
                <w:color w:val="auto"/>
                <w:kern w:val="2"/>
                <w:sz w:val="24"/>
                <w:szCs w:val="24"/>
                <w:u w:val="none" w:color="auto"/>
                <w:lang w:val="en-US" w:eastAsia="zh-CN" w:bidi="ar-SA"/>
              </w:rPr>
              <w:t>运营期环境影响和保护措施</w:t>
            </w:r>
          </w:p>
        </w:tc>
        <w:tc>
          <w:tcPr>
            <w:tcW w:w="4768" w:type="pct"/>
            <w:tcBorders>
              <w:tl2br w:val="nil"/>
              <w:tr2bl w:val="nil"/>
            </w:tcBorders>
            <w:noWrap w:val="0"/>
            <w:vAlign w:val="center"/>
          </w:tcPr>
          <w:p w14:paraId="4B54B54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kern w:val="2"/>
                <w:sz w:val="21"/>
                <w:szCs w:val="21"/>
                <w:lang w:bidi="ar"/>
              </w:rPr>
            </w:pPr>
            <w:r>
              <w:rPr>
                <w:rFonts w:hint="default" w:ascii="Times New Roman" w:hAnsi="Times New Roman" w:eastAsia="宋体" w:cs="Times New Roman"/>
                <w:b/>
                <w:color w:val="auto"/>
                <w:kern w:val="2"/>
                <w:sz w:val="21"/>
                <w:szCs w:val="21"/>
                <w:lang w:bidi="ar"/>
              </w:rPr>
              <w:t>表4-</w:t>
            </w:r>
            <w:r>
              <w:rPr>
                <w:rFonts w:hint="eastAsia" w:ascii="Times New Roman" w:hAnsi="Times New Roman" w:eastAsia="宋体" w:cs="Times New Roman"/>
                <w:b/>
                <w:color w:val="auto"/>
                <w:kern w:val="2"/>
                <w:sz w:val="21"/>
                <w:szCs w:val="21"/>
                <w:lang w:val="en-US" w:eastAsia="zh-CN" w:bidi="ar"/>
              </w:rPr>
              <w:t xml:space="preserve">7 </w:t>
            </w:r>
            <w:r>
              <w:rPr>
                <w:rFonts w:hint="default" w:ascii="Times New Roman" w:hAnsi="Times New Roman" w:eastAsia="宋体" w:cs="Times New Roman"/>
                <w:b/>
                <w:color w:val="auto"/>
                <w:kern w:val="2"/>
                <w:sz w:val="21"/>
                <w:szCs w:val="21"/>
                <w:lang w:bidi="ar"/>
              </w:rPr>
              <w:t>废气污染源源强核算结果及相关参数一览表</w:t>
            </w:r>
          </w:p>
          <w:tbl>
            <w:tblPr>
              <w:tblStyle w:val="5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6"/>
              <w:gridCol w:w="898"/>
              <w:gridCol w:w="643"/>
              <w:gridCol w:w="833"/>
              <w:gridCol w:w="708"/>
              <w:gridCol w:w="758"/>
              <w:gridCol w:w="889"/>
              <w:gridCol w:w="792"/>
              <w:gridCol w:w="1565"/>
              <w:gridCol w:w="652"/>
              <w:gridCol w:w="873"/>
              <w:gridCol w:w="808"/>
              <w:gridCol w:w="793"/>
              <w:gridCol w:w="828"/>
              <w:gridCol w:w="857"/>
              <w:gridCol w:w="629"/>
            </w:tblGrid>
            <w:tr w14:paraId="6E909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vMerge w:val="restart"/>
                  <w:tcBorders>
                    <w:top w:val="single" w:color="auto" w:sz="4" w:space="0"/>
                    <w:left w:val="single" w:color="auto" w:sz="4" w:space="0"/>
                    <w:right w:val="single" w:color="auto" w:sz="4" w:space="0"/>
                    <w:tl2br w:val="nil"/>
                    <w:tr2bl w:val="nil"/>
                  </w:tcBorders>
                  <w:noWrap w:val="0"/>
                  <w:vAlign w:val="center"/>
                </w:tcPr>
                <w:p w14:paraId="18F755DE">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工序/生产线</w:t>
                  </w:r>
                </w:p>
              </w:tc>
              <w:tc>
                <w:tcPr>
                  <w:tcW w:w="338" w:type="pct"/>
                  <w:vMerge w:val="restart"/>
                  <w:tcBorders>
                    <w:top w:val="single" w:color="auto" w:sz="4" w:space="0"/>
                    <w:left w:val="single" w:color="auto" w:sz="4" w:space="0"/>
                    <w:right w:val="single" w:color="auto" w:sz="4" w:space="0"/>
                    <w:tl2br w:val="nil"/>
                    <w:tr2bl w:val="nil"/>
                  </w:tcBorders>
                  <w:noWrap w:val="0"/>
                  <w:vAlign w:val="center"/>
                </w:tcPr>
                <w:p w14:paraId="27EDD2AB">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装置</w:t>
                  </w:r>
                </w:p>
              </w:tc>
              <w:tc>
                <w:tcPr>
                  <w:tcW w:w="242"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49C160A7">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w:t>
                  </w:r>
                </w:p>
                <w:p w14:paraId="71E1749E">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类别</w:t>
                  </w:r>
                </w:p>
              </w:tc>
              <w:tc>
                <w:tcPr>
                  <w:tcW w:w="313"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6541EDAA">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污染物</w:t>
                  </w:r>
                </w:p>
              </w:tc>
              <w:tc>
                <w:tcPr>
                  <w:tcW w:w="1186" w:type="pct"/>
                  <w:gridSpan w:val="4"/>
                  <w:tcBorders>
                    <w:top w:val="single" w:color="auto" w:sz="4" w:space="0"/>
                    <w:left w:val="single" w:color="auto" w:sz="4" w:space="0"/>
                    <w:bottom w:val="single" w:color="auto" w:sz="4" w:space="0"/>
                    <w:right w:val="single" w:color="auto" w:sz="4" w:space="0"/>
                    <w:tl2br w:val="nil"/>
                    <w:tr2bl w:val="nil"/>
                  </w:tcBorders>
                  <w:noWrap w:val="0"/>
                  <w:vAlign w:val="center"/>
                </w:tcPr>
                <w:p w14:paraId="385546B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污染物产生</w:t>
                  </w:r>
                </w:p>
              </w:tc>
              <w:tc>
                <w:tcPr>
                  <w:tcW w:w="1469" w:type="pct"/>
                  <w:gridSpan w:val="4"/>
                  <w:tcBorders>
                    <w:top w:val="single" w:color="auto" w:sz="4" w:space="0"/>
                    <w:left w:val="single" w:color="auto" w:sz="4" w:space="0"/>
                    <w:bottom w:val="single" w:color="auto" w:sz="4" w:space="0"/>
                    <w:right w:val="single" w:color="auto" w:sz="4" w:space="0"/>
                    <w:tl2br w:val="nil"/>
                    <w:tr2bl w:val="nil"/>
                  </w:tcBorders>
                  <w:noWrap w:val="0"/>
                  <w:vAlign w:val="center"/>
                </w:tcPr>
                <w:p w14:paraId="25BBA463">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治理措施</w:t>
                  </w:r>
                </w:p>
              </w:tc>
              <w:tc>
                <w:tcPr>
                  <w:tcW w:w="934" w:type="pct"/>
                  <w:gridSpan w:val="3"/>
                  <w:tcBorders>
                    <w:top w:val="single" w:color="auto" w:sz="4" w:space="0"/>
                    <w:left w:val="single" w:color="auto" w:sz="4" w:space="0"/>
                    <w:bottom w:val="single" w:color="auto" w:sz="4" w:space="0"/>
                    <w:right w:val="single" w:color="auto" w:sz="4" w:space="0"/>
                    <w:tl2br w:val="nil"/>
                    <w:tr2bl w:val="nil"/>
                  </w:tcBorders>
                  <w:noWrap w:val="0"/>
                  <w:vAlign w:val="center"/>
                </w:tcPr>
                <w:p w14:paraId="4FA73CA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污染物排放</w:t>
                  </w:r>
                </w:p>
              </w:tc>
              <w:tc>
                <w:tcPr>
                  <w:tcW w:w="237"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06337260">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排放时间</w:t>
                  </w:r>
                </w:p>
              </w:tc>
            </w:tr>
            <w:tr w14:paraId="3A78E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vMerge w:val="continue"/>
                  <w:tcBorders>
                    <w:left w:val="single" w:color="auto" w:sz="4" w:space="0"/>
                    <w:bottom w:val="single" w:color="auto" w:sz="4" w:space="0"/>
                    <w:right w:val="single" w:color="auto" w:sz="4" w:space="0"/>
                    <w:tl2br w:val="nil"/>
                    <w:tr2bl w:val="nil"/>
                  </w:tcBorders>
                  <w:noWrap w:val="0"/>
                  <w:vAlign w:val="center"/>
                </w:tcPr>
                <w:p w14:paraId="6B3DAA1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p>
              </w:tc>
              <w:tc>
                <w:tcPr>
                  <w:tcW w:w="338" w:type="pct"/>
                  <w:vMerge w:val="continue"/>
                  <w:tcBorders>
                    <w:left w:val="single" w:color="auto" w:sz="4" w:space="0"/>
                    <w:bottom w:val="single" w:color="auto" w:sz="4" w:space="0"/>
                    <w:right w:val="single" w:color="auto" w:sz="4" w:space="0"/>
                    <w:tl2br w:val="nil"/>
                    <w:tr2bl w:val="nil"/>
                  </w:tcBorders>
                  <w:noWrap w:val="0"/>
                  <w:vAlign w:val="center"/>
                </w:tcPr>
                <w:p w14:paraId="200DEC7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p>
              </w:tc>
              <w:tc>
                <w:tcPr>
                  <w:tcW w:w="242"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D96408E">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p>
              </w:tc>
              <w:tc>
                <w:tcPr>
                  <w:tcW w:w="313"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D4C8BA1">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p>
              </w:tc>
              <w:tc>
                <w:tcPr>
                  <w:tcW w:w="2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820B86A">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核算</w:t>
                  </w:r>
                </w:p>
                <w:p w14:paraId="72F16975">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方法</w:t>
                  </w:r>
                </w:p>
              </w:tc>
              <w:tc>
                <w:tcPr>
                  <w:tcW w:w="28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8B275DE">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产生浓度mg/m</w:t>
                  </w:r>
                  <w:r>
                    <w:rPr>
                      <w:rFonts w:hint="default" w:ascii="Times New Roman" w:hAnsi="Times New Roman" w:eastAsia="宋体" w:cs="Times New Roman"/>
                      <w:b/>
                      <w:color w:val="auto"/>
                      <w:sz w:val="21"/>
                      <w:szCs w:val="21"/>
                      <w:vertAlign w:val="superscript"/>
                    </w:rPr>
                    <w:t>3</w:t>
                  </w:r>
                </w:p>
              </w:tc>
              <w:tc>
                <w:tcPr>
                  <w:tcW w:w="33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057B169">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产生量</w:t>
                  </w:r>
                </w:p>
                <w:p w14:paraId="63C9CC4C">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t/a</w:t>
                  </w:r>
                </w:p>
              </w:tc>
              <w:tc>
                <w:tcPr>
                  <w:tcW w:w="29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2B73BEE">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产生速率</w:t>
                  </w:r>
                </w:p>
                <w:p w14:paraId="15832A80">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kg/h</w:t>
                  </w:r>
                </w:p>
              </w:tc>
              <w:tc>
                <w:tcPr>
                  <w:tcW w:w="59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946358D">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工艺</w:t>
                  </w:r>
                </w:p>
              </w:tc>
              <w:tc>
                <w:tcPr>
                  <w:tcW w:w="24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46E54EB">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收集效率（%）</w:t>
                  </w:r>
                </w:p>
              </w:tc>
              <w:tc>
                <w:tcPr>
                  <w:tcW w:w="32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569C97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处理效率（%）</w:t>
                  </w:r>
                </w:p>
              </w:tc>
              <w:tc>
                <w:tcPr>
                  <w:tcW w:w="30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CA43BBC">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是否为可行技术</w:t>
                  </w:r>
                </w:p>
              </w:tc>
              <w:tc>
                <w:tcPr>
                  <w:tcW w:w="29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FB11A4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排放量</w:t>
                  </w:r>
                </w:p>
                <w:p w14:paraId="3C21274B">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t/a</w:t>
                  </w:r>
                </w:p>
              </w:tc>
              <w:tc>
                <w:tcPr>
                  <w:tcW w:w="31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815159A">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排放浓度mg/m</w:t>
                  </w:r>
                  <w:r>
                    <w:rPr>
                      <w:rFonts w:hint="default" w:ascii="Times New Roman" w:hAnsi="Times New Roman" w:eastAsia="宋体" w:cs="Times New Roman"/>
                      <w:b/>
                      <w:color w:val="auto"/>
                      <w:sz w:val="21"/>
                      <w:szCs w:val="21"/>
                      <w:vertAlign w:val="superscript"/>
                    </w:rPr>
                    <w:t>3</w:t>
                  </w:r>
                </w:p>
              </w:tc>
              <w:tc>
                <w:tcPr>
                  <w:tcW w:w="32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0D80D4C">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 xml:space="preserve">排放速率 </w:t>
                  </w:r>
                </w:p>
                <w:p w14:paraId="1724A3E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kg/h</w:t>
                  </w:r>
                </w:p>
              </w:tc>
              <w:tc>
                <w:tcPr>
                  <w:tcW w:w="237"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78557DC">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r>
            <w:tr w14:paraId="5775D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vMerge w:val="restart"/>
                  <w:tcBorders>
                    <w:top w:val="single" w:color="auto" w:sz="4" w:space="0"/>
                    <w:left w:val="single" w:color="auto" w:sz="4" w:space="0"/>
                    <w:right w:val="single" w:color="auto" w:sz="4" w:space="0"/>
                    <w:tl2br w:val="nil"/>
                    <w:tr2bl w:val="nil"/>
                  </w:tcBorders>
                  <w:noWrap w:val="0"/>
                  <w:vAlign w:val="center"/>
                </w:tcPr>
                <w:p w14:paraId="4572131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熔炼</w:t>
                  </w:r>
                </w:p>
              </w:tc>
              <w:tc>
                <w:tcPr>
                  <w:tcW w:w="338" w:type="pct"/>
                  <w:vMerge w:val="restart"/>
                  <w:tcBorders>
                    <w:top w:val="single" w:color="auto" w:sz="4" w:space="0"/>
                    <w:left w:val="single" w:color="auto" w:sz="4" w:space="0"/>
                    <w:right w:val="single" w:color="auto" w:sz="4" w:space="0"/>
                    <w:tl2br w:val="nil"/>
                    <w:tr2bl w:val="nil"/>
                  </w:tcBorders>
                  <w:noWrap w:val="0"/>
                  <w:vAlign w:val="center"/>
                </w:tcPr>
                <w:p w14:paraId="3DD3B361">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中频感应电炉</w:t>
                  </w:r>
                </w:p>
              </w:tc>
              <w:tc>
                <w:tcPr>
                  <w:tcW w:w="2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DEF5013">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有组织</w:t>
                  </w:r>
                </w:p>
              </w:tc>
              <w:tc>
                <w:tcPr>
                  <w:tcW w:w="313"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6AC3D56D">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266"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2827F1A9">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产污系数法</w:t>
                  </w:r>
                </w:p>
              </w:tc>
              <w:tc>
                <w:tcPr>
                  <w:tcW w:w="28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EEBFC19">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57.61 </w:t>
                  </w: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02E1DC3">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0.599 </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1A6033E">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2.156 </w:t>
                  </w:r>
                </w:p>
              </w:tc>
              <w:tc>
                <w:tcPr>
                  <w:tcW w:w="59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45A54C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炉盖一体化装置</w:t>
                  </w:r>
                  <w:r>
                    <w:rPr>
                      <w:rFonts w:hint="default" w:ascii="Times New Roman" w:hAnsi="Times New Roman" w:eastAsia="宋体" w:cs="Times New Roman"/>
                      <w:color w:val="auto"/>
                      <w:sz w:val="21"/>
                      <w:szCs w:val="21"/>
                      <w:lang w:val="en-US" w:eastAsia="zh-CN"/>
                    </w:rPr>
                    <w:t>收集</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布袋除尘器</w:t>
                  </w:r>
                </w:p>
              </w:tc>
              <w:tc>
                <w:tcPr>
                  <w:tcW w:w="24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3CA6CCA">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w:t>
                  </w:r>
                </w:p>
              </w:tc>
              <w:tc>
                <w:tcPr>
                  <w:tcW w:w="32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8CD27F0">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w:t>
                  </w:r>
                </w:p>
              </w:tc>
              <w:tc>
                <w:tcPr>
                  <w:tcW w:w="30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DF124EC">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c>
                <w:tcPr>
                  <w:tcW w:w="29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556FCF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0.323 </w:t>
                  </w:r>
                </w:p>
              </w:tc>
              <w:tc>
                <w:tcPr>
                  <w:tcW w:w="31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4E6FFFD">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w:t>
                  </w:r>
                </w:p>
              </w:tc>
              <w:tc>
                <w:tcPr>
                  <w:tcW w:w="32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5ECBD18">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 xml:space="preserve"> </w:t>
                  </w:r>
                </w:p>
              </w:tc>
              <w:tc>
                <w:tcPr>
                  <w:tcW w:w="237"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256D031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3600</w:t>
                  </w:r>
                </w:p>
              </w:tc>
            </w:tr>
            <w:tr w14:paraId="4BDF7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vMerge w:val="continue"/>
                  <w:tcBorders>
                    <w:left w:val="single" w:color="auto" w:sz="4" w:space="0"/>
                    <w:bottom w:val="single" w:color="auto" w:sz="4" w:space="0"/>
                    <w:right w:val="single" w:color="auto" w:sz="4" w:space="0"/>
                    <w:tl2br w:val="nil"/>
                    <w:tr2bl w:val="nil"/>
                  </w:tcBorders>
                  <w:noWrap w:val="0"/>
                  <w:vAlign w:val="center"/>
                </w:tcPr>
                <w:p w14:paraId="6F64EF41">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c>
                <w:tcPr>
                  <w:tcW w:w="338" w:type="pct"/>
                  <w:vMerge w:val="continue"/>
                  <w:tcBorders>
                    <w:left w:val="single" w:color="auto" w:sz="4" w:space="0"/>
                    <w:bottom w:val="single" w:color="auto" w:sz="4" w:space="0"/>
                    <w:right w:val="single" w:color="auto" w:sz="4" w:space="0"/>
                    <w:tl2br w:val="nil"/>
                    <w:tr2bl w:val="nil"/>
                  </w:tcBorders>
                  <w:noWrap w:val="0"/>
                  <w:vAlign w:val="center"/>
                </w:tcPr>
                <w:p w14:paraId="66DBD900">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c>
                <w:tcPr>
                  <w:tcW w:w="2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85E403C">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无组织</w:t>
                  </w:r>
                </w:p>
              </w:tc>
              <w:tc>
                <w:tcPr>
                  <w:tcW w:w="313"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F971893">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c>
                <w:tcPr>
                  <w:tcW w:w="266"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2450F948">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c>
                <w:tcPr>
                  <w:tcW w:w="28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8F1E674">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765E0A5">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0.240 </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94782A5">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0.067 </w:t>
                  </w:r>
                </w:p>
              </w:tc>
              <w:tc>
                <w:tcPr>
                  <w:tcW w:w="59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F7829C2">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车间封闭，定期洒水抑尘</w:t>
                  </w:r>
                </w:p>
              </w:tc>
              <w:tc>
                <w:tcPr>
                  <w:tcW w:w="24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CEDB2C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32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8A78DC8">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0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DB02560">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9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70F183D">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0.240 </w:t>
                  </w:r>
                </w:p>
              </w:tc>
              <w:tc>
                <w:tcPr>
                  <w:tcW w:w="31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81097B1">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2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C42480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 xml:space="preserve">0.067 </w:t>
                  </w:r>
                </w:p>
              </w:tc>
              <w:tc>
                <w:tcPr>
                  <w:tcW w:w="237"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4D499152">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r>
            <w:tr w14:paraId="6470F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vMerge w:val="restart"/>
                  <w:tcBorders>
                    <w:left w:val="single" w:color="auto" w:sz="4" w:space="0"/>
                    <w:right w:val="single" w:color="auto" w:sz="4" w:space="0"/>
                    <w:tl2br w:val="nil"/>
                    <w:tr2bl w:val="nil"/>
                  </w:tcBorders>
                  <w:shd w:val="clear" w:color="auto" w:fill="auto"/>
                  <w:noWrap w:val="0"/>
                  <w:vAlign w:val="center"/>
                </w:tcPr>
                <w:p w14:paraId="57931278">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r>
                    <w:rPr>
                      <w:rFonts w:hint="eastAsia" w:ascii="Times New Roman" w:hAnsi="Times New Roman" w:eastAsia="宋体" w:cs="Times New Roman"/>
                      <w:i w:val="0"/>
                      <w:iCs w:val="0"/>
                      <w:color w:val="auto"/>
                      <w:kern w:val="0"/>
                      <w:sz w:val="21"/>
                      <w:szCs w:val="21"/>
                      <w:u w:val="none"/>
                      <w:lang w:val="en-US" w:eastAsia="zh-CN" w:bidi="ar"/>
                    </w:rPr>
                    <w:t>造型</w:t>
                  </w:r>
                </w:p>
              </w:tc>
              <w:tc>
                <w:tcPr>
                  <w:tcW w:w="338" w:type="pct"/>
                  <w:vMerge w:val="restart"/>
                  <w:tcBorders>
                    <w:left w:val="single" w:color="auto" w:sz="4" w:space="0"/>
                    <w:right w:val="single" w:color="auto" w:sz="4" w:space="0"/>
                    <w:tl2br w:val="nil"/>
                    <w:tr2bl w:val="nil"/>
                  </w:tcBorders>
                  <w:shd w:val="clear" w:color="auto" w:fill="auto"/>
                  <w:noWrap w:val="0"/>
                  <w:vAlign w:val="center"/>
                </w:tcPr>
                <w:p w14:paraId="61A43E25">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射芯机</w:t>
                  </w:r>
                </w:p>
              </w:tc>
              <w:tc>
                <w:tcPr>
                  <w:tcW w:w="24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6C7F287">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有组织</w:t>
                  </w:r>
                </w:p>
              </w:tc>
              <w:tc>
                <w:tcPr>
                  <w:tcW w:w="313" w:type="pct"/>
                  <w:vMerge w:val="restart"/>
                  <w:tcBorders>
                    <w:left w:val="single" w:color="auto" w:sz="4" w:space="0"/>
                    <w:right w:val="single" w:color="auto" w:sz="4" w:space="0"/>
                    <w:tl2br w:val="nil"/>
                    <w:tr2bl w:val="nil"/>
                  </w:tcBorders>
                  <w:shd w:val="clear" w:color="auto" w:fill="auto"/>
                  <w:noWrap w:val="0"/>
                  <w:vAlign w:val="center"/>
                </w:tcPr>
                <w:p w14:paraId="124DD52C">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颗粒物 </w:t>
                  </w:r>
                </w:p>
              </w:tc>
              <w:tc>
                <w:tcPr>
                  <w:tcW w:w="266" w:type="pct"/>
                  <w:vMerge w:val="restart"/>
                  <w:tcBorders>
                    <w:left w:val="single" w:color="auto" w:sz="4" w:space="0"/>
                    <w:right w:val="single" w:color="auto" w:sz="4" w:space="0"/>
                    <w:tl2br w:val="nil"/>
                    <w:tr2bl w:val="nil"/>
                  </w:tcBorders>
                  <w:shd w:val="clear" w:color="auto" w:fill="auto"/>
                  <w:noWrap w:val="0"/>
                  <w:vAlign w:val="center"/>
                </w:tcPr>
                <w:p w14:paraId="5C62691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产污系数法</w:t>
                  </w:r>
                </w:p>
              </w:tc>
              <w:tc>
                <w:tcPr>
                  <w:tcW w:w="28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D6A93A4">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37.05 </w:t>
                  </w: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961A8C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0.309 </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4BB7BC2">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1.112 </w:t>
                  </w:r>
                </w:p>
              </w:tc>
              <w:tc>
                <w:tcPr>
                  <w:tcW w:w="590"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CD1BD20">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集气罩收集+</w:t>
                  </w:r>
                  <w:r>
                    <w:rPr>
                      <w:rFonts w:hint="default" w:ascii="Times New Roman" w:hAnsi="Times New Roman" w:eastAsia="宋体" w:cs="Times New Roman"/>
                      <w:color w:val="auto"/>
                      <w:sz w:val="21"/>
                      <w:szCs w:val="21"/>
                      <w:lang w:val="en-US" w:eastAsia="zh-CN"/>
                    </w:rPr>
                    <w:t>布袋除尘器</w:t>
                  </w:r>
                </w:p>
              </w:tc>
              <w:tc>
                <w:tcPr>
                  <w:tcW w:w="2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79C223D">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w:t>
                  </w:r>
                </w:p>
              </w:tc>
              <w:tc>
                <w:tcPr>
                  <w:tcW w:w="32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45AADAA">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w:t>
                  </w:r>
                </w:p>
              </w:tc>
              <w:tc>
                <w:tcPr>
                  <w:tcW w:w="30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C3F44AB">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是</w:t>
                  </w:r>
                </w:p>
              </w:tc>
              <w:tc>
                <w:tcPr>
                  <w:tcW w:w="29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F8DA06D">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0.167 </w:t>
                  </w:r>
                </w:p>
              </w:tc>
              <w:tc>
                <w:tcPr>
                  <w:tcW w:w="31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42E1D74">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2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83400F9">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 xml:space="preserve"> </w:t>
                  </w:r>
                </w:p>
              </w:tc>
              <w:tc>
                <w:tcPr>
                  <w:tcW w:w="237" w:type="pct"/>
                  <w:vMerge w:val="restart"/>
                  <w:tcBorders>
                    <w:left w:val="single" w:color="auto" w:sz="4" w:space="0"/>
                    <w:right w:val="single" w:color="auto" w:sz="4" w:space="0"/>
                    <w:tl2br w:val="nil"/>
                    <w:tr2bl w:val="nil"/>
                  </w:tcBorders>
                  <w:noWrap w:val="0"/>
                  <w:vAlign w:val="center"/>
                </w:tcPr>
                <w:p w14:paraId="38984A6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3600</w:t>
                  </w:r>
                </w:p>
              </w:tc>
            </w:tr>
            <w:tr w14:paraId="5A4FA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vMerge w:val="continue"/>
                  <w:tcBorders>
                    <w:left w:val="single" w:color="auto" w:sz="4" w:space="0"/>
                    <w:bottom w:val="single" w:color="auto" w:sz="4" w:space="0"/>
                    <w:right w:val="single" w:color="auto" w:sz="4" w:space="0"/>
                    <w:tl2br w:val="nil"/>
                    <w:tr2bl w:val="nil"/>
                  </w:tcBorders>
                  <w:shd w:val="clear" w:color="auto" w:fill="auto"/>
                  <w:noWrap w:val="0"/>
                  <w:vAlign w:val="center"/>
                </w:tcPr>
                <w:p w14:paraId="3E202A68">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c>
                <w:tcPr>
                  <w:tcW w:w="338" w:type="pct"/>
                  <w:vMerge w:val="continue"/>
                  <w:tcBorders>
                    <w:left w:val="single" w:color="auto" w:sz="4" w:space="0"/>
                    <w:bottom w:val="single" w:color="auto" w:sz="4" w:space="0"/>
                    <w:right w:val="single" w:color="auto" w:sz="4" w:space="0"/>
                    <w:tl2br w:val="nil"/>
                    <w:tr2bl w:val="nil"/>
                  </w:tcBorders>
                  <w:shd w:val="clear" w:color="auto" w:fill="auto"/>
                  <w:noWrap w:val="0"/>
                  <w:vAlign w:val="center"/>
                </w:tcPr>
                <w:p w14:paraId="26F30B93">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c>
                <w:tcPr>
                  <w:tcW w:w="24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020835B">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无组织</w:t>
                  </w:r>
                </w:p>
              </w:tc>
              <w:tc>
                <w:tcPr>
                  <w:tcW w:w="313" w:type="pct"/>
                  <w:vMerge w:val="continue"/>
                  <w:tcBorders>
                    <w:left w:val="single" w:color="auto" w:sz="4" w:space="0"/>
                    <w:bottom w:val="single" w:color="auto" w:sz="4" w:space="0"/>
                    <w:right w:val="single" w:color="auto" w:sz="4" w:space="0"/>
                    <w:tl2br w:val="nil"/>
                    <w:tr2bl w:val="nil"/>
                  </w:tcBorders>
                  <w:noWrap w:val="0"/>
                  <w:vAlign w:val="center"/>
                </w:tcPr>
                <w:p w14:paraId="6930F5D2">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c>
                <w:tcPr>
                  <w:tcW w:w="266" w:type="pct"/>
                  <w:vMerge w:val="continue"/>
                  <w:tcBorders>
                    <w:left w:val="single" w:color="auto" w:sz="4" w:space="0"/>
                    <w:bottom w:val="single" w:color="auto" w:sz="4" w:space="0"/>
                    <w:right w:val="single" w:color="auto" w:sz="4" w:space="0"/>
                    <w:tl2br w:val="nil"/>
                    <w:tr2bl w:val="nil"/>
                  </w:tcBorders>
                  <w:noWrap w:val="0"/>
                  <w:vAlign w:val="center"/>
                </w:tcPr>
                <w:p w14:paraId="4B892973">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c>
                <w:tcPr>
                  <w:tcW w:w="28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49F6137">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CCDCBD8">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0.124 </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BFE4962">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0.034 </w:t>
                  </w:r>
                </w:p>
              </w:tc>
              <w:tc>
                <w:tcPr>
                  <w:tcW w:w="590"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AD37153">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车间封闭，定期洒水抑尘</w:t>
                  </w:r>
                </w:p>
              </w:tc>
              <w:tc>
                <w:tcPr>
                  <w:tcW w:w="2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6A8B99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2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17CB881">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0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C47705C">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29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9603683">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0.124 </w:t>
                  </w:r>
                </w:p>
              </w:tc>
              <w:tc>
                <w:tcPr>
                  <w:tcW w:w="31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8B80B5E">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2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25FA721">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0.034</w:t>
                  </w:r>
                </w:p>
              </w:tc>
              <w:tc>
                <w:tcPr>
                  <w:tcW w:w="237" w:type="pct"/>
                  <w:vMerge w:val="continue"/>
                  <w:tcBorders>
                    <w:left w:val="single" w:color="auto" w:sz="4" w:space="0"/>
                    <w:bottom w:val="single" w:color="auto" w:sz="4" w:space="0"/>
                    <w:right w:val="single" w:color="auto" w:sz="4" w:space="0"/>
                    <w:tl2br w:val="nil"/>
                    <w:tr2bl w:val="nil"/>
                  </w:tcBorders>
                  <w:noWrap w:val="0"/>
                  <w:vAlign w:val="center"/>
                </w:tcPr>
                <w:p w14:paraId="2D7FA374">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r>
            <w:tr w14:paraId="20511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vMerge w:val="restart"/>
                  <w:tcBorders>
                    <w:top w:val="single" w:color="auto" w:sz="4" w:space="0"/>
                    <w:left w:val="single" w:color="auto" w:sz="4" w:space="0"/>
                    <w:right w:val="single" w:color="auto" w:sz="4" w:space="0"/>
                    <w:tl2br w:val="nil"/>
                    <w:tr2bl w:val="nil"/>
                  </w:tcBorders>
                  <w:shd w:val="clear" w:color="auto" w:fill="auto"/>
                  <w:noWrap w:val="0"/>
                  <w:vAlign w:val="center"/>
                </w:tcPr>
                <w:p w14:paraId="4D639E8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砂处理工序</w:t>
                  </w:r>
                </w:p>
              </w:tc>
              <w:tc>
                <w:tcPr>
                  <w:tcW w:w="338" w:type="pct"/>
                  <w:vMerge w:val="restart"/>
                  <w:tcBorders>
                    <w:top w:val="single" w:color="auto" w:sz="4" w:space="0"/>
                    <w:left w:val="single" w:color="auto" w:sz="4" w:space="0"/>
                    <w:right w:val="single" w:color="auto" w:sz="4" w:space="0"/>
                    <w:tl2br w:val="nil"/>
                    <w:tr2bl w:val="nil"/>
                  </w:tcBorders>
                  <w:noWrap w:val="0"/>
                  <w:vAlign w:val="center"/>
                </w:tcPr>
                <w:p w14:paraId="12431462">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碾砂一体机</w:t>
                  </w:r>
                </w:p>
              </w:tc>
              <w:tc>
                <w:tcPr>
                  <w:tcW w:w="2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55C968E">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有组织</w:t>
                  </w:r>
                </w:p>
              </w:tc>
              <w:tc>
                <w:tcPr>
                  <w:tcW w:w="313"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5DF0504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266"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587588D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产污系数法</w:t>
                  </w:r>
                </w:p>
              </w:tc>
              <w:tc>
                <w:tcPr>
                  <w:tcW w:w="28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1613EB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222.22 </w:t>
                  </w: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2D8CA37">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4.737 </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D9FC40C">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17.052 </w:t>
                  </w:r>
                </w:p>
              </w:tc>
              <w:tc>
                <w:tcPr>
                  <w:tcW w:w="59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76CCF31">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管道收集+布袋除尘器</w:t>
                  </w:r>
                </w:p>
              </w:tc>
              <w:tc>
                <w:tcPr>
                  <w:tcW w:w="24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3CC13F9">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98</w:t>
                  </w:r>
                </w:p>
              </w:tc>
              <w:tc>
                <w:tcPr>
                  <w:tcW w:w="32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A751794">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w:t>
                  </w:r>
                </w:p>
              </w:tc>
              <w:tc>
                <w:tcPr>
                  <w:tcW w:w="30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6E28EAC">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是</w:t>
                  </w:r>
                </w:p>
              </w:tc>
              <w:tc>
                <w:tcPr>
                  <w:tcW w:w="29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409EFD9">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2.558 </w:t>
                  </w:r>
                </w:p>
              </w:tc>
              <w:tc>
                <w:tcPr>
                  <w:tcW w:w="31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0310EC0">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2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F8F0760">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 xml:space="preserve"> </w:t>
                  </w:r>
                </w:p>
              </w:tc>
              <w:tc>
                <w:tcPr>
                  <w:tcW w:w="237"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7252C5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3600</w:t>
                  </w:r>
                </w:p>
              </w:tc>
            </w:tr>
            <w:tr w14:paraId="551B8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vMerge w:val="continue"/>
                  <w:tcBorders>
                    <w:left w:val="single" w:color="auto" w:sz="4" w:space="0"/>
                    <w:bottom w:val="single" w:color="auto" w:sz="4" w:space="0"/>
                    <w:right w:val="single" w:color="auto" w:sz="4" w:space="0"/>
                    <w:tl2br w:val="nil"/>
                    <w:tr2bl w:val="nil"/>
                  </w:tcBorders>
                  <w:shd w:val="clear" w:color="auto" w:fill="auto"/>
                  <w:noWrap w:val="0"/>
                  <w:vAlign w:val="center"/>
                </w:tcPr>
                <w:p w14:paraId="5A0D39BA">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c>
                <w:tcPr>
                  <w:tcW w:w="338" w:type="pct"/>
                  <w:vMerge w:val="continue"/>
                  <w:tcBorders>
                    <w:left w:val="single" w:color="auto" w:sz="4" w:space="0"/>
                    <w:bottom w:val="single" w:color="auto" w:sz="4" w:space="0"/>
                    <w:right w:val="single" w:color="auto" w:sz="4" w:space="0"/>
                    <w:tl2br w:val="nil"/>
                    <w:tr2bl w:val="nil"/>
                  </w:tcBorders>
                  <w:noWrap w:val="0"/>
                  <w:vAlign w:val="center"/>
                </w:tcPr>
                <w:p w14:paraId="141CCFDA">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c>
                <w:tcPr>
                  <w:tcW w:w="2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81313A2">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无组织</w:t>
                  </w:r>
                </w:p>
              </w:tc>
              <w:tc>
                <w:tcPr>
                  <w:tcW w:w="313"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2320153">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c>
                <w:tcPr>
                  <w:tcW w:w="266"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0C574CEE">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c>
                <w:tcPr>
                  <w:tcW w:w="28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9483C03">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F704C5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0.348 </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C50B0C4">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0.097 </w:t>
                  </w:r>
                </w:p>
              </w:tc>
              <w:tc>
                <w:tcPr>
                  <w:tcW w:w="59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4AEFBA8">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车间封闭，定期洒水抑尘</w:t>
                  </w:r>
                </w:p>
              </w:tc>
              <w:tc>
                <w:tcPr>
                  <w:tcW w:w="24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18B2AE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2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BD7BBBD">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0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0F28542">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29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191EF9E">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0.348 </w:t>
                  </w:r>
                </w:p>
              </w:tc>
              <w:tc>
                <w:tcPr>
                  <w:tcW w:w="31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36FA834">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p>
              </w:tc>
              <w:tc>
                <w:tcPr>
                  <w:tcW w:w="32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28B4623">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0.097 </w:t>
                  </w:r>
                </w:p>
              </w:tc>
              <w:tc>
                <w:tcPr>
                  <w:tcW w:w="237"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D260F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rPr>
                  </w:pPr>
                </w:p>
              </w:tc>
            </w:tr>
            <w:tr w14:paraId="40E1C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vMerge w:val="restart"/>
                  <w:tcBorders>
                    <w:left w:val="single" w:color="auto" w:sz="4" w:space="0"/>
                    <w:right w:val="single" w:color="auto" w:sz="4" w:space="0"/>
                    <w:tl2br w:val="nil"/>
                    <w:tr2bl w:val="nil"/>
                  </w:tcBorders>
                  <w:shd w:val="clear" w:color="auto" w:fill="auto"/>
                  <w:noWrap w:val="0"/>
                  <w:vAlign w:val="center"/>
                </w:tcPr>
                <w:p w14:paraId="70E371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rPr>
                  </w:pPr>
                  <w:r>
                    <w:rPr>
                      <w:rFonts w:hint="eastAsia" w:ascii="Times New Roman" w:hAnsi="Times New Roman" w:cs="Times New Roman"/>
                      <w:i w:val="0"/>
                      <w:iCs w:val="0"/>
                      <w:color w:val="auto"/>
                      <w:kern w:val="0"/>
                      <w:sz w:val="21"/>
                      <w:szCs w:val="21"/>
                      <w:u w:val="none"/>
                      <w:lang w:val="en-US" w:eastAsia="zh-CN" w:bidi="ar"/>
                    </w:rPr>
                    <w:t>打磨</w:t>
                  </w:r>
                  <w:r>
                    <w:rPr>
                      <w:rFonts w:hint="default" w:ascii="Times New Roman" w:hAnsi="Times New Roman" w:eastAsia="宋体" w:cs="Times New Roman"/>
                      <w:i w:val="0"/>
                      <w:iCs w:val="0"/>
                      <w:color w:val="auto"/>
                      <w:kern w:val="0"/>
                      <w:sz w:val="21"/>
                      <w:szCs w:val="21"/>
                      <w:u w:val="none"/>
                      <w:lang w:val="en-US" w:eastAsia="zh-CN" w:bidi="ar"/>
                    </w:rPr>
                    <w:t>清理</w:t>
                  </w:r>
                </w:p>
              </w:tc>
              <w:tc>
                <w:tcPr>
                  <w:tcW w:w="338" w:type="pct"/>
                  <w:vMerge w:val="restart"/>
                  <w:tcBorders>
                    <w:top w:val="single" w:color="auto" w:sz="4" w:space="0"/>
                    <w:left w:val="single" w:color="auto" w:sz="4" w:space="0"/>
                    <w:right w:val="single" w:color="auto" w:sz="4" w:space="0"/>
                    <w:tl2br w:val="nil"/>
                    <w:tr2bl w:val="nil"/>
                  </w:tcBorders>
                  <w:shd w:val="clear" w:color="auto" w:fill="auto"/>
                  <w:noWrap w:val="0"/>
                  <w:vAlign w:val="center"/>
                </w:tcPr>
                <w:p w14:paraId="18BE0D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滚筒式滚球机</w:t>
                  </w:r>
                  <w:r>
                    <w:rPr>
                      <w:rFonts w:hint="default" w:ascii="Times New Roman" w:hAnsi="Times New Roman" w:cs="Times New Roman"/>
                      <w:i w:val="0"/>
                      <w:iCs w:val="0"/>
                      <w:color w:val="auto"/>
                      <w:kern w:val="0"/>
                      <w:sz w:val="21"/>
                      <w:szCs w:val="21"/>
                      <w:u w:val="none"/>
                      <w:lang w:val="en-US" w:eastAsia="zh-CN" w:bidi="ar"/>
                    </w:rPr>
                    <w:t>抛丸机</w:t>
                  </w:r>
                </w:p>
              </w:tc>
              <w:tc>
                <w:tcPr>
                  <w:tcW w:w="24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7B01B5E">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有组织</w:t>
                  </w:r>
                </w:p>
              </w:tc>
              <w:tc>
                <w:tcPr>
                  <w:tcW w:w="313" w:type="pct"/>
                  <w:vMerge w:val="restart"/>
                  <w:tcBorders>
                    <w:top w:val="single" w:color="auto" w:sz="4" w:space="0"/>
                    <w:left w:val="single" w:color="auto" w:sz="4" w:space="0"/>
                    <w:right w:val="single" w:color="auto" w:sz="4" w:space="0"/>
                    <w:tl2br w:val="nil"/>
                    <w:tr2bl w:val="nil"/>
                  </w:tcBorders>
                  <w:shd w:val="clear" w:color="auto" w:fill="auto"/>
                  <w:noWrap w:val="0"/>
                  <w:vAlign w:val="center"/>
                </w:tcPr>
                <w:p w14:paraId="12A8A713">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颗粒物</w:t>
                  </w:r>
                </w:p>
              </w:tc>
              <w:tc>
                <w:tcPr>
                  <w:tcW w:w="266" w:type="pct"/>
                  <w:vMerge w:val="restart"/>
                  <w:tcBorders>
                    <w:top w:val="single" w:color="auto" w:sz="4" w:space="0"/>
                    <w:left w:val="single" w:color="auto" w:sz="4" w:space="0"/>
                    <w:right w:val="single" w:color="auto" w:sz="4" w:space="0"/>
                    <w:tl2br w:val="nil"/>
                    <w:tr2bl w:val="nil"/>
                  </w:tcBorders>
                  <w:shd w:val="clear" w:color="auto" w:fill="auto"/>
                  <w:noWrap w:val="0"/>
                  <w:vAlign w:val="center"/>
                </w:tcPr>
                <w:p w14:paraId="770C7009">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产污系数法</w:t>
                  </w:r>
                </w:p>
              </w:tc>
              <w:tc>
                <w:tcPr>
                  <w:tcW w:w="28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4BA875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252.49 </w:t>
                  </w: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CBD4BAD">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2.981 </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69F897E">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10.731 </w:t>
                  </w:r>
                </w:p>
              </w:tc>
              <w:tc>
                <w:tcPr>
                  <w:tcW w:w="59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1AB6A7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管道收集+布袋除尘器</w:t>
                  </w:r>
                </w:p>
              </w:tc>
              <w:tc>
                <w:tcPr>
                  <w:tcW w:w="2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791AF5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98</w:t>
                  </w:r>
                </w:p>
              </w:tc>
              <w:tc>
                <w:tcPr>
                  <w:tcW w:w="32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ED6871C">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w:t>
                  </w:r>
                </w:p>
              </w:tc>
              <w:tc>
                <w:tcPr>
                  <w:tcW w:w="30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91F0854">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是</w:t>
                  </w:r>
                </w:p>
              </w:tc>
              <w:tc>
                <w:tcPr>
                  <w:tcW w:w="29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1D73283">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1.610 </w:t>
                  </w:r>
                </w:p>
              </w:tc>
              <w:tc>
                <w:tcPr>
                  <w:tcW w:w="31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5760CAE">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2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FF57FC5">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 xml:space="preserve"> </w:t>
                  </w:r>
                </w:p>
              </w:tc>
              <w:tc>
                <w:tcPr>
                  <w:tcW w:w="237" w:type="pct"/>
                  <w:vMerge w:val="restart"/>
                  <w:tcBorders>
                    <w:top w:val="single" w:color="auto" w:sz="4" w:space="0"/>
                    <w:left w:val="single" w:color="auto" w:sz="4" w:space="0"/>
                    <w:right w:val="single" w:color="auto" w:sz="4" w:space="0"/>
                    <w:tl2br w:val="nil"/>
                    <w:tr2bl w:val="nil"/>
                  </w:tcBorders>
                  <w:noWrap w:val="0"/>
                  <w:vAlign w:val="center"/>
                </w:tcPr>
                <w:p w14:paraId="56D67EED">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3600</w:t>
                  </w:r>
                </w:p>
              </w:tc>
            </w:tr>
            <w:tr w14:paraId="16488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vMerge w:val="continue"/>
                  <w:tcBorders>
                    <w:left w:val="single" w:color="auto" w:sz="4" w:space="0"/>
                    <w:right w:val="single" w:color="auto" w:sz="4" w:space="0"/>
                    <w:tl2br w:val="nil"/>
                    <w:tr2bl w:val="nil"/>
                  </w:tcBorders>
                  <w:shd w:val="clear" w:color="auto" w:fill="auto"/>
                  <w:noWrap w:val="0"/>
                  <w:vAlign w:val="center"/>
                </w:tcPr>
                <w:p w14:paraId="596433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338" w:type="pct"/>
                  <w:vMerge w:val="continue"/>
                  <w:tcBorders>
                    <w:left w:val="single" w:color="auto" w:sz="4" w:space="0"/>
                    <w:bottom w:val="single" w:color="auto" w:sz="4" w:space="0"/>
                    <w:right w:val="single" w:color="auto" w:sz="4" w:space="0"/>
                    <w:tl2br w:val="nil"/>
                    <w:tr2bl w:val="nil"/>
                  </w:tcBorders>
                  <w:shd w:val="clear" w:color="auto" w:fill="auto"/>
                  <w:noWrap w:val="0"/>
                  <w:vAlign w:val="center"/>
                </w:tcPr>
                <w:p w14:paraId="4C3ED0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24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87CEB9A">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无组织</w:t>
                  </w:r>
                </w:p>
              </w:tc>
              <w:tc>
                <w:tcPr>
                  <w:tcW w:w="313" w:type="pct"/>
                  <w:vMerge w:val="continue"/>
                  <w:tcBorders>
                    <w:left w:val="single" w:color="auto" w:sz="4" w:space="0"/>
                    <w:right w:val="single" w:color="auto" w:sz="4" w:space="0"/>
                    <w:tl2br w:val="nil"/>
                    <w:tr2bl w:val="nil"/>
                  </w:tcBorders>
                  <w:shd w:val="clear" w:color="auto" w:fill="auto"/>
                  <w:noWrap w:val="0"/>
                  <w:vAlign w:val="center"/>
                </w:tcPr>
                <w:p w14:paraId="667FE35B">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p>
              </w:tc>
              <w:tc>
                <w:tcPr>
                  <w:tcW w:w="266" w:type="pct"/>
                  <w:vMerge w:val="continue"/>
                  <w:tcBorders>
                    <w:left w:val="single" w:color="auto" w:sz="4" w:space="0"/>
                    <w:right w:val="single" w:color="auto" w:sz="4" w:space="0"/>
                    <w:tl2br w:val="nil"/>
                    <w:tr2bl w:val="nil"/>
                  </w:tcBorders>
                  <w:shd w:val="clear" w:color="auto" w:fill="auto"/>
                  <w:noWrap w:val="0"/>
                  <w:vAlign w:val="center"/>
                </w:tcPr>
                <w:p w14:paraId="19A89915">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p>
              </w:tc>
              <w:tc>
                <w:tcPr>
                  <w:tcW w:w="28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F7E71E2">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F26C1D0">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0.219 </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EA1790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0.061 </w:t>
                  </w:r>
                </w:p>
              </w:tc>
              <w:tc>
                <w:tcPr>
                  <w:tcW w:w="590"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2172FD2">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车间封闭，定期洒水抑尘</w:t>
                  </w:r>
                </w:p>
              </w:tc>
              <w:tc>
                <w:tcPr>
                  <w:tcW w:w="2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95EF87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2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69C5E2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0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530B09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29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95E5BA7">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0.219 </w:t>
                  </w:r>
                </w:p>
              </w:tc>
              <w:tc>
                <w:tcPr>
                  <w:tcW w:w="31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BF78AED">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 </w:t>
                  </w:r>
                </w:p>
              </w:tc>
              <w:tc>
                <w:tcPr>
                  <w:tcW w:w="32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7EB6E84">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0.061</w:t>
                  </w:r>
                </w:p>
              </w:tc>
              <w:tc>
                <w:tcPr>
                  <w:tcW w:w="237" w:type="pct"/>
                  <w:vMerge w:val="continue"/>
                  <w:tcBorders>
                    <w:left w:val="single" w:color="auto" w:sz="4" w:space="0"/>
                    <w:bottom w:val="single" w:color="auto" w:sz="4" w:space="0"/>
                    <w:right w:val="single" w:color="auto" w:sz="4" w:space="0"/>
                    <w:tl2br w:val="nil"/>
                    <w:tr2bl w:val="nil"/>
                  </w:tcBorders>
                  <w:noWrap w:val="0"/>
                  <w:vAlign w:val="center"/>
                </w:tcPr>
                <w:p w14:paraId="5DAFB33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p>
              </w:tc>
            </w:tr>
            <w:tr w14:paraId="7DFB8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vMerge w:val="restart"/>
                  <w:tcBorders>
                    <w:left w:val="single" w:color="auto" w:sz="4" w:space="0"/>
                    <w:right w:val="single" w:color="auto" w:sz="4" w:space="0"/>
                    <w:tl2br w:val="nil"/>
                    <w:tr2bl w:val="nil"/>
                  </w:tcBorders>
                  <w:shd w:val="clear" w:color="auto" w:fill="auto"/>
                  <w:noWrap w:val="0"/>
                  <w:vAlign w:val="center"/>
                </w:tcPr>
                <w:p w14:paraId="5FE278B5">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浇铸废气</w:t>
                  </w:r>
                </w:p>
              </w:tc>
              <w:tc>
                <w:tcPr>
                  <w:tcW w:w="338" w:type="pct"/>
                  <w:vMerge w:val="restart"/>
                  <w:tcBorders>
                    <w:top w:val="single" w:color="auto" w:sz="4" w:space="0"/>
                    <w:left w:val="single" w:color="auto" w:sz="4" w:space="0"/>
                    <w:right w:val="single" w:color="auto" w:sz="4" w:space="0"/>
                    <w:tl2br w:val="nil"/>
                    <w:tr2bl w:val="nil"/>
                  </w:tcBorders>
                  <w:shd w:val="clear" w:color="auto" w:fill="auto"/>
                  <w:noWrap w:val="0"/>
                  <w:vAlign w:val="center"/>
                </w:tcPr>
                <w:p w14:paraId="7691CE18">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浇铸设备</w:t>
                  </w:r>
                </w:p>
              </w:tc>
              <w:tc>
                <w:tcPr>
                  <w:tcW w:w="24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4B3A450">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有组织</w:t>
                  </w:r>
                </w:p>
              </w:tc>
              <w:tc>
                <w:tcPr>
                  <w:tcW w:w="313" w:type="pct"/>
                  <w:vMerge w:val="restart"/>
                  <w:tcBorders>
                    <w:top w:val="single" w:color="auto" w:sz="4" w:space="0"/>
                    <w:left w:val="single" w:color="auto" w:sz="4" w:space="0"/>
                    <w:right w:val="single" w:color="auto" w:sz="4" w:space="0"/>
                    <w:tl2br w:val="nil"/>
                    <w:tr2bl w:val="nil"/>
                  </w:tcBorders>
                  <w:shd w:val="clear" w:color="auto" w:fill="auto"/>
                  <w:noWrap w:val="0"/>
                  <w:vAlign w:val="center"/>
                </w:tcPr>
                <w:p w14:paraId="3D097200">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颗粒物</w:t>
                  </w:r>
                </w:p>
              </w:tc>
              <w:tc>
                <w:tcPr>
                  <w:tcW w:w="266" w:type="pct"/>
                  <w:vMerge w:val="restart"/>
                  <w:tcBorders>
                    <w:top w:val="single" w:color="auto" w:sz="4" w:space="0"/>
                    <w:left w:val="single" w:color="auto" w:sz="4" w:space="0"/>
                    <w:right w:val="single" w:color="auto" w:sz="4" w:space="0"/>
                    <w:tl2br w:val="nil"/>
                    <w:tr2bl w:val="nil"/>
                  </w:tcBorders>
                  <w:shd w:val="clear" w:color="auto" w:fill="auto"/>
                  <w:noWrap w:val="0"/>
                  <w:vAlign w:val="center"/>
                </w:tcPr>
                <w:p w14:paraId="60D092B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产污系数法</w:t>
                  </w:r>
                </w:p>
              </w:tc>
              <w:tc>
                <w:tcPr>
                  <w:tcW w:w="28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98DDCA2">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 xml:space="preserve"> </w:t>
                  </w: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1D2C599">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0.463 </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47940A0">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1.112 </w:t>
                  </w:r>
                </w:p>
              </w:tc>
              <w:tc>
                <w:tcPr>
                  <w:tcW w:w="59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F0C0FBA">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集气罩收集+</w:t>
                  </w:r>
                  <w:r>
                    <w:rPr>
                      <w:rFonts w:hint="default" w:ascii="Times New Roman" w:hAnsi="Times New Roman" w:eastAsia="宋体" w:cs="Times New Roman"/>
                      <w:color w:val="auto"/>
                      <w:sz w:val="21"/>
                      <w:szCs w:val="21"/>
                    </w:rPr>
                    <w:t>布袋除尘器</w:t>
                  </w:r>
                </w:p>
              </w:tc>
              <w:tc>
                <w:tcPr>
                  <w:tcW w:w="2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66F6DE1">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90</w:t>
                  </w:r>
                </w:p>
              </w:tc>
              <w:tc>
                <w:tcPr>
                  <w:tcW w:w="32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691CA0D">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50-85</w:t>
                  </w:r>
                </w:p>
              </w:tc>
              <w:tc>
                <w:tcPr>
                  <w:tcW w:w="30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D75731E">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是</w:t>
                  </w:r>
                </w:p>
              </w:tc>
              <w:tc>
                <w:tcPr>
                  <w:tcW w:w="29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785B41C">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0.167</w:t>
                  </w:r>
                </w:p>
              </w:tc>
              <w:tc>
                <w:tcPr>
                  <w:tcW w:w="31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A5A76C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2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5B74B61">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0.410</w:t>
                  </w:r>
                </w:p>
              </w:tc>
              <w:tc>
                <w:tcPr>
                  <w:tcW w:w="237" w:type="pct"/>
                  <w:vMerge w:val="restart"/>
                  <w:tcBorders>
                    <w:top w:val="single" w:color="auto" w:sz="4" w:space="0"/>
                    <w:left w:val="single" w:color="auto" w:sz="4" w:space="0"/>
                    <w:right w:val="single" w:color="auto" w:sz="4" w:space="0"/>
                    <w:tl2br w:val="nil"/>
                    <w:tr2bl w:val="nil"/>
                  </w:tcBorders>
                  <w:noWrap w:val="0"/>
                  <w:vAlign w:val="center"/>
                </w:tcPr>
                <w:p w14:paraId="00E155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2400</w:t>
                  </w:r>
                </w:p>
              </w:tc>
            </w:tr>
            <w:tr w14:paraId="4A2D1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vMerge w:val="continue"/>
                  <w:tcBorders>
                    <w:left w:val="single" w:color="auto" w:sz="4" w:space="0"/>
                    <w:right w:val="single" w:color="auto" w:sz="4" w:space="0"/>
                    <w:tl2br w:val="nil"/>
                    <w:tr2bl w:val="nil"/>
                  </w:tcBorders>
                  <w:shd w:val="clear" w:color="auto" w:fill="auto"/>
                  <w:noWrap w:val="0"/>
                  <w:vAlign w:val="center"/>
                </w:tcPr>
                <w:p w14:paraId="6A42F7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338" w:type="pct"/>
                  <w:vMerge w:val="continue"/>
                  <w:tcBorders>
                    <w:left w:val="single" w:color="auto" w:sz="4" w:space="0"/>
                    <w:bottom w:val="single" w:color="auto" w:sz="4" w:space="0"/>
                    <w:right w:val="single" w:color="auto" w:sz="4" w:space="0"/>
                    <w:tl2br w:val="nil"/>
                    <w:tr2bl w:val="nil"/>
                  </w:tcBorders>
                  <w:shd w:val="clear" w:color="auto" w:fill="auto"/>
                  <w:noWrap w:val="0"/>
                  <w:vAlign w:val="center"/>
                </w:tcPr>
                <w:p w14:paraId="7022B4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lang w:val="en-US" w:eastAsia="zh-CN" w:bidi="ar"/>
                    </w:rPr>
                  </w:pPr>
                </w:p>
              </w:tc>
              <w:tc>
                <w:tcPr>
                  <w:tcW w:w="24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BB4C162">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无组织</w:t>
                  </w:r>
                </w:p>
              </w:tc>
              <w:tc>
                <w:tcPr>
                  <w:tcW w:w="313" w:type="pct"/>
                  <w:vMerge w:val="continue"/>
                  <w:tcBorders>
                    <w:left w:val="single" w:color="auto" w:sz="4" w:space="0"/>
                    <w:right w:val="single" w:color="auto" w:sz="4" w:space="0"/>
                    <w:tl2br w:val="nil"/>
                    <w:tr2bl w:val="nil"/>
                  </w:tcBorders>
                  <w:shd w:val="clear" w:color="auto" w:fill="auto"/>
                  <w:noWrap w:val="0"/>
                  <w:vAlign w:val="center"/>
                </w:tcPr>
                <w:p w14:paraId="2F46186C">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c>
                <w:tcPr>
                  <w:tcW w:w="266" w:type="pct"/>
                  <w:vMerge w:val="continue"/>
                  <w:tcBorders>
                    <w:left w:val="single" w:color="auto" w:sz="4" w:space="0"/>
                    <w:right w:val="single" w:color="auto" w:sz="4" w:space="0"/>
                    <w:tl2br w:val="nil"/>
                    <w:tr2bl w:val="nil"/>
                  </w:tcBorders>
                  <w:shd w:val="clear" w:color="auto" w:fill="auto"/>
                  <w:noWrap w:val="0"/>
                  <w:vAlign w:val="center"/>
                </w:tcPr>
                <w:p w14:paraId="607A249D">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c>
                <w:tcPr>
                  <w:tcW w:w="28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BCE897C">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145D71E">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0.124 </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6C63DCB">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0.051 </w:t>
                  </w:r>
                </w:p>
              </w:tc>
              <w:tc>
                <w:tcPr>
                  <w:tcW w:w="59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907AC87">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车间封闭，定期洒水抑尘</w:t>
                  </w:r>
                </w:p>
              </w:tc>
              <w:tc>
                <w:tcPr>
                  <w:tcW w:w="2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1F8EF4E">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p>
              </w:tc>
              <w:tc>
                <w:tcPr>
                  <w:tcW w:w="32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6863DE1">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p>
              </w:tc>
              <w:tc>
                <w:tcPr>
                  <w:tcW w:w="30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CFF72BA">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29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001F830">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0.124 </w:t>
                  </w:r>
                </w:p>
              </w:tc>
              <w:tc>
                <w:tcPr>
                  <w:tcW w:w="31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126480D">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2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1A7CB7D">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0.051</w:t>
                  </w:r>
                </w:p>
              </w:tc>
              <w:tc>
                <w:tcPr>
                  <w:tcW w:w="237" w:type="pct"/>
                  <w:vMerge w:val="continue"/>
                  <w:tcBorders>
                    <w:left w:val="single" w:color="auto" w:sz="4" w:space="0"/>
                    <w:bottom w:val="single" w:color="auto" w:sz="4" w:space="0"/>
                    <w:right w:val="single" w:color="auto" w:sz="4" w:space="0"/>
                    <w:tl2br w:val="nil"/>
                    <w:tr2bl w:val="nil"/>
                  </w:tcBorders>
                  <w:noWrap w:val="0"/>
                  <w:vAlign w:val="center"/>
                </w:tcPr>
                <w:p w14:paraId="2257E8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rPr>
                  </w:pPr>
                </w:p>
              </w:tc>
            </w:tr>
            <w:tr w14:paraId="50D7A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vMerge w:val="restart"/>
                  <w:tcBorders>
                    <w:left w:val="single" w:color="auto" w:sz="4" w:space="0"/>
                    <w:right w:val="single" w:color="auto" w:sz="4" w:space="0"/>
                    <w:tl2br w:val="nil"/>
                    <w:tr2bl w:val="nil"/>
                  </w:tcBorders>
                  <w:shd w:val="clear" w:color="auto" w:fill="auto"/>
                  <w:noWrap w:val="0"/>
                  <w:vAlign w:val="center"/>
                </w:tcPr>
                <w:p w14:paraId="44BC60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落砂</w:t>
                  </w:r>
                </w:p>
              </w:tc>
              <w:tc>
                <w:tcPr>
                  <w:tcW w:w="338" w:type="pct"/>
                  <w:vMerge w:val="restart"/>
                  <w:tcBorders>
                    <w:left w:val="single" w:color="auto" w:sz="4" w:space="0"/>
                    <w:right w:val="single" w:color="auto" w:sz="4" w:space="0"/>
                    <w:tl2br w:val="nil"/>
                    <w:tr2bl w:val="nil"/>
                  </w:tcBorders>
                  <w:shd w:val="clear" w:color="auto" w:fill="auto"/>
                  <w:noWrap w:val="0"/>
                  <w:vAlign w:val="center"/>
                </w:tcPr>
                <w:p w14:paraId="26A4F1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落砂</w:t>
                  </w:r>
                </w:p>
              </w:tc>
              <w:tc>
                <w:tcPr>
                  <w:tcW w:w="24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B69BC99">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有组织</w:t>
                  </w:r>
                </w:p>
              </w:tc>
              <w:tc>
                <w:tcPr>
                  <w:tcW w:w="313" w:type="pct"/>
                  <w:vMerge w:val="restart"/>
                  <w:tcBorders>
                    <w:left w:val="single" w:color="auto" w:sz="4" w:space="0"/>
                    <w:right w:val="single" w:color="auto" w:sz="4" w:space="0"/>
                    <w:tl2br w:val="nil"/>
                    <w:tr2bl w:val="nil"/>
                  </w:tcBorders>
                  <w:shd w:val="clear" w:color="auto" w:fill="auto"/>
                  <w:noWrap w:val="0"/>
                  <w:vAlign w:val="center"/>
                </w:tcPr>
                <w:p w14:paraId="4374F80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266" w:type="pct"/>
                  <w:vMerge w:val="restart"/>
                  <w:tcBorders>
                    <w:left w:val="single" w:color="auto" w:sz="4" w:space="0"/>
                    <w:right w:val="single" w:color="auto" w:sz="4" w:space="0"/>
                    <w:tl2br w:val="nil"/>
                    <w:tr2bl w:val="nil"/>
                  </w:tcBorders>
                  <w:shd w:val="clear" w:color="auto" w:fill="auto"/>
                  <w:noWrap w:val="0"/>
                  <w:vAlign w:val="center"/>
                </w:tcPr>
                <w:p w14:paraId="558533BA">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产污系数法</w:t>
                  </w:r>
                </w:p>
              </w:tc>
              <w:tc>
                <w:tcPr>
                  <w:tcW w:w="28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134A8E9">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w:t>
                  </w: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1C56CA8">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3.000 </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142BD92">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2.700 </w:t>
                  </w:r>
                </w:p>
              </w:tc>
              <w:tc>
                <w:tcPr>
                  <w:tcW w:w="590"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297BC88">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集气罩收集+</w:t>
                  </w:r>
                  <w:r>
                    <w:rPr>
                      <w:rFonts w:hint="default" w:ascii="Times New Roman" w:hAnsi="Times New Roman" w:eastAsia="宋体" w:cs="Times New Roman"/>
                      <w:color w:val="auto"/>
                      <w:sz w:val="21"/>
                      <w:szCs w:val="21"/>
                    </w:rPr>
                    <w:t>布袋除尘器</w:t>
                  </w:r>
                </w:p>
              </w:tc>
              <w:tc>
                <w:tcPr>
                  <w:tcW w:w="2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33D79E1">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90</w:t>
                  </w:r>
                </w:p>
              </w:tc>
              <w:tc>
                <w:tcPr>
                  <w:tcW w:w="32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91BB0B5">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85</w:t>
                  </w:r>
                </w:p>
              </w:tc>
              <w:tc>
                <w:tcPr>
                  <w:tcW w:w="30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AEEE9FB">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是</w:t>
                  </w:r>
                </w:p>
              </w:tc>
              <w:tc>
                <w:tcPr>
                  <w:tcW w:w="29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E6DE410">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405</w:t>
                  </w:r>
                  <w:r>
                    <w:rPr>
                      <w:rFonts w:hint="default" w:ascii="Times New Roman" w:hAnsi="Times New Roman" w:eastAsia="宋体" w:cs="Times New Roman"/>
                      <w:color w:val="auto"/>
                      <w:sz w:val="21"/>
                      <w:szCs w:val="21"/>
                      <w:lang w:val="en-US" w:eastAsia="zh-CN"/>
                    </w:rPr>
                    <w:t xml:space="preserve"> </w:t>
                  </w:r>
                </w:p>
              </w:tc>
              <w:tc>
                <w:tcPr>
                  <w:tcW w:w="31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025E8E7">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w:t>
                  </w:r>
                </w:p>
              </w:tc>
              <w:tc>
                <w:tcPr>
                  <w:tcW w:w="32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9A4371E">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0.450</w:t>
                  </w:r>
                </w:p>
              </w:tc>
              <w:tc>
                <w:tcPr>
                  <w:tcW w:w="237" w:type="pct"/>
                  <w:vMerge w:val="restart"/>
                  <w:tcBorders>
                    <w:left w:val="single" w:color="auto" w:sz="4" w:space="0"/>
                    <w:right w:val="single" w:color="auto" w:sz="4" w:space="0"/>
                    <w:tl2br w:val="nil"/>
                    <w:tr2bl w:val="nil"/>
                  </w:tcBorders>
                  <w:noWrap w:val="0"/>
                  <w:vAlign w:val="center"/>
                </w:tcPr>
                <w:p w14:paraId="4F8DF8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900</w:t>
                  </w:r>
                </w:p>
              </w:tc>
            </w:tr>
            <w:tr w14:paraId="00F1B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vMerge w:val="continue"/>
                  <w:tcBorders>
                    <w:left w:val="single" w:color="auto" w:sz="4" w:space="0"/>
                    <w:right w:val="single" w:color="auto" w:sz="4" w:space="0"/>
                    <w:tl2br w:val="nil"/>
                    <w:tr2bl w:val="nil"/>
                  </w:tcBorders>
                  <w:shd w:val="clear" w:color="auto" w:fill="auto"/>
                  <w:noWrap w:val="0"/>
                  <w:vAlign w:val="center"/>
                </w:tcPr>
                <w:p w14:paraId="4C8DB9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338" w:type="pct"/>
                  <w:vMerge w:val="continue"/>
                  <w:tcBorders>
                    <w:left w:val="single" w:color="auto" w:sz="4" w:space="0"/>
                    <w:bottom w:val="single" w:color="auto" w:sz="4" w:space="0"/>
                    <w:right w:val="single" w:color="auto" w:sz="4" w:space="0"/>
                    <w:tl2br w:val="nil"/>
                    <w:tr2bl w:val="nil"/>
                  </w:tcBorders>
                  <w:shd w:val="clear" w:color="auto" w:fill="auto"/>
                  <w:noWrap w:val="0"/>
                  <w:vAlign w:val="center"/>
                </w:tcPr>
                <w:p w14:paraId="504621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lang w:val="en-US" w:eastAsia="zh-CN" w:bidi="ar"/>
                    </w:rPr>
                  </w:pPr>
                </w:p>
              </w:tc>
              <w:tc>
                <w:tcPr>
                  <w:tcW w:w="24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2ACB870">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无组织</w:t>
                  </w:r>
                </w:p>
              </w:tc>
              <w:tc>
                <w:tcPr>
                  <w:tcW w:w="313" w:type="pct"/>
                  <w:vMerge w:val="continue"/>
                  <w:tcBorders>
                    <w:left w:val="single" w:color="auto" w:sz="4" w:space="0"/>
                    <w:right w:val="single" w:color="auto" w:sz="4" w:space="0"/>
                    <w:tl2br w:val="nil"/>
                    <w:tr2bl w:val="nil"/>
                  </w:tcBorders>
                  <w:shd w:val="clear" w:color="auto" w:fill="auto"/>
                  <w:noWrap w:val="0"/>
                  <w:vAlign w:val="center"/>
                </w:tcPr>
                <w:p w14:paraId="2F7BC2B7">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c>
                <w:tcPr>
                  <w:tcW w:w="266" w:type="pct"/>
                  <w:vMerge w:val="continue"/>
                  <w:tcBorders>
                    <w:left w:val="single" w:color="auto" w:sz="4" w:space="0"/>
                    <w:right w:val="single" w:color="auto" w:sz="4" w:space="0"/>
                    <w:tl2br w:val="nil"/>
                    <w:tr2bl w:val="nil"/>
                  </w:tcBorders>
                  <w:shd w:val="clear" w:color="auto" w:fill="auto"/>
                  <w:noWrap w:val="0"/>
                  <w:vAlign w:val="center"/>
                </w:tcPr>
                <w:p w14:paraId="67BF59DC">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c>
                <w:tcPr>
                  <w:tcW w:w="28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E105462">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w:t>
                  </w: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E6555E9">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0.300 </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695957B">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0.333 </w:t>
                  </w:r>
                </w:p>
              </w:tc>
              <w:tc>
                <w:tcPr>
                  <w:tcW w:w="590"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59E3908">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车间封闭，定期洒水抑尘</w:t>
                  </w:r>
                </w:p>
              </w:tc>
              <w:tc>
                <w:tcPr>
                  <w:tcW w:w="2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6625981">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w:t>
                  </w:r>
                </w:p>
              </w:tc>
              <w:tc>
                <w:tcPr>
                  <w:tcW w:w="32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F071EE5">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w:t>
                  </w:r>
                </w:p>
              </w:tc>
              <w:tc>
                <w:tcPr>
                  <w:tcW w:w="30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69709A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w:t>
                  </w:r>
                </w:p>
              </w:tc>
              <w:tc>
                <w:tcPr>
                  <w:tcW w:w="29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C7D6664">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 xml:space="preserve">0.300 </w:t>
                  </w:r>
                </w:p>
              </w:tc>
              <w:tc>
                <w:tcPr>
                  <w:tcW w:w="31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08BCFB4">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w:t>
                  </w:r>
                </w:p>
              </w:tc>
              <w:tc>
                <w:tcPr>
                  <w:tcW w:w="32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10ED333">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0.333</w:t>
                  </w:r>
                </w:p>
              </w:tc>
              <w:tc>
                <w:tcPr>
                  <w:tcW w:w="237" w:type="pct"/>
                  <w:vMerge w:val="continue"/>
                  <w:tcBorders>
                    <w:left w:val="single" w:color="auto" w:sz="4" w:space="0"/>
                    <w:bottom w:val="single" w:color="auto" w:sz="4" w:space="0"/>
                    <w:right w:val="single" w:color="auto" w:sz="4" w:space="0"/>
                    <w:tl2br w:val="nil"/>
                    <w:tr2bl w:val="nil"/>
                  </w:tcBorders>
                  <w:noWrap w:val="0"/>
                  <w:vAlign w:val="center"/>
                </w:tcPr>
                <w:p w14:paraId="3E8574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rPr>
                  </w:pPr>
                </w:p>
              </w:tc>
            </w:tr>
            <w:tr w14:paraId="73B82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vMerge w:val="restart"/>
                  <w:tcBorders>
                    <w:left w:val="single" w:color="auto" w:sz="4" w:space="0"/>
                    <w:right w:val="single" w:color="auto" w:sz="4" w:space="0"/>
                    <w:tl2br w:val="nil"/>
                    <w:tr2bl w:val="nil"/>
                  </w:tcBorders>
                  <w:shd w:val="clear" w:color="auto" w:fill="auto"/>
                  <w:noWrap w:val="0"/>
                  <w:vAlign w:val="center"/>
                </w:tcPr>
                <w:p w14:paraId="0400E0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球冒分离</w:t>
                  </w:r>
                </w:p>
              </w:tc>
              <w:tc>
                <w:tcPr>
                  <w:tcW w:w="338" w:type="pct"/>
                  <w:vMerge w:val="restart"/>
                  <w:tcBorders>
                    <w:left w:val="single" w:color="auto" w:sz="4" w:space="0"/>
                    <w:right w:val="single" w:color="auto" w:sz="4" w:space="0"/>
                    <w:tl2br w:val="nil"/>
                    <w:tr2bl w:val="nil"/>
                  </w:tcBorders>
                  <w:shd w:val="clear" w:color="auto" w:fill="auto"/>
                  <w:noWrap w:val="0"/>
                  <w:vAlign w:val="center"/>
                </w:tcPr>
                <w:p w14:paraId="1C7AB1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挑球器</w:t>
                  </w:r>
                </w:p>
              </w:tc>
              <w:tc>
                <w:tcPr>
                  <w:tcW w:w="24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22B1D3B">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有组织</w:t>
                  </w:r>
                </w:p>
              </w:tc>
              <w:tc>
                <w:tcPr>
                  <w:tcW w:w="313" w:type="pct"/>
                  <w:vMerge w:val="restart"/>
                  <w:tcBorders>
                    <w:left w:val="single" w:color="auto" w:sz="4" w:space="0"/>
                    <w:right w:val="single" w:color="auto" w:sz="4" w:space="0"/>
                    <w:tl2br w:val="nil"/>
                    <w:tr2bl w:val="nil"/>
                  </w:tcBorders>
                  <w:shd w:val="clear" w:color="auto" w:fill="auto"/>
                  <w:noWrap w:val="0"/>
                  <w:vAlign w:val="center"/>
                </w:tcPr>
                <w:p w14:paraId="40DFED31">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266" w:type="pct"/>
                  <w:vMerge w:val="restart"/>
                  <w:tcBorders>
                    <w:left w:val="single" w:color="auto" w:sz="4" w:space="0"/>
                    <w:right w:val="single" w:color="auto" w:sz="4" w:space="0"/>
                    <w:tl2br w:val="nil"/>
                    <w:tr2bl w:val="nil"/>
                  </w:tcBorders>
                  <w:shd w:val="clear" w:color="auto" w:fill="auto"/>
                  <w:noWrap w:val="0"/>
                  <w:vAlign w:val="center"/>
                </w:tcPr>
                <w:p w14:paraId="78E91791">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产污系数法</w:t>
                  </w:r>
                </w:p>
              </w:tc>
              <w:tc>
                <w:tcPr>
                  <w:tcW w:w="28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65D6445">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w:t>
                  </w: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456CFF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0.400 </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C544CFD">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0.360 </w:t>
                  </w:r>
                </w:p>
              </w:tc>
              <w:tc>
                <w:tcPr>
                  <w:tcW w:w="590"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0EFF49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集气罩收集+</w:t>
                  </w:r>
                  <w:r>
                    <w:rPr>
                      <w:rFonts w:hint="default" w:ascii="Times New Roman" w:hAnsi="Times New Roman" w:eastAsia="宋体" w:cs="Times New Roman"/>
                      <w:color w:val="auto"/>
                      <w:sz w:val="21"/>
                      <w:szCs w:val="21"/>
                    </w:rPr>
                    <w:t>布袋除尘器</w:t>
                  </w:r>
                </w:p>
              </w:tc>
              <w:tc>
                <w:tcPr>
                  <w:tcW w:w="2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1EF9F14">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90</w:t>
                  </w:r>
                </w:p>
              </w:tc>
              <w:tc>
                <w:tcPr>
                  <w:tcW w:w="32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45C0E68">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85</w:t>
                  </w:r>
                </w:p>
              </w:tc>
              <w:tc>
                <w:tcPr>
                  <w:tcW w:w="30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BF8A1FA">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是</w:t>
                  </w:r>
                </w:p>
              </w:tc>
              <w:tc>
                <w:tcPr>
                  <w:tcW w:w="29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6FC228B">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0.054</w:t>
                  </w:r>
                </w:p>
              </w:tc>
              <w:tc>
                <w:tcPr>
                  <w:tcW w:w="31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E83C8E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bidi="ar-SA"/>
                    </w:rPr>
                  </w:pPr>
                  <w:r>
                    <w:rPr>
                      <w:rFonts w:hint="eastAsia" w:ascii="Times New Roman" w:hAnsi="Times New Roman" w:eastAsia="宋体" w:cs="Times New Roman"/>
                      <w:i w:val="0"/>
                      <w:iCs w:val="0"/>
                      <w:color w:val="auto"/>
                      <w:sz w:val="21"/>
                      <w:szCs w:val="21"/>
                      <w:u w:val="none"/>
                      <w:lang w:val="en-US" w:eastAsia="zh-CN" w:bidi="ar-SA"/>
                    </w:rPr>
                    <w:t>/</w:t>
                  </w:r>
                </w:p>
              </w:tc>
              <w:tc>
                <w:tcPr>
                  <w:tcW w:w="32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6E258C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0.060</w:t>
                  </w:r>
                </w:p>
              </w:tc>
              <w:tc>
                <w:tcPr>
                  <w:tcW w:w="237" w:type="pct"/>
                  <w:vMerge w:val="restart"/>
                  <w:tcBorders>
                    <w:left w:val="single" w:color="auto" w:sz="4" w:space="0"/>
                    <w:right w:val="single" w:color="auto" w:sz="4" w:space="0"/>
                    <w:tl2br w:val="nil"/>
                    <w:tr2bl w:val="nil"/>
                  </w:tcBorders>
                  <w:noWrap w:val="0"/>
                  <w:vAlign w:val="center"/>
                </w:tcPr>
                <w:p w14:paraId="508346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900</w:t>
                  </w:r>
                </w:p>
              </w:tc>
            </w:tr>
            <w:tr w14:paraId="0359E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vMerge w:val="continue"/>
                  <w:tcBorders>
                    <w:left w:val="single" w:color="auto" w:sz="4" w:space="0"/>
                    <w:right w:val="single" w:color="auto" w:sz="4" w:space="0"/>
                    <w:tl2br w:val="nil"/>
                    <w:tr2bl w:val="nil"/>
                  </w:tcBorders>
                  <w:shd w:val="clear" w:color="auto" w:fill="auto"/>
                  <w:noWrap w:val="0"/>
                  <w:vAlign w:val="center"/>
                </w:tcPr>
                <w:p w14:paraId="748A67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338" w:type="pct"/>
                  <w:vMerge w:val="continue"/>
                  <w:tcBorders>
                    <w:left w:val="single" w:color="auto" w:sz="4" w:space="0"/>
                    <w:bottom w:val="single" w:color="auto" w:sz="4" w:space="0"/>
                    <w:right w:val="single" w:color="auto" w:sz="4" w:space="0"/>
                    <w:tl2br w:val="nil"/>
                    <w:tr2bl w:val="nil"/>
                  </w:tcBorders>
                  <w:shd w:val="clear" w:color="auto" w:fill="auto"/>
                  <w:noWrap w:val="0"/>
                  <w:vAlign w:val="center"/>
                </w:tcPr>
                <w:p w14:paraId="00E247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lang w:val="en-US" w:eastAsia="zh-CN" w:bidi="ar"/>
                    </w:rPr>
                  </w:pPr>
                </w:p>
              </w:tc>
              <w:tc>
                <w:tcPr>
                  <w:tcW w:w="24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B62EFEE">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无组织</w:t>
                  </w:r>
                </w:p>
              </w:tc>
              <w:tc>
                <w:tcPr>
                  <w:tcW w:w="313" w:type="pct"/>
                  <w:vMerge w:val="continue"/>
                  <w:tcBorders>
                    <w:left w:val="single" w:color="auto" w:sz="4" w:space="0"/>
                    <w:right w:val="single" w:color="auto" w:sz="4" w:space="0"/>
                    <w:tl2br w:val="nil"/>
                    <w:tr2bl w:val="nil"/>
                  </w:tcBorders>
                  <w:shd w:val="clear" w:color="auto" w:fill="auto"/>
                  <w:noWrap w:val="0"/>
                  <w:vAlign w:val="center"/>
                </w:tcPr>
                <w:p w14:paraId="3F133779">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c>
                <w:tcPr>
                  <w:tcW w:w="266" w:type="pct"/>
                  <w:vMerge w:val="continue"/>
                  <w:tcBorders>
                    <w:left w:val="single" w:color="auto" w:sz="4" w:space="0"/>
                    <w:right w:val="single" w:color="auto" w:sz="4" w:space="0"/>
                    <w:tl2br w:val="nil"/>
                    <w:tr2bl w:val="nil"/>
                  </w:tcBorders>
                  <w:shd w:val="clear" w:color="auto" w:fill="auto"/>
                  <w:noWrap w:val="0"/>
                  <w:vAlign w:val="center"/>
                </w:tcPr>
                <w:p w14:paraId="17F41D17">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c>
                <w:tcPr>
                  <w:tcW w:w="28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1BBED09">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w:t>
                  </w: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E3A842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0.040 </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ADF031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0.044 </w:t>
                  </w:r>
                </w:p>
              </w:tc>
              <w:tc>
                <w:tcPr>
                  <w:tcW w:w="590"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0B58C6D">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车间封闭，定期洒水抑尘</w:t>
                  </w:r>
                </w:p>
              </w:tc>
              <w:tc>
                <w:tcPr>
                  <w:tcW w:w="2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EDE0180">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w:t>
                  </w:r>
                </w:p>
              </w:tc>
              <w:tc>
                <w:tcPr>
                  <w:tcW w:w="32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C65BFFD">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w:t>
                  </w:r>
                </w:p>
              </w:tc>
              <w:tc>
                <w:tcPr>
                  <w:tcW w:w="30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7D6A281">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w:t>
                  </w:r>
                </w:p>
              </w:tc>
              <w:tc>
                <w:tcPr>
                  <w:tcW w:w="29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594A0E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 xml:space="preserve">0.040 </w:t>
                  </w:r>
                </w:p>
              </w:tc>
              <w:tc>
                <w:tcPr>
                  <w:tcW w:w="31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2914FE5">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w:t>
                  </w:r>
                </w:p>
              </w:tc>
              <w:tc>
                <w:tcPr>
                  <w:tcW w:w="32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8EC680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0.044</w:t>
                  </w:r>
                </w:p>
              </w:tc>
              <w:tc>
                <w:tcPr>
                  <w:tcW w:w="237" w:type="pct"/>
                  <w:vMerge w:val="continue"/>
                  <w:tcBorders>
                    <w:left w:val="single" w:color="auto" w:sz="4" w:space="0"/>
                    <w:bottom w:val="single" w:color="auto" w:sz="4" w:space="0"/>
                    <w:right w:val="single" w:color="auto" w:sz="4" w:space="0"/>
                    <w:tl2br w:val="nil"/>
                    <w:tr2bl w:val="nil"/>
                  </w:tcBorders>
                  <w:noWrap w:val="0"/>
                  <w:vAlign w:val="center"/>
                </w:tcPr>
                <w:p w14:paraId="212EDE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rPr>
                  </w:pPr>
                </w:p>
              </w:tc>
            </w:tr>
            <w:tr w14:paraId="4A4FB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vMerge w:val="restart"/>
                  <w:tcBorders>
                    <w:left w:val="single" w:color="auto" w:sz="4" w:space="0"/>
                    <w:right w:val="single" w:color="auto" w:sz="4" w:space="0"/>
                    <w:tl2br w:val="nil"/>
                    <w:tr2bl w:val="nil"/>
                  </w:tcBorders>
                  <w:shd w:val="clear" w:color="auto" w:fill="auto"/>
                  <w:noWrap w:val="0"/>
                  <w:vAlign w:val="center"/>
                </w:tcPr>
                <w:p w14:paraId="74C8E2F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淬火</w:t>
                  </w:r>
                </w:p>
              </w:tc>
              <w:tc>
                <w:tcPr>
                  <w:tcW w:w="338" w:type="pct"/>
                  <w:vMerge w:val="restart"/>
                  <w:tcBorders>
                    <w:top w:val="single" w:color="auto" w:sz="4" w:space="0"/>
                    <w:left w:val="single" w:color="auto" w:sz="4" w:space="0"/>
                    <w:right w:val="single" w:color="auto" w:sz="4" w:space="0"/>
                    <w:tl2br w:val="nil"/>
                    <w:tr2bl w:val="nil"/>
                  </w:tcBorders>
                  <w:shd w:val="clear" w:color="auto" w:fill="auto"/>
                  <w:noWrap w:val="0"/>
                  <w:vAlign w:val="center"/>
                </w:tcPr>
                <w:p w14:paraId="3E076D04">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淬火槽</w:t>
                  </w:r>
                  <w:r>
                    <w:rPr>
                      <w:rFonts w:hint="eastAsia" w:ascii="Times New Roman" w:hAnsi="Times New Roman" w:eastAsia="宋体" w:cs="Times New Roman"/>
                      <w:i w:val="0"/>
                      <w:iCs w:val="0"/>
                      <w:color w:val="auto"/>
                      <w:kern w:val="0"/>
                      <w:sz w:val="21"/>
                      <w:szCs w:val="21"/>
                      <w:u w:val="none"/>
                      <w:lang w:val="en-US" w:eastAsia="zh-CN" w:bidi="ar"/>
                    </w:rPr>
                    <w:t>回火炉</w:t>
                  </w:r>
                </w:p>
              </w:tc>
              <w:tc>
                <w:tcPr>
                  <w:tcW w:w="24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335BEE7">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有组织</w:t>
                  </w:r>
                </w:p>
              </w:tc>
              <w:tc>
                <w:tcPr>
                  <w:tcW w:w="313" w:type="pct"/>
                  <w:vMerge w:val="restart"/>
                  <w:tcBorders>
                    <w:top w:val="single" w:color="auto" w:sz="4" w:space="0"/>
                    <w:left w:val="single" w:color="auto" w:sz="4" w:space="0"/>
                    <w:right w:val="single" w:color="auto" w:sz="4" w:space="0"/>
                    <w:tl2br w:val="nil"/>
                    <w:tr2bl w:val="nil"/>
                  </w:tcBorders>
                  <w:shd w:val="clear" w:color="auto" w:fill="auto"/>
                  <w:noWrap w:val="0"/>
                  <w:vAlign w:val="center"/>
                </w:tcPr>
                <w:p w14:paraId="40B97204">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颗粒物</w:t>
                  </w:r>
                </w:p>
              </w:tc>
              <w:tc>
                <w:tcPr>
                  <w:tcW w:w="266" w:type="pct"/>
                  <w:vMerge w:val="restart"/>
                  <w:tcBorders>
                    <w:top w:val="single" w:color="auto" w:sz="4" w:space="0"/>
                    <w:left w:val="single" w:color="auto" w:sz="4" w:space="0"/>
                    <w:right w:val="single" w:color="auto" w:sz="4" w:space="0"/>
                    <w:tl2br w:val="nil"/>
                    <w:tr2bl w:val="nil"/>
                  </w:tcBorders>
                  <w:shd w:val="clear" w:color="auto" w:fill="auto"/>
                  <w:noWrap w:val="0"/>
                  <w:vAlign w:val="center"/>
                </w:tcPr>
                <w:p w14:paraId="3DD72DB7">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产污系数法</w:t>
                  </w:r>
                </w:p>
              </w:tc>
              <w:tc>
                <w:tcPr>
                  <w:tcW w:w="28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F4FB682">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200.00 </w:t>
                  </w: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96A3273">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0.600 </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A8E65BD">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0.360 </w:t>
                  </w:r>
                </w:p>
              </w:tc>
              <w:tc>
                <w:tcPr>
                  <w:tcW w:w="590"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20EF09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集气罩收集+油雾净化器</w:t>
                  </w:r>
                </w:p>
              </w:tc>
              <w:tc>
                <w:tcPr>
                  <w:tcW w:w="2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9FA8CD5">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w:t>
                  </w:r>
                </w:p>
              </w:tc>
              <w:tc>
                <w:tcPr>
                  <w:tcW w:w="32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E3C250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w:t>
                  </w:r>
                </w:p>
              </w:tc>
              <w:tc>
                <w:tcPr>
                  <w:tcW w:w="30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053441A">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是</w:t>
                  </w:r>
                </w:p>
              </w:tc>
              <w:tc>
                <w:tcPr>
                  <w:tcW w:w="29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17FD79B">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0.036 </w:t>
                  </w:r>
                </w:p>
              </w:tc>
              <w:tc>
                <w:tcPr>
                  <w:tcW w:w="31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4FFB501">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2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A1D75B0">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 xml:space="preserve"> </w:t>
                  </w:r>
                </w:p>
              </w:tc>
              <w:tc>
                <w:tcPr>
                  <w:tcW w:w="237" w:type="pct"/>
                  <w:vMerge w:val="restart"/>
                  <w:tcBorders>
                    <w:top w:val="single" w:color="auto" w:sz="4" w:space="0"/>
                    <w:left w:val="single" w:color="auto" w:sz="4" w:space="0"/>
                    <w:right w:val="single" w:color="auto" w:sz="4" w:space="0"/>
                    <w:tl2br w:val="nil"/>
                    <w:tr2bl w:val="nil"/>
                  </w:tcBorders>
                  <w:noWrap w:val="0"/>
                  <w:vAlign w:val="center"/>
                </w:tcPr>
                <w:p w14:paraId="106F6E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600</w:t>
                  </w:r>
                </w:p>
              </w:tc>
            </w:tr>
            <w:tr w14:paraId="391C5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vMerge w:val="continue"/>
                  <w:tcBorders>
                    <w:left w:val="single" w:color="auto" w:sz="4" w:space="0"/>
                    <w:right w:val="single" w:color="auto" w:sz="4" w:space="0"/>
                    <w:tl2br w:val="nil"/>
                    <w:tr2bl w:val="nil"/>
                  </w:tcBorders>
                  <w:shd w:val="clear" w:color="auto" w:fill="auto"/>
                  <w:noWrap w:val="0"/>
                  <w:vAlign w:val="center"/>
                </w:tcPr>
                <w:p w14:paraId="174AF838">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c>
                <w:tcPr>
                  <w:tcW w:w="338" w:type="pct"/>
                  <w:vMerge w:val="continue"/>
                  <w:tcBorders>
                    <w:left w:val="single" w:color="auto" w:sz="4" w:space="0"/>
                    <w:right w:val="single" w:color="auto" w:sz="4" w:space="0"/>
                    <w:tl2br w:val="nil"/>
                    <w:tr2bl w:val="nil"/>
                  </w:tcBorders>
                  <w:shd w:val="clear" w:color="auto" w:fill="auto"/>
                  <w:noWrap w:val="0"/>
                  <w:vAlign w:val="center"/>
                </w:tcPr>
                <w:p w14:paraId="7368DDC0">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c>
                <w:tcPr>
                  <w:tcW w:w="24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F08803A">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无组织</w:t>
                  </w:r>
                </w:p>
              </w:tc>
              <w:tc>
                <w:tcPr>
                  <w:tcW w:w="313" w:type="pct"/>
                  <w:vMerge w:val="continue"/>
                  <w:tcBorders>
                    <w:left w:val="single" w:color="auto" w:sz="4" w:space="0"/>
                    <w:right w:val="single" w:color="auto" w:sz="4" w:space="0"/>
                    <w:tl2br w:val="nil"/>
                    <w:tr2bl w:val="nil"/>
                  </w:tcBorders>
                  <w:noWrap w:val="0"/>
                  <w:vAlign w:val="center"/>
                </w:tcPr>
                <w:p w14:paraId="56ADD0AC">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c>
                <w:tcPr>
                  <w:tcW w:w="266" w:type="pct"/>
                  <w:vMerge w:val="continue"/>
                  <w:tcBorders>
                    <w:left w:val="single" w:color="auto" w:sz="4" w:space="0"/>
                    <w:right w:val="single" w:color="auto" w:sz="4" w:space="0"/>
                    <w:tl2br w:val="nil"/>
                    <w:tr2bl w:val="nil"/>
                  </w:tcBorders>
                  <w:noWrap w:val="0"/>
                  <w:vAlign w:val="center"/>
                </w:tcPr>
                <w:p w14:paraId="63B1DE92">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c>
                <w:tcPr>
                  <w:tcW w:w="28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9971ED7">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B594CB5">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0.040 </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03F402E">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0.067 </w:t>
                  </w:r>
                </w:p>
              </w:tc>
              <w:tc>
                <w:tcPr>
                  <w:tcW w:w="590"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04D0249">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车间封闭，定期洒水抑尘</w:t>
                  </w:r>
                </w:p>
              </w:tc>
              <w:tc>
                <w:tcPr>
                  <w:tcW w:w="2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723EA1B">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2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0CA286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0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652F3FE">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29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6F7EB2C">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0.040 </w:t>
                  </w:r>
                </w:p>
              </w:tc>
              <w:tc>
                <w:tcPr>
                  <w:tcW w:w="31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A715A89">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2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1F7EB9E">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0.067</w:t>
                  </w:r>
                </w:p>
              </w:tc>
              <w:tc>
                <w:tcPr>
                  <w:tcW w:w="237" w:type="pct"/>
                  <w:vMerge w:val="continue"/>
                  <w:tcBorders>
                    <w:left w:val="single" w:color="auto" w:sz="4" w:space="0"/>
                    <w:right w:val="single" w:color="auto" w:sz="4" w:space="0"/>
                    <w:tl2br w:val="nil"/>
                    <w:tr2bl w:val="nil"/>
                  </w:tcBorders>
                  <w:noWrap w:val="0"/>
                  <w:vAlign w:val="center"/>
                </w:tcPr>
                <w:p w14:paraId="6B978C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rPr>
                  </w:pPr>
                </w:p>
              </w:tc>
            </w:tr>
            <w:tr w14:paraId="3787D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vMerge w:val="continue"/>
                  <w:tcBorders>
                    <w:left w:val="single" w:color="auto" w:sz="4" w:space="0"/>
                    <w:right w:val="single" w:color="auto" w:sz="4" w:space="0"/>
                    <w:tl2br w:val="nil"/>
                    <w:tr2bl w:val="nil"/>
                  </w:tcBorders>
                  <w:shd w:val="clear" w:color="auto" w:fill="auto"/>
                  <w:noWrap w:val="0"/>
                  <w:vAlign w:val="center"/>
                </w:tcPr>
                <w:p w14:paraId="5CB72E59">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c>
                <w:tcPr>
                  <w:tcW w:w="338" w:type="pct"/>
                  <w:vMerge w:val="continue"/>
                  <w:tcBorders>
                    <w:left w:val="single" w:color="auto" w:sz="4" w:space="0"/>
                    <w:right w:val="single" w:color="auto" w:sz="4" w:space="0"/>
                    <w:tl2br w:val="nil"/>
                    <w:tr2bl w:val="nil"/>
                  </w:tcBorders>
                  <w:shd w:val="clear" w:color="auto" w:fill="auto"/>
                  <w:noWrap w:val="0"/>
                  <w:vAlign w:val="center"/>
                </w:tcPr>
                <w:p w14:paraId="7C1415B4">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c>
                <w:tcPr>
                  <w:tcW w:w="24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17A4057">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有组织</w:t>
                  </w:r>
                </w:p>
              </w:tc>
              <w:tc>
                <w:tcPr>
                  <w:tcW w:w="313" w:type="pct"/>
                  <w:vMerge w:val="restart"/>
                  <w:tcBorders>
                    <w:left w:val="single" w:color="auto" w:sz="4" w:space="0"/>
                    <w:right w:val="single" w:color="auto" w:sz="4" w:space="0"/>
                    <w:tl2br w:val="nil"/>
                    <w:tr2bl w:val="nil"/>
                  </w:tcBorders>
                  <w:noWrap w:val="0"/>
                  <w:vAlign w:val="center"/>
                </w:tcPr>
                <w:p w14:paraId="01D62FD1">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非甲烷总烃</w:t>
                  </w:r>
                </w:p>
              </w:tc>
              <w:tc>
                <w:tcPr>
                  <w:tcW w:w="266" w:type="pct"/>
                  <w:vMerge w:val="restart"/>
                  <w:tcBorders>
                    <w:left w:val="single" w:color="auto" w:sz="4" w:space="0"/>
                    <w:right w:val="single" w:color="auto" w:sz="4" w:space="0"/>
                    <w:tl2br w:val="nil"/>
                    <w:tr2bl w:val="nil"/>
                  </w:tcBorders>
                  <w:noWrap w:val="0"/>
                  <w:vAlign w:val="center"/>
                </w:tcPr>
                <w:p w14:paraId="32C60260">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产污系数法</w:t>
                  </w:r>
                </w:p>
              </w:tc>
              <w:tc>
                <w:tcPr>
                  <w:tcW w:w="28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3D4C2B7">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0.01 </w:t>
                  </w: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11ED755">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0.00003 </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CBCE929">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0.00002 </w:t>
                  </w:r>
                </w:p>
              </w:tc>
              <w:tc>
                <w:tcPr>
                  <w:tcW w:w="590"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C7C96C6">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集气罩收集+油雾净化器</w:t>
                  </w:r>
                </w:p>
              </w:tc>
              <w:tc>
                <w:tcPr>
                  <w:tcW w:w="2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348E6CE">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2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F1727B7">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0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277C450">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29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A779B34">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0.00002 </w:t>
                  </w:r>
                </w:p>
              </w:tc>
              <w:tc>
                <w:tcPr>
                  <w:tcW w:w="31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A3715B2">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2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B9D17D7">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 xml:space="preserve"> </w:t>
                  </w:r>
                </w:p>
              </w:tc>
              <w:tc>
                <w:tcPr>
                  <w:tcW w:w="237" w:type="pct"/>
                  <w:vMerge w:val="continue"/>
                  <w:tcBorders>
                    <w:left w:val="single" w:color="auto" w:sz="4" w:space="0"/>
                    <w:right w:val="single" w:color="auto" w:sz="4" w:space="0"/>
                    <w:tl2br w:val="nil"/>
                    <w:tr2bl w:val="nil"/>
                  </w:tcBorders>
                  <w:noWrap w:val="0"/>
                  <w:vAlign w:val="center"/>
                </w:tcPr>
                <w:p w14:paraId="7DF26E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rPr>
                  </w:pPr>
                </w:p>
              </w:tc>
            </w:tr>
            <w:tr w14:paraId="40513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vMerge w:val="continue"/>
                  <w:tcBorders>
                    <w:left w:val="single" w:color="auto" w:sz="4" w:space="0"/>
                    <w:bottom w:val="single" w:color="auto" w:sz="4" w:space="0"/>
                    <w:right w:val="single" w:color="auto" w:sz="4" w:space="0"/>
                    <w:tl2br w:val="nil"/>
                    <w:tr2bl w:val="nil"/>
                  </w:tcBorders>
                  <w:shd w:val="clear" w:color="auto" w:fill="auto"/>
                  <w:noWrap w:val="0"/>
                  <w:vAlign w:val="center"/>
                </w:tcPr>
                <w:p w14:paraId="51CA2943">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c>
                <w:tcPr>
                  <w:tcW w:w="338" w:type="pct"/>
                  <w:vMerge w:val="continue"/>
                  <w:tcBorders>
                    <w:left w:val="single" w:color="auto" w:sz="4" w:space="0"/>
                    <w:bottom w:val="single" w:color="auto" w:sz="4" w:space="0"/>
                    <w:right w:val="single" w:color="auto" w:sz="4" w:space="0"/>
                    <w:tl2br w:val="nil"/>
                    <w:tr2bl w:val="nil"/>
                  </w:tcBorders>
                  <w:shd w:val="clear" w:color="auto" w:fill="auto"/>
                  <w:noWrap w:val="0"/>
                  <w:vAlign w:val="center"/>
                </w:tcPr>
                <w:p w14:paraId="7F5A7694">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c>
                <w:tcPr>
                  <w:tcW w:w="24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4B407E1">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无组织</w:t>
                  </w:r>
                </w:p>
              </w:tc>
              <w:tc>
                <w:tcPr>
                  <w:tcW w:w="313" w:type="pct"/>
                  <w:vMerge w:val="continue"/>
                  <w:tcBorders>
                    <w:left w:val="single" w:color="auto" w:sz="4" w:space="0"/>
                    <w:bottom w:val="single" w:color="auto" w:sz="4" w:space="0"/>
                    <w:right w:val="single" w:color="auto" w:sz="4" w:space="0"/>
                    <w:tl2br w:val="nil"/>
                    <w:tr2bl w:val="nil"/>
                  </w:tcBorders>
                  <w:noWrap w:val="0"/>
                  <w:vAlign w:val="center"/>
                </w:tcPr>
                <w:p w14:paraId="6B817733">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c>
                <w:tcPr>
                  <w:tcW w:w="266" w:type="pct"/>
                  <w:vMerge w:val="continue"/>
                  <w:tcBorders>
                    <w:left w:val="single" w:color="auto" w:sz="4" w:space="0"/>
                    <w:bottom w:val="single" w:color="auto" w:sz="4" w:space="0"/>
                    <w:right w:val="single" w:color="auto" w:sz="4" w:space="0"/>
                    <w:tl2br w:val="nil"/>
                    <w:tr2bl w:val="nil"/>
                  </w:tcBorders>
                  <w:noWrap w:val="0"/>
                  <w:vAlign w:val="center"/>
                </w:tcPr>
                <w:p w14:paraId="2C1631CB">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rPr>
                      <w:rFonts w:hint="default" w:ascii="Times New Roman" w:hAnsi="Times New Roman" w:eastAsia="宋体" w:cs="Times New Roman"/>
                      <w:color w:val="auto"/>
                      <w:sz w:val="21"/>
                      <w:szCs w:val="21"/>
                    </w:rPr>
                  </w:pPr>
                </w:p>
              </w:tc>
              <w:tc>
                <w:tcPr>
                  <w:tcW w:w="28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9F4F8C9">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09A32A9">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0.000002 </w:t>
                  </w:r>
                </w:p>
              </w:tc>
              <w:tc>
                <w:tcPr>
                  <w:tcW w:w="29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91F6A44">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0.000003 </w:t>
                  </w:r>
                </w:p>
              </w:tc>
              <w:tc>
                <w:tcPr>
                  <w:tcW w:w="590"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93E0D7A">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车间封闭</w:t>
                  </w:r>
                </w:p>
              </w:tc>
              <w:tc>
                <w:tcPr>
                  <w:tcW w:w="2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0AFB60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2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DD77EFF">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0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66006C9">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29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84DF311">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0.000002 </w:t>
                  </w:r>
                </w:p>
              </w:tc>
              <w:tc>
                <w:tcPr>
                  <w:tcW w:w="31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FA34E40">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p>
              </w:tc>
              <w:tc>
                <w:tcPr>
                  <w:tcW w:w="32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4F388AD">
                  <w:pPr>
                    <w:pStyle w:val="306"/>
                    <w:keepNext w:val="0"/>
                    <w:keepLines w:val="0"/>
                    <w:pageBreakBefore w:val="0"/>
                    <w:widowControl/>
                    <w:suppressLineNumbers w:val="0"/>
                    <w:tabs>
                      <w:tab w:val="left" w:pos="995"/>
                    </w:tabs>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0.000003 </w:t>
                  </w:r>
                </w:p>
              </w:tc>
              <w:tc>
                <w:tcPr>
                  <w:tcW w:w="237" w:type="pct"/>
                  <w:vMerge w:val="continue"/>
                  <w:tcBorders>
                    <w:left w:val="single" w:color="auto" w:sz="4" w:space="0"/>
                    <w:bottom w:val="single" w:color="auto" w:sz="4" w:space="0"/>
                    <w:right w:val="single" w:color="auto" w:sz="4" w:space="0"/>
                    <w:tl2br w:val="nil"/>
                    <w:tr2bl w:val="nil"/>
                  </w:tcBorders>
                  <w:noWrap w:val="0"/>
                  <w:vAlign w:val="center"/>
                </w:tcPr>
                <w:p w14:paraId="02B4E3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rPr>
                  </w:pPr>
                </w:p>
              </w:tc>
            </w:tr>
          </w:tbl>
          <w:p w14:paraId="23716366">
            <w:pPr>
              <w:keepNext w:val="0"/>
              <w:keepLines w:val="0"/>
              <w:numPr>
                <w:ilvl w:val="0"/>
                <w:numId w:val="0"/>
              </w:numPr>
              <w:suppressLineNumbers w:val="0"/>
              <w:spacing w:before="157" w:beforeLines="0" w:beforeAutospacing="0" w:after="0" w:afterLines="0" w:afterAutospacing="0" w:line="240" w:lineRule="auto"/>
              <w:ind w:left="0" w:right="0"/>
              <w:jc w:val="center"/>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表4-</w:t>
            </w:r>
            <w:r>
              <w:rPr>
                <w:rFonts w:hint="default" w:ascii="Times New Roman" w:hAnsi="Times New Roman" w:cs="Times New Roman"/>
                <w:b/>
                <w:color w:val="auto"/>
                <w:sz w:val="24"/>
                <w:szCs w:val="24"/>
                <w:lang w:val="en-US"/>
              </w:rPr>
              <w:t>8</w:t>
            </w:r>
            <w:r>
              <w:rPr>
                <w:rFonts w:hint="default" w:ascii="Times New Roman" w:hAnsi="Times New Roman" w:cs="Times New Roman"/>
                <w:b/>
                <w:color w:val="auto"/>
                <w:sz w:val="24"/>
                <w:szCs w:val="24"/>
              </w:rPr>
              <w:t xml:space="preserve"> 项目有组织废气排放口一览表</w:t>
            </w:r>
          </w:p>
          <w:tbl>
            <w:tblPr>
              <w:tblStyle w:val="5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4"/>
              <w:gridCol w:w="1554"/>
              <w:gridCol w:w="500"/>
              <w:gridCol w:w="837"/>
              <w:gridCol w:w="1096"/>
              <w:gridCol w:w="1112"/>
              <w:gridCol w:w="1058"/>
              <w:gridCol w:w="931"/>
              <w:gridCol w:w="1207"/>
              <w:gridCol w:w="1141"/>
              <w:gridCol w:w="443"/>
              <w:gridCol w:w="473"/>
              <w:gridCol w:w="498"/>
              <w:gridCol w:w="733"/>
              <w:gridCol w:w="422"/>
              <w:gridCol w:w="435"/>
            </w:tblGrid>
            <w:tr w14:paraId="52794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310"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51F0F25A">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排放口编号</w:t>
                  </w:r>
                </w:p>
              </w:tc>
              <w:tc>
                <w:tcPr>
                  <w:tcW w:w="585"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6CBC7754">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排放口名称</w:t>
                  </w:r>
                </w:p>
              </w:tc>
              <w:tc>
                <w:tcPr>
                  <w:tcW w:w="188"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6996C561">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废气类型</w:t>
                  </w:r>
                </w:p>
              </w:tc>
              <w:tc>
                <w:tcPr>
                  <w:tcW w:w="728"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14:paraId="542687D5">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地理位置</w:t>
                  </w:r>
                </w:p>
              </w:tc>
              <w:tc>
                <w:tcPr>
                  <w:tcW w:w="419"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5FEDF184">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污染物</w:t>
                  </w:r>
                </w:p>
              </w:tc>
              <w:tc>
                <w:tcPr>
                  <w:tcW w:w="398"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37E6722B">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排放浓度（mg/m</w:t>
                  </w:r>
                  <w:r>
                    <w:rPr>
                      <w:rFonts w:hint="default" w:ascii="Times New Roman" w:hAnsi="Times New Roman" w:eastAsia="宋体" w:cs="Times New Roman"/>
                      <w:b/>
                      <w:color w:val="auto"/>
                      <w:sz w:val="21"/>
                      <w:szCs w:val="21"/>
                      <w:vertAlign w:val="superscript"/>
                    </w:rPr>
                    <w:t>3</w:t>
                  </w:r>
                  <w:r>
                    <w:rPr>
                      <w:rFonts w:hint="default" w:ascii="Times New Roman" w:hAnsi="Times New Roman" w:eastAsia="宋体" w:cs="Times New Roman"/>
                      <w:b/>
                      <w:color w:val="auto"/>
                      <w:sz w:val="21"/>
                      <w:szCs w:val="21"/>
                    </w:rPr>
                    <w:t>）</w:t>
                  </w:r>
                </w:p>
              </w:tc>
              <w:tc>
                <w:tcPr>
                  <w:tcW w:w="351"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62470C7F">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排放速率（kg/h）</w:t>
                  </w:r>
                </w:p>
              </w:tc>
              <w:tc>
                <w:tcPr>
                  <w:tcW w:w="885"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14:paraId="01F4E63C">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排放浓度限值（mg/m</w:t>
                  </w:r>
                  <w:r>
                    <w:rPr>
                      <w:rFonts w:hint="default" w:ascii="Times New Roman" w:hAnsi="Times New Roman" w:eastAsia="宋体" w:cs="Times New Roman"/>
                      <w:b/>
                      <w:color w:val="auto"/>
                      <w:sz w:val="21"/>
                      <w:szCs w:val="21"/>
                      <w:vertAlign w:val="superscript"/>
                    </w:rPr>
                    <w:t>3</w:t>
                  </w:r>
                  <w:r>
                    <w:rPr>
                      <w:rFonts w:hint="default" w:ascii="Times New Roman" w:hAnsi="Times New Roman" w:eastAsia="宋体" w:cs="Times New Roman"/>
                      <w:b/>
                      <w:color w:val="auto"/>
                      <w:sz w:val="21"/>
                      <w:szCs w:val="21"/>
                    </w:rPr>
                    <w:t>）</w:t>
                  </w:r>
                </w:p>
              </w:tc>
              <w:tc>
                <w:tcPr>
                  <w:tcW w:w="532" w:type="pct"/>
                  <w:gridSpan w:val="3"/>
                  <w:tcBorders>
                    <w:top w:val="single" w:color="auto" w:sz="4" w:space="0"/>
                    <w:left w:val="single" w:color="auto" w:sz="4" w:space="0"/>
                    <w:bottom w:val="single" w:color="auto" w:sz="4" w:space="0"/>
                    <w:right w:val="single" w:color="auto" w:sz="4" w:space="0"/>
                    <w:tl2br w:val="nil"/>
                    <w:tr2bl w:val="nil"/>
                  </w:tcBorders>
                  <w:noWrap w:val="0"/>
                  <w:vAlign w:val="center"/>
                </w:tcPr>
                <w:p w14:paraId="3D9E6475">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排气筒参数</w:t>
                  </w:r>
                </w:p>
              </w:tc>
              <w:tc>
                <w:tcPr>
                  <w:tcW w:w="276"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219060EF">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风量</w:t>
                  </w:r>
                </w:p>
                <w:p w14:paraId="3BF8037F">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m</w:t>
                  </w:r>
                  <w:r>
                    <w:rPr>
                      <w:rFonts w:hint="default" w:ascii="Times New Roman" w:hAnsi="Times New Roman" w:eastAsia="宋体" w:cs="Times New Roman"/>
                      <w:b/>
                      <w:color w:val="auto"/>
                      <w:sz w:val="21"/>
                      <w:szCs w:val="21"/>
                      <w:vertAlign w:val="superscript"/>
                    </w:rPr>
                    <w:t>3</w:t>
                  </w:r>
                  <w:r>
                    <w:rPr>
                      <w:rFonts w:hint="default" w:ascii="Times New Roman" w:hAnsi="Times New Roman" w:eastAsia="宋体" w:cs="Times New Roman"/>
                      <w:b/>
                      <w:color w:val="auto"/>
                      <w:sz w:val="21"/>
                      <w:szCs w:val="21"/>
                    </w:rPr>
                    <w:t>/h</w:t>
                  </w:r>
                </w:p>
              </w:tc>
              <w:tc>
                <w:tcPr>
                  <w:tcW w:w="159"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026C99D1">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达标情况</w:t>
                  </w:r>
                </w:p>
              </w:tc>
              <w:tc>
                <w:tcPr>
                  <w:tcW w:w="163"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00DC96F0">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排放口类型</w:t>
                  </w:r>
                </w:p>
              </w:tc>
            </w:tr>
            <w:tr w14:paraId="30DA7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0" w:hRule="atLeast"/>
                <w:jc w:val="center"/>
              </w:trPr>
              <w:tc>
                <w:tcPr>
                  <w:tcW w:w="310"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78B456A6">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p>
              </w:tc>
              <w:tc>
                <w:tcPr>
                  <w:tcW w:w="585"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C641C3C">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p>
              </w:tc>
              <w:tc>
                <w:tcPr>
                  <w:tcW w:w="188"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2D08DC6E">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p>
              </w:tc>
              <w:tc>
                <w:tcPr>
                  <w:tcW w:w="31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2C9F703">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经度</w:t>
                  </w:r>
                </w:p>
              </w:tc>
              <w:tc>
                <w:tcPr>
                  <w:tcW w:w="41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2F987DE">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纬度</w:t>
                  </w:r>
                </w:p>
              </w:tc>
              <w:tc>
                <w:tcPr>
                  <w:tcW w:w="419"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D75561E">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p>
              </w:tc>
              <w:tc>
                <w:tcPr>
                  <w:tcW w:w="398"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6D77A9D">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p>
              </w:tc>
              <w:tc>
                <w:tcPr>
                  <w:tcW w:w="351"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7C8E7B6F">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p>
              </w:tc>
              <w:tc>
                <w:tcPr>
                  <w:tcW w:w="45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87E944F">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最高允许排放浓度（mg/m</w:t>
                  </w:r>
                  <w:r>
                    <w:rPr>
                      <w:rFonts w:hint="default" w:ascii="Times New Roman" w:hAnsi="Times New Roman" w:eastAsia="宋体" w:cs="Times New Roman"/>
                      <w:b/>
                      <w:color w:val="auto"/>
                      <w:sz w:val="21"/>
                      <w:szCs w:val="21"/>
                      <w:vertAlign w:val="superscript"/>
                    </w:rPr>
                    <w:t>3</w:t>
                  </w:r>
                  <w:r>
                    <w:rPr>
                      <w:rFonts w:hint="default" w:ascii="Times New Roman" w:hAnsi="Times New Roman" w:eastAsia="宋体" w:cs="Times New Roman"/>
                      <w:b/>
                      <w:color w:val="auto"/>
                      <w:sz w:val="21"/>
                      <w:szCs w:val="21"/>
                    </w:rPr>
                    <w:t>）</w:t>
                  </w:r>
                </w:p>
              </w:tc>
              <w:tc>
                <w:tcPr>
                  <w:tcW w:w="43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ADA17C9">
                  <w:pPr>
                    <w:pStyle w:val="287"/>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最高允许排放速率（kg/h）</w:t>
                  </w:r>
                </w:p>
              </w:tc>
              <w:tc>
                <w:tcPr>
                  <w:tcW w:w="1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3767BED">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高度/m</w:t>
                  </w:r>
                </w:p>
              </w:tc>
              <w:tc>
                <w:tcPr>
                  <w:tcW w:w="17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63FF48B">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内径/m</w:t>
                  </w:r>
                </w:p>
              </w:tc>
              <w:tc>
                <w:tcPr>
                  <w:tcW w:w="187"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54493DC">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温度/℃</w:t>
                  </w:r>
                </w:p>
              </w:tc>
              <w:tc>
                <w:tcPr>
                  <w:tcW w:w="276"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7D77369C">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p>
              </w:tc>
              <w:tc>
                <w:tcPr>
                  <w:tcW w:w="159"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43EF1CBB">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p>
              </w:tc>
              <w:tc>
                <w:tcPr>
                  <w:tcW w:w="163"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97C989C">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b/>
                      <w:color w:val="auto"/>
                      <w:sz w:val="21"/>
                      <w:szCs w:val="21"/>
                    </w:rPr>
                  </w:pPr>
                </w:p>
              </w:tc>
            </w:tr>
            <w:tr w14:paraId="17D33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153CE39">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DA001</w:t>
                  </w:r>
                </w:p>
              </w:tc>
              <w:tc>
                <w:tcPr>
                  <w:tcW w:w="58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80913AF">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熔炼</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造型</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砂处理</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打磨</w:t>
                  </w:r>
                  <w:r>
                    <w:rPr>
                      <w:rFonts w:hint="default" w:ascii="Times New Roman" w:hAnsi="Times New Roman" w:eastAsia="宋体" w:cs="Times New Roman"/>
                      <w:color w:val="auto"/>
                      <w:sz w:val="21"/>
                      <w:szCs w:val="21"/>
                    </w:rPr>
                    <w:t>清理废气排气筒</w:t>
                  </w:r>
                </w:p>
              </w:tc>
              <w:tc>
                <w:tcPr>
                  <w:tcW w:w="18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6B3185E">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有组织</w:t>
                  </w:r>
                </w:p>
              </w:tc>
              <w:tc>
                <w:tcPr>
                  <w:tcW w:w="31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445B8A9">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128.105848</w:t>
                  </w:r>
                </w:p>
              </w:tc>
              <w:tc>
                <w:tcPr>
                  <w:tcW w:w="41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D5767C2">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46.967802</w:t>
                  </w:r>
                </w:p>
              </w:tc>
              <w:tc>
                <w:tcPr>
                  <w:tcW w:w="419"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A6D01C3">
                  <w:pPr>
                    <w:pStyle w:val="306"/>
                    <w:keepNext w:val="0"/>
                    <w:keepLines w:val="0"/>
                    <w:widowControl/>
                    <w:suppressLineNumbers w:val="0"/>
                    <w:tabs>
                      <w:tab w:val="left" w:pos="995"/>
                    </w:tabs>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颗粒物</w:t>
                  </w:r>
                </w:p>
              </w:tc>
              <w:tc>
                <w:tcPr>
                  <w:tcW w:w="39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7943FE0">
                  <w:pPr>
                    <w:pStyle w:val="306"/>
                    <w:keepNext w:val="0"/>
                    <w:keepLines w:val="0"/>
                    <w:widowControl/>
                    <w:suppressLineNumbers w:val="0"/>
                    <w:tabs>
                      <w:tab w:val="left" w:pos="995"/>
                    </w:tabs>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24.95</w:t>
                  </w:r>
                </w:p>
              </w:tc>
              <w:tc>
                <w:tcPr>
                  <w:tcW w:w="35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5538155">
                  <w:pPr>
                    <w:pStyle w:val="306"/>
                    <w:keepNext w:val="0"/>
                    <w:keepLines w:val="0"/>
                    <w:widowControl/>
                    <w:suppressLineNumbers w:val="0"/>
                    <w:tabs>
                      <w:tab w:val="left" w:pos="995"/>
                    </w:tabs>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1.294</w:t>
                  </w:r>
                </w:p>
              </w:tc>
              <w:tc>
                <w:tcPr>
                  <w:tcW w:w="45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AA3F457">
                  <w:pPr>
                    <w:pStyle w:val="306"/>
                    <w:keepNext w:val="0"/>
                    <w:keepLines w:val="0"/>
                    <w:widowControl/>
                    <w:suppressLineNumbers w:val="0"/>
                    <w:tabs>
                      <w:tab w:val="left" w:pos="995"/>
                    </w:tabs>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30</w:t>
                  </w:r>
                </w:p>
              </w:tc>
              <w:tc>
                <w:tcPr>
                  <w:tcW w:w="430"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9AEAF3A">
                  <w:pPr>
                    <w:pStyle w:val="306"/>
                    <w:keepNext w:val="0"/>
                    <w:keepLines w:val="0"/>
                    <w:widowControl/>
                    <w:suppressLineNumbers w:val="0"/>
                    <w:tabs>
                      <w:tab w:val="left" w:pos="995"/>
                    </w:tabs>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w:t>
                  </w:r>
                </w:p>
              </w:tc>
              <w:tc>
                <w:tcPr>
                  <w:tcW w:w="1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12676F5">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7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CF12675">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87"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A0D4DE1">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w:t>
                  </w:r>
                </w:p>
              </w:tc>
              <w:tc>
                <w:tcPr>
                  <w:tcW w:w="27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A9C05BC">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51847</w:t>
                  </w:r>
                </w:p>
              </w:tc>
              <w:tc>
                <w:tcPr>
                  <w:tcW w:w="15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5989EEA">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c>
                <w:tcPr>
                  <w:tcW w:w="16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1E08343">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一般排放口</w:t>
                  </w:r>
                </w:p>
              </w:tc>
            </w:tr>
            <w:tr w14:paraId="629D1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1" w:hRule="atLeast"/>
                <w:jc w:val="center"/>
              </w:trPr>
              <w:tc>
                <w:tcPr>
                  <w:tcW w:w="31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19AEC81">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DA002</w:t>
                  </w:r>
                </w:p>
              </w:tc>
              <w:tc>
                <w:tcPr>
                  <w:tcW w:w="58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9706678">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浇铸</w:t>
                  </w:r>
                  <w:r>
                    <w:rPr>
                      <w:rFonts w:hint="default" w:ascii="Times New Roman" w:hAnsi="Times New Roman" w:eastAsia="宋体" w:cs="Times New Roman"/>
                      <w:color w:val="auto"/>
                      <w:sz w:val="21"/>
                      <w:szCs w:val="21"/>
                    </w:rPr>
                    <w:t>废气排气筒</w:t>
                  </w:r>
                </w:p>
              </w:tc>
              <w:tc>
                <w:tcPr>
                  <w:tcW w:w="18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4908957">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有组织</w:t>
                  </w:r>
                </w:p>
              </w:tc>
              <w:tc>
                <w:tcPr>
                  <w:tcW w:w="31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4A9B5F0">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128.106465</w:t>
                  </w:r>
                </w:p>
              </w:tc>
              <w:tc>
                <w:tcPr>
                  <w:tcW w:w="41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BA544E8">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46.967538</w:t>
                  </w:r>
                </w:p>
              </w:tc>
              <w:tc>
                <w:tcPr>
                  <w:tcW w:w="41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8245AF2">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39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D6AA57B">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11.58-28.7</w:t>
                  </w:r>
                </w:p>
              </w:tc>
              <w:tc>
                <w:tcPr>
                  <w:tcW w:w="35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ED587FF">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0.</w:t>
                  </w:r>
                  <w:r>
                    <w:rPr>
                      <w:rFonts w:hint="eastAsia" w:ascii="Times New Roman" w:hAnsi="Times New Roman" w:eastAsia="宋体" w:cs="Times New Roman"/>
                      <w:color w:val="auto"/>
                      <w:sz w:val="21"/>
                      <w:szCs w:val="21"/>
                      <w:lang w:val="en-US" w:eastAsia="zh-CN"/>
                    </w:rPr>
                    <w:t>232-0.579</w:t>
                  </w:r>
                </w:p>
              </w:tc>
              <w:tc>
                <w:tcPr>
                  <w:tcW w:w="45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210CF88">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p>
              </w:tc>
              <w:tc>
                <w:tcPr>
                  <w:tcW w:w="43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A2CD2E9">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6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6745CAF">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7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6C40388">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w:t>
                  </w:r>
                </w:p>
              </w:tc>
              <w:tc>
                <w:tcPr>
                  <w:tcW w:w="187"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B5B902C">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w:t>
                  </w:r>
                </w:p>
              </w:tc>
              <w:tc>
                <w:tcPr>
                  <w:tcW w:w="27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A37C632">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20000</w:t>
                  </w:r>
                </w:p>
              </w:tc>
              <w:tc>
                <w:tcPr>
                  <w:tcW w:w="15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1074059">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c>
                <w:tcPr>
                  <w:tcW w:w="16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11FF92E">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一般排放口</w:t>
                  </w:r>
                </w:p>
              </w:tc>
            </w:tr>
            <w:tr w14:paraId="3542D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310" w:type="pct"/>
                  <w:vMerge w:val="restart"/>
                  <w:tcBorders>
                    <w:top w:val="single" w:color="auto" w:sz="4" w:space="0"/>
                    <w:left w:val="single" w:color="auto" w:sz="4" w:space="0"/>
                    <w:right w:val="single" w:color="auto" w:sz="4" w:space="0"/>
                    <w:tl2br w:val="nil"/>
                    <w:tr2bl w:val="nil"/>
                  </w:tcBorders>
                  <w:noWrap w:val="0"/>
                  <w:vAlign w:val="center"/>
                </w:tcPr>
                <w:p w14:paraId="49BAE325">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DA003</w:t>
                  </w:r>
                </w:p>
              </w:tc>
              <w:tc>
                <w:tcPr>
                  <w:tcW w:w="585" w:type="pct"/>
                  <w:vMerge w:val="restart"/>
                  <w:tcBorders>
                    <w:top w:val="single" w:color="auto" w:sz="4" w:space="0"/>
                    <w:left w:val="single" w:color="auto" w:sz="4" w:space="0"/>
                    <w:right w:val="single" w:color="auto" w:sz="4" w:space="0"/>
                    <w:tl2br w:val="nil"/>
                    <w:tr2bl w:val="nil"/>
                  </w:tcBorders>
                  <w:noWrap w:val="0"/>
                  <w:vAlign w:val="center"/>
                </w:tcPr>
                <w:p w14:paraId="08C9902E">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淬火、回火</w:t>
                  </w:r>
                  <w:r>
                    <w:rPr>
                      <w:rFonts w:hint="default" w:ascii="Times New Roman" w:hAnsi="Times New Roman" w:eastAsia="宋体" w:cs="Times New Roman"/>
                      <w:color w:val="auto"/>
                      <w:sz w:val="21"/>
                      <w:szCs w:val="21"/>
                    </w:rPr>
                    <w:t>废气排气筒</w:t>
                  </w:r>
                </w:p>
              </w:tc>
              <w:tc>
                <w:tcPr>
                  <w:tcW w:w="188" w:type="pct"/>
                  <w:vMerge w:val="restart"/>
                  <w:tcBorders>
                    <w:top w:val="single" w:color="auto" w:sz="4" w:space="0"/>
                    <w:left w:val="single" w:color="auto" w:sz="4" w:space="0"/>
                    <w:right w:val="single" w:color="auto" w:sz="4" w:space="0"/>
                    <w:tl2br w:val="nil"/>
                    <w:tr2bl w:val="nil"/>
                  </w:tcBorders>
                  <w:noWrap w:val="0"/>
                  <w:vAlign w:val="center"/>
                </w:tcPr>
                <w:p w14:paraId="1A9FB0DC">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有组织</w:t>
                  </w:r>
                </w:p>
              </w:tc>
              <w:tc>
                <w:tcPr>
                  <w:tcW w:w="315" w:type="pct"/>
                  <w:vMerge w:val="restart"/>
                  <w:tcBorders>
                    <w:top w:val="single" w:color="auto" w:sz="4" w:space="0"/>
                    <w:left w:val="single" w:color="auto" w:sz="4" w:space="0"/>
                    <w:right w:val="single" w:color="auto" w:sz="4" w:space="0"/>
                    <w:tl2br w:val="nil"/>
                    <w:tr2bl w:val="nil"/>
                  </w:tcBorders>
                  <w:noWrap w:val="0"/>
                  <w:vAlign w:val="center"/>
                </w:tcPr>
                <w:p w14:paraId="371A830B">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128.106346</w:t>
                  </w:r>
                </w:p>
              </w:tc>
              <w:tc>
                <w:tcPr>
                  <w:tcW w:w="412" w:type="pct"/>
                  <w:vMerge w:val="restart"/>
                  <w:tcBorders>
                    <w:top w:val="single" w:color="auto" w:sz="4" w:space="0"/>
                    <w:left w:val="single" w:color="auto" w:sz="4" w:space="0"/>
                    <w:right w:val="single" w:color="auto" w:sz="4" w:space="0"/>
                    <w:tl2br w:val="nil"/>
                    <w:tr2bl w:val="nil"/>
                  </w:tcBorders>
                  <w:noWrap w:val="0"/>
                  <w:vAlign w:val="center"/>
                </w:tcPr>
                <w:p w14:paraId="5C5B6166">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46.967297</w:t>
                  </w:r>
                </w:p>
              </w:tc>
              <w:tc>
                <w:tcPr>
                  <w:tcW w:w="41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F63C7CF">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39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2E0FE2E">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5.5899 </w:t>
                  </w:r>
                </w:p>
              </w:tc>
              <w:tc>
                <w:tcPr>
                  <w:tcW w:w="35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5F192A7">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0.1956</w:t>
                  </w:r>
                </w:p>
              </w:tc>
              <w:tc>
                <w:tcPr>
                  <w:tcW w:w="45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671770A">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p>
              </w:tc>
              <w:tc>
                <w:tcPr>
                  <w:tcW w:w="43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4EEA31A">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66" w:type="pct"/>
                  <w:vMerge w:val="restart"/>
                  <w:tcBorders>
                    <w:top w:val="single" w:color="auto" w:sz="4" w:space="0"/>
                    <w:left w:val="single" w:color="auto" w:sz="4" w:space="0"/>
                    <w:right w:val="single" w:color="auto" w:sz="4" w:space="0"/>
                    <w:tl2br w:val="nil"/>
                    <w:tr2bl w:val="nil"/>
                  </w:tcBorders>
                  <w:noWrap w:val="0"/>
                  <w:vAlign w:val="center"/>
                </w:tcPr>
                <w:p w14:paraId="07E12D4A">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78" w:type="pct"/>
                  <w:vMerge w:val="restart"/>
                  <w:tcBorders>
                    <w:top w:val="single" w:color="auto" w:sz="4" w:space="0"/>
                    <w:left w:val="single" w:color="auto" w:sz="4" w:space="0"/>
                    <w:right w:val="single" w:color="auto" w:sz="4" w:space="0"/>
                    <w:tl2br w:val="nil"/>
                    <w:tr2bl w:val="nil"/>
                  </w:tcBorders>
                  <w:noWrap w:val="0"/>
                  <w:vAlign w:val="center"/>
                </w:tcPr>
                <w:p w14:paraId="27ADDC5E">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w:t>
                  </w:r>
                </w:p>
              </w:tc>
              <w:tc>
                <w:tcPr>
                  <w:tcW w:w="187" w:type="pct"/>
                  <w:vMerge w:val="restart"/>
                  <w:tcBorders>
                    <w:top w:val="single" w:color="auto" w:sz="4" w:space="0"/>
                    <w:left w:val="single" w:color="auto" w:sz="4" w:space="0"/>
                    <w:right w:val="single" w:color="auto" w:sz="4" w:space="0"/>
                    <w:tl2br w:val="nil"/>
                    <w:tr2bl w:val="nil"/>
                  </w:tcBorders>
                  <w:noWrap w:val="0"/>
                  <w:vAlign w:val="center"/>
                </w:tcPr>
                <w:p w14:paraId="74DFB348">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w:t>
                  </w:r>
                </w:p>
              </w:tc>
              <w:tc>
                <w:tcPr>
                  <w:tcW w:w="276" w:type="pct"/>
                  <w:vMerge w:val="restart"/>
                  <w:tcBorders>
                    <w:top w:val="single" w:color="auto" w:sz="4" w:space="0"/>
                    <w:left w:val="single" w:color="auto" w:sz="4" w:space="0"/>
                    <w:right w:val="single" w:color="auto" w:sz="4" w:space="0"/>
                    <w:tl2br w:val="nil"/>
                    <w:tr2bl w:val="nil"/>
                  </w:tcBorders>
                  <w:noWrap w:val="0"/>
                  <w:vAlign w:val="center"/>
                </w:tcPr>
                <w:p w14:paraId="061498BE">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000</w:t>
                  </w:r>
                </w:p>
              </w:tc>
              <w:tc>
                <w:tcPr>
                  <w:tcW w:w="159" w:type="pct"/>
                  <w:vMerge w:val="restart"/>
                  <w:tcBorders>
                    <w:top w:val="single" w:color="auto" w:sz="4" w:space="0"/>
                    <w:left w:val="single" w:color="auto" w:sz="4" w:space="0"/>
                    <w:right w:val="single" w:color="auto" w:sz="4" w:space="0"/>
                    <w:tl2br w:val="nil"/>
                    <w:tr2bl w:val="nil"/>
                  </w:tcBorders>
                  <w:noWrap w:val="0"/>
                  <w:vAlign w:val="center"/>
                </w:tcPr>
                <w:p w14:paraId="57756E54">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c>
                <w:tcPr>
                  <w:tcW w:w="163" w:type="pct"/>
                  <w:vMerge w:val="restart"/>
                  <w:tcBorders>
                    <w:top w:val="single" w:color="auto" w:sz="4" w:space="0"/>
                    <w:left w:val="single" w:color="auto" w:sz="4" w:space="0"/>
                    <w:right w:val="single" w:color="auto" w:sz="4" w:space="0"/>
                    <w:tl2br w:val="nil"/>
                    <w:tr2bl w:val="nil"/>
                  </w:tcBorders>
                  <w:noWrap w:val="0"/>
                  <w:vAlign w:val="center"/>
                </w:tcPr>
                <w:p w14:paraId="006141DF">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一般排放口</w:t>
                  </w:r>
                </w:p>
              </w:tc>
            </w:tr>
            <w:tr w14:paraId="63BCE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310" w:type="pct"/>
                  <w:vMerge w:val="continue"/>
                  <w:tcBorders>
                    <w:left w:val="single" w:color="auto" w:sz="4" w:space="0"/>
                    <w:bottom w:val="single" w:color="auto" w:sz="4" w:space="0"/>
                    <w:right w:val="single" w:color="auto" w:sz="4" w:space="0"/>
                    <w:tl2br w:val="nil"/>
                    <w:tr2bl w:val="nil"/>
                  </w:tcBorders>
                  <w:noWrap w:val="0"/>
                  <w:vAlign w:val="center"/>
                </w:tcPr>
                <w:p w14:paraId="620BDAB0">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p>
              </w:tc>
              <w:tc>
                <w:tcPr>
                  <w:tcW w:w="585" w:type="pct"/>
                  <w:vMerge w:val="continue"/>
                  <w:tcBorders>
                    <w:left w:val="single" w:color="auto" w:sz="4" w:space="0"/>
                    <w:bottom w:val="single" w:color="auto" w:sz="4" w:space="0"/>
                    <w:right w:val="single" w:color="auto" w:sz="4" w:space="0"/>
                    <w:tl2br w:val="nil"/>
                    <w:tr2bl w:val="nil"/>
                  </w:tcBorders>
                  <w:noWrap w:val="0"/>
                  <w:vAlign w:val="center"/>
                </w:tcPr>
                <w:p w14:paraId="080E00C5">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eastAsia" w:ascii="Times New Roman" w:hAnsi="Times New Roman" w:eastAsia="宋体" w:cs="Times New Roman"/>
                      <w:color w:val="auto"/>
                      <w:sz w:val="21"/>
                      <w:szCs w:val="21"/>
                      <w:lang w:val="en-US" w:eastAsia="zh-CN"/>
                    </w:rPr>
                  </w:pPr>
                </w:p>
              </w:tc>
              <w:tc>
                <w:tcPr>
                  <w:tcW w:w="188" w:type="pct"/>
                  <w:vMerge w:val="continue"/>
                  <w:tcBorders>
                    <w:left w:val="single" w:color="auto" w:sz="4" w:space="0"/>
                    <w:bottom w:val="single" w:color="auto" w:sz="4" w:space="0"/>
                    <w:right w:val="single" w:color="auto" w:sz="4" w:space="0"/>
                    <w:tl2br w:val="nil"/>
                    <w:tr2bl w:val="nil"/>
                  </w:tcBorders>
                  <w:noWrap w:val="0"/>
                  <w:vAlign w:val="center"/>
                </w:tcPr>
                <w:p w14:paraId="490C85F9">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p>
              </w:tc>
              <w:tc>
                <w:tcPr>
                  <w:tcW w:w="315" w:type="pct"/>
                  <w:vMerge w:val="continue"/>
                  <w:tcBorders>
                    <w:left w:val="single" w:color="auto" w:sz="4" w:space="0"/>
                    <w:bottom w:val="single" w:color="auto" w:sz="4" w:space="0"/>
                    <w:right w:val="single" w:color="auto" w:sz="4" w:space="0"/>
                    <w:tl2br w:val="nil"/>
                    <w:tr2bl w:val="nil"/>
                  </w:tcBorders>
                  <w:noWrap w:val="0"/>
                  <w:vAlign w:val="center"/>
                </w:tcPr>
                <w:p w14:paraId="5892524D">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highlight w:val="yellow"/>
                    </w:rPr>
                  </w:pPr>
                </w:p>
              </w:tc>
              <w:tc>
                <w:tcPr>
                  <w:tcW w:w="412" w:type="pct"/>
                  <w:vMerge w:val="continue"/>
                  <w:tcBorders>
                    <w:left w:val="single" w:color="auto" w:sz="4" w:space="0"/>
                    <w:bottom w:val="single" w:color="auto" w:sz="4" w:space="0"/>
                    <w:right w:val="single" w:color="auto" w:sz="4" w:space="0"/>
                    <w:tl2br w:val="nil"/>
                    <w:tr2bl w:val="nil"/>
                  </w:tcBorders>
                  <w:noWrap w:val="0"/>
                  <w:vAlign w:val="center"/>
                </w:tcPr>
                <w:p w14:paraId="1735B4A0">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highlight w:val="yellow"/>
                    </w:rPr>
                  </w:pPr>
                </w:p>
              </w:tc>
              <w:tc>
                <w:tcPr>
                  <w:tcW w:w="41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C118333">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非甲烷总烃</w:t>
                  </w:r>
                </w:p>
              </w:tc>
              <w:tc>
                <w:tcPr>
                  <w:tcW w:w="39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EDEA4E2">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w:t>
                  </w:r>
                </w:p>
              </w:tc>
              <w:tc>
                <w:tcPr>
                  <w:tcW w:w="35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89096CA">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0.00003</w:t>
                  </w:r>
                </w:p>
              </w:tc>
              <w:tc>
                <w:tcPr>
                  <w:tcW w:w="45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47316DA">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3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470E0F7">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6" w:type="pct"/>
                  <w:vMerge w:val="continue"/>
                  <w:tcBorders>
                    <w:left w:val="single" w:color="auto" w:sz="4" w:space="0"/>
                    <w:bottom w:val="single" w:color="auto" w:sz="4" w:space="0"/>
                    <w:right w:val="single" w:color="auto" w:sz="4" w:space="0"/>
                    <w:tl2br w:val="nil"/>
                    <w:tr2bl w:val="nil"/>
                  </w:tcBorders>
                  <w:noWrap w:val="0"/>
                  <w:vAlign w:val="center"/>
                </w:tcPr>
                <w:p w14:paraId="39860895">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p>
              </w:tc>
              <w:tc>
                <w:tcPr>
                  <w:tcW w:w="178" w:type="pct"/>
                  <w:vMerge w:val="continue"/>
                  <w:tcBorders>
                    <w:left w:val="single" w:color="auto" w:sz="4" w:space="0"/>
                    <w:bottom w:val="single" w:color="auto" w:sz="4" w:space="0"/>
                    <w:right w:val="single" w:color="auto" w:sz="4" w:space="0"/>
                    <w:tl2br w:val="nil"/>
                    <w:tr2bl w:val="nil"/>
                  </w:tcBorders>
                  <w:noWrap w:val="0"/>
                  <w:vAlign w:val="center"/>
                </w:tcPr>
                <w:p w14:paraId="34CA0F79">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p>
              </w:tc>
              <w:tc>
                <w:tcPr>
                  <w:tcW w:w="187" w:type="pct"/>
                  <w:vMerge w:val="continue"/>
                  <w:tcBorders>
                    <w:left w:val="single" w:color="auto" w:sz="4" w:space="0"/>
                    <w:bottom w:val="single" w:color="auto" w:sz="4" w:space="0"/>
                    <w:right w:val="single" w:color="auto" w:sz="4" w:space="0"/>
                    <w:tl2br w:val="nil"/>
                    <w:tr2bl w:val="nil"/>
                  </w:tcBorders>
                  <w:noWrap w:val="0"/>
                  <w:vAlign w:val="center"/>
                </w:tcPr>
                <w:p w14:paraId="35C020FC">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p>
              </w:tc>
              <w:tc>
                <w:tcPr>
                  <w:tcW w:w="276" w:type="pct"/>
                  <w:vMerge w:val="continue"/>
                  <w:tcBorders>
                    <w:left w:val="single" w:color="auto" w:sz="4" w:space="0"/>
                    <w:bottom w:val="single" w:color="auto" w:sz="4" w:space="0"/>
                    <w:right w:val="single" w:color="auto" w:sz="4" w:space="0"/>
                    <w:tl2br w:val="nil"/>
                    <w:tr2bl w:val="nil"/>
                  </w:tcBorders>
                  <w:noWrap w:val="0"/>
                  <w:vAlign w:val="center"/>
                </w:tcPr>
                <w:p w14:paraId="79DCD12D">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p>
              </w:tc>
              <w:tc>
                <w:tcPr>
                  <w:tcW w:w="159" w:type="pct"/>
                  <w:vMerge w:val="continue"/>
                  <w:tcBorders>
                    <w:left w:val="single" w:color="auto" w:sz="4" w:space="0"/>
                    <w:bottom w:val="single" w:color="auto" w:sz="4" w:space="0"/>
                    <w:right w:val="single" w:color="auto" w:sz="4" w:space="0"/>
                    <w:tl2br w:val="nil"/>
                    <w:tr2bl w:val="nil"/>
                  </w:tcBorders>
                  <w:noWrap w:val="0"/>
                  <w:vAlign w:val="center"/>
                </w:tcPr>
                <w:p w14:paraId="03465F33">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p>
              </w:tc>
              <w:tc>
                <w:tcPr>
                  <w:tcW w:w="163" w:type="pct"/>
                  <w:vMerge w:val="continue"/>
                  <w:tcBorders>
                    <w:left w:val="single" w:color="auto" w:sz="4" w:space="0"/>
                    <w:bottom w:val="single" w:color="auto" w:sz="4" w:space="0"/>
                    <w:right w:val="single" w:color="auto" w:sz="4" w:space="0"/>
                    <w:tl2br w:val="nil"/>
                    <w:tr2bl w:val="nil"/>
                  </w:tcBorders>
                  <w:noWrap w:val="0"/>
                  <w:vAlign w:val="center"/>
                </w:tcPr>
                <w:p w14:paraId="69585D2B">
                  <w:pPr>
                    <w:pStyle w:val="306"/>
                    <w:keepNext w:val="0"/>
                    <w:keepLines w:val="0"/>
                    <w:widowControl/>
                    <w:suppressLineNumbers w:val="0"/>
                    <w:tabs>
                      <w:tab w:val="left" w:pos="995"/>
                    </w:tabs>
                    <w:spacing w:before="0" w:beforeLines="0" w:beforeAutospacing="0" w:after="0" w:afterLines="0" w:afterAutospacing="0" w:line="240" w:lineRule="auto"/>
                    <w:ind w:left="0" w:right="0" w:firstLine="0"/>
                    <w:rPr>
                      <w:rFonts w:hint="default" w:ascii="Times New Roman" w:hAnsi="Times New Roman" w:eastAsia="宋体" w:cs="Times New Roman"/>
                      <w:color w:val="auto"/>
                      <w:sz w:val="21"/>
                      <w:szCs w:val="21"/>
                    </w:rPr>
                  </w:pPr>
                </w:p>
              </w:tc>
            </w:tr>
            <w:tr w14:paraId="404B6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5000" w:type="pct"/>
                  <w:gridSpan w:val="16"/>
                  <w:tcBorders>
                    <w:top w:val="single" w:color="auto" w:sz="4" w:space="0"/>
                    <w:left w:val="single" w:color="auto" w:sz="4" w:space="0"/>
                    <w:bottom w:val="single" w:color="auto" w:sz="4" w:space="0"/>
                    <w:right w:val="single" w:color="auto" w:sz="4" w:space="0"/>
                    <w:tl2br w:val="nil"/>
                    <w:tr2bl w:val="nil"/>
                  </w:tcBorders>
                  <w:noWrap w:val="0"/>
                  <w:vAlign w:val="center"/>
                </w:tcPr>
                <w:p w14:paraId="4E3543BA">
                  <w:pPr>
                    <w:pStyle w:val="306"/>
                    <w:keepNext w:val="0"/>
                    <w:keepLines w:val="0"/>
                    <w:widowControl/>
                    <w:suppressLineNumbers w:val="0"/>
                    <w:tabs>
                      <w:tab w:val="left" w:pos="995"/>
                    </w:tabs>
                    <w:spacing w:before="0" w:beforeLines="0" w:beforeAutospacing="0" w:after="0" w:afterLines="0" w:afterAutospacing="0" w:line="240" w:lineRule="auto"/>
                    <w:ind w:left="0" w:right="0" w:firstLine="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注：熔炼、造型、砂处理、打磨清理</w:t>
                  </w:r>
                  <w:r>
                    <w:rPr>
                      <w:rFonts w:hint="eastAsia" w:ascii="Times New Roman" w:hAnsi="Times New Roman" w:eastAsia="宋体" w:cs="Times New Roman"/>
                      <w:color w:val="auto"/>
                      <w:sz w:val="21"/>
                      <w:szCs w:val="21"/>
                      <w:lang w:val="en-US" w:eastAsia="zh-CN"/>
                    </w:rPr>
                    <w:t>工序</w:t>
                  </w:r>
                  <w:r>
                    <w:rPr>
                      <w:rFonts w:hint="default" w:ascii="Times New Roman" w:hAnsi="Times New Roman" w:eastAsia="宋体" w:cs="Times New Roman"/>
                      <w:color w:val="auto"/>
                      <w:sz w:val="21"/>
                      <w:szCs w:val="21"/>
                      <w:lang w:val="en-US" w:eastAsia="zh-CN"/>
                    </w:rPr>
                    <w:t>共用废气处理设施和排气筒，DA001排气筒年排放时间为</w:t>
                  </w:r>
                  <w:r>
                    <w:rPr>
                      <w:rFonts w:hint="eastAsia" w:ascii="Times New Roman" w:hAnsi="Times New Roman" w:eastAsia="宋体" w:cs="Times New Roman"/>
                      <w:color w:val="auto"/>
                      <w:sz w:val="21"/>
                      <w:szCs w:val="21"/>
                      <w:lang w:val="en-US" w:eastAsia="zh-CN"/>
                    </w:rPr>
                    <w:t>3600</w:t>
                  </w:r>
                  <w:r>
                    <w:rPr>
                      <w:rFonts w:hint="default" w:ascii="Times New Roman" w:hAnsi="Times New Roman" w:eastAsia="宋体" w:cs="Times New Roman"/>
                      <w:color w:val="auto"/>
                      <w:sz w:val="21"/>
                      <w:szCs w:val="21"/>
                      <w:lang w:val="en-US" w:eastAsia="zh-CN"/>
                    </w:rPr>
                    <w:t>h。</w:t>
                  </w:r>
                </w:p>
              </w:tc>
            </w:tr>
          </w:tbl>
          <w:p w14:paraId="3E1ED60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40" w:firstLineChars="200"/>
              <w:jc w:val="both"/>
              <w:textAlignment w:val="auto"/>
              <w:rPr>
                <w:rFonts w:hint="default" w:ascii="Times New Roman" w:hAnsi="Times New Roman" w:eastAsia="宋体" w:cs="Times New Roman"/>
                <w:bCs/>
                <w:color w:val="auto"/>
                <w:spacing w:val="-10"/>
                <w:kern w:val="2"/>
                <w:sz w:val="24"/>
                <w:szCs w:val="24"/>
                <w:u w:val="none" w:color="auto"/>
              </w:rPr>
            </w:pPr>
          </w:p>
        </w:tc>
      </w:tr>
    </w:tbl>
    <w:p w14:paraId="5F385F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default" w:ascii="Times New Roman" w:hAnsi="Times New Roman" w:eastAsia="宋体" w:cs="Times New Roman"/>
          <w:color w:val="auto"/>
          <w:kern w:val="2"/>
          <w:sz w:val="24"/>
          <w:szCs w:val="24"/>
          <w:u w:val="none" w:color="auto"/>
        </w:rPr>
      </w:pPr>
    </w:p>
    <w:p w14:paraId="3354F1D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default" w:ascii="Times New Roman" w:hAnsi="Times New Roman" w:eastAsia="宋体" w:cs="Times New Roman"/>
          <w:color w:val="auto"/>
          <w:kern w:val="2"/>
          <w:sz w:val="24"/>
          <w:szCs w:val="24"/>
          <w:u w:val="none" w:color="auto"/>
        </w:rPr>
        <w:sectPr>
          <w:footerReference r:id="rId11" w:type="default"/>
          <w:pgSz w:w="16840" w:h="11907" w:orient="landscape"/>
          <w:pgMar w:top="1440" w:right="1440" w:bottom="1440" w:left="1389" w:header="851" w:footer="850" w:gutter="0"/>
          <w:pgBorders>
            <w:top w:val="none" w:sz="0" w:space="0"/>
            <w:left w:val="none" w:sz="0" w:space="0"/>
            <w:bottom w:val="none" w:sz="0" w:space="0"/>
            <w:right w:val="none" w:sz="0" w:space="0"/>
          </w:pgBorders>
          <w:pgNumType w:fmt="decimal"/>
          <w:cols w:space="720" w:num="1"/>
        </w:sectPr>
      </w:pPr>
    </w:p>
    <w:tbl>
      <w:tblPr>
        <w:tblStyle w:val="56"/>
        <w:tblW w:w="9163"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645"/>
        <w:gridCol w:w="8518"/>
      </w:tblGrid>
      <w:tr w14:paraId="2051F81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810" w:hRule="atLeast"/>
          <w:jc w:val="center"/>
        </w:trPr>
        <w:tc>
          <w:tcPr>
            <w:tcW w:w="645" w:type="dxa"/>
            <w:tcBorders>
              <w:tl2br w:val="nil"/>
              <w:tr2bl w:val="nil"/>
            </w:tcBorders>
            <w:noWrap w:val="0"/>
            <w:tcMar>
              <w:left w:w="28" w:type="dxa"/>
              <w:right w:w="28" w:type="dxa"/>
            </w:tcMar>
            <w:vAlign w:val="center"/>
          </w:tcPr>
          <w:p w14:paraId="21927F2E">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kern w:val="2"/>
                <w:sz w:val="24"/>
                <w:szCs w:val="24"/>
                <w:u w:val="none" w:color="auto"/>
              </w:rPr>
            </w:pPr>
            <w:r>
              <w:rPr>
                <w:rFonts w:hint="default" w:ascii="Times New Roman" w:hAnsi="Times New Roman" w:cs="Times New Roman"/>
                <w:bCs/>
                <w:color w:val="auto"/>
                <w:kern w:val="2"/>
                <w:sz w:val="24"/>
                <w:szCs w:val="24"/>
                <w:u w:val="none" w:color="auto"/>
              </w:rPr>
              <w:t>运营</w:t>
            </w:r>
          </w:p>
          <w:p w14:paraId="25095B0E">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kern w:val="2"/>
                <w:sz w:val="24"/>
                <w:szCs w:val="24"/>
                <w:u w:val="none" w:color="auto"/>
              </w:rPr>
            </w:pPr>
            <w:r>
              <w:rPr>
                <w:rFonts w:hint="default" w:ascii="Times New Roman" w:hAnsi="Times New Roman" w:cs="Times New Roman"/>
                <w:bCs/>
                <w:color w:val="auto"/>
                <w:kern w:val="2"/>
                <w:sz w:val="24"/>
                <w:szCs w:val="24"/>
                <w:u w:val="none" w:color="auto"/>
              </w:rPr>
              <w:t>期环</w:t>
            </w:r>
          </w:p>
          <w:p w14:paraId="23BD449A">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kern w:val="2"/>
                <w:sz w:val="24"/>
                <w:szCs w:val="24"/>
                <w:u w:val="none" w:color="auto"/>
              </w:rPr>
            </w:pPr>
            <w:r>
              <w:rPr>
                <w:rFonts w:hint="default" w:ascii="Times New Roman" w:hAnsi="Times New Roman" w:cs="Times New Roman"/>
                <w:bCs/>
                <w:color w:val="auto"/>
                <w:kern w:val="2"/>
                <w:sz w:val="24"/>
                <w:szCs w:val="24"/>
                <w:u w:val="none" w:color="auto"/>
              </w:rPr>
              <w:t>境影</w:t>
            </w:r>
          </w:p>
          <w:p w14:paraId="73E63F98">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kern w:val="2"/>
                <w:sz w:val="24"/>
                <w:szCs w:val="24"/>
                <w:u w:val="none" w:color="auto"/>
              </w:rPr>
            </w:pPr>
            <w:r>
              <w:rPr>
                <w:rFonts w:hint="default" w:ascii="Times New Roman" w:hAnsi="Times New Roman" w:cs="Times New Roman"/>
                <w:bCs/>
                <w:color w:val="auto"/>
                <w:kern w:val="2"/>
                <w:sz w:val="24"/>
                <w:szCs w:val="24"/>
                <w:u w:val="none" w:color="auto"/>
              </w:rPr>
              <w:t>响和</w:t>
            </w:r>
          </w:p>
          <w:p w14:paraId="4AABA52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kern w:val="2"/>
                <w:sz w:val="24"/>
                <w:szCs w:val="24"/>
                <w:u w:val="none" w:color="auto"/>
              </w:rPr>
            </w:pPr>
            <w:r>
              <w:rPr>
                <w:rFonts w:hint="default" w:ascii="Times New Roman" w:hAnsi="Times New Roman" w:cs="Times New Roman"/>
                <w:bCs/>
                <w:color w:val="auto"/>
                <w:kern w:val="2"/>
                <w:sz w:val="24"/>
                <w:szCs w:val="24"/>
                <w:u w:val="none" w:color="auto"/>
              </w:rPr>
              <w:t>保护</w:t>
            </w:r>
          </w:p>
          <w:p w14:paraId="41D52DF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kern w:val="2"/>
                <w:sz w:val="21"/>
                <w:szCs w:val="21"/>
                <w:u w:val="none" w:color="auto"/>
              </w:rPr>
            </w:pPr>
            <w:r>
              <w:rPr>
                <w:rFonts w:hint="default" w:ascii="Times New Roman" w:hAnsi="Times New Roman" w:cs="Times New Roman"/>
                <w:bCs/>
                <w:color w:val="auto"/>
                <w:kern w:val="2"/>
                <w:sz w:val="24"/>
                <w:szCs w:val="24"/>
                <w:u w:val="none" w:color="auto"/>
              </w:rPr>
              <w:t>措施</w:t>
            </w:r>
          </w:p>
        </w:tc>
        <w:tc>
          <w:tcPr>
            <w:tcW w:w="8518" w:type="dxa"/>
            <w:tcBorders>
              <w:tl2br w:val="nil"/>
              <w:tr2bl w:val="nil"/>
            </w:tcBorders>
            <w:noWrap w:val="0"/>
            <w:vAlign w:val="center"/>
          </w:tcPr>
          <w:p w14:paraId="0B896790">
            <w:pPr>
              <w:keepNext/>
              <w:keepLines w:val="0"/>
              <w:widowControl w:val="0"/>
              <w:suppressLineNumbers w:val="0"/>
              <w:overflowPunct w:val="0"/>
              <w:snapToGrid w:val="0"/>
              <w:spacing w:before="0" w:beforeAutospacing="0" w:after="0" w:afterAutospacing="0" w:line="240" w:lineRule="auto"/>
              <w:ind w:left="0" w:right="0" w:firstLine="0"/>
              <w:jc w:val="center"/>
              <w:outlineLvl w:val="0"/>
              <w:rPr>
                <w:rFonts w:hint="default" w:ascii="Times New Roman" w:hAnsi="Times New Roman" w:eastAsia="黑体" w:cs="Times New Roman"/>
                <w:b/>
                <w:bCs/>
                <w:color w:val="auto"/>
                <w:kern w:val="44"/>
                <w:sz w:val="30"/>
                <w:szCs w:val="30"/>
                <w:u w:val="none" w:color="auto"/>
                <w:lang w:val="en-US" w:eastAsia="zh-CN" w:bidi="ar-SA"/>
              </w:rPr>
            </w:pPr>
            <w:bookmarkStart w:id="13" w:name="_Toc26200"/>
            <w:r>
              <w:rPr>
                <w:rFonts w:hint="default" w:ascii="Times New Roman" w:hAnsi="Times New Roman" w:eastAsia="宋体" w:cs="Times New Roman"/>
                <w:b/>
                <w:bCs/>
                <w:color w:val="auto"/>
                <w:kern w:val="2"/>
                <w:sz w:val="21"/>
                <w:szCs w:val="21"/>
                <w:u w:val="none" w:color="auto"/>
                <w:lang w:val="en-US" w:eastAsia="zh-CN" w:bidi="ar-SA"/>
              </w:rPr>
              <w:t>表4-</w:t>
            </w:r>
            <w:r>
              <w:rPr>
                <w:rFonts w:hint="eastAsia" w:ascii="Times New Roman" w:hAnsi="Times New Roman" w:cs="Times New Roman"/>
                <w:b/>
                <w:bCs/>
                <w:color w:val="auto"/>
                <w:kern w:val="2"/>
                <w:sz w:val="21"/>
                <w:szCs w:val="21"/>
                <w:u w:val="none" w:color="auto"/>
                <w:lang w:val="en-US" w:eastAsia="zh-CN" w:bidi="ar-SA"/>
              </w:rPr>
              <w:t>9</w:t>
            </w:r>
            <w:r>
              <w:rPr>
                <w:rFonts w:hint="default" w:ascii="Times New Roman" w:hAnsi="Times New Roman" w:eastAsia="宋体" w:cs="Times New Roman"/>
                <w:b/>
                <w:bCs/>
                <w:color w:val="auto"/>
                <w:kern w:val="2"/>
                <w:sz w:val="21"/>
                <w:szCs w:val="21"/>
                <w:u w:val="none" w:color="auto"/>
                <w:lang w:val="en-US" w:eastAsia="zh-CN" w:bidi="ar-SA"/>
              </w:rPr>
              <w:t xml:space="preserve"> 项目营运期无组织废气排放情况一览表</w:t>
            </w:r>
            <w:bookmarkEnd w:id="13"/>
          </w:p>
          <w:tbl>
            <w:tblPr>
              <w:tblStyle w:val="57"/>
              <w:tblW w:w="4998"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121"/>
              <w:gridCol w:w="983"/>
              <w:gridCol w:w="1012"/>
              <w:gridCol w:w="1171"/>
              <w:gridCol w:w="1388"/>
              <w:gridCol w:w="1388"/>
              <w:gridCol w:w="1216"/>
            </w:tblGrid>
            <w:tr w14:paraId="6B385FF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677" w:type="pct"/>
                  <w:tcBorders>
                    <w:tl2br w:val="nil"/>
                    <w:tr2bl w:val="nil"/>
                  </w:tcBorders>
                  <w:noWrap w:val="0"/>
                  <w:vAlign w:val="center"/>
                </w:tcPr>
                <w:p w14:paraId="021A0F0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2"/>
                      <w:sz w:val="21"/>
                      <w:szCs w:val="21"/>
                      <w:u w:val="none" w:color="auto"/>
                      <w:vertAlign w:val="baseline"/>
                      <w:lang w:val="en-US" w:eastAsia="zh-CN"/>
                    </w:rPr>
                  </w:pPr>
                  <w:r>
                    <w:rPr>
                      <w:rFonts w:hint="default" w:ascii="Times New Roman" w:hAnsi="Times New Roman" w:cs="Times New Roman"/>
                      <w:b/>
                      <w:bCs/>
                      <w:color w:val="auto"/>
                      <w:kern w:val="2"/>
                      <w:sz w:val="21"/>
                      <w:szCs w:val="21"/>
                      <w:u w:val="none" w:color="auto"/>
                      <w:vertAlign w:val="baseline"/>
                      <w:lang w:val="en-US" w:eastAsia="zh-CN"/>
                    </w:rPr>
                    <w:t>产污环节</w:t>
                  </w:r>
                </w:p>
              </w:tc>
              <w:tc>
                <w:tcPr>
                  <w:tcW w:w="593" w:type="pct"/>
                  <w:tcBorders>
                    <w:tl2br w:val="nil"/>
                    <w:tr2bl w:val="nil"/>
                  </w:tcBorders>
                  <w:noWrap w:val="0"/>
                  <w:vAlign w:val="center"/>
                </w:tcPr>
                <w:p w14:paraId="501351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bCs/>
                      <w:color w:val="auto"/>
                      <w:kern w:val="2"/>
                      <w:sz w:val="21"/>
                      <w:szCs w:val="21"/>
                      <w:u w:val="none" w:color="auto"/>
                      <w:vertAlign w:val="baseline"/>
                    </w:rPr>
                  </w:pPr>
                  <w:r>
                    <w:rPr>
                      <w:rFonts w:hint="default" w:ascii="Times New Roman" w:hAnsi="Times New Roman" w:eastAsia="宋体" w:cs="Times New Roman"/>
                      <w:b/>
                      <w:bCs w:val="0"/>
                      <w:color w:val="auto"/>
                      <w:kern w:val="2"/>
                      <w:sz w:val="21"/>
                      <w:szCs w:val="21"/>
                      <w:u w:val="none" w:color="auto"/>
                      <w:vertAlign w:val="baseline"/>
                      <w:lang w:val="en-US" w:eastAsia="zh-CN"/>
                    </w:rPr>
                    <w:t>污染物名称</w:t>
                  </w:r>
                </w:p>
              </w:tc>
              <w:tc>
                <w:tcPr>
                  <w:tcW w:w="611" w:type="pct"/>
                  <w:tcBorders>
                    <w:tl2br w:val="nil"/>
                    <w:tr2bl w:val="nil"/>
                  </w:tcBorders>
                  <w:noWrap w:val="0"/>
                  <w:vAlign w:val="center"/>
                </w:tcPr>
                <w:p w14:paraId="2207A37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bCs/>
                      <w:color w:val="auto"/>
                      <w:kern w:val="2"/>
                      <w:sz w:val="21"/>
                      <w:szCs w:val="21"/>
                      <w:u w:val="none" w:color="auto"/>
                      <w:vertAlign w:val="baseline"/>
                    </w:rPr>
                  </w:pPr>
                  <w:r>
                    <w:rPr>
                      <w:rFonts w:hint="default" w:ascii="Times New Roman" w:hAnsi="Times New Roman" w:eastAsia="宋体" w:cs="Times New Roman"/>
                      <w:b/>
                      <w:bCs w:val="0"/>
                      <w:color w:val="auto"/>
                      <w:kern w:val="2"/>
                      <w:sz w:val="21"/>
                      <w:szCs w:val="21"/>
                      <w:u w:val="none" w:color="auto"/>
                      <w:vertAlign w:val="baseline"/>
                      <w:lang w:val="en-US" w:eastAsia="zh-CN"/>
                    </w:rPr>
                    <w:t>无组织排放量</w:t>
                  </w:r>
                  <w:r>
                    <w:rPr>
                      <w:rFonts w:hint="default" w:ascii="Times New Roman" w:hAnsi="Times New Roman" w:eastAsia="宋体" w:cs="Times New Roman"/>
                      <w:b/>
                      <w:bCs w:val="0"/>
                      <w:color w:val="auto"/>
                      <w:kern w:val="2"/>
                      <w:sz w:val="21"/>
                      <w:szCs w:val="21"/>
                      <w:u w:val="none" w:color="auto"/>
                      <w:lang w:val="en-US" w:eastAsia="zh-CN"/>
                    </w:rPr>
                    <w:t>t/a</w:t>
                  </w:r>
                </w:p>
              </w:tc>
              <w:tc>
                <w:tcPr>
                  <w:tcW w:w="707" w:type="pct"/>
                  <w:tcBorders>
                    <w:tl2br w:val="nil"/>
                    <w:tr2bl w:val="nil"/>
                  </w:tcBorders>
                  <w:noWrap w:val="0"/>
                  <w:vAlign w:val="center"/>
                </w:tcPr>
                <w:p w14:paraId="5E4D14C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kern w:val="2"/>
                      <w:sz w:val="21"/>
                      <w:szCs w:val="21"/>
                      <w:u w:val="none" w:color="auto"/>
                      <w:vertAlign w:val="baseline"/>
                      <w:lang w:val="en-US" w:eastAsia="zh-CN"/>
                    </w:rPr>
                  </w:pPr>
                  <w:r>
                    <w:rPr>
                      <w:rFonts w:hint="default" w:ascii="Times New Roman" w:hAnsi="Times New Roman" w:eastAsia="宋体" w:cs="Times New Roman"/>
                      <w:b/>
                      <w:bCs w:val="0"/>
                      <w:color w:val="auto"/>
                      <w:kern w:val="2"/>
                      <w:sz w:val="21"/>
                      <w:szCs w:val="21"/>
                      <w:u w:val="none" w:color="auto"/>
                      <w:vertAlign w:val="baseline"/>
                      <w:lang w:val="en-US" w:eastAsia="zh-CN"/>
                    </w:rPr>
                    <w:t>无组织排放速率kg/h</w:t>
                  </w:r>
                </w:p>
              </w:tc>
              <w:tc>
                <w:tcPr>
                  <w:tcW w:w="838" w:type="pct"/>
                  <w:tcBorders>
                    <w:tl2br w:val="nil"/>
                    <w:tr2bl w:val="nil"/>
                  </w:tcBorders>
                  <w:noWrap w:val="0"/>
                  <w:vAlign w:val="center"/>
                </w:tcPr>
                <w:p w14:paraId="4308DA2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kern w:val="2"/>
                      <w:sz w:val="21"/>
                      <w:szCs w:val="21"/>
                      <w:u w:val="none" w:color="auto"/>
                      <w:vertAlign w:val="baseline"/>
                      <w:lang w:val="en-US" w:eastAsia="zh-CN"/>
                    </w:rPr>
                  </w:pPr>
                  <w:r>
                    <w:rPr>
                      <w:rFonts w:hint="default" w:ascii="Times New Roman" w:hAnsi="Times New Roman" w:eastAsia="宋体" w:cs="Times New Roman"/>
                      <w:b/>
                      <w:bCs w:val="0"/>
                      <w:color w:val="auto"/>
                      <w:kern w:val="2"/>
                      <w:sz w:val="21"/>
                      <w:szCs w:val="21"/>
                      <w:u w:val="none" w:color="auto"/>
                      <w:vertAlign w:val="baseline"/>
                      <w:lang w:val="en-US" w:eastAsia="zh-CN"/>
                    </w:rPr>
                    <w:t>排放时间h</w:t>
                  </w:r>
                </w:p>
              </w:tc>
              <w:tc>
                <w:tcPr>
                  <w:tcW w:w="838" w:type="pct"/>
                  <w:tcBorders>
                    <w:tl2br w:val="nil"/>
                    <w:tr2bl w:val="nil"/>
                  </w:tcBorders>
                  <w:noWrap w:val="0"/>
                  <w:vAlign w:val="center"/>
                </w:tcPr>
                <w:p w14:paraId="3FAEC8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kern w:val="2"/>
                      <w:sz w:val="21"/>
                      <w:szCs w:val="21"/>
                      <w:u w:val="none" w:color="auto"/>
                      <w:vertAlign w:val="baseline"/>
                      <w:lang w:val="en-US" w:eastAsia="zh-CN"/>
                    </w:rPr>
                  </w:pPr>
                  <w:r>
                    <w:rPr>
                      <w:rFonts w:hint="default" w:ascii="Times New Roman" w:hAnsi="Times New Roman" w:eastAsia="宋体" w:cs="Times New Roman"/>
                      <w:b/>
                      <w:bCs w:val="0"/>
                      <w:color w:val="auto"/>
                      <w:kern w:val="2"/>
                      <w:sz w:val="21"/>
                      <w:szCs w:val="21"/>
                      <w:u w:val="none" w:color="auto"/>
                      <w:vertAlign w:val="baseline"/>
                      <w:lang w:val="en-US" w:eastAsia="zh-CN"/>
                    </w:rPr>
                    <w:t>排放标准</w:t>
                  </w:r>
                </w:p>
                <w:p w14:paraId="6C342A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bCs/>
                      <w:color w:val="auto"/>
                      <w:kern w:val="2"/>
                      <w:sz w:val="21"/>
                      <w:szCs w:val="21"/>
                      <w:u w:val="none" w:color="auto"/>
                      <w:vertAlign w:val="baseline"/>
                    </w:rPr>
                  </w:pPr>
                  <w:r>
                    <w:rPr>
                      <w:rFonts w:hint="default" w:ascii="Times New Roman" w:hAnsi="Times New Roman" w:eastAsia="宋体" w:cs="Times New Roman"/>
                      <w:b/>
                      <w:bCs w:val="0"/>
                      <w:color w:val="auto"/>
                      <w:kern w:val="2"/>
                      <w:sz w:val="21"/>
                      <w:szCs w:val="21"/>
                      <w:u w:val="none" w:color="auto"/>
                      <w:vertAlign w:val="baseline"/>
                      <w:lang w:val="en-US" w:eastAsia="zh-CN"/>
                    </w:rPr>
                    <w:t>（厂区）</w:t>
                  </w:r>
                </w:p>
              </w:tc>
              <w:tc>
                <w:tcPr>
                  <w:tcW w:w="734" w:type="pct"/>
                  <w:tcBorders>
                    <w:tl2br w:val="nil"/>
                    <w:tr2bl w:val="nil"/>
                  </w:tcBorders>
                  <w:noWrap w:val="0"/>
                  <w:vAlign w:val="center"/>
                </w:tcPr>
                <w:p w14:paraId="475A59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kern w:val="2"/>
                      <w:sz w:val="21"/>
                      <w:szCs w:val="21"/>
                      <w:u w:val="none" w:color="auto"/>
                      <w:vertAlign w:val="baseline"/>
                      <w:lang w:val="en-US" w:eastAsia="zh-CN"/>
                    </w:rPr>
                  </w:pPr>
                  <w:r>
                    <w:rPr>
                      <w:rFonts w:hint="default" w:ascii="Times New Roman" w:hAnsi="Times New Roman" w:eastAsia="宋体" w:cs="Times New Roman"/>
                      <w:b/>
                      <w:bCs w:val="0"/>
                      <w:color w:val="auto"/>
                      <w:kern w:val="2"/>
                      <w:sz w:val="21"/>
                      <w:szCs w:val="21"/>
                      <w:u w:val="none" w:color="auto"/>
                      <w:vertAlign w:val="baseline"/>
                      <w:lang w:val="en-US" w:eastAsia="zh-CN"/>
                    </w:rPr>
                    <w:t>排放标准</w:t>
                  </w:r>
                </w:p>
                <w:p w14:paraId="42510A9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kern w:val="2"/>
                      <w:sz w:val="21"/>
                      <w:szCs w:val="21"/>
                      <w:u w:val="none" w:color="auto"/>
                      <w:vertAlign w:val="baseline"/>
                      <w:lang w:val="en-US" w:eastAsia="zh-CN"/>
                    </w:rPr>
                  </w:pPr>
                  <w:r>
                    <w:rPr>
                      <w:rFonts w:hint="default" w:ascii="Times New Roman" w:hAnsi="Times New Roman" w:eastAsia="宋体" w:cs="Times New Roman"/>
                      <w:b/>
                      <w:bCs w:val="0"/>
                      <w:color w:val="auto"/>
                      <w:kern w:val="2"/>
                      <w:sz w:val="21"/>
                      <w:szCs w:val="21"/>
                      <w:u w:val="none" w:color="auto"/>
                      <w:vertAlign w:val="baseline"/>
                      <w:lang w:val="en-US" w:eastAsia="zh-CN"/>
                    </w:rPr>
                    <w:t>（厂界）</w:t>
                  </w:r>
                </w:p>
              </w:tc>
            </w:tr>
            <w:tr w14:paraId="4F59FC5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677" w:type="pct"/>
                  <w:tcBorders>
                    <w:tl2br w:val="nil"/>
                    <w:tr2bl w:val="nil"/>
                  </w:tcBorders>
                  <w:shd w:val="clear" w:color="auto" w:fill="auto"/>
                  <w:noWrap w:val="0"/>
                  <w:vAlign w:val="center"/>
                </w:tcPr>
                <w:p w14:paraId="17E84C9F">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bCs/>
                      <w:color w:val="auto"/>
                      <w:kern w:val="2"/>
                      <w:sz w:val="21"/>
                      <w:szCs w:val="21"/>
                      <w:u w:val="none" w:color="auto"/>
                      <w:vertAlign w:val="baseline"/>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熔炼</w:t>
                  </w:r>
                </w:p>
              </w:tc>
              <w:tc>
                <w:tcPr>
                  <w:tcW w:w="593" w:type="pct"/>
                  <w:tcBorders>
                    <w:tl2br w:val="nil"/>
                    <w:tr2bl w:val="nil"/>
                  </w:tcBorders>
                  <w:shd w:val="clear" w:color="auto" w:fill="auto"/>
                  <w:noWrap w:val="0"/>
                  <w:vAlign w:val="center"/>
                </w:tcPr>
                <w:p w14:paraId="7DA019BA">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u w:val="none" w:color="auto"/>
                      <w:vertAlign w:val="baseline"/>
                      <w:lang w:val="en-US" w:eastAsia="zh-CN" w:bidi="ar-SA"/>
                    </w:rPr>
                  </w:pPr>
                  <w:r>
                    <w:rPr>
                      <w:rFonts w:hint="default" w:ascii="Times New Roman" w:hAnsi="Times New Roman" w:cs="Times New Roman"/>
                      <w:b w:val="0"/>
                      <w:bCs w:val="0"/>
                      <w:color w:val="auto"/>
                      <w:kern w:val="2"/>
                      <w:sz w:val="21"/>
                      <w:szCs w:val="21"/>
                      <w:u w:val="none" w:color="auto"/>
                      <w:vertAlign w:val="baseline"/>
                      <w:lang w:val="en-US" w:eastAsia="zh-CN"/>
                    </w:rPr>
                    <w:t>颗粒物</w:t>
                  </w:r>
                </w:p>
              </w:tc>
              <w:tc>
                <w:tcPr>
                  <w:tcW w:w="611" w:type="pct"/>
                  <w:tcBorders>
                    <w:tl2br w:val="nil"/>
                    <w:tr2bl w:val="nil"/>
                  </w:tcBorders>
                  <w:shd w:val="clear" w:color="auto" w:fill="auto"/>
                  <w:noWrap w:val="0"/>
                  <w:vAlign w:val="center"/>
                </w:tcPr>
                <w:p w14:paraId="5F6CE23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b w:val="0"/>
                      <w:bCs w:val="0"/>
                      <w:i w:val="0"/>
                      <w:iCs w:val="0"/>
                      <w:color w:val="auto"/>
                      <w:kern w:val="0"/>
                      <w:sz w:val="21"/>
                      <w:szCs w:val="21"/>
                      <w:highlight w:val="none"/>
                      <w:u w:val="none" w:color="auto"/>
                      <w:lang w:val="en-US" w:eastAsia="zh-CN" w:bidi="ar"/>
                    </w:rPr>
                  </w:pPr>
                  <w:r>
                    <w:rPr>
                      <w:rFonts w:hint="eastAsia" w:ascii="Times New Roman" w:hAnsi="Times New Roman" w:cs="Times New Roman"/>
                      <w:b w:val="0"/>
                      <w:bCs w:val="0"/>
                      <w:i w:val="0"/>
                      <w:iCs w:val="0"/>
                      <w:color w:val="auto"/>
                      <w:kern w:val="0"/>
                      <w:sz w:val="21"/>
                      <w:szCs w:val="21"/>
                      <w:highlight w:val="none"/>
                      <w:u w:val="none" w:color="auto"/>
                      <w:lang w:val="en-US" w:eastAsia="zh-CN" w:bidi="ar"/>
                    </w:rPr>
                    <w:t xml:space="preserve">0.240 </w:t>
                  </w:r>
                </w:p>
              </w:tc>
              <w:tc>
                <w:tcPr>
                  <w:tcW w:w="707" w:type="pct"/>
                  <w:tcBorders>
                    <w:tl2br w:val="nil"/>
                    <w:tr2bl w:val="nil"/>
                  </w:tcBorders>
                  <w:shd w:val="clear" w:color="auto" w:fill="auto"/>
                  <w:noWrap w:val="0"/>
                  <w:vAlign w:val="center"/>
                </w:tcPr>
                <w:p w14:paraId="4153FB3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b w:val="0"/>
                      <w:bCs w:val="0"/>
                      <w:i w:val="0"/>
                      <w:iCs w:val="0"/>
                      <w:color w:val="auto"/>
                      <w:kern w:val="0"/>
                      <w:sz w:val="21"/>
                      <w:szCs w:val="21"/>
                      <w:highlight w:val="none"/>
                      <w:u w:val="none" w:color="auto"/>
                      <w:lang w:val="en-US" w:eastAsia="zh-CN" w:bidi="ar"/>
                    </w:rPr>
                  </w:pPr>
                  <w:r>
                    <w:rPr>
                      <w:rFonts w:hint="eastAsia" w:ascii="Times New Roman" w:hAnsi="Times New Roman" w:cs="Times New Roman"/>
                      <w:b w:val="0"/>
                      <w:bCs w:val="0"/>
                      <w:i w:val="0"/>
                      <w:iCs w:val="0"/>
                      <w:color w:val="auto"/>
                      <w:kern w:val="0"/>
                      <w:sz w:val="21"/>
                      <w:szCs w:val="21"/>
                      <w:highlight w:val="none"/>
                      <w:u w:val="none" w:color="auto"/>
                      <w:lang w:val="en-US" w:eastAsia="zh-CN" w:bidi="ar"/>
                    </w:rPr>
                    <w:t xml:space="preserve">0.067 </w:t>
                  </w:r>
                </w:p>
              </w:tc>
              <w:tc>
                <w:tcPr>
                  <w:tcW w:w="838" w:type="pct"/>
                  <w:tcBorders>
                    <w:tl2br w:val="nil"/>
                    <w:tr2bl w:val="nil"/>
                  </w:tcBorders>
                  <w:shd w:val="clear" w:color="auto" w:fill="auto"/>
                  <w:noWrap w:val="0"/>
                  <w:vAlign w:val="center"/>
                </w:tcPr>
                <w:p w14:paraId="3AE4C394">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u w:val="none" w:color="auto"/>
                      <w:vertAlign w:val="baseline"/>
                      <w:lang w:val="en-US" w:eastAsia="zh-CN" w:bidi="ar-SA"/>
                    </w:rPr>
                  </w:pPr>
                  <w:r>
                    <w:rPr>
                      <w:rFonts w:hint="eastAsia" w:ascii="Times New Roman" w:hAnsi="Times New Roman" w:cs="Times New Roman"/>
                      <w:b w:val="0"/>
                      <w:bCs w:val="0"/>
                      <w:color w:val="auto"/>
                      <w:kern w:val="2"/>
                      <w:sz w:val="21"/>
                      <w:szCs w:val="21"/>
                      <w:highlight w:val="none"/>
                      <w:u w:val="none" w:color="auto"/>
                      <w:vertAlign w:val="baseline"/>
                      <w:lang w:val="en-US" w:eastAsia="zh-CN"/>
                    </w:rPr>
                    <w:t>3600</w:t>
                  </w:r>
                </w:p>
              </w:tc>
              <w:tc>
                <w:tcPr>
                  <w:tcW w:w="838" w:type="pct"/>
                  <w:vMerge w:val="restart"/>
                  <w:tcBorders>
                    <w:tl2br w:val="nil"/>
                    <w:tr2bl w:val="nil"/>
                  </w:tcBorders>
                  <w:noWrap w:val="0"/>
                  <w:vAlign w:val="center"/>
                </w:tcPr>
                <w:p w14:paraId="014BF72C">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u w:val="none" w:color="auto"/>
                      <w:vertAlign w:val="baseline"/>
                      <w:lang w:val="en-US" w:eastAsia="zh-CN"/>
                    </w:rPr>
                  </w:pPr>
                  <w:r>
                    <w:rPr>
                      <w:rFonts w:hint="default" w:ascii="Times New Roman" w:hAnsi="Times New Roman" w:cs="Times New Roman"/>
                      <w:b w:val="0"/>
                      <w:bCs w:val="0"/>
                      <w:color w:val="auto"/>
                      <w:kern w:val="2"/>
                      <w:sz w:val="21"/>
                      <w:szCs w:val="21"/>
                      <w:u w:val="none" w:color="auto"/>
                      <w:vertAlign w:val="baseline"/>
                    </w:rPr>
                    <w:t>《铸造工业大气污染物排放标准》（GB39726—2020）</w:t>
                  </w:r>
                  <w:r>
                    <w:rPr>
                      <w:rFonts w:hint="default" w:ascii="Times New Roman" w:hAnsi="Times New Roman" w:cs="Times New Roman"/>
                      <w:b w:val="0"/>
                      <w:bCs w:val="0"/>
                      <w:color w:val="auto"/>
                      <w:kern w:val="2"/>
                      <w:sz w:val="21"/>
                      <w:szCs w:val="21"/>
                      <w:u w:val="none" w:color="auto"/>
                      <w:vertAlign w:val="baseline"/>
                      <w:lang w:val="en-US" w:eastAsia="zh-CN"/>
                    </w:rPr>
                    <w:t>附录A</w:t>
                  </w:r>
                </w:p>
              </w:tc>
              <w:tc>
                <w:tcPr>
                  <w:tcW w:w="734" w:type="pct"/>
                  <w:vMerge w:val="restart"/>
                  <w:tcBorders>
                    <w:tl2br w:val="nil"/>
                    <w:tr2bl w:val="nil"/>
                  </w:tcBorders>
                  <w:noWrap w:val="0"/>
                  <w:vAlign w:val="center"/>
                </w:tcPr>
                <w:p w14:paraId="53ADAB6C">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eastAsia" w:ascii="Times New Roman" w:hAnsi="Times New Roman" w:eastAsia="宋体" w:cs="Times New Roman"/>
                      <w:b w:val="0"/>
                      <w:bCs w:val="0"/>
                      <w:color w:val="auto"/>
                      <w:kern w:val="2"/>
                      <w:sz w:val="21"/>
                      <w:szCs w:val="21"/>
                      <w:u w:val="none" w:color="auto"/>
                      <w:vertAlign w:val="baseline"/>
                      <w:lang w:val="en-US" w:eastAsia="zh-CN"/>
                    </w:rPr>
                  </w:pPr>
                  <w:r>
                    <w:rPr>
                      <w:rFonts w:hint="eastAsia" w:ascii="Times New Roman" w:hAnsi="Times New Roman" w:cs="Times New Roman"/>
                      <w:b w:val="0"/>
                      <w:bCs w:val="0"/>
                      <w:color w:val="auto"/>
                      <w:kern w:val="2"/>
                      <w:sz w:val="21"/>
                      <w:szCs w:val="21"/>
                      <w:u w:val="none" w:color="auto"/>
                      <w:vertAlign w:val="baseline"/>
                      <w:lang w:val="en-US" w:eastAsia="zh-CN"/>
                    </w:rPr>
                    <w:t>/</w:t>
                  </w:r>
                </w:p>
              </w:tc>
            </w:tr>
            <w:tr w14:paraId="5ECDACC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677" w:type="pct"/>
                  <w:tcBorders>
                    <w:tl2br w:val="nil"/>
                    <w:tr2bl w:val="nil"/>
                  </w:tcBorders>
                  <w:shd w:val="clear" w:color="auto" w:fill="auto"/>
                  <w:noWrap w:val="0"/>
                  <w:vAlign w:val="center"/>
                </w:tcPr>
                <w:p w14:paraId="2571C703">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bCs/>
                      <w:color w:val="auto"/>
                      <w:kern w:val="2"/>
                      <w:sz w:val="21"/>
                      <w:szCs w:val="21"/>
                      <w:u w:val="none" w:color="auto"/>
                      <w:vertAlign w:val="baseline"/>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浇注</w:t>
                  </w:r>
                </w:p>
              </w:tc>
              <w:tc>
                <w:tcPr>
                  <w:tcW w:w="593" w:type="pct"/>
                  <w:tcBorders>
                    <w:tl2br w:val="nil"/>
                    <w:tr2bl w:val="nil"/>
                  </w:tcBorders>
                  <w:shd w:val="clear" w:color="auto" w:fill="auto"/>
                  <w:noWrap w:val="0"/>
                  <w:vAlign w:val="center"/>
                </w:tcPr>
                <w:p w14:paraId="53D4DD71">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u w:val="none" w:color="auto"/>
                      <w:vertAlign w:val="baseline"/>
                      <w:lang w:val="en-US" w:eastAsia="zh-CN" w:bidi="ar-SA"/>
                    </w:rPr>
                  </w:pPr>
                  <w:r>
                    <w:rPr>
                      <w:rFonts w:hint="default" w:ascii="Times New Roman" w:hAnsi="Times New Roman" w:cs="Times New Roman"/>
                      <w:b w:val="0"/>
                      <w:bCs w:val="0"/>
                      <w:color w:val="auto"/>
                      <w:kern w:val="2"/>
                      <w:sz w:val="21"/>
                      <w:szCs w:val="21"/>
                      <w:u w:val="none" w:color="auto"/>
                      <w:vertAlign w:val="baseline"/>
                      <w:lang w:val="en-US" w:eastAsia="zh-CN"/>
                    </w:rPr>
                    <w:t>颗粒物</w:t>
                  </w:r>
                </w:p>
              </w:tc>
              <w:tc>
                <w:tcPr>
                  <w:tcW w:w="611" w:type="pct"/>
                  <w:tcBorders>
                    <w:tl2br w:val="nil"/>
                    <w:tr2bl w:val="nil"/>
                  </w:tcBorders>
                  <w:shd w:val="clear" w:color="auto" w:fill="auto"/>
                  <w:noWrap w:val="0"/>
                  <w:vAlign w:val="center"/>
                </w:tcPr>
                <w:p w14:paraId="13BEA13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b w:val="0"/>
                      <w:bCs w:val="0"/>
                      <w:i w:val="0"/>
                      <w:iCs w:val="0"/>
                      <w:color w:val="auto"/>
                      <w:kern w:val="0"/>
                      <w:sz w:val="21"/>
                      <w:szCs w:val="21"/>
                      <w:highlight w:val="none"/>
                      <w:u w:val="none" w:color="auto"/>
                      <w:lang w:val="en-US" w:eastAsia="zh-CN" w:bidi="ar"/>
                    </w:rPr>
                  </w:pPr>
                  <w:r>
                    <w:rPr>
                      <w:rFonts w:hint="eastAsia" w:ascii="Times New Roman" w:hAnsi="Times New Roman" w:cs="Times New Roman"/>
                      <w:b w:val="0"/>
                      <w:bCs w:val="0"/>
                      <w:i w:val="0"/>
                      <w:iCs w:val="0"/>
                      <w:color w:val="auto"/>
                      <w:kern w:val="0"/>
                      <w:sz w:val="21"/>
                      <w:szCs w:val="21"/>
                      <w:highlight w:val="none"/>
                      <w:u w:val="none" w:color="auto"/>
                      <w:lang w:val="en-US" w:eastAsia="zh-CN" w:bidi="ar"/>
                    </w:rPr>
                    <w:t xml:space="preserve">0.124 </w:t>
                  </w:r>
                </w:p>
              </w:tc>
              <w:tc>
                <w:tcPr>
                  <w:tcW w:w="707" w:type="pct"/>
                  <w:tcBorders>
                    <w:tl2br w:val="nil"/>
                    <w:tr2bl w:val="nil"/>
                  </w:tcBorders>
                  <w:shd w:val="clear" w:color="auto" w:fill="auto"/>
                  <w:noWrap w:val="0"/>
                  <w:vAlign w:val="center"/>
                </w:tcPr>
                <w:p w14:paraId="2B91E2A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b w:val="0"/>
                      <w:bCs w:val="0"/>
                      <w:i w:val="0"/>
                      <w:iCs w:val="0"/>
                      <w:color w:val="auto"/>
                      <w:kern w:val="0"/>
                      <w:sz w:val="21"/>
                      <w:szCs w:val="21"/>
                      <w:highlight w:val="none"/>
                      <w:u w:val="none" w:color="auto"/>
                      <w:lang w:val="en-US" w:eastAsia="zh-CN" w:bidi="ar"/>
                    </w:rPr>
                  </w:pPr>
                  <w:r>
                    <w:rPr>
                      <w:rFonts w:hint="eastAsia" w:ascii="Times New Roman" w:hAnsi="Times New Roman" w:cs="Times New Roman"/>
                      <w:b w:val="0"/>
                      <w:bCs w:val="0"/>
                      <w:i w:val="0"/>
                      <w:iCs w:val="0"/>
                      <w:color w:val="auto"/>
                      <w:kern w:val="0"/>
                      <w:sz w:val="21"/>
                      <w:szCs w:val="21"/>
                      <w:highlight w:val="none"/>
                      <w:u w:val="none" w:color="auto"/>
                      <w:lang w:val="en-US" w:eastAsia="zh-CN" w:bidi="ar"/>
                    </w:rPr>
                    <w:t xml:space="preserve">0.051 </w:t>
                  </w:r>
                </w:p>
              </w:tc>
              <w:tc>
                <w:tcPr>
                  <w:tcW w:w="838" w:type="pct"/>
                  <w:tcBorders>
                    <w:tl2br w:val="nil"/>
                    <w:tr2bl w:val="nil"/>
                  </w:tcBorders>
                  <w:shd w:val="clear" w:color="auto" w:fill="auto"/>
                  <w:noWrap w:val="0"/>
                  <w:vAlign w:val="center"/>
                </w:tcPr>
                <w:p w14:paraId="51988421">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u w:val="none" w:color="auto"/>
                      <w:vertAlign w:val="baseline"/>
                      <w:lang w:val="en-US" w:eastAsia="zh-CN" w:bidi="ar-SA"/>
                    </w:rPr>
                  </w:pPr>
                  <w:r>
                    <w:rPr>
                      <w:rFonts w:hint="eastAsia" w:ascii="Times New Roman" w:hAnsi="Times New Roman" w:cs="Times New Roman"/>
                      <w:b w:val="0"/>
                      <w:bCs w:val="0"/>
                      <w:color w:val="auto"/>
                      <w:kern w:val="2"/>
                      <w:sz w:val="21"/>
                      <w:szCs w:val="21"/>
                      <w:highlight w:val="none"/>
                      <w:u w:val="none" w:color="auto"/>
                      <w:vertAlign w:val="baseline"/>
                      <w:lang w:val="en-US" w:eastAsia="zh-CN"/>
                    </w:rPr>
                    <w:t>2400</w:t>
                  </w:r>
                </w:p>
              </w:tc>
              <w:tc>
                <w:tcPr>
                  <w:tcW w:w="838" w:type="pct"/>
                  <w:vMerge w:val="continue"/>
                  <w:tcBorders>
                    <w:tl2br w:val="nil"/>
                    <w:tr2bl w:val="nil"/>
                  </w:tcBorders>
                  <w:noWrap w:val="0"/>
                  <w:vAlign w:val="center"/>
                </w:tcPr>
                <w:p w14:paraId="117B7FF9">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vertAlign w:val="baseline"/>
                    </w:rPr>
                  </w:pPr>
                </w:p>
              </w:tc>
              <w:tc>
                <w:tcPr>
                  <w:tcW w:w="734" w:type="pct"/>
                  <w:vMerge w:val="continue"/>
                  <w:tcBorders>
                    <w:tl2br w:val="nil"/>
                    <w:tr2bl w:val="nil"/>
                  </w:tcBorders>
                  <w:noWrap w:val="0"/>
                  <w:vAlign w:val="center"/>
                </w:tcPr>
                <w:p w14:paraId="7473DCDB">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vertAlign w:val="baseline"/>
                    </w:rPr>
                  </w:pPr>
                </w:p>
              </w:tc>
            </w:tr>
            <w:tr w14:paraId="4B25543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677" w:type="pct"/>
                  <w:tcBorders>
                    <w:tl2br w:val="nil"/>
                    <w:tr2bl w:val="nil"/>
                  </w:tcBorders>
                  <w:noWrap w:val="0"/>
                  <w:vAlign w:val="center"/>
                </w:tcPr>
                <w:p w14:paraId="7473333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b/>
                      <w:bCs/>
                      <w:color w:val="auto"/>
                      <w:kern w:val="2"/>
                      <w:sz w:val="21"/>
                      <w:szCs w:val="21"/>
                      <w:u w:val="none" w:color="auto"/>
                      <w:vertAlign w:val="baseline"/>
                    </w:rPr>
                  </w:pPr>
                  <w:r>
                    <w:rPr>
                      <w:rFonts w:hint="default" w:ascii="Times New Roman" w:hAnsi="Times New Roman" w:cs="Times New Roman"/>
                      <w:b w:val="0"/>
                      <w:bCs w:val="0"/>
                      <w:color w:val="auto"/>
                      <w:kern w:val="2"/>
                      <w:sz w:val="21"/>
                      <w:szCs w:val="21"/>
                      <w:u w:val="none" w:color="auto"/>
                      <w:vertAlign w:val="baseline"/>
                      <w:lang w:val="en-US" w:eastAsia="zh-CN"/>
                    </w:rPr>
                    <w:t>造型</w:t>
                  </w:r>
                </w:p>
              </w:tc>
              <w:tc>
                <w:tcPr>
                  <w:tcW w:w="593" w:type="pct"/>
                  <w:tcBorders>
                    <w:tl2br w:val="nil"/>
                    <w:tr2bl w:val="nil"/>
                  </w:tcBorders>
                  <w:noWrap w:val="0"/>
                  <w:vAlign w:val="center"/>
                </w:tcPr>
                <w:p w14:paraId="6CE1B078">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auto"/>
                      <w:kern w:val="2"/>
                      <w:sz w:val="21"/>
                      <w:szCs w:val="21"/>
                      <w:u w:val="none" w:color="auto"/>
                      <w:vertAlign w:val="baseline"/>
                    </w:rPr>
                  </w:pPr>
                  <w:r>
                    <w:rPr>
                      <w:rFonts w:hint="default" w:ascii="Times New Roman" w:hAnsi="Times New Roman" w:cs="Times New Roman"/>
                      <w:b w:val="0"/>
                      <w:bCs w:val="0"/>
                      <w:color w:val="auto"/>
                      <w:kern w:val="2"/>
                      <w:sz w:val="21"/>
                      <w:szCs w:val="21"/>
                      <w:u w:val="none" w:color="auto"/>
                      <w:vertAlign w:val="baseline"/>
                      <w:lang w:val="en-US" w:eastAsia="zh-CN"/>
                    </w:rPr>
                    <w:t>颗粒物</w:t>
                  </w:r>
                </w:p>
              </w:tc>
              <w:tc>
                <w:tcPr>
                  <w:tcW w:w="611" w:type="pct"/>
                  <w:tcBorders>
                    <w:tl2br w:val="nil"/>
                    <w:tr2bl w:val="nil"/>
                  </w:tcBorders>
                  <w:noWrap w:val="0"/>
                  <w:vAlign w:val="center"/>
                </w:tcPr>
                <w:p w14:paraId="1FC9E78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b w:val="0"/>
                      <w:bCs w:val="0"/>
                      <w:i w:val="0"/>
                      <w:iCs w:val="0"/>
                      <w:color w:val="auto"/>
                      <w:kern w:val="0"/>
                      <w:sz w:val="21"/>
                      <w:szCs w:val="21"/>
                      <w:highlight w:val="none"/>
                      <w:u w:val="none" w:color="auto"/>
                      <w:lang w:val="en-US" w:eastAsia="zh-CN" w:bidi="ar"/>
                    </w:rPr>
                  </w:pPr>
                  <w:r>
                    <w:rPr>
                      <w:rFonts w:hint="eastAsia" w:ascii="Times New Roman" w:hAnsi="Times New Roman" w:cs="Times New Roman"/>
                      <w:b w:val="0"/>
                      <w:bCs w:val="0"/>
                      <w:i w:val="0"/>
                      <w:iCs w:val="0"/>
                      <w:color w:val="auto"/>
                      <w:kern w:val="0"/>
                      <w:sz w:val="21"/>
                      <w:szCs w:val="21"/>
                      <w:highlight w:val="none"/>
                      <w:u w:val="none" w:color="auto"/>
                      <w:lang w:val="en-US" w:eastAsia="zh-CN" w:bidi="ar"/>
                    </w:rPr>
                    <w:t xml:space="preserve">0.124 </w:t>
                  </w:r>
                </w:p>
              </w:tc>
              <w:tc>
                <w:tcPr>
                  <w:tcW w:w="707" w:type="pct"/>
                  <w:tcBorders>
                    <w:tl2br w:val="nil"/>
                    <w:tr2bl w:val="nil"/>
                  </w:tcBorders>
                  <w:noWrap w:val="0"/>
                  <w:vAlign w:val="center"/>
                </w:tcPr>
                <w:p w14:paraId="7844507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b w:val="0"/>
                      <w:bCs w:val="0"/>
                      <w:i w:val="0"/>
                      <w:iCs w:val="0"/>
                      <w:color w:val="auto"/>
                      <w:kern w:val="0"/>
                      <w:sz w:val="21"/>
                      <w:szCs w:val="21"/>
                      <w:highlight w:val="none"/>
                      <w:u w:val="none" w:color="auto"/>
                      <w:lang w:val="en-US" w:eastAsia="zh-CN" w:bidi="ar"/>
                    </w:rPr>
                  </w:pPr>
                  <w:r>
                    <w:rPr>
                      <w:rFonts w:hint="eastAsia" w:ascii="Times New Roman" w:hAnsi="Times New Roman" w:cs="Times New Roman"/>
                      <w:b w:val="0"/>
                      <w:bCs w:val="0"/>
                      <w:i w:val="0"/>
                      <w:iCs w:val="0"/>
                      <w:color w:val="auto"/>
                      <w:kern w:val="0"/>
                      <w:sz w:val="21"/>
                      <w:szCs w:val="21"/>
                      <w:highlight w:val="none"/>
                      <w:u w:val="none" w:color="auto"/>
                      <w:lang w:val="en-US" w:eastAsia="zh-CN" w:bidi="ar"/>
                    </w:rPr>
                    <w:t xml:space="preserve">0.034 </w:t>
                  </w:r>
                </w:p>
              </w:tc>
              <w:tc>
                <w:tcPr>
                  <w:tcW w:w="838" w:type="pct"/>
                  <w:tcBorders>
                    <w:tl2br w:val="nil"/>
                    <w:tr2bl w:val="nil"/>
                  </w:tcBorders>
                  <w:noWrap w:val="0"/>
                  <w:vAlign w:val="center"/>
                </w:tcPr>
                <w:p w14:paraId="75AE1127">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highlight w:val="none"/>
                      <w:u w:val="none" w:color="auto"/>
                      <w:vertAlign w:val="baseline"/>
                      <w:lang w:val="en-US" w:eastAsia="zh-CN"/>
                    </w:rPr>
                  </w:pPr>
                  <w:r>
                    <w:rPr>
                      <w:rFonts w:hint="eastAsia" w:ascii="Times New Roman" w:hAnsi="Times New Roman" w:cs="Times New Roman"/>
                      <w:b w:val="0"/>
                      <w:bCs w:val="0"/>
                      <w:color w:val="auto"/>
                      <w:kern w:val="2"/>
                      <w:sz w:val="21"/>
                      <w:szCs w:val="21"/>
                      <w:highlight w:val="none"/>
                      <w:u w:val="none" w:color="auto"/>
                      <w:vertAlign w:val="baseline"/>
                      <w:lang w:val="en-US" w:eastAsia="zh-CN"/>
                    </w:rPr>
                    <w:t>3600</w:t>
                  </w:r>
                </w:p>
              </w:tc>
              <w:tc>
                <w:tcPr>
                  <w:tcW w:w="838" w:type="pct"/>
                  <w:vMerge w:val="continue"/>
                  <w:tcBorders>
                    <w:tl2br w:val="nil"/>
                    <w:tr2bl w:val="nil"/>
                  </w:tcBorders>
                  <w:noWrap w:val="0"/>
                  <w:vAlign w:val="center"/>
                </w:tcPr>
                <w:p w14:paraId="3E7CACF0">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vertAlign w:val="baseline"/>
                    </w:rPr>
                  </w:pPr>
                </w:p>
              </w:tc>
              <w:tc>
                <w:tcPr>
                  <w:tcW w:w="734" w:type="pct"/>
                  <w:vMerge w:val="continue"/>
                  <w:tcBorders>
                    <w:tl2br w:val="nil"/>
                    <w:tr2bl w:val="nil"/>
                  </w:tcBorders>
                  <w:noWrap w:val="0"/>
                  <w:vAlign w:val="center"/>
                </w:tcPr>
                <w:p w14:paraId="79BEDAB7">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vertAlign w:val="baseline"/>
                    </w:rPr>
                  </w:pPr>
                </w:p>
              </w:tc>
            </w:tr>
            <w:tr w14:paraId="43A97D0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40" w:hRule="atLeast"/>
                <w:jc w:val="center"/>
              </w:trPr>
              <w:tc>
                <w:tcPr>
                  <w:tcW w:w="677" w:type="pct"/>
                  <w:tcBorders>
                    <w:tl2br w:val="nil"/>
                    <w:tr2bl w:val="nil"/>
                  </w:tcBorders>
                  <w:noWrap w:val="0"/>
                  <w:vAlign w:val="center"/>
                </w:tcPr>
                <w:p w14:paraId="03E1B61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砂处理</w:t>
                  </w:r>
                </w:p>
              </w:tc>
              <w:tc>
                <w:tcPr>
                  <w:tcW w:w="593" w:type="pct"/>
                  <w:tcBorders>
                    <w:tl2br w:val="nil"/>
                    <w:tr2bl w:val="nil"/>
                  </w:tcBorders>
                  <w:noWrap w:val="0"/>
                  <w:vAlign w:val="center"/>
                </w:tcPr>
                <w:p w14:paraId="6DB4BD4A">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auto"/>
                      <w:kern w:val="2"/>
                      <w:sz w:val="21"/>
                      <w:szCs w:val="21"/>
                      <w:u w:val="none" w:color="auto"/>
                      <w:vertAlign w:val="baseline"/>
                    </w:rPr>
                  </w:pPr>
                  <w:r>
                    <w:rPr>
                      <w:rFonts w:hint="default" w:ascii="Times New Roman" w:hAnsi="Times New Roman" w:cs="Times New Roman"/>
                      <w:b w:val="0"/>
                      <w:bCs w:val="0"/>
                      <w:color w:val="auto"/>
                      <w:kern w:val="2"/>
                      <w:sz w:val="21"/>
                      <w:szCs w:val="21"/>
                      <w:u w:val="none" w:color="auto"/>
                      <w:vertAlign w:val="baseline"/>
                      <w:lang w:val="en-US" w:eastAsia="zh-CN"/>
                    </w:rPr>
                    <w:t>颗粒物</w:t>
                  </w:r>
                </w:p>
              </w:tc>
              <w:tc>
                <w:tcPr>
                  <w:tcW w:w="611" w:type="pct"/>
                  <w:tcBorders>
                    <w:tl2br w:val="nil"/>
                    <w:tr2bl w:val="nil"/>
                  </w:tcBorders>
                  <w:noWrap w:val="0"/>
                  <w:vAlign w:val="center"/>
                </w:tcPr>
                <w:p w14:paraId="0E262CC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b w:val="0"/>
                      <w:bCs w:val="0"/>
                      <w:i w:val="0"/>
                      <w:iCs w:val="0"/>
                      <w:color w:val="auto"/>
                      <w:kern w:val="0"/>
                      <w:sz w:val="21"/>
                      <w:szCs w:val="21"/>
                      <w:highlight w:val="none"/>
                      <w:u w:val="none" w:color="auto"/>
                      <w:lang w:val="en-US" w:eastAsia="zh-CN" w:bidi="ar"/>
                    </w:rPr>
                  </w:pPr>
                  <w:r>
                    <w:rPr>
                      <w:rFonts w:hint="eastAsia" w:ascii="Times New Roman" w:hAnsi="Times New Roman" w:cs="Times New Roman"/>
                      <w:b w:val="0"/>
                      <w:bCs w:val="0"/>
                      <w:i w:val="0"/>
                      <w:iCs w:val="0"/>
                      <w:color w:val="auto"/>
                      <w:kern w:val="0"/>
                      <w:sz w:val="21"/>
                      <w:szCs w:val="21"/>
                      <w:highlight w:val="none"/>
                      <w:u w:val="none" w:color="auto"/>
                      <w:lang w:val="en-US" w:eastAsia="zh-CN" w:bidi="ar"/>
                    </w:rPr>
                    <w:t xml:space="preserve">0.348 </w:t>
                  </w:r>
                </w:p>
              </w:tc>
              <w:tc>
                <w:tcPr>
                  <w:tcW w:w="707" w:type="pct"/>
                  <w:tcBorders>
                    <w:tl2br w:val="nil"/>
                    <w:tr2bl w:val="nil"/>
                  </w:tcBorders>
                  <w:noWrap w:val="0"/>
                  <w:vAlign w:val="center"/>
                </w:tcPr>
                <w:p w14:paraId="7F113D2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b w:val="0"/>
                      <w:bCs w:val="0"/>
                      <w:i w:val="0"/>
                      <w:iCs w:val="0"/>
                      <w:color w:val="auto"/>
                      <w:kern w:val="0"/>
                      <w:sz w:val="21"/>
                      <w:szCs w:val="21"/>
                      <w:highlight w:val="none"/>
                      <w:u w:val="none" w:color="auto"/>
                      <w:lang w:val="en-US" w:eastAsia="zh-CN" w:bidi="ar"/>
                    </w:rPr>
                  </w:pPr>
                  <w:r>
                    <w:rPr>
                      <w:rFonts w:hint="eastAsia" w:ascii="Times New Roman" w:hAnsi="Times New Roman" w:cs="Times New Roman"/>
                      <w:b w:val="0"/>
                      <w:bCs w:val="0"/>
                      <w:i w:val="0"/>
                      <w:iCs w:val="0"/>
                      <w:color w:val="auto"/>
                      <w:kern w:val="0"/>
                      <w:sz w:val="21"/>
                      <w:szCs w:val="21"/>
                      <w:highlight w:val="none"/>
                      <w:u w:val="none" w:color="auto"/>
                      <w:lang w:val="en-US" w:eastAsia="zh-CN" w:bidi="ar"/>
                    </w:rPr>
                    <w:t xml:space="preserve">0.097 </w:t>
                  </w:r>
                </w:p>
              </w:tc>
              <w:tc>
                <w:tcPr>
                  <w:tcW w:w="838" w:type="pct"/>
                  <w:tcBorders>
                    <w:tl2br w:val="nil"/>
                    <w:tr2bl w:val="nil"/>
                  </w:tcBorders>
                  <w:noWrap w:val="0"/>
                  <w:vAlign w:val="center"/>
                </w:tcPr>
                <w:p w14:paraId="0D12459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color="auto"/>
                      <w:lang w:val="en-US" w:eastAsia="zh-CN" w:bidi="ar"/>
                    </w:rPr>
                  </w:pPr>
                  <w:r>
                    <w:rPr>
                      <w:rFonts w:hint="eastAsia" w:ascii="Times New Roman" w:hAnsi="Times New Roman" w:cs="Times New Roman"/>
                      <w:b w:val="0"/>
                      <w:bCs w:val="0"/>
                      <w:i w:val="0"/>
                      <w:iCs w:val="0"/>
                      <w:color w:val="auto"/>
                      <w:kern w:val="0"/>
                      <w:sz w:val="21"/>
                      <w:szCs w:val="21"/>
                      <w:highlight w:val="none"/>
                      <w:u w:val="none" w:color="auto"/>
                      <w:lang w:val="en-US" w:eastAsia="zh-CN" w:bidi="ar"/>
                    </w:rPr>
                    <w:t>3600</w:t>
                  </w:r>
                </w:p>
              </w:tc>
              <w:tc>
                <w:tcPr>
                  <w:tcW w:w="838" w:type="pct"/>
                  <w:vMerge w:val="continue"/>
                  <w:tcBorders>
                    <w:tl2br w:val="nil"/>
                    <w:tr2bl w:val="nil"/>
                  </w:tcBorders>
                  <w:noWrap w:val="0"/>
                  <w:vAlign w:val="center"/>
                </w:tcPr>
                <w:p w14:paraId="119F3594">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vertAlign w:val="baseline"/>
                    </w:rPr>
                  </w:pPr>
                </w:p>
              </w:tc>
              <w:tc>
                <w:tcPr>
                  <w:tcW w:w="734" w:type="pct"/>
                  <w:vMerge w:val="continue"/>
                  <w:tcBorders>
                    <w:tl2br w:val="nil"/>
                    <w:tr2bl w:val="nil"/>
                  </w:tcBorders>
                  <w:noWrap w:val="0"/>
                  <w:vAlign w:val="center"/>
                </w:tcPr>
                <w:p w14:paraId="14BDEB6D">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vertAlign w:val="baseline"/>
                    </w:rPr>
                  </w:pPr>
                </w:p>
              </w:tc>
            </w:tr>
            <w:tr w14:paraId="5084C55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677" w:type="pct"/>
                  <w:tcBorders>
                    <w:tl2br w:val="nil"/>
                    <w:tr2bl w:val="nil"/>
                  </w:tcBorders>
                  <w:noWrap w:val="0"/>
                  <w:vAlign w:val="center"/>
                </w:tcPr>
                <w:p w14:paraId="42D617F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打磨清理</w:t>
                  </w:r>
                </w:p>
              </w:tc>
              <w:tc>
                <w:tcPr>
                  <w:tcW w:w="593" w:type="pct"/>
                  <w:tcBorders>
                    <w:tl2br w:val="nil"/>
                    <w:tr2bl w:val="nil"/>
                  </w:tcBorders>
                  <w:noWrap w:val="0"/>
                  <w:vAlign w:val="center"/>
                </w:tcPr>
                <w:p w14:paraId="35C62142">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auto"/>
                      <w:kern w:val="2"/>
                      <w:sz w:val="21"/>
                      <w:szCs w:val="21"/>
                      <w:u w:val="none" w:color="auto"/>
                      <w:vertAlign w:val="baseline"/>
                    </w:rPr>
                  </w:pPr>
                  <w:r>
                    <w:rPr>
                      <w:rFonts w:hint="default" w:ascii="Times New Roman" w:hAnsi="Times New Roman" w:cs="Times New Roman"/>
                      <w:b w:val="0"/>
                      <w:bCs w:val="0"/>
                      <w:color w:val="auto"/>
                      <w:kern w:val="2"/>
                      <w:sz w:val="21"/>
                      <w:szCs w:val="21"/>
                      <w:u w:val="none" w:color="auto"/>
                      <w:vertAlign w:val="baseline"/>
                      <w:lang w:val="en-US" w:eastAsia="zh-CN"/>
                    </w:rPr>
                    <w:t>颗粒物</w:t>
                  </w:r>
                </w:p>
              </w:tc>
              <w:tc>
                <w:tcPr>
                  <w:tcW w:w="611" w:type="pct"/>
                  <w:tcBorders>
                    <w:tl2br w:val="nil"/>
                    <w:tr2bl w:val="nil"/>
                  </w:tcBorders>
                  <w:noWrap w:val="0"/>
                  <w:vAlign w:val="center"/>
                </w:tcPr>
                <w:p w14:paraId="6CAA994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b w:val="0"/>
                      <w:bCs w:val="0"/>
                      <w:i w:val="0"/>
                      <w:iCs w:val="0"/>
                      <w:color w:val="auto"/>
                      <w:kern w:val="0"/>
                      <w:sz w:val="21"/>
                      <w:szCs w:val="21"/>
                      <w:highlight w:val="none"/>
                      <w:u w:val="none" w:color="auto"/>
                      <w:lang w:val="en-US" w:eastAsia="zh-CN" w:bidi="ar"/>
                    </w:rPr>
                  </w:pPr>
                  <w:r>
                    <w:rPr>
                      <w:rFonts w:hint="eastAsia" w:ascii="Times New Roman" w:hAnsi="Times New Roman" w:cs="Times New Roman"/>
                      <w:b w:val="0"/>
                      <w:bCs w:val="0"/>
                      <w:i w:val="0"/>
                      <w:iCs w:val="0"/>
                      <w:color w:val="auto"/>
                      <w:kern w:val="0"/>
                      <w:sz w:val="21"/>
                      <w:szCs w:val="21"/>
                      <w:highlight w:val="none"/>
                      <w:u w:val="none" w:color="auto"/>
                      <w:lang w:val="en-US" w:eastAsia="zh-CN" w:bidi="ar"/>
                    </w:rPr>
                    <w:t xml:space="preserve">0.219 </w:t>
                  </w:r>
                </w:p>
              </w:tc>
              <w:tc>
                <w:tcPr>
                  <w:tcW w:w="707" w:type="pct"/>
                  <w:tcBorders>
                    <w:tl2br w:val="nil"/>
                    <w:tr2bl w:val="nil"/>
                  </w:tcBorders>
                  <w:noWrap w:val="0"/>
                  <w:vAlign w:val="center"/>
                </w:tcPr>
                <w:p w14:paraId="21541FF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b w:val="0"/>
                      <w:bCs w:val="0"/>
                      <w:i w:val="0"/>
                      <w:iCs w:val="0"/>
                      <w:color w:val="auto"/>
                      <w:kern w:val="0"/>
                      <w:sz w:val="21"/>
                      <w:szCs w:val="21"/>
                      <w:highlight w:val="none"/>
                      <w:u w:val="none" w:color="auto"/>
                      <w:lang w:val="en-US" w:eastAsia="zh-CN" w:bidi="ar"/>
                    </w:rPr>
                  </w:pPr>
                  <w:r>
                    <w:rPr>
                      <w:rFonts w:hint="eastAsia" w:ascii="Times New Roman" w:hAnsi="Times New Roman" w:cs="Times New Roman"/>
                      <w:b w:val="0"/>
                      <w:bCs w:val="0"/>
                      <w:i w:val="0"/>
                      <w:iCs w:val="0"/>
                      <w:color w:val="auto"/>
                      <w:kern w:val="0"/>
                      <w:sz w:val="21"/>
                      <w:szCs w:val="21"/>
                      <w:highlight w:val="none"/>
                      <w:u w:val="none" w:color="auto"/>
                      <w:lang w:val="en-US" w:eastAsia="zh-CN" w:bidi="ar"/>
                    </w:rPr>
                    <w:t xml:space="preserve">0.061 </w:t>
                  </w:r>
                </w:p>
              </w:tc>
              <w:tc>
                <w:tcPr>
                  <w:tcW w:w="838" w:type="pct"/>
                  <w:tcBorders>
                    <w:tl2br w:val="nil"/>
                    <w:tr2bl w:val="nil"/>
                  </w:tcBorders>
                  <w:noWrap w:val="0"/>
                  <w:vAlign w:val="center"/>
                </w:tcPr>
                <w:p w14:paraId="63698C5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color="auto"/>
                      <w:lang w:val="en-US" w:eastAsia="zh-CN" w:bidi="ar"/>
                    </w:rPr>
                  </w:pPr>
                  <w:r>
                    <w:rPr>
                      <w:rFonts w:hint="eastAsia" w:ascii="Times New Roman" w:hAnsi="Times New Roman" w:cs="Times New Roman"/>
                      <w:b w:val="0"/>
                      <w:bCs w:val="0"/>
                      <w:i w:val="0"/>
                      <w:iCs w:val="0"/>
                      <w:color w:val="auto"/>
                      <w:kern w:val="0"/>
                      <w:sz w:val="21"/>
                      <w:szCs w:val="21"/>
                      <w:highlight w:val="none"/>
                      <w:u w:val="none" w:color="auto"/>
                      <w:lang w:val="en-US" w:eastAsia="zh-CN" w:bidi="ar"/>
                    </w:rPr>
                    <w:t>3600</w:t>
                  </w:r>
                </w:p>
              </w:tc>
              <w:tc>
                <w:tcPr>
                  <w:tcW w:w="838" w:type="pct"/>
                  <w:vMerge w:val="continue"/>
                  <w:tcBorders>
                    <w:tl2br w:val="nil"/>
                    <w:tr2bl w:val="nil"/>
                  </w:tcBorders>
                  <w:noWrap w:val="0"/>
                  <w:vAlign w:val="center"/>
                </w:tcPr>
                <w:p w14:paraId="1EEE2663">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vertAlign w:val="baseline"/>
                    </w:rPr>
                  </w:pPr>
                </w:p>
              </w:tc>
              <w:tc>
                <w:tcPr>
                  <w:tcW w:w="734" w:type="pct"/>
                  <w:vMerge w:val="continue"/>
                  <w:tcBorders>
                    <w:tl2br w:val="nil"/>
                    <w:tr2bl w:val="nil"/>
                  </w:tcBorders>
                  <w:noWrap w:val="0"/>
                  <w:vAlign w:val="center"/>
                </w:tcPr>
                <w:p w14:paraId="3992D20E">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vertAlign w:val="baseline"/>
                    </w:rPr>
                  </w:pPr>
                </w:p>
              </w:tc>
            </w:tr>
            <w:tr w14:paraId="190E3BE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677" w:type="pct"/>
                  <w:tcBorders>
                    <w:tl2br w:val="nil"/>
                    <w:tr2bl w:val="nil"/>
                  </w:tcBorders>
                  <w:shd w:val="clear" w:color="auto" w:fill="auto"/>
                  <w:noWrap w:val="0"/>
                  <w:vAlign w:val="center"/>
                </w:tcPr>
                <w:p w14:paraId="27C33359">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落砂</w:t>
                  </w:r>
                </w:p>
              </w:tc>
              <w:tc>
                <w:tcPr>
                  <w:tcW w:w="593" w:type="pct"/>
                  <w:tcBorders>
                    <w:tl2br w:val="nil"/>
                    <w:tr2bl w:val="nil"/>
                  </w:tcBorders>
                  <w:shd w:val="clear" w:color="auto" w:fill="auto"/>
                  <w:noWrap w:val="0"/>
                  <w:vAlign w:val="center"/>
                </w:tcPr>
                <w:p w14:paraId="37D7CBA7">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u w:val="none" w:color="auto"/>
                      <w:vertAlign w:val="baseline"/>
                      <w:lang w:val="en-US" w:eastAsia="zh-CN" w:bidi="ar-SA"/>
                    </w:rPr>
                  </w:pPr>
                  <w:r>
                    <w:rPr>
                      <w:rFonts w:hint="default" w:ascii="Times New Roman" w:hAnsi="Times New Roman" w:cs="Times New Roman"/>
                      <w:b w:val="0"/>
                      <w:bCs w:val="0"/>
                      <w:color w:val="auto"/>
                      <w:kern w:val="2"/>
                      <w:sz w:val="21"/>
                      <w:szCs w:val="21"/>
                      <w:u w:val="none" w:color="auto"/>
                      <w:vertAlign w:val="baseline"/>
                      <w:lang w:val="en-US" w:eastAsia="zh-CN"/>
                    </w:rPr>
                    <w:t>颗粒物</w:t>
                  </w:r>
                </w:p>
              </w:tc>
              <w:tc>
                <w:tcPr>
                  <w:tcW w:w="611" w:type="pct"/>
                  <w:tcBorders>
                    <w:tl2br w:val="nil"/>
                    <w:tr2bl w:val="nil"/>
                  </w:tcBorders>
                  <w:shd w:val="clear" w:color="auto" w:fill="auto"/>
                  <w:noWrap w:val="0"/>
                  <w:vAlign w:val="center"/>
                </w:tcPr>
                <w:p w14:paraId="1E5840EE">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b w:val="0"/>
                      <w:bCs w:val="0"/>
                      <w:i w:val="0"/>
                      <w:iCs w:val="0"/>
                      <w:color w:val="auto"/>
                      <w:kern w:val="0"/>
                      <w:sz w:val="21"/>
                      <w:szCs w:val="21"/>
                      <w:highlight w:val="none"/>
                      <w:u w:val="none" w:color="auto"/>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color="auto"/>
                      <w:lang w:val="en-US" w:eastAsia="zh-CN" w:bidi="ar"/>
                    </w:rPr>
                    <w:t xml:space="preserve">0.300 </w:t>
                  </w:r>
                </w:p>
              </w:tc>
              <w:tc>
                <w:tcPr>
                  <w:tcW w:w="707" w:type="pct"/>
                  <w:tcBorders>
                    <w:tl2br w:val="nil"/>
                    <w:tr2bl w:val="nil"/>
                  </w:tcBorders>
                  <w:shd w:val="clear" w:color="auto" w:fill="auto"/>
                  <w:noWrap w:val="0"/>
                  <w:vAlign w:val="center"/>
                </w:tcPr>
                <w:p w14:paraId="06C7DD75">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b w:val="0"/>
                      <w:bCs w:val="0"/>
                      <w:i w:val="0"/>
                      <w:iCs w:val="0"/>
                      <w:color w:val="auto"/>
                      <w:kern w:val="0"/>
                      <w:sz w:val="21"/>
                      <w:szCs w:val="21"/>
                      <w:highlight w:val="none"/>
                      <w:u w:val="none" w:color="auto"/>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color="auto"/>
                      <w:lang w:val="en-US" w:eastAsia="zh-CN" w:bidi="ar"/>
                    </w:rPr>
                    <w:t xml:space="preserve">0.333 </w:t>
                  </w:r>
                </w:p>
              </w:tc>
              <w:tc>
                <w:tcPr>
                  <w:tcW w:w="838" w:type="pct"/>
                  <w:tcBorders>
                    <w:tl2br w:val="nil"/>
                    <w:tr2bl w:val="nil"/>
                  </w:tcBorders>
                  <w:noWrap w:val="0"/>
                  <w:vAlign w:val="center"/>
                </w:tcPr>
                <w:p w14:paraId="3FA9476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b w:val="0"/>
                      <w:bCs w:val="0"/>
                      <w:i w:val="0"/>
                      <w:iCs w:val="0"/>
                      <w:color w:val="auto"/>
                      <w:kern w:val="0"/>
                      <w:sz w:val="21"/>
                      <w:szCs w:val="21"/>
                      <w:highlight w:val="none"/>
                      <w:u w:val="none" w:color="auto"/>
                      <w:lang w:val="en-US" w:eastAsia="zh-CN" w:bidi="ar"/>
                    </w:rPr>
                  </w:pPr>
                  <w:r>
                    <w:rPr>
                      <w:rFonts w:hint="eastAsia" w:ascii="Times New Roman" w:hAnsi="Times New Roman" w:cs="Times New Roman"/>
                      <w:b w:val="0"/>
                      <w:bCs w:val="0"/>
                      <w:i w:val="0"/>
                      <w:iCs w:val="0"/>
                      <w:color w:val="auto"/>
                      <w:kern w:val="0"/>
                      <w:sz w:val="21"/>
                      <w:szCs w:val="21"/>
                      <w:highlight w:val="none"/>
                      <w:u w:val="none" w:color="auto"/>
                      <w:lang w:val="en-US" w:eastAsia="zh-CN" w:bidi="ar"/>
                    </w:rPr>
                    <w:t>900</w:t>
                  </w:r>
                </w:p>
              </w:tc>
              <w:tc>
                <w:tcPr>
                  <w:tcW w:w="838" w:type="pct"/>
                  <w:vMerge w:val="continue"/>
                  <w:tcBorders>
                    <w:tl2br w:val="nil"/>
                    <w:tr2bl w:val="nil"/>
                  </w:tcBorders>
                  <w:noWrap w:val="0"/>
                  <w:vAlign w:val="center"/>
                </w:tcPr>
                <w:p w14:paraId="41300430">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vertAlign w:val="baseline"/>
                    </w:rPr>
                  </w:pPr>
                </w:p>
              </w:tc>
              <w:tc>
                <w:tcPr>
                  <w:tcW w:w="734" w:type="pct"/>
                  <w:vMerge w:val="continue"/>
                  <w:tcBorders>
                    <w:tl2br w:val="nil"/>
                    <w:tr2bl w:val="nil"/>
                  </w:tcBorders>
                  <w:noWrap w:val="0"/>
                  <w:vAlign w:val="center"/>
                </w:tcPr>
                <w:p w14:paraId="06426DC6">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vertAlign w:val="baseline"/>
                    </w:rPr>
                  </w:pPr>
                </w:p>
              </w:tc>
            </w:tr>
            <w:tr w14:paraId="4105443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677" w:type="pct"/>
                  <w:tcBorders>
                    <w:tl2br w:val="nil"/>
                    <w:tr2bl w:val="nil"/>
                  </w:tcBorders>
                  <w:shd w:val="clear" w:color="auto" w:fill="auto"/>
                  <w:noWrap w:val="0"/>
                  <w:vAlign w:val="center"/>
                </w:tcPr>
                <w:p w14:paraId="0B51DE3A">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球冒分离</w:t>
                  </w:r>
                </w:p>
              </w:tc>
              <w:tc>
                <w:tcPr>
                  <w:tcW w:w="593" w:type="pct"/>
                  <w:tcBorders>
                    <w:tl2br w:val="nil"/>
                    <w:tr2bl w:val="nil"/>
                  </w:tcBorders>
                  <w:shd w:val="clear" w:color="auto" w:fill="auto"/>
                  <w:noWrap w:val="0"/>
                  <w:vAlign w:val="center"/>
                </w:tcPr>
                <w:p w14:paraId="5A8B4E8F">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u w:val="none" w:color="auto"/>
                      <w:vertAlign w:val="baseline"/>
                      <w:lang w:val="en-US" w:eastAsia="zh-CN" w:bidi="ar-SA"/>
                    </w:rPr>
                  </w:pPr>
                  <w:r>
                    <w:rPr>
                      <w:rFonts w:hint="default" w:ascii="Times New Roman" w:hAnsi="Times New Roman" w:cs="Times New Roman"/>
                      <w:b w:val="0"/>
                      <w:bCs w:val="0"/>
                      <w:color w:val="auto"/>
                      <w:kern w:val="2"/>
                      <w:sz w:val="21"/>
                      <w:szCs w:val="21"/>
                      <w:u w:val="none" w:color="auto"/>
                      <w:vertAlign w:val="baseline"/>
                      <w:lang w:val="en-US" w:eastAsia="zh-CN"/>
                    </w:rPr>
                    <w:t>颗粒物</w:t>
                  </w:r>
                </w:p>
              </w:tc>
              <w:tc>
                <w:tcPr>
                  <w:tcW w:w="611" w:type="pct"/>
                  <w:tcBorders>
                    <w:tl2br w:val="nil"/>
                    <w:tr2bl w:val="nil"/>
                  </w:tcBorders>
                  <w:shd w:val="clear" w:color="auto" w:fill="auto"/>
                  <w:noWrap w:val="0"/>
                  <w:vAlign w:val="center"/>
                </w:tcPr>
                <w:p w14:paraId="6E4B6DB0">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b w:val="0"/>
                      <w:bCs w:val="0"/>
                      <w:i w:val="0"/>
                      <w:iCs w:val="0"/>
                      <w:color w:val="auto"/>
                      <w:kern w:val="0"/>
                      <w:sz w:val="21"/>
                      <w:szCs w:val="21"/>
                      <w:highlight w:val="none"/>
                      <w:u w:val="none" w:color="auto"/>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color="auto"/>
                      <w:lang w:val="en-US" w:eastAsia="zh-CN" w:bidi="ar"/>
                    </w:rPr>
                    <w:t xml:space="preserve">0.040 </w:t>
                  </w:r>
                </w:p>
              </w:tc>
              <w:tc>
                <w:tcPr>
                  <w:tcW w:w="707" w:type="pct"/>
                  <w:tcBorders>
                    <w:tl2br w:val="nil"/>
                    <w:tr2bl w:val="nil"/>
                  </w:tcBorders>
                  <w:shd w:val="clear" w:color="auto" w:fill="auto"/>
                  <w:noWrap w:val="0"/>
                  <w:vAlign w:val="center"/>
                </w:tcPr>
                <w:p w14:paraId="49F61205">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b w:val="0"/>
                      <w:bCs w:val="0"/>
                      <w:i w:val="0"/>
                      <w:iCs w:val="0"/>
                      <w:color w:val="auto"/>
                      <w:kern w:val="0"/>
                      <w:sz w:val="21"/>
                      <w:szCs w:val="21"/>
                      <w:highlight w:val="none"/>
                      <w:u w:val="none" w:color="auto"/>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color="auto"/>
                      <w:lang w:val="en-US" w:eastAsia="zh-CN" w:bidi="ar"/>
                    </w:rPr>
                    <w:t xml:space="preserve">0.044 </w:t>
                  </w:r>
                </w:p>
              </w:tc>
              <w:tc>
                <w:tcPr>
                  <w:tcW w:w="838" w:type="pct"/>
                  <w:tcBorders>
                    <w:tl2br w:val="nil"/>
                    <w:tr2bl w:val="nil"/>
                  </w:tcBorders>
                  <w:noWrap w:val="0"/>
                  <w:vAlign w:val="center"/>
                </w:tcPr>
                <w:p w14:paraId="0E52062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b w:val="0"/>
                      <w:bCs w:val="0"/>
                      <w:i w:val="0"/>
                      <w:iCs w:val="0"/>
                      <w:color w:val="auto"/>
                      <w:kern w:val="0"/>
                      <w:sz w:val="21"/>
                      <w:szCs w:val="21"/>
                      <w:highlight w:val="none"/>
                      <w:u w:val="none" w:color="auto"/>
                      <w:lang w:val="en-US" w:eastAsia="zh-CN" w:bidi="ar"/>
                    </w:rPr>
                  </w:pPr>
                  <w:r>
                    <w:rPr>
                      <w:rFonts w:hint="eastAsia" w:ascii="Times New Roman" w:hAnsi="Times New Roman" w:cs="Times New Roman"/>
                      <w:b w:val="0"/>
                      <w:bCs w:val="0"/>
                      <w:i w:val="0"/>
                      <w:iCs w:val="0"/>
                      <w:color w:val="auto"/>
                      <w:kern w:val="0"/>
                      <w:sz w:val="21"/>
                      <w:szCs w:val="21"/>
                      <w:highlight w:val="none"/>
                      <w:u w:val="none" w:color="auto"/>
                      <w:lang w:val="en-US" w:eastAsia="zh-CN" w:bidi="ar"/>
                    </w:rPr>
                    <w:t>900</w:t>
                  </w:r>
                </w:p>
              </w:tc>
              <w:tc>
                <w:tcPr>
                  <w:tcW w:w="838" w:type="pct"/>
                  <w:vMerge w:val="continue"/>
                  <w:tcBorders>
                    <w:tl2br w:val="nil"/>
                    <w:tr2bl w:val="nil"/>
                  </w:tcBorders>
                  <w:noWrap w:val="0"/>
                  <w:vAlign w:val="center"/>
                </w:tcPr>
                <w:p w14:paraId="32A68F14">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vertAlign w:val="baseline"/>
                    </w:rPr>
                  </w:pPr>
                </w:p>
              </w:tc>
              <w:tc>
                <w:tcPr>
                  <w:tcW w:w="734" w:type="pct"/>
                  <w:vMerge w:val="continue"/>
                  <w:tcBorders>
                    <w:tl2br w:val="nil"/>
                    <w:tr2bl w:val="nil"/>
                  </w:tcBorders>
                  <w:noWrap w:val="0"/>
                  <w:vAlign w:val="center"/>
                </w:tcPr>
                <w:p w14:paraId="3DC804CE">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vertAlign w:val="baseline"/>
                    </w:rPr>
                  </w:pPr>
                </w:p>
              </w:tc>
            </w:tr>
            <w:tr w14:paraId="7B5D334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677" w:type="pct"/>
                  <w:vMerge w:val="restart"/>
                  <w:tcBorders>
                    <w:tl2br w:val="nil"/>
                    <w:tr2bl w:val="nil"/>
                  </w:tcBorders>
                  <w:noWrap w:val="0"/>
                  <w:vAlign w:val="center"/>
                </w:tcPr>
                <w:p w14:paraId="0C83A84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淬火回火</w:t>
                  </w:r>
                </w:p>
              </w:tc>
              <w:tc>
                <w:tcPr>
                  <w:tcW w:w="593" w:type="pct"/>
                  <w:tcBorders>
                    <w:tl2br w:val="nil"/>
                    <w:tr2bl w:val="nil"/>
                  </w:tcBorders>
                  <w:noWrap w:val="0"/>
                  <w:vAlign w:val="center"/>
                </w:tcPr>
                <w:p w14:paraId="124F6971">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auto"/>
                      <w:kern w:val="2"/>
                      <w:sz w:val="21"/>
                      <w:szCs w:val="21"/>
                      <w:u w:val="none" w:color="auto"/>
                      <w:vertAlign w:val="baseline"/>
                    </w:rPr>
                  </w:pPr>
                  <w:r>
                    <w:rPr>
                      <w:rFonts w:hint="default" w:ascii="Times New Roman" w:hAnsi="Times New Roman" w:cs="Times New Roman"/>
                      <w:b w:val="0"/>
                      <w:bCs w:val="0"/>
                      <w:color w:val="auto"/>
                      <w:kern w:val="2"/>
                      <w:sz w:val="21"/>
                      <w:szCs w:val="21"/>
                      <w:u w:val="none" w:color="auto"/>
                      <w:vertAlign w:val="baseline"/>
                      <w:lang w:val="en-US" w:eastAsia="zh-CN"/>
                    </w:rPr>
                    <w:t>颗粒物</w:t>
                  </w:r>
                </w:p>
              </w:tc>
              <w:tc>
                <w:tcPr>
                  <w:tcW w:w="611" w:type="pct"/>
                  <w:tcBorders>
                    <w:tl2br w:val="nil"/>
                    <w:tr2bl w:val="nil"/>
                  </w:tcBorders>
                  <w:noWrap w:val="0"/>
                  <w:vAlign w:val="center"/>
                </w:tcPr>
                <w:p w14:paraId="60E201C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b w:val="0"/>
                      <w:bCs w:val="0"/>
                      <w:i w:val="0"/>
                      <w:iCs w:val="0"/>
                      <w:color w:val="auto"/>
                      <w:kern w:val="0"/>
                      <w:sz w:val="21"/>
                      <w:szCs w:val="21"/>
                      <w:highlight w:val="none"/>
                      <w:u w:val="none" w:color="auto"/>
                      <w:lang w:val="en-US" w:eastAsia="zh-CN" w:bidi="ar"/>
                    </w:rPr>
                  </w:pPr>
                  <w:r>
                    <w:rPr>
                      <w:rFonts w:hint="eastAsia" w:ascii="Times New Roman" w:hAnsi="Times New Roman" w:cs="Times New Roman"/>
                      <w:b w:val="0"/>
                      <w:bCs w:val="0"/>
                      <w:i w:val="0"/>
                      <w:iCs w:val="0"/>
                      <w:color w:val="auto"/>
                      <w:kern w:val="0"/>
                      <w:sz w:val="21"/>
                      <w:szCs w:val="21"/>
                      <w:highlight w:val="none"/>
                      <w:u w:val="none" w:color="auto"/>
                      <w:lang w:val="en-US" w:eastAsia="zh-CN" w:bidi="ar"/>
                    </w:rPr>
                    <w:t xml:space="preserve">0.040 </w:t>
                  </w:r>
                </w:p>
              </w:tc>
              <w:tc>
                <w:tcPr>
                  <w:tcW w:w="707" w:type="pct"/>
                  <w:tcBorders>
                    <w:tl2br w:val="nil"/>
                    <w:tr2bl w:val="nil"/>
                  </w:tcBorders>
                  <w:noWrap w:val="0"/>
                  <w:vAlign w:val="center"/>
                </w:tcPr>
                <w:p w14:paraId="0C304C2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b w:val="0"/>
                      <w:bCs w:val="0"/>
                      <w:i w:val="0"/>
                      <w:iCs w:val="0"/>
                      <w:color w:val="auto"/>
                      <w:kern w:val="0"/>
                      <w:sz w:val="21"/>
                      <w:szCs w:val="21"/>
                      <w:highlight w:val="none"/>
                      <w:u w:val="none" w:color="auto"/>
                      <w:lang w:val="en-US" w:eastAsia="zh-CN" w:bidi="ar"/>
                    </w:rPr>
                  </w:pPr>
                  <w:r>
                    <w:rPr>
                      <w:rFonts w:hint="eastAsia" w:ascii="Times New Roman" w:hAnsi="Times New Roman" w:cs="Times New Roman"/>
                      <w:b w:val="0"/>
                      <w:bCs w:val="0"/>
                      <w:i w:val="0"/>
                      <w:iCs w:val="0"/>
                      <w:color w:val="auto"/>
                      <w:kern w:val="0"/>
                      <w:sz w:val="21"/>
                      <w:szCs w:val="21"/>
                      <w:highlight w:val="none"/>
                      <w:u w:val="none" w:color="auto"/>
                      <w:lang w:val="en-US" w:eastAsia="zh-CN" w:bidi="ar"/>
                    </w:rPr>
                    <w:t xml:space="preserve">0.067 </w:t>
                  </w:r>
                </w:p>
              </w:tc>
              <w:tc>
                <w:tcPr>
                  <w:tcW w:w="838" w:type="pct"/>
                  <w:vMerge w:val="restart"/>
                  <w:tcBorders>
                    <w:tl2br w:val="nil"/>
                    <w:tr2bl w:val="nil"/>
                  </w:tcBorders>
                  <w:noWrap w:val="0"/>
                  <w:vAlign w:val="center"/>
                </w:tcPr>
                <w:p w14:paraId="6E1E36D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600</w:t>
                  </w:r>
                </w:p>
              </w:tc>
              <w:tc>
                <w:tcPr>
                  <w:tcW w:w="838" w:type="pct"/>
                  <w:vMerge w:val="continue"/>
                  <w:tcBorders>
                    <w:tl2br w:val="nil"/>
                    <w:tr2bl w:val="nil"/>
                  </w:tcBorders>
                  <w:noWrap w:val="0"/>
                  <w:vAlign w:val="center"/>
                </w:tcPr>
                <w:p w14:paraId="0B571661">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vertAlign w:val="baseline"/>
                    </w:rPr>
                  </w:pPr>
                </w:p>
              </w:tc>
              <w:tc>
                <w:tcPr>
                  <w:tcW w:w="734" w:type="pct"/>
                  <w:vMerge w:val="continue"/>
                  <w:tcBorders>
                    <w:tl2br w:val="nil"/>
                    <w:tr2bl w:val="nil"/>
                  </w:tcBorders>
                  <w:noWrap w:val="0"/>
                  <w:vAlign w:val="center"/>
                </w:tcPr>
                <w:p w14:paraId="356918AE">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vertAlign w:val="baseline"/>
                    </w:rPr>
                  </w:pPr>
                </w:p>
              </w:tc>
            </w:tr>
            <w:tr w14:paraId="0DDA6AE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677" w:type="pct"/>
                  <w:vMerge w:val="continue"/>
                  <w:tcBorders>
                    <w:tl2br w:val="nil"/>
                    <w:tr2bl w:val="nil"/>
                  </w:tcBorders>
                  <w:noWrap w:val="0"/>
                  <w:vAlign w:val="center"/>
                </w:tcPr>
                <w:p w14:paraId="16DC34D0">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cs="Times New Roman"/>
                      <w:i w:val="0"/>
                      <w:iCs w:val="0"/>
                      <w:color w:val="auto"/>
                      <w:kern w:val="0"/>
                      <w:sz w:val="21"/>
                      <w:szCs w:val="21"/>
                      <w:u w:val="none" w:color="auto"/>
                      <w:lang w:val="en-US" w:eastAsia="zh-CN" w:bidi="ar"/>
                    </w:rPr>
                  </w:pPr>
                </w:p>
              </w:tc>
              <w:tc>
                <w:tcPr>
                  <w:tcW w:w="593" w:type="pct"/>
                  <w:tcBorders>
                    <w:tl2br w:val="nil"/>
                    <w:tr2bl w:val="nil"/>
                  </w:tcBorders>
                  <w:noWrap w:val="0"/>
                  <w:vAlign w:val="center"/>
                </w:tcPr>
                <w:p w14:paraId="649D7E35">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auto"/>
                      <w:kern w:val="2"/>
                      <w:sz w:val="21"/>
                      <w:szCs w:val="21"/>
                      <w:u w:val="none" w:color="auto"/>
                      <w:vertAlign w:val="baseline"/>
                      <w:lang w:val="en-US" w:eastAsia="zh-CN"/>
                    </w:rPr>
                  </w:pPr>
                  <w:r>
                    <w:rPr>
                      <w:rFonts w:hint="eastAsia" w:ascii="Times New Roman" w:hAnsi="Times New Roman" w:cs="Times New Roman"/>
                      <w:b w:val="0"/>
                      <w:bCs w:val="0"/>
                      <w:color w:val="auto"/>
                      <w:kern w:val="2"/>
                      <w:sz w:val="21"/>
                      <w:szCs w:val="21"/>
                      <w:u w:val="none" w:color="auto"/>
                      <w:vertAlign w:val="baseline"/>
                      <w:lang w:val="en-US" w:eastAsia="zh-CN"/>
                    </w:rPr>
                    <w:t>非甲烷总烃</w:t>
                  </w:r>
                </w:p>
              </w:tc>
              <w:tc>
                <w:tcPr>
                  <w:tcW w:w="611" w:type="pct"/>
                  <w:tcBorders>
                    <w:tl2br w:val="nil"/>
                    <w:tr2bl w:val="nil"/>
                  </w:tcBorders>
                  <w:noWrap w:val="0"/>
                  <w:vAlign w:val="center"/>
                </w:tcPr>
                <w:p w14:paraId="4E7B4F3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b w:val="0"/>
                      <w:bCs w:val="0"/>
                      <w:i w:val="0"/>
                      <w:iCs w:val="0"/>
                      <w:color w:val="auto"/>
                      <w:kern w:val="0"/>
                      <w:sz w:val="21"/>
                      <w:szCs w:val="21"/>
                      <w:highlight w:val="none"/>
                      <w:u w:val="none" w:color="auto"/>
                      <w:lang w:val="en-US" w:eastAsia="zh-CN" w:bidi="ar"/>
                    </w:rPr>
                  </w:pPr>
                  <w:r>
                    <w:rPr>
                      <w:rFonts w:hint="eastAsia" w:ascii="Times New Roman" w:hAnsi="Times New Roman" w:cs="Times New Roman"/>
                      <w:b w:val="0"/>
                      <w:bCs w:val="0"/>
                      <w:i w:val="0"/>
                      <w:iCs w:val="0"/>
                      <w:color w:val="auto"/>
                      <w:kern w:val="0"/>
                      <w:sz w:val="21"/>
                      <w:szCs w:val="21"/>
                      <w:highlight w:val="none"/>
                      <w:u w:val="none" w:color="auto"/>
                      <w:lang w:val="en-US" w:eastAsia="zh-CN" w:bidi="ar"/>
                    </w:rPr>
                    <w:t xml:space="preserve">0.000002 </w:t>
                  </w:r>
                </w:p>
              </w:tc>
              <w:tc>
                <w:tcPr>
                  <w:tcW w:w="707" w:type="pct"/>
                  <w:tcBorders>
                    <w:tl2br w:val="nil"/>
                    <w:tr2bl w:val="nil"/>
                  </w:tcBorders>
                  <w:noWrap w:val="0"/>
                  <w:vAlign w:val="center"/>
                </w:tcPr>
                <w:p w14:paraId="25E9D5C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b w:val="0"/>
                      <w:bCs w:val="0"/>
                      <w:i w:val="0"/>
                      <w:iCs w:val="0"/>
                      <w:color w:val="auto"/>
                      <w:kern w:val="0"/>
                      <w:sz w:val="21"/>
                      <w:szCs w:val="21"/>
                      <w:highlight w:val="none"/>
                      <w:u w:val="none" w:color="auto"/>
                      <w:lang w:val="en-US" w:eastAsia="zh-CN" w:bidi="ar"/>
                    </w:rPr>
                  </w:pPr>
                  <w:r>
                    <w:rPr>
                      <w:rFonts w:hint="eastAsia" w:ascii="Times New Roman" w:hAnsi="Times New Roman" w:cs="Times New Roman"/>
                      <w:b w:val="0"/>
                      <w:bCs w:val="0"/>
                      <w:i w:val="0"/>
                      <w:iCs w:val="0"/>
                      <w:color w:val="auto"/>
                      <w:kern w:val="0"/>
                      <w:sz w:val="21"/>
                      <w:szCs w:val="21"/>
                      <w:highlight w:val="none"/>
                      <w:u w:val="none" w:color="auto"/>
                      <w:lang w:val="en-US" w:eastAsia="zh-CN" w:bidi="ar"/>
                    </w:rPr>
                    <w:t xml:space="preserve">0.000003 </w:t>
                  </w:r>
                </w:p>
              </w:tc>
              <w:tc>
                <w:tcPr>
                  <w:tcW w:w="838" w:type="pct"/>
                  <w:vMerge w:val="continue"/>
                  <w:tcBorders>
                    <w:tl2br w:val="nil"/>
                    <w:tr2bl w:val="nil"/>
                  </w:tcBorders>
                  <w:noWrap w:val="0"/>
                  <w:vAlign w:val="center"/>
                </w:tcPr>
                <w:p w14:paraId="412B4E6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838" w:type="pct"/>
                  <w:vMerge w:val="continue"/>
                  <w:tcBorders>
                    <w:tl2br w:val="nil"/>
                    <w:tr2bl w:val="nil"/>
                  </w:tcBorders>
                  <w:noWrap w:val="0"/>
                  <w:vAlign w:val="center"/>
                </w:tcPr>
                <w:p w14:paraId="75D12591">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vertAlign w:val="baseline"/>
                    </w:rPr>
                  </w:pPr>
                </w:p>
              </w:tc>
              <w:tc>
                <w:tcPr>
                  <w:tcW w:w="734" w:type="pct"/>
                  <w:vMerge w:val="continue"/>
                  <w:tcBorders>
                    <w:tl2br w:val="nil"/>
                    <w:tr2bl w:val="nil"/>
                  </w:tcBorders>
                  <w:noWrap w:val="0"/>
                  <w:vAlign w:val="center"/>
                </w:tcPr>
                <w:p w14:paraId="5656D615">
                  <w:pPr>
                    <w:keepNext w:val="0"/>
                    <w:keepLines w:val="0"/>
                    <w:suppressLineNumbers w:val="0"/>
                    <w:tabs>
                      <w:tab w:val="left" w:pos="720"/>
                      <w:tab w:val="left" w:pos="2520"/>
                      <w:tab w:val="left" w:pos="5180"/>
                    </w:tabs>
                    <w:topLinePunct/>
                    <w:adjustRightInd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vertAlign w:val="baseline"/>
                    </w:rPr>
                  </w:pPr>
                </w:p>
              </w:tc>
            </w:tr>
          </w:tbl>
          <w:p w14:paraId="7A6512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color w:val="auto"/>
                <w:kern w:val="2"/>
                <w:sz w:val="21"/>
                <w:szCs w:val="21"/>
                <w:highlight w:val="none"/>
                <w:u w:val="none" w:color="auto"/>
              </w:rPr>
            </w:pPr>
            <w:r>
              <w:rPr>
                <w:rFonts w:hint="default" w:ascii="Times New Roman" w:hAnsi="Times New Roman" w:cs="Times New Roman"/>
                <w:b/>
                <w:color w:val="auto"/>
                <w:kern w:val="2"/>
                <w:sz w:val="21"/>
                <w:szCs w:val="21"/>
                <w:highlight w:val="none"/>
                <w:u w:val="none" w:color="auto"/>
              </w:rPr>
              <w:t>表4-</w:t>
            </w:r>
            <w:r>
              <w:rPr>
                <w:rFonts w:hint="eastAsia" w:ascii="Times New Roman" w:hAnsi="Times New Roman" w:cs="Times New Roman"/>
                <w:b/>
                <w:color w:val="auto"/>
                <w:kern w:val="2"/>
                <w:sz w:val="21"/>
                <w:szCs w:val="21"/>
                <w:highlight w:val="none"/>
                <w:u w:val="none" w:color="auto"/>
                <w:lang w:val="en-US" w:eastAsia="zh-CN"/>
              </w:rPr>
              <w:t>10</w:t>
            </w:r>
            <w:r>
              <w:rPr>
                <w:rFonts w:hint="default" w:ascii="Times New Roman" w:hAnsi="Times New Roman" w:cs="Times New Roman"/>
                <w:b/>
                <w:color w:val="auto"/>
                <w:kern w:val="2"/>
                <w:sz w:val="21"/>
                <w:szCs w:val="21"/>
                <w:highlight w:val="none"/>
                <w:u w:val="none" w:color="auto"/>
              </w:rPr>
              <w:t xml:space="preserve"> 项目废气污染物年排放量核算表</w:t>
            </w:r>
          </w:p>
          <w:tbl>
            <w:tblPr>
              <w:tblStyle w:val="57"/>
              <w:tblW w:w="4949" w:type="pct"/>
              <w:tblInd w:w="5"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127"/>
              <w:gridCol w:w="806"/>
              <w:gridCol w:w="727"/>
              <w:gridCol w:w="593"/>
              <w:gridCol w:w="803"/>
              <w:gridCol w:w="745"/>
              <w:gridCol w:w="747"/>
              <w:gridCol w:w="968"/>
              <w:gridCol w:w="862"/>
              <w:gridCol w:w="821"/>
            </w:tblGrid>
            <w:tr w14:paraId="6CA501F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c>
                <w:tcPr>
                  <w:tcW w:w="687" w:type="pct"/>
                  <w:tcBorders>
                    <w:tl2br w:val="nil"/>
                    <w:tr2bl w:val="nil"/>
                  </w:tcBorders>
                  <w:noWrap w:val="0"/>
                  <w:vAlign w:val="center"/>
                </w:tcPr>
                <w:p w14:paraId="1C7FD15C">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bCs/>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bCs/>
                      <w:i w:val="0"/>
                      <w:iCs w:val="0"/>
                      <w:color w:val="auto"/>
                      <w:kern w:val="0"/>
                      <w:sz w:val="21"/>
                      <w:szCs w:val="21"/>
                      <w:u w:val="none" w:color="auto"/>
                      <w:lang w:val="en-US" w:eastAsia="zh-CN" w:bidi="ar"/>
                    </w:rPr>
                    <w:t>排气筒编号</w:t>
                  </w:r>
                </w:p>
              </w:tc>
              <w:tc>
                <w:tcPr>
                  <w:tcW w:w="491" w:type="pct"/>
                  <w:tcBorders>
                    <w:tl2br w:val="nil"/>
                    <w:tr2bl w:val="nil"/>
                  </w:tcBorders>
                  <w:noWrap w:val="0"/>
                  <w:vAlign w:val="center"/>
                </w:tcPr>
                <w:p w14:paraId="6B534194">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bCs/>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bCs/>
                      <w:i w:val="0"/>
                      <w:iCs w:val="0"/>
                      <w:color w:val="auto"/>
                      <w:kern w:val="0"/>
                      <w:sz w:val="21"/>
                      <w:szCs w:val="21"/>
                      <w:u w:val="none" w:color="auto"/>
                      <w:lang w:val="en-US" w:eastAsia="zh-CN" w:bidi="ar"/>
                    </w:rPr>
                    <w:t>污染物种类</w:t>
                  </w:r>
                </w:p>
              </w:tc>
              <w:tc>
                <w:tcPr>
                  <w:tcW w:w="443" w:type="pct"/>
                  <w:tcBorders>
                    <w:tl2br w:val="nil"/>
                    <w:tr2bl w:val="nil"/>
                  </w:tcBorders>
                  <w:noWrap w:val="0"/>
                  <w:vAlign w:val="center"/>
                </w:tcPr>
                <w:p w14:paraId="600D05D5">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有组织产生量（t/a）</w:t>
                  </w:r>
                </w:p>
              </w:tc>
              <w:tc>
                <w:tcPr>
                  <w:tcW w:w="361" w:type="pct"/>
                  <w:tcBorders>
                    <w:tl2br w:val="nil"/>
                    <w:tr2bl w:val="nil"/>
                  </w:tcBorders>
                  <w:noWrap w:val="0"/>
                  <w:vAlign w:val="center"/>
                </w:tcPr>
                <w:p w14:paraId="770D08A9">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去除效率</w:t>
                  </w:r>
                </w:p>
              </w:tc>
              <w:tc>
                <w:tcPr>
                  <w:tcW w:w="489" w:type="pct"/>
                  <w:tcBorders>
                    <w:tl2br w:val="nil"/>
                    <w:tr2bl w:val="nil"/>
                  </w:tcBorders>
                  <w:noWrap w:val="0"/>
                  <w:vAlign w:val="center"/>
                </w:tcPr>
                <w:p w14:paraId="5AA8980C">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风量</w:t>
                  </w:r>
                  <w:r>
                    <w:rPr>
                      <w:rFonts w:hint="eastAsia" w:ascii="Times New Roman" w:hAnsi="Times New Roman" w:cs="Times New Roman"/>
                      <w:b/>
                      <w:bCs/>
                      <w:i w:val="0"/>
                      <w:iCs w:val="0"/>
                      <w:color w:val="auto"/>
                      <w:kern w:val="0"/>
                      <w:sz w:val="21"/>
                      <w:szCs w:val="21"/>
                      <w:u w:val="none" w:color="auto"/>
                      <w:lang w:val="en-US" w:eastAsia="zh-CN" w:bidi="ar"/>
                    </w:rPr>
                    <w:t>（</w:t>
                  </w:r>
                  <w:r>
                    <w:rPr>
                      <w:rFonts w:hint="default" w:ascii="Times New Roman" w:hAnsi="Times New Roman" w:eastAsia="宋体" w:cs="Times New Roman"/>
                      <w:b/>
                      <w:bCs/>
                      <w:i w:val="0"/>
                      <w:iCs w:val="0"/>
                      <w:color w:val="auto"/>
                      <w:kern w:val="0"/>
                      <w:sz w:val="21"/>
                      <w:szCs w:val="21"/>
                      <w:u w:val="none" w:color="auto"/>
                      <w:lang w:val="en-US" w:eastAsia="zh-CN" w:bidi="ar"/>
                    </w:rPr>
                    <w:t>m³/h</w:t>
                  </w:r>
                  <w:r>
                    <w:rPr>
                      <w:rFonts w:hint="eastAsia" w:ascii="Times New Roman" w:hAnsi="Times New Roman" w:cs="Times New Roman"/>
                      <w:b/>
                      <w:bCs/>
                      <w:i w:val="0"/>
                      <w:iCs w:val="0"/>
                      <w:color w:val="auto"/>
                      <w:kern w:val="0"/>
                      <w:sz w:val="21"/>
                      <w:szCs w:val="21"/>
                      <w:u w:val="none" w:color="auto"/>
                      <w:lang w:val="en-US" w:eastAsia="zh-CN" w:bidi="ar"/>
                    </w:rPr>
                    <w:t>）</w:t>
                  </w:r>
                </w:p>
              </w:tc>
              <w:tc>
                <w:tcPr>
                  <w:tcW w:w="454" w:type="pct"/>
                  <w:tcBorders>
                    <w:tl2br w:val="nil"/>
                    <w:tr2bl w:val="nil"/>
                  </w:tcBorders>
                  <w:noWrap w:val="0"/>
                  <w:vAlign w:val="center"/>
                </w:tcPr>
                <w:p w14:paraId="501063E4">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有组织排放浓度（mg/m³）</w:t>
                  </w:r>
                </w:p>
              </w:tc>
              <w:tc>
                <w:tcPr>
                  <w:tcW w:w="455" w:type="pct"/>
                  <w:tcBorders>
                    <w:tl2br w:val="nil"/>
                    <w:tr2bl w:val="nil"/>
                  </w:tcBorders>
                  <w:noWrap w:val="0"/>
                  <w:vAlign w:val="center"/>
                </w:tcPr>
                <w:p w14:paraId="38710B37">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有组织排放速率（kg/h）</w:t>
                  </w:r>
                </w:p>
              </w:tc>
              <w:tc>
                <w:tcPr>
                  <w:tcW w:w="590" w:type="pct"/>
                  <w:tcBorders>
                    <w:tl2br w:val="nil"/>
                    <w:tr2bl w:val="nil"/>
                  </w:tcBorders>
                  <w:noWrap w:val="0"/>
                  <w:vAlign w:val="center"/>
                </w:tcPr>
                <w:p w14:paraId="5056B098">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有组织排放量（t/a）</w:t>
                  </w:r>
                </w:p>
              </w:tc>
              <w:tc>
                <w:tcPr>
                  <w:tcW w:w="525" w:type="pct"/>
                  <w:tcBorders>
                    <w:tl2br w:val="nil"/>
                    <w:tr2bl w:val="nil"/>
                  </w:tcBorders>
                  <w:noWrap w:val="0"/>
                  <w:vAlign w:val="center"/>
                </w:tcPr>
                <w:p w14:paraId="60EDEB73">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无组织排放量（t/a）</w:t>
                  </w:r>
                </w:p>
              </w:tc>
              <w:tc>
                <w:tcPr>
                  <w:tcW w:w="500" w:type="pct"/>
                  <w:tcBorders>
                    <w:tl2br w:val="nil"/>
                    <w:tr2bl w:val="nil"/>
                  </w:tcBorders>
                  <w:noWrap w:val="0"/>
                  <w:vAlign w:val="center"/>
                </w:tcPr>
                <w:p w14:paraId="397D6B70">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年排放时间（h）</w:t>
                  </w:r>
                </w:p>
              </w:tc>
            </w:tr>
            <w:tr w14:paraId="07A24E0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87" w:type="pct"/>
                  <w:tcBorders>
                    <w:tl2br w:val="nil"/>
                    <w:tr2bl w:val="nil"/>
                  </w:tcBorders>
                  <w:noWrap w:val="0"/>
                  <w:vAlign w:val="center"/>
                </w:tcPr>
                <w:p w14:paraId="0F0A97A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熔炼+造型</w:t>
                  </w:r>
                  <w:r>
                    <w:rPr>
                      <w:rFonts w:hint="eastAsia"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砂处理</w:t>
                  </w:r>
                  <w:r>
                    <w:rPr>
                      <w:rFonts w:hint="eastAsia" w:ascii="Times New Roman" w:hAnsi="Times New Roman" w:cs="Times New Roman"/>
                      <w:i w:val="0"/>
                      <w:iCs w:val="0"/>
                      <w:color w:val="auto"/>
                      <w:kern w:val="0"/>
                      <w:sz w:val="21"/>
                      <w:szCs w:val="21"/>
                      <w:u w:val="none" w:color="auto"/>
                      <w:lang w:val="en-US" w:eastAsia="zh-CN" w:bidi="ar"/>
                    </w:rPr>
                    <w:t>+打磨清理</w:t>
                  </w:r>
                  <w:r>
                    <w:rPr>
                      <w:rFonts w:hint="default" w:ascii="Times New Roman" w:hAnsi="Times New Roman" w:eastAsia="宋体" w:cs="Times New Roman"/>
                      <w:i w:val="0"/>
                      <w:iCs w:val="0"/>
                      <w:color w:val="auto"/>
                      <w:kern w:val="0"/>
                      <w:sz w:val="21"/>
                      <w:szCs w:val="21"/>
                      <w:u w:val="none" w:color="auto"/>
                      <w:lang w:val="en-US" w:eastAsia="zh-CN" w:bidi="ar"/>
                    </w:rPr>
                    <w:t>废气</w:t>
                  </w:r>
                  <w:r>
                    <w:rPr>
                      <w:rFonts w:hint="default" w:ascii="Times New Roman" w:hAnsi="Times New Roman" w:cs="Times New Roman"/>
                      <w:color w:val="auto"/>
                      <w:kern w:val="2"/>
                      <w:sz w:val="21"/>
                      <w:szCs w:val="21"/>
                      <w:u w:val="none" w:color="auto"/>
                      <w:lang w:val="en-US" w:eastAsia="zh-CN"/>
                    </w:rPr>
                    <w:t>（DA001）</w:t>
                  </w:r>
                </w:p>
              </w:tc>
              <w:tc>
                <w:tcPr>
                  <w:tcW w:w="491" w:type="pct"/>
                  <w:tcBorders>
                    <w:tl2br w:val="nil"/>
                    <w:tr2bl w:val="nil"/>
                  </w:tcBorders>
                  <w:noWrap w:val="0"/>
                  <w:vAlign w:val="center"/>
                </w:tcPr>
                <w:p w14:paraId="7573C2FA">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颗粒物</w:t>
                  </w:r>
                </w:p>
              </w:tc>
              <w:tc>
                <w:tcPr>
                  <w:tcW w:w="443" w:type="pct"/>
                  <w:tcBorders>
                    <w:tl2br w:val="nil"/>
                    <w:tr2bl w:val="nil"/>
                  </w:tcBorders>
                  <w:shd w:val="clear" w:color="auto" w:fill="auto"/>
                  <w:noWrap w:val="0"/>
                  <w:vAlign w:val="center"/>
                </w:tcPr>
                <w:p w14:paraId="116A693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31.050 </w:t>
                  </w:r>
                </w:p>
              </w:tc>
              <w:tc>
                <w:tcPr>
                  <w:tcW w:w="361" w:type="pct"/>
                  <w:tcBorders>
                    <w:tl2br w:val="nil"/>
                    <w:tr2bl w:val="nil"/>
                  </w:tcBorders>
                  <w:noWrap w:val="0"/>
                  <w:vAlign w:val="center"/>
                </w:tcPr>
                <w:p w14:paraId="3D44D3F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85</w:t>
                  </w: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9" w:type="pct"/>
                  <w:tcBorders>
                    <w:tl2br w:val="nil"/>
                    <w:tr2bl w:val="nil"/>
                  </w:tcBorders>
                  <w:noWrap w:val="0"/>
                  <w:vAlign w:val="center"/>
                </w:tcPr>
                <w:p w14:paraId="029D01F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51847</w:t>
                  </w:r>
                </w:p>
              </w:tc>
              <w:tc>
                <w:tcPr>
                  <w:tcW w:w="454" w:type="pct"/>
                  <w:tcBorders>
                    <w:tl2br w:val="nil"/>
                    <w:tr2bl w:val="nil"/>
                  </w:tcBorders>
                  <w:noWrap w:val="0"/>
                  <w:vAlign w:val="center"/>
                </w:tcPr>
                <w:p w14:paraId="0FCBD4E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24.95 </w:t>
                  </w:r>
                </w:p>
              </w:tc>
              <w:tc>
                <w:tcPr>
                  <w:tcW w:w="455" w:type="pct"/>
                  <w:tcBorders>
                    <w:tl2br w:val="nil"/>
                    <w:tr2bl w:val="nil"/>
                  </w:tcBorders>
                  <w:noWrap w:val="0"/>
                  <w:vAlign w:val="center"/>
                </w:tcPr>
                <w:p w14:paraId="6836DBC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1.294 </w:t>
                  </w:r>
                </w:p>
              </w:tc>
              <w:tc>
                <w:tcPr>
                  <w:tcW w:w="590" w:type="pct"/>
                  <w:tcBorders>
                    <w:tl2br w:val="nil"/>
                    <w:tr2bl w:val="nil"/>
                  </w:tcBorders>
                  <w:noWrap w:val="0"/>
                  <w:vAlign w:val="center"/>
                </w:tcPr>
                <w:p w14:paraId="1BA6864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4.658 </w:t>
                  </w:r>
                </w:p>
              </w:tc>
              <w:tc>
                <w:tcPr>
                  <w:tcW w:w="525" w:type="pct"/>
                  <w:tcBorders>
                    <w:tl2br w:val="nil"/>
                    <w:tr2bl w:val="nil"/>
                  </w:tcBorders>
                  <w:noWrap w:val="0"/>
                  <w:vAlign w:val="center"/>
                </w:tcPr>
                <w:p w14:paraId="66EBD57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w:t>
                  </w:r>
                  <w:r>
                    <w:rPr>
                      <w:rFonts w:hint="eastAsia" w:ascii="Times New Roman" w:hAnsi="Times New Roman" w:cs="Times New Roman"/>
                      <w:i w:val="0"/>
                      <w:iCs w:val="0"/>
                      <w:color w:val="auto"/>
                      <w:kern w:val="0"/>
                      <w:sz w:val="21"/>
                      <w:szCs w:val="21"/>
                      <w:u w:val="none" w:color="auto"/>
                      <w:lang w:val="en-US" w:eastAsia="zh-CN" w:bidi="ar"/>
                    </w:rPr>
                    <w:t>930</w:t>
                  </w:r>
                </w:p>
              </w:tc>
              <w:tc>
                <w:tcPr>
                  <w:tcW w:w="500" w:type="pct"/>
                  <w:tcBorders>
                    <w:tl2br w:val="nil"/>
                    <w:tr2bl w:val="nil"/>
                  </w:tcBorders>
                  <w:noWrap w:val="0"/>
                  <w:vAlign w:val="center"/>
                </w:tcPr>
                <w:p w14:paraId="4D088D4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3600</w:t>
                  </w:r>
                </w:p>
              </w:tc>
            </w:tr>
            <w:tr w14:paraId="7F4FB7A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87" w:type="pct"/>
                  <w:tcBorders>
                    <w:tl2br w:val="nil"/>
                    <w:tr2bl w:val="nil"/>
                  </w:tcBorders>
                  <w:noWrap w:val="0"/>
                  <w:vAlign w:val="center"/>
                </w:tcPr>
                <w:p w14:paraId="3338D65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浇注废气</w:t>
                  </w:r>
                  <w:r>
                    <w:rPr>
                      <w:rFonts w:hint="eastAsia" w:ascii="Times New Roman" w:hAnsi="Times New Roman" w:cs="Times New Roman"/>
                      <w:i w:val="0"/>
                      <w:iCs w:val="0"/>
                      <w:color w:val="auto"/>
                      <w:kern w:val="0"/>
                      <w:sz w:val="21"/>
                      <w:szCs w:val="21"/>
                      <w:u w:val="none" w:color="auto"/>
                      <w:lang w:val="en-US" w:eastAsia="zh-CN" w:bidi="ar"/>
                    </w:rPr>
                    <w:t>+落砂+球冒分离</w:t>
                  </w:r>
                  <w:r>
                    <w:rPr>
                      <w:rFonts w:hint="default" w:ascii="Times New Roman" w:hAnsi="Times New Roman" w:eastAsia="宋体" w:cs="Times New Roman"/>
                      <w:i w:val="0"/>
                      <w:iCs w:val="0"/>
                      <w:color w:val="auto"/>
                      <w:kern w:val="0"/>
                      <w:sz w:val="21"/>
                      <w:szCs w:val="21"/>
                      <w:u w:val="none" w:color="auto"/>
                      <w:lang w:val="en-US" w:eastAsia="zh-CN" w:bidi="ar"/>
                    </w:rPr>
                    <w:t>（DA002）</w:t>
                  </w:r>
                </w:p>
              </w:tc>
              <w:tc>
                <w:tcPr>
                  <w:tcW w:w="491" w:type="pct"/>
                  <w:tcBorders>
                    <w:tl2br w:val="nil"/>
                    <w:tr2bl w:val="nil"/>
                  </w:tcBorders>
                  <w:noWrap w:val="0"/>
                  <w:vAlign w:val="center"/>
                </w:tcPr>
                <w:p w14:paraId="2C6048AD">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颗粒物</w:t>
                  </w:r>
                </w:p>
              </w:tc>
              <w:tc>
                <w:tcPr>
                  <w:tcW w:w="443" w:type="pct"/>
                  <w:tcBorders>
                    <w:tl2br w:val="nil"/>
                    <w:tr2bl w:val="nil"/>
                  </w:tcBorders>
                  <w:shd w:val="clear" w:color="auto" w:fill="auto"/>
                  <w:noWrap w:val="0"/>
                  <w:vAlign w:val="center"/>
                </w:tcPr>
                <w:p w14:paraId="75C0D6E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4.172</w:t>
                  </w:r>
                  <w:r>
                    <w:rPr>
                      <w:rFonts w:hint="default" w:ascii="Times New Roman" w:hAnsi="Times New Roman" w:cs="Times New Roman"/>
                      <w:i w:val="0"/>
                      <w:iCs w:val="0"/>
                      <w:color w:val="auto"/>
                      <w:kern w:val="0"/>
                      <w:sz w:val="21"/>
                      <w:szCs w:val="21"/>
                      <w:u w:val="none" w:color="auto"/>
                      <w:lang w:val="en-US" w:eastAsia="zh-CN" w:bidi="ar"/>
                    </w:rPr>
                    <w:t xml:space="preserve"> </w:t>
                  </w:r>
                </w:p>
              </w:tc>
              <w:tc>
                <w:tcPr>
                  <w:tcW w:w="361" w:type="pct"/>
                  <w:tcBorders>
                    <w:tl2br w:val="nil"/>
                    <w:tr2bl w:val="nil"/>
                  </w:tcBorders>
                  <w:noWrap w:val="0"/>
                  <w:vAlign w:val="center"/>
                </w:tcPr>
                <w:p w14:paraId="42913CC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50%—85%</w:t>
                  </w:r>
                </w:p>
              </w:tc>
              <w:tc>
                <w:tcPr>
                  <w:tcW w:w="489" w:type="pct"/>
                  <w:tcBorders>
                    <w:tl2br w:val="nil"/>
                    <w:tr2bl w:val="nil"/>
                  </w:tcBorders>
                  <w:noWrap w:val="0"/>
                  <w:vAlign w:val="center"/>
                </w:tcPr>
                <w:p w14:paraId="2BCB7FC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20000</w:t>
                  </w:r>
                </w:p>
              </w:tc>
              <w:tc>
                <w:tcPr>
                  <w:tcW w:w="454" w:type="pct"/>
                  <w:tcBorders>
                    <w:tl2br w:val="nil"/>
                    <w:tr2bl w:val="nil"/>
                  </w:tcBorders>
                  <w:noWrap w:val="0"/>
                  <w:vAlign w:val="center"/>
                </w:tcPr>
                <w:p w14:paraId="67882F9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11.58-28.97</w:t>
                  </w:r>
                  <w:r>
                    <w:rPr>
                      <w:rFonts w:hint="default" w:ascii="Times New Roman" w:hAnsi="Times New Roman" w:cs="Times New Roman"/>
                      <w:i w:val="0"/>
                      <w:iCs w:val="0"/>
                      <w:color w:val="auto"/>
                      <w:kern w:val="0"/>
                      <w:sz w:val="21"/>
                      <w:szCs w:val="21"/>
                      <w:u w:val="none" w:color="auto"/>
                      <w:lang w:val="en-US" w:eastAsia="zh-CN" w:bidi="ar"/>
                    </w:rPr>
                    <w:t xml:space="preserve"> </w:t>
                  </w:r>
                </w:p>
              </w:tc>
              <w:tc>
                <w:tcPr>
                  <w:tcW w:w="455" w:type="pct"/>
                  <w:tcBorders>
                    <w:tl2br w:val="nil"/>
                    <w:tr2bl w:val="nil"/>
                  </w:tcBorders>
                  <w:noWrap w:val="0"/>
                  <w:vAlign w:val="center"/>
                </w:tcPr>
                <w:p w14:paraId="6039F58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default" w:ascii="Times New Roman" w:hAnsi="Times New Roman" w:cs="Times New Roman"/>
                      <w:i w:val="0"/>
                      <w:iCs w:val="0"/>
                      <w:color w:val="auto"/>
                      <w:kern w:val="0"/>
                      <w:sz w:val="21"/>
                      <w:szCs w:val="21"/>
                      <w:u w:val="none" w:color="auto"/>
                      <w:lang w:val="en-US" w:eastAsia="zh-CN" w:bidi="ar"/>
                    </w:rPr>
                    <w:t>0.232</w:t>
                  </w:r>
                  <w:r>
                    <w:rPr>
                      <w:rFonts w:hint="eastAsia" w:ascii="Times New Roman" w:hAnsi="Times New Roman" w:cs="Times New Roman"/>
                      <w:i w:val="0"/>
                      <w:iCs w:val="0"/>
                      <w:color w:val="auto"/>
                      <w:kern w:val="0"/>
                      <w:sz w:val="21"/>
                      <w:szCs w:val="21"/>
                      <w:u w:val="none" w:color="auto"/>
                      <w:lang w:val="en-US" w:eastAsia="zh-CN" w:bidi="ar"/>
                    </w:rPr>
                    <w:t>-0.579</w:t>
                  </w:r>
                  <w:r>
                    <w:rPr>
                      <w:rFonts w:hint="default" w:ascii="Times New Roman" w:hAnsi="Times New Roman" w:cs="Times New Roman"/>
                      <w:i w:val="0"/>
                      <w:iCs w:val="0"/>
                      <w:color w:val="auto"/>
                      <w:kern w:val="0"/>
                      <w:sz w:val="21"/>
                      <w:szCs w:val="21"/>
                      <w:u w:val="none" w:color="auto"/>
                      <w:lang w:val="en-US" w:eastAsia="zh-CN" w:bidi="ar"/>
                    </w:rPr>
                    <w:t xml:space="preserve"> </w:t>
                  </w:r>
                </w:p>
              </w:tc>
              <w:tc>
                <w:tcPr>
                  <w:tcW w:w="590" w:type="pct"/>
                  <w:tcBorders>
                    <w:tl2br w:val="nil"/>
                    <w:tr2bl w:val="nil"/>
                  </w:tcBorders>
                  <w:noWrap w:val="0"/>
                  <w:vAlign w:val="center"/>
                </w:tcPr>
                <w:p w14:paraId="233BB23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default" w:ascii="Times New Roman" w:hAnsi="Times New Roman" w:cs="Times New Roman"/>
                      <w:i w:val="0"/>
                      <w:iCs w:val="0"/>
                      <w:color w:val="auto"/>
                      <w:kern w:val="0"/>
                      <w:sz w:val="21"/>
                      <w:szCs w:val="21"/>
                      <w:u w:val="none" w:color="auto"/>
                      <w:lang w:val="en-US" w:eastAsia="zh-CN" w:bidi="ar"/>
                    </w:rPr>
                    <w:t>0.</w:t>
                  </w:r>
                  <w:r>
                    <w:rPr>
                      <w:rFonts w:hint="eastAsia" w:ascii="Times New Roman" w:hAnsi="Times New Roman" w:cs="Times New Roman"/>
                      <w:i w:val="0"/>
                      <w:iCs w:val="0"/>
                      <w:color w:val="auto"/>
                      <w:kern w:val="0"/>
                      <w:sz w:val="21"/>
                      <w:szCs w:val="21"/>
                      <w:u w:val="none" w:color="auto"/>
                      <w:lang w:val="en-US" w:eastAsia="zh-CN" w:bidi="ar"/>
                    </w:rPr>
                    <w:t>869</w:t>
                  </w:r>
                </w:p>
              </w:tc>
              <w:tc>
                <w:tcPr>
                  <w:tcW w:w="525" w:type="pct"/>
                  <w:tcBorders>
                    <w:tl2br w:val="nil"/>
                    <w:tr2bl w:val="nil"/>
                  </w:tcBorders>
                  <w:noWrap w:val="0"/>
                  <w:vAlign w:val="center"/>
                </w:tcPr>
                <w:p w14:paraId="40234D0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default" w:ascii="Times New Roman" w:hAnsi="Times New Roman" w:cs="Times New Roman"/>
                      <w:i w:val="0"/>
                      <w:iCs w:val="0"/>
                      <w:color w:val="auto"/>
                      <w:kern w:val="0"/>
                      <w:sz w:val="21"/>
                      <w:szCs w:val="21"/>
                      <w:u w:val="none" w:color="auto"/>
                      <w:lang w:val="en-US" w:eastAsia="zh-CN" w:bidi="ar"/>
                    </w:rPr>
                    <w:t>0.</w:t>
                  </w:r>
                  <w:r>
                    <w:rPr>
                      <w:rFonts w:hint="eastAsia" w:ascii="Times New Roman" w:hAnsi="Times New Roman" w:cs="Times New Roman"/>
                      <w:i w:val="0"/>
                      <w:iCs w:val="0"/>
                      <w:color w:val="auto"/>
                      <w:kern w:val="0"/>
                      <w:sz w:val="21"/>
                      <w:szCs w:val="21"/>
                      <w:u w:val="none" w:color="auto"/>
                      <w:lang w:val="en-US" w:eastAsia="zh-CN" w:bidi="ar"/>
                    </w:rPr>
                    <w:t>464</w:t>
                  </w:r>
                </w:p>
              </w:tc>
              <w:tc>
                <w:tcPr>
                  <w:tcW w:w="500" w:type="pct"/>
                  <w:tcBorders>
                    <w:tl2br w:val="nil"/>
                    <w:tr2bl w:val="nil"/>
                  </w:tcBorders>
                  <w:noWrap w:val="0"/>
                  <w:vAlign w:val="center"/>
                </w:tcPr>
                <w:p w14:paraId="6256237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2400</w:t>
                  </w:r>
                </w:p>
              </w:tc>
            </w:tr>
            <w:tr w14:paraId="12B9A19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87" w:type="pct"/>
                  <w:vMerge w:val="restart"/>
                  <w:tcBorders>
                    <w:tl2br w:val="nil"/>
                    <w:tr2bl w:val="nil"/>
                  </w:tcBorders>
                  <w:noWrap w:val="0"/>
                  <w:vAlign w:val="center"/>
                </w:tcPr>
                <w:p w14:paraId="741EF0B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cs="Times New Roman"/>
                      <w:color w:val="auto"/>
                      <w:kern w:val="2"/>
                      <w:sz w:val="21"/>
                      <w:szCs w:val="21"/>
                      <w:u w:val="none" w:color="auto"/>
                      <w:lang w:val="en-US" w:eastAsia="zh-CN"/>
                    </w:rPr>
                    <w:t>淬火回火废气（DA00</w:t>
                  </w:r>
                  <w:r>
                    <w:rPr>
                      <w:rFonts w:hint="eastAsia" w:ascii="Times New Roman" w:hAnsi="Times New Roman" w:cs="Times New Roman"/>
                      <w:color w:val="auto"/>
                      <w:kern w:val="2"/>
                      <w:sz w:val="21"/>
                      <w:szCs w:val="21"/>
                      <w:u w:val="none" w:color="auto"/>
                      <w:lang w:val="en-US" w:eastAsia="zh-CN"/>
                    </w:rPr>
                    <w:t>3</w:t>
                  </w:r>
                  <w:r>
                    <w:rPr>
                      <w:rFonts w:hint="default" w:ascii="Times New Roman" w:hAnsi="Times New Roman" w:cs="Times New Roman"/>
                      <w:color w:val="auto"/>
                      <w:kern w:val="2"/>
                      <w:sz w:val="21"/>
                      <w:szCs w:val="21"/>
                      <w:u w:val="none" w:color="auto"/>
                      <w:lang w:val="en-US" w:eastAsia="zh-CN"/>
                    </w:rPr>
                    <w:t>）</w:t>
                  </w:r>
                </w:p>
              </w:tc>
              <w:tc>
                <w:tcPr>
                  <w:tcW w:w="491" w:type="pct"/>
                  <w:tcBorders>
                    <w:tl2br w:val="nil"/>
                    <w:tr2bl w:val="nil"/>
                  </w:tcBorders>
                  <w:noWrap w:val="0"/>
                  <w:vAlign w:val="center"/>
                </w:tcPr>
                <w:p w14:paraId="42E350CC">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颗粒物</w:t>
                  </w:r>
                </w:p>
              </w:tc>
              <w:tc>
                <w:tcPr>
                  <w:tcW w:w="443" w:type="pct"/>
                  <w:tcBorders>
                    <w:tl2br w:val="nil"/>
                    <w:tr2bl w:val="nil"/>
                  </w:tcBorders>
                  <w:noWrap w:val="0"/>
                  <w:vAlign w:val="center"/>
                </w:tcPr>
                <w:p w14:paraId="7A95835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default" w:ascii="Times New Roman" w:hAnsi="Times New Roman" w:cs="Times New Roman"/>
                      <w:i w:val="0"/>
                      <w:iCs w:val="0"/>
                      <w:color w:val="auto"/>
                      <w:kern w:val="0"/>
                      <w:sz w:val="21"/>
                      <w:szCs w:val="21"/>
                      <w:u w:val="none" w:color="auto"/>
                      <w:lang w:val="en-US" w:eastAsia="zh-CN" w:bidi="ar"/>
                    </w:rPr>
                    <w:t xml:space="preserve">0.360 </w:t>
                  </w:r>
                </w:p>
              </w:tc>
              <w:tc>
                <w:tcPr>
                  <w:tcW w:w="361" w:type="pct"/>
                  <w:tcBorders>
                    <w:tl2br w:val="nil"/>
                    <w:tr2bl w:val="nil"/>
                  </w:tcBorders>
                  <w:noWrap w:val="0"/>
                  <w:vAlign w:val="center"/>
                </w:tcPr>
                <w:p w14:paraId="6FF655B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default" w:ascii="Times New Roman" w:hAnsi="Times New Roman" w:cs="Times New Roman"/>
                      <w:i w:val="0"/>
                      <w:iCs w:val="0"/>
                      <w:color w:val="auto"/>
                      <w:kern w:val="0"/>
                      <w:sz w:val="21"/>
                      <w:szCs w:val="21"/>
                      <w:u w:val="none" w:color="auto"/>
                      <w:lang w:val="en-US" w:eastAsia="zh-CN" w:bidi="ar"/>
                    </w:rPr>
                    <w:t>9</w:t>
                  </w:r>
                  <w:r>
                    <w:rPr>
                      <w:rFonts w:hint="eastAsia" w:ascii="Times New Roman" w:hAnsi="Times New Roman" w:cs="Times New Roman"/>
                      <w:i w:val="0"/>
                      <w:iCs w:val="0"/>
                      <w:color w:val="auto"/>
                      <w:kern w:val="0"/>
                      <w:sz w:val="21"/>
                      <w:szCs w:val="21"/>
                      <w:u w:val="none" w:color="auto"/>
                      <w:lang w:val="en-US" w:eastAsia="zh-CN" w:bidi="ar"/>
                    </w:rPr>
                    <w:t>0</w:t>
                  </w:r>
                  <w:r>
                    <w:rPr>
                      <w:rFonts w:hint="default" w:ascii="Times New Roman" w:hAnsi="Times New Roman" w:cs="Times New Roman"/>
                      <w:i w:val="0"/>
                      <w:iCs w:val="0"/>
                      <w:color w:val="auto"/>
                      <w:kern w:val="0"/>
                      <w:sz w:val="21"/>
                      <w:szCs w:val="21"/>
                      <w:u w:val="none" w:color="auto"/>
                      <w:lang w:val="en-US" w:eastAsia="zh-CN" w:bidi="ar"/>
                    </w:rPr>
                    <w:t>%</w:t>
                  </w:r>
                </w:p>
              </w:tc>
              <w:tc>
                <w:tcPr>
                  <w:tcW w:w="489" w:type="pct"/>
                  <w:tcBorders>
                    <w:tl2br w:val="nil"/>
                    <w:tr2bl w:val="nil"/>
                  </w:tcBorders>
                  <w:noWrap w:val="0"/>
                  <w:vAlign w:val="center"/>
                </w:tcPr>
                <w:p w14:paraId="4DF5D49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3</w:t>
                  </w:r>
                  <w:r>
                    <w:rPr>
                      <w:rFonts w:hint="default" w:ascii="Times New Roman" w:hAnsi="Times New Roman" w:cs="Times New Roman"/>
                      <w:i w:val="0"/>
                      <w:iCs w:val="0"/>
                      <w:color w:val="auto"/>
                      <w:kern w:val="0"/>
                      <w:sz w:val="21"/>
                      <w:szCs w:val="21"/>
                      <w:u w:val="none" w:color="auto"/>
                      <w:lang w:val="en-US" w:eastAsia="zh-CN" w:bidi="ar"/>
                    </w:rPr>
                    <w:t>000</w:t>
                  </w:r>
                </w:p>
              </w:tc>
              <w:tc>
                <w:tcPr>
                  <w:tcW w:w="454" w:type="pct"/>
                  <w:tcBorders>
                    <w:tl2br w:val="nil"/>
                    <w:tr2bl w:val="nil"/>
                  </w:tcBorders>
                  <w:noWrap w:val="0"/>
                  <w:vAlign w:val="center"/>
                </w:tcPr>
                <w:p w14:paraId="73049B8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default" w:ascii="Times New Roman" w:hAnsi="Times New Roman" w:cs="Times New Roman"/>
                      <w:i w:val="0"/>
                      <w:iCs w:val="0"/>
                      <w:color w:val="auto"/>
                      <w:kern w:val="0"/>
                      <w:sz w:val="21"/>
                      <w:szCs w:val="21"/>
                      <w:u w:val="none" w:color="auto"/>
                      <w:lang w:val="en-US" w:eastAsia="zh-CN" w:bidi="ar"/>
                    </w:rPr>
                    <w:t xml:space="preserve">20.00 </w:t>
                  </w:r>
                </w:p>
              </w:tc>
              <w:tc>
                <w:tcPr>
                  <w:tcW w:w="455" w:type="pct"/>
                  <w:tcBorders>
                    <w:tl2br w:val="nil"/>
                    <w:tr2bl w:val="nil"/>
                  </w:tcBorders>
                  <w:noWrap w:val="0"/>
                  <w:vAlign w:val="center"/>
                </w:tcPr>
                <w:p w14:paraId="3C5D40F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default" w:ascii="Times New Roman" w:hAnsi="Times New Roman" w:cs="Times New Roman"/>
                      <w:i w:val="0"/>
                      <w:iCs w:val="0"/>
                      <w:color w:val="auto"/>
                      <w:kern w:val="0"/>
                      <w:sz w:val="21"/>
                      <w:szCs w:val="21"/>
                      <w:u w:val="none" w:color="auto"/>
                      <w:lang w:val="en-US" w:eastAsia="zh-CN" w:bidi="ar"/>
                    </w:rPr>
                    <w:t xml:space="preserve">0.060 </w:t>
                  </w:r>
                </w:p>
              </w:tc>
              <w:tc>
                <w:tcPr>
                  <w:tcW w:w="590" w:type="pct"/>
                  <w:tcBorders>
                    <w:tl2br w:val="nil"/>
                    <w:tr2bl w:val="nil"/>
                  </w:tcBorders>
                  <w:noWrap w:val="0"/>
                  <w:vAlign w:val="center"/>
                </w:tcPr>
                <w:p w14:paraId="1291117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default" w:ascii="Times New Roman" w:hAnsi="Times New Roman" w:cs="Times New Roman"/>
                      <w:i w:val="0"/>
                      <w:iCs w:val="0"/>
                      <w:color w:val="auto"/>
                      <w:kern w:val="0"/>
                      <w:sz w:val="21"/>
                      <w:szCs w:val="21"/>
                      <w:u w:val="none" w:color="auto"/>
                      <w:lang w:val="en-US" w:eastAsia="zh-CN" w:bidi="ar"/>
                    </w:rPr>
                    <w:t xml:space="preserve">0.036 </w:t>
                  </w:r>
                </w:p>
              </w:tc>
              <w:tc>
                <w:tcPr>
                  <w:tcW w:w="525" w:type="pct"/>
                  <w:tcBorders>
                    <w:tl2br w:val="nil"/>
                    <w:tr2bl w:val="nil"/>
                  </w:tcBorders>
                  <w:noWrap w:val="0"/>
                  <w:vAlign w:val="center"/>
                </w:tcPr>
                <w:p w14:paraId="2802662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 xml:space="preserve">0.040 </w:t>
                  </w:r>
                </w:p>
              </w:tc>
              <w:tc>
                <w:tcPr>
                  <w:tcW w:w="500" w:type="pct"/>
                  <w:tcBorders>
                    <w:tl2br w:val="nil"/>
                    <w:tr2bl w:val="nil"/>
                  </w:tcBorders>
                  <w:noWrap w:val="0"/>
                  <w:vAlign w:val="center"/>
                </w:tcPr>
                <w:p w14:paraId="5A27C62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600</w:t>
                  </w:r>
                </w:p>
              </w:tc>
            </w:tr>
            <w:tr w14:paraId="73A1D74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87" w:type="pct"/>
                  <w:vMerge w:val="continue"/>
                  <w:tcBorders>
                    <w:tl2br w:val="nil"/>
                    <w:tr2bl w:val="nil"/>
                  </w:tcBorders>
                  <w:noWrap w:val="0"/>
                  <w:vAlign w:val="center"/>
                </w:tcPr>
                <w:p w14:paraId="70E3A65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color w:val="auto"/>
                      <w:kern w:val="2"/>
                      <w:sz w:val="21"/>
                      <w:szCs w:val="21"/>
                      <w:u w:val="none" w:color="auto"/>
                      <w:lang w:val="en-US" w:eastAsia="zh-CN"/>
                    </w:rPr>
                  </w:pPr>
                </w:p>
              </w:tc>
              <w:tc>
                <w:tcPr>
                  <w:tcW w:w="491" w:type="pct"/>
                  <w:tcBorders>
                    <w:tl2br w:val="nil"/>
                    <w:tr2bl w:val="nil"/>
                  </w:tcBorders>
                  <w:noWrap w:val="0"/>
                  <w:vAlign w:val="center"/>
                </w:tcPr>
                <w:p w14:paraId="12EB3010">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eastAsia" w:ascii="Times New Roman" w:hAnsi="Times New Roman" w:cs="Times New Roman"/>
                      <w:b w:val="0"/>
                      <w:bCs w:val="0"/>
                      <w:i w:val="0"/>
                      <w:iCs w:val="0"/>
                      <w:color w:val="auto"/>
                      <w:kern w:val="0"/>
                      <w:sz w:val="21"/>
                      <w:szCs w:val="21"/>
                      <w:u w:val="none" w:color="auto"/>
                      <w:lang w:val="en-US" w:eastAsia="zh-CN" w:bidi="ar"/>
                    </w:rPr>
                    <w:t>非甲烷总烃</w:t>
                  </w:r>
                </w:p>
              </w:tc>
              <w:tc>
                <w:tcPr>
                  <w:tcW w:w="443" w:type="pct"/>
                  <w:tcBorders>
                    <w:tl2br w:val="nil"/>
                    <w:tr2bl w:val="nil"/>
                  </w:tcBorders>
                  <w:noWrap w:val="0"/>
                  <w:vAlign w:val="center"/>
                </w:tcPr>
                <w:p w14:paraId="2522951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default" w:ascii="Times New Roman" w:hAnsi="Times New Roman" w:cs="Times New Roman"/>
                      <w:i w:val="0"/>
                      <w:iCs w:val="0"/>
                      <w:color w:val="auto"/>
                      <w:kern w:val="0"/>
                      <w:sz w:val="21"/>
                      <w:szCs w:val="21"/>
                      <w:u w:val="none" w:color="auto"/>
                      <w:lang w:val="en-US" w:eastAsia="zh-CN" w:bidi="ar"/>
                    </w:rPr>
                    <w:t xml:space="preserve">0.00002 </w:t>
                  </w:r>
                </w:p>
              </w:tc>
              <w:tc>
                <w:tcPr>
                  <w:tcW w:w="361" w:type="pct"/>
                  <w:tcBorders>
                    <w:tl2br w:val="nil"/>
                    <w:tr2bl w:val="nil"/>
                  </w:tcBorders>
                  <w:noWrap w:val="0"/>
                  <w:vAlign w:val="center"/>
                </w:tcPr>
                <w:p w14:paraId="6A66813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0</w:t>
                  </w:r>
                </w:p>
              </w:tc>
              <w:tc>
                <w:tcPr>
                  <w:tcW w:w="489" w:type="pct"/>
                  <w:tcBorders>
                    <w:tl2br w:val="nil"/>
                    <w:tr2bl w:val="nil"/>
                  </w:tcBorders>
                  <w:noWrap w:val="0"/>
                  <w:vAlign w:val="center"/>
                </w:tcPr>
                <w:p w14:paraId="0496BE5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3000</w:t>
                  </w:r>
                </w:p>
              </w:tc>
              <w:tc>
                <w:tcPr>
                  <w:tcW w:w="454" w:type="pct"/>
                  <w:tcBorders>
                    <w:tl2br w:val="nil"/>
                    <w:tr2bl w:val="nil"/>
                  </w:tcBorders>
                  <w:noWrap w:val="0"/>
                  <w:vAlign w:val="center"/>
                </w:tcPr>
                <w:p w14:paraId="336A1C1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default" w:ascii="Times New Roman" w:hAnsi="Times New Roman" w:cs="Times New Roman"/>
                      <w:i w:val="0"/>
                      <w:iCs w:val="0"/>
                      <w:color w:val="auto"/>
                      <w:kern w:val="0"/>
                      <w:sz w:val="21"/>
                      <w:szCs w:val="21"/>
                      <w:u w:val="none" w:color="auto"/>
                      <w:lang w:val="en-US" w:eastAsia="zh-CN" w:bidi="ar"/>
                    </w:rPr>
                    <w:t xml:space="preserve">0.01 </w:t>
                  </w:r>
                </w:p>
              </w:tc>
              <w:tc>
                <w:tcPr>
                  <w:tcW w:w="455" w:type="pct"/>
                  <w:tcBorders>
                    <w:tl2br w:val="nil"/>
                    <w:tr2bl w:val="nil"/>
                  </w:tcBorders>
                  <w:noWrap w:val="0"/>
                  <w:vAlign w:val="center"/>
                </w:tcPr>
                <w:p w14:paraId="5421226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default" w:ascii="Times New Roman" w:hAnsi="Times New Roman" w:cs="Times New Roman"/>
                      <w:i w:val="0"/>
                      <w:iCs w:val="0"/>
                      <w:color w:val="auto"/>
                      <w:kern w:val="0"/>
                      <w:sz w:val="21"/>
                      <w:szCs w:val="21"/>
                      <w:u w:val="none" w:color="auto"/>
                      <w:lang w:val="en-US" w:eastAsia="zh-CN" w:bidi="ar"/>
                    </w:rPr>
                    <w:t xml:space="preserve">0.00003 </w:t>
                  </w:r>
                </w:p>
              </w:tc>
              <w:tc>
                <w:tcPr>
                  <w:tcW w:w="590" w:type="pct"/>
                  <w:tcBorders>
                    <w:tl2br w:val="nil"/>
                    <w:tr2bl w:val="nil"/>
                  </w:tcBorders>
                  <w:noWrap w:val="0"/>
                  <w:vAlign w:val="center"/>
                </w:tcPr>
                <w:p w14:paraId="3829D78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default" w:ascii="Times New Roman" w:hAnsi="Times New Roman" w:cs="Times New Roman"/>
                      <w:i w:val="0"/>
                      <w:iCs w:val="0"/>
                      <w:color w:val="auto"/>
                      <w:kern w:val="0"/>
                      <w:sz w:val="21"/>
                      <w:szCs w:val="21"/>
                      <w:u w:val="none" w:color="auto"/>
                      <w:lang w:val="en-US" w:eastAsia="zh-CN" w:bidi="ar"/>
                    </w:rPr>
                    <w:t xml:space="preserve">0.00002 </w:t>
                  </w:r>
                </w:p>
              </w:tc>
              <w:tc>
                <w:tcPr>
                  <w:tcW w:w="525" w:type="pct"/>
                  <w:tcBorders>
                    <w:tl2br w:val="nil"/>
                    <w:tr2bl w:val="nil"/>
                  </w:tcBorders>
                  <w:noWrap w:val="0"/>
                  <w:vAlign w:val="center"/>
                </w:tcPr>
                <w:p w14:paraId="5A05D1A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 xml:space="preserve">0.000002 </w:t>
                  </w:r>
                </w:p>
              </w:tc>
              <w:tc>
                <w:tcPr>
                  <w:tcW w:w="500" w:type="pct"/>
                  <w:tcBorders>
                    <w:tl2br w:val="nil"/>
                    <w:tr2bl w:val="nil"/>
                  </w:tcBorders>
                  <w:noWrap w:val="0"/>
                  <w:vAlign w:val="center"/>
                </w:tcPr>
                <w:p w14:paraId="25C6BF3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600</w:t>
                  </w:r>
                </w:p>
              </w:tc>
            </w:tr>
            <w:tr w14:paraId="5D004D0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87" w:type="pct"/>
                  <w:vMerge w:val="restart"/>
                  <w:tcBorders>
                    <w:tl2br w:val="nil"/>
                    <w:tr2bl w:val="nil"/>
                  </w:tcBorders>
                  <w:noWrap w:val="0"/>
                  <w:vAlign w:val="center"/>
                </w:tcPr>
                <w:p w14:paraId="4F06A8FD">
                  <w:pPr>
                    <w:keepNext/>
                    <w:keepLines/>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auto"/>
                    <w:outlineLvl w:val="1"/>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合计</w:t>
                  </w:r>
                </w:p>
              </w:tc>
              <w:tc>
                <w:tcPr>
                  <w:tcW w:w="491" w:type="pct"/>
                  <w:tcBorders>
                    <w:tl2br w:val="nil"/>
                    <w:tr2bl w:val="nil"/>
                  </w:tcBorders>
                  <w:noWrap w:val="0"/>
                  <w:vAlign w:val="center"/>
                </w:tcPr>
                <w:p w14:paraId="11F77F98">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颗粒物</w:t>
                  </w:r>
                </w:p>
              </w:tc>
              <w:tc>
                <w:tcPr>
                  <w:tcW w:w="443" w:type="pct"/>
                  <w:tcBorders>
                    <w:tl2br w:val="nil"/>
                    <w:tr2bl w:val="nil"/>
                  </w:tcBorders>
                  <w:noWrap w:val="0"/>
                  <w:vAlign w:val="center"/>
                </w:tcPr>
                <w:p w14:paraId="1BE87F6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default" w:ascii="Times New Roman" w:hAnsi="Times New Roman" w:cs="Times New Roman"/>
                      <w:i w:val="0"/>
                      <w:iCs w:val="0"/>
                      <w:color w:val="auto"/>
                      <w:kern w:val="0"/>
                      <w:sz w:val="21"/>
                      <w:szCs w:val="21"/>
                      <w:u w:val="none" w:color="auto"/>
                      <w:lang w:val="en-US" w:eastAsia="zh-CN" w:bidi="ar"/>
                    </w:rPr>
                    <w:t>/</w:t>
                  </w:r>
                </w:p>
              </w:tc>
              <w:tc>
                <w:tcPr>
                  <w:tcW w:w="361" w:type="pct"/>
                  <w:tcBorders>
                    <w:tl2br w:val="nil"/>
                    <w:tr2bl w:val="nil"/>
                  </w:tcBorders>
                  <w:noWrap w:val="0"/>
                  <w:vAlign w:val="center"/>
                </w:tcPr>
                <w:p w14:paraId="4A78139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default" w:ascii="Times New Roman" w:hAnsi="Times New Roman" w:cs="Times New Roman"/>
                      <w:i w:val="0"/>
                      <w:iCs w:val="0"/>
                      <w:color w:val="auto"/>
                      <w:kern w:val="0"/>
                      <w:sz w:val="21"/>
                      <w:szCs w:val="21"/>
                      <w:u w:val="none" w:color="auto"/>
                      <w:lang w:val="en-US" w:eastAsia="zh-CN" w:bidi="ar"/>
                    </w:rPr>
                    <w:t>/</w:t>
                  </w:r>
                </w:p>
              </w:tc>
              <w:tc>
                <w:tcPr>
                  <w:tcW w:w="489" w:type="pct"/>
                  <w:tcBorders>
                    <w:tl2br w:val="nil"/>
                    <w:tr2bl w:val="nil"/>
                  </w:tcBorders>
                  <w:noWrap w:val="0"/>
                  <w:vAlign w:val="center"/>
                </w:tcPr>
                <w:p w14:paraId="148ECFC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default" w:ascii="Times New Roman" w:hAnsi="Times New Roman" w:cs="Times New Roman"/>
                      <w:i w:val="0"/>
                      <w:iCs w:val="0"/>
                      <w:color w:val="auto"/>
                      <w:kern w:val="0"/>
                      <w:sz w:val="21"/>
                      <w:szCs w:val="21"/>
                      <w:u w:val="none" w:color="auto"/>
                      <w:lang w:val="en-US" w:eastAsia="zh-CN" w:bidi="ar"/>
                    </w:rPr>
                    <w:t>/</w:t>
                  </w:r>
                </w:p>
              </w:tc>
              <w:tc>
                <w:tcPr>
                  <w:tcW w:w="454" w:type="pct"/>
                  <w:tcBorders>
                    <w:tl2br w:val="nil"/>
                    <w:tr2bl w:val="nil"/>
                  </w:tcBorders>
                  <w:noWrap w:val="0"/>
                  <w:vAlign w:val="center"/>
                </w:tcPr>
                <w:p w14:paraId="6D216A3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w:t>
                  </w:r>
                </w:p>
              </w:tc>
              <w:tc>
                <w:tcPr>
                  <w:tcW w:w="455" w:type="pct"/>
                  <w:tcBorders>
                    <w:tl2br w:val="nil"/>
                    <w:tr2bl w:val="nil"/>
                  </w:tcBorders>
                  <w:noWrap w:val="0"/>
                  <w:vAlign w:val="center"/>
                </w:tcPr>
                <w:p w14:paraId="24C8C88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default" w:ascii="Times New Roman" w:hAnsi="Times New Roman" w:cs="Times New Roman"/>
                      <w:i w:val="0"/>
                      <w:iCs w:val="0"/>
                      <w:color w:val="auto"/>
                      <w:kern w:val="0"/>
                      <w:sz w:val="21"/>
                      <w:szCs w:val="21"/>
                      <w:u w:val="none" w:color="auto"/>
                      <w:lang w:val="en-US" w:eastAsia="zh-CN" w:bidi="ar"/>
                    </w:rPr>
                    <w:t>/</w:t>
                  </w:r>
                </w:p>
              </w:tc>
              <w:tc>
                <w:tcPr>
                  <w:tcW w:w="590" w:type="pct"/>
                  <w:tcBorders>
                    <w:tl2br w:val="nil"/>
                    <w:tr2bl w:val="nil"/>
                  </w:tcBorders>
                  <w:noWrap w:val="0"/>
                  <w:vAlign w:val="center"/>
                </w:tcPr>
                <w:p w14:paraId="4D70315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5.562</w:t>
                  </w:r>
                </w:p>
              </w:tc>
              <w:tc>
                <w:tcPr>
                  <w:tcW w:w="525" w:type="pct"/>
                  <w:tcBorders>
                    <w:tl2br w:val="nil"/>
                    <w:tr2bl w:val="nil"/>
                  </w:tcBorders>
                  <w:noWrap w:val="0"/>
                  <w:vAlign w:val="center"/>
                </w:tcPr>
                <w:p w14:paraId="07139A3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1.434</w:t>
                  </w:r>
                </w:p>
              </w:tc>
              <w:tc>
                <w:tcPr>
                  <w:tcW w:w="500" w:type="pct"/>
                  <w:tcBorders>
                    <w:tl2br w:val="nil"/>
                    <w:tr2bl w:val="nil"/>
                  </w:tcBorders>
                  <w:noWrap w:val="0"/>
                  <w:vAlign w:val="center"/>
                </w:tcPr>
                <w:p w14:paraId="7006A7B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3600</w:t>
                  </w:r>
                </w:p>
              </w:tc>
            </w:tr>
            <w:tr w14:paraId="53C264F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87" w:type="pct"/>
                  <w:vMerge w:val="continue"/>
                  <w:tcBorders>
                    <w:tl2br w:val="nil"/>
                    <w:tr2bl w:val="nil"/>
                  </w:tcBorders>
                  <w:noWrap w:val="0"/>
                  <w:vAlign w:val="center"/>
                </w:tcPr>
                <w:p w14:paraId="1517BF5B">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bCs/>
                      <w:i w:val="0"/>
                      <w:iCs w:val="0"/>
                      <w:color w:val="auto"/>
                      <w:kern w:val="0"/>
                      <w:sz w:val="21"/>
                      <w:szCs w:val="21"/>
                      <w:u w:val="none" w:color="auto"/>
                      <w:lang w:val="en-US" w:eastAsia="zh-CN" w:bidi="ar"/>
                    </w:rPr>
                  </w:pPr>
                </w:p>
              </w:tc>
              <w:tc>
                <w:tcPr>
                  <w:tcW w:w="491" w:type="pct"/>
                  <w:tcBorders>
                    <w:tl2br w:val="nil"/>
                    <w:tr2bl w:val="nil"/>
                  </w:tcBorders>
                  <w:noWrap w:val="0"/>
                  <w:vAlign w:val="center"/>
                </w:tcPr>
                <w:p w14:paraId="3AABACC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VOCs</w:t>
                  </w:r>
                </w:p>
              </w:tc>
              <w:tc>
                <w:tcPr>
                  <w:tcW w:w="443" w:type="pct"/>
                  <w:tcBorders>
                    <w:tl2br w:val="nil"/>
                    <w:tr2bl w:val="nil"/>
                  </w:tcBorders>
                  <w:noWrap w:val="0"/>
                  <w:vAlign w:val="center"/>
                </w:tcPr>
                <w:p w14:paraId="3E13C37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default" w:ascii="Times New Roman" w:hAnsi="Times New Roman" w:cs="Times New Roman"/>
                      <w:i w:val="0"/>
                      <w:iCs w:val="0"/>
                      <w:color w:val="auto"/>
                      <w:kern w:val="0"/>
                      <w:sz w:val="21"/>
                      <w:szCs w:val="21"/>
                      <w:u w:val="none" w:color="auto"/>
                      <w:lang w:val="en-US" w:eastAsia="zh-CN" w:bidi="ar"/>
                    </w:rPr>
                    <w:t>/</w:t>
                  </w:r>
                </w:p>
              </w:tc>
              <w:tc>
                <w:tcPr>
                  <w:tcW w:w="361" w:type="pct"/>
                  <w:tcBorders>
                    <w:tl2br w:val="nil"/>
                    <w:tr2bl w:val="nil"/>
                  </w:tcBorders>
                  <w:noWrap w:val="0"/>
                  <w:vAlign w:val="center"/>
                </w:tcPr>
                <w:p w14:paraId="306B3AB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default" w:ascii="Times New Roman" w:hAnsi="Times New Roman" w:cs="Times New Roman"/>
                      <w:i w:val="0"/>
                      <w:iCs w:val="0"/>
                      <w:color w:val="auto"/>
                      <w:kern w:val="0"/>
                      <w:sz w:val="21"/>
                      <w:szCs w:val="21"/>
                      <w:u w:val="none" w:color="auto"/>
                      <w:lang w:val="en-US" w:eastAsia="zh-CN" w:bidi="ar"/>
                    </w:rPr>
                    <w:t>/</w:t>
                  </w:r>
                </w:p>
              </w:tc>
              <w:tc>
                <w:tcPr>
                  <w:tcW w:w="489" w:type="pct"/>
                  <w:tcBorders>
                    <w:tl2br w:val="nil"/>
                    <w:tr2bl w:val="nil"/>
                  </w:tcBorders>
                  <w:noWrap w:val="0"/>
                  <w:vAlign w:val="center"/>
                </w:tcPr>
                <w:p w14:paraId="414C262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default" w:ascii="Times New Roman" w:hAnsi="Times New Roman" w:cs="Times New Roman"/>
                      <w:i w:val="0"/>
                      <w:iCs w:val="0"/>
                      <w:color w:val="auto"/>
                      <w:kern w:val="0"/>
                      <w:sz w:val="21"/>
                      <w:szCs w:val="21"/>
                      <w:u w:val="none" w:color="auto"/>
                      <w:lang w:val="en-US" w:eastAsia="zh-CN" w:bidi="ar"/>
                    </w:rPr>
                    <w:t>/</w:t>
                  </w:r>
                </w:p>
              </w:tc>
              <w:tc>
                <w:tcPr>
                  <w:tcW w:w="454" w:type="pct"/>
                  <w:tcBorders>
                    <w:tl2br w:val="nil"/>
                    <w:tr2bl w:val="nil"/>
                  </w:tcBorders>
                  <w:noWrap w:val="0"/>
                  <w:vAlign w:val="center"/>
                </w:tcPr>
                <w:p w14:paraId="55C7D7E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w:t>
                  </w:r>
                </w:p>
              </w:tc>
              <w:tc>
                <w:tcPr>
                  <w:tcW w:w="455" w:type="pct"/>
                  <w:tcBorders>
                    <w:tl2br w:val="nil"/>
                    <w:tr2bl w:val="nil"/>
                  </w:tcBorders>
                  <w:noWrap w:val="0"/>
                  <w:vAlign w:val="center"/>
                </w:tcPr>
                <w:p w14:paraId="6A217C0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default" w:ascii="Times New Roman" w:hAnsi="Times New Roman" w:cs="Times New Roman"/>
                      <w:i w:val="0"/>
                      <w:iCs w:val="0"/>
                      <w:color w:val="auto"/>
                      <w:kern w:val="0"/>
                      <w:sz w:val="21"/>
                      <w:szCs w:val="21"/>
                      <w:u w:val="none" w:color="auto"/>
                      <w:lang w:val="en-US" w:eastAsia="zh-CN" w:bidi="ar"/>
                    </w:rPr>
                    <w:t>/</w:t>
                  </w:r>
                </w:p>
              </w:tc>
              <w:tc>
                <w:tcPr>
                  <w:tcW w:w="590" w:type="pct"/>
                  <w:tcBorders>
                    <w:tl2br w:val="nil"/>
                    <w:tr2bl w:val="nil"/>
                  </w:tcBorders>
                  <w:noWrap w:val="0"/>
                  <w:vAlign w:val="center"/>
                </w:tcPr>
                <w:p w14:paraId="3789820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0.00002</w:t>
                  </w:r>
                </w:p>
              </w:tc>
              <w:tc>
                <w:tcPr>
                  <w:tcW w:w="525" w:type="pct"/>
                  <w:tcBorders>
                    <w:tl2br w:val="nil"/>
                    <w:tr2bl w:val="nil"/>
                  </w:tcBorders>
                  <w:noWrap w:val="0"/>
                  <w:vAlign w:val="center"/>
                </w:tcPr>
                <w:p w14:paraId="16ACFC7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0.000002</w:t>
                  </w:r>
                </w:p>
              </w:tc>
              <w:tc>
                <w:tcPr>
                  <w:tcW w:w="500" w:type="pct"/>
                  <w:tcBorders>
                    <w:tl2br w:val="nil"/>
                    <w:tr2bl w:val="nil"/>
                  </w:tcBorders>
                  <w:noWrap w:val="0"/>
                  <w:vAlign w:val="center"/>
                </w:tcPr>
                <w:p w14:paraId="5F78221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600</w:t>
                  </w:r>
                </w:p>
              </w:tc>
            </w:tr>
          </w:tbl>
          <w:p w14:paraId="0CEC9BE4">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1.7非正常情况下大气污染源分析</w:t>
            </w:r>
          </w:p>
          <w:p w14:paraId="03007040">
            <w:pPr>
              <w:keepNext w:val="0"/>
              <w:keepLines/>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default" w:ascii="Times New Roman" w:hAnsi="Times New Roman" w:eastAsia="宋体" w:cs="Times New Roman"/>
                <w:color w:val="auto"/>
                <w:kern w:val="2"/>
                <w:sz w:val="24"/>
                <w:szCs w:val="24"/>
                <w:u w:val="none" w:color="auto"/>
              </w:rPr>
              <w:t>废气非正常情况主要为环保设施发生故障，导致废气污染物去除效率下降达不到设计要求的情况，根据本项目废气产生及处理措施，非正常情况假设</w:t>
            </w:r>
            <w:r>
              <w:rPr>
                <w:rFonts w:hint="default" w:ascii="Times New Roman" w:hAnsi="Times New Roman" w:cs="Times New Roman"/>
                <w:color w:val="auto"/>
                <w:kern w:val="2"/>
                <w:sz w:val="24"/>
                <w:u w:val="none" w:color="auto"/>
              </w:rPr>
              <w:t>废气处理措施处理效率下降至</w:t>
            </w:r>
            <w:r>
              <w:rPr>
                <w:rFonts w:hint="eastAsia" w:ascii="Times New Roman" w:hAnsi="Times New Roman" w:cs="Times New Roman"/>
                <w:color w:val="auto"/>
                <w:kern w:val="2"/>
                <w:sz w:val="24"/>
                <w:u w:val="none" w:color="auto"/>
                <w:lang w:val="en-US" w:eastAsia="zh-CN"/>
              </w:rPr>
              <w:t>正常效率的50</w:t>
            </w:r>
            <w:r>
              <w:rPr>
                <w:rFonts w:hint="default" w:ascii="Times New Roman" w:hAnsi="Times New Roman" w:cs="Times New Roman"/>
                <w:color w:val="auto"/>
                <w:kern w:val="2"/>
                <w:sz w:val="24"/>
                <w:u w:val="none" w:color="auto"/>
              </w:rPr>
              <w:t>%（事故工况）</w:t>
            </w:r>
            <w:r>
              <w:rPr>
                <w:rFonts w:hint="eastAsia" w:ascii="Times New Roman" w:hAnsi="Times New Roman" w:cs="Times New Roman"/>
                <w:color w:val="auto"/>
                <w:kern w:val="2"/>
                <w:sz w:val="24"/>
                <w:u w:val="none" w:color="auto"/>
                <w:lang w:eastAsia="zh-CN"/>
              </w:rPr>
              <w:t>，</w:t>
            </w:r>
            <w:r>
              <w:rPr>
                <w:rFonts w:hint="default" w:ascii="Times New Roman" w:hAnsi="Times New Roman" w:cs="Times New Roman"/>
                <w:color w:val="auto"/>
                <w:kern w:val="2"/>
                <w:sz w:val="24"/>
                <w:u w:val="none" w:color="auto"/>
              </w:rPr>
              <w:t>废气非正常工况源强情况见表4-</w:t>
            </w:r>
            <w:r>
              <w:rPr>
                <w:rFonts w:hint="eastAsia" w:ascii="Times New Roman" w:hAnsi="Times New Roman" w:cs="Times New Roman"/>
                <w:color w:val="auto"/>
                <w:kern w:val="2"/>
                <w:sz w:val="24"/>
                <w:u w:val="none" w:color="auto"/>
                <w:lang w:val="en-US" w:eastAsia="zh-CN"/>
              </w:rPr>
              <w:t>11</w:t>
            </w:r>
            <w:r>
              <w:rPr>
                <w:rFonts w:hint="default" w:ascii="Times New Roman" w:hAnsi="Times New Roman" w:cs="Times New Roman"/>
                <w:color w:val="auto"/>
                <w:kern w:val="2"/>
                <w:sz w:val="24"/>
                <w:u w:val="none" w:color="auto"/>
              </w:rPr>
              <w:t>。由表可见，</w:t>
            </w:r>
            <w:r>
              <w:rPr>
                <w:rFonts w:hint="default" w:ascii="Times New Roman" w:hAnsi="Times New Roman" w:cs="Times New Roman"/>
                <w:color w:val="auto"/>
                <w:kern w:val="2"/>
                <w:sz w:val="24"/>
                <w:u w:val="none" w:color="auto"/>
                <w:lang w:eastAsia="zh-CN"/>
              </w:rPr>
              <w:t>当废气处理措施处理效率下降至</w:t>
            </w:r>
            <w:r>
              <w:rPr>
                <w:rFonts w:hint="default" w:ascii="Times New Roman" w:hAnsi="Times New Roman" w:cs="Times New Roman"/>
                <w:color w:val="auto"/>
                <w:kern w:val="2"/>
                <w:sz w:val="24"/>
                <w:u w:val="none" w:color="auto"/>
                <w:lang w:val="en-US" w:eastAsia="zh-CN"/>
              </w:rPr>
              <w:t>正常效率的50</w:t>
            </w:r>
            <w:r>
              <w:rPr>
                <w:rFonts w:hint="default" w:ascii="Times New Roman" w:hAnsi="Times New Roman" w:cs="Times New Roman"/>
                <w:color w:val="auto"/>
                <w:kern w:val="2"/>
                <w:sz w:val="24"/>
                <w:u w:val="none" w:color="auto"/>
                <w:lang w:eastAsia="zh-CN"/>
              </w:rPr>
              <w:t>%（事故工况）时，</w:t>
            </w:r>
            <w:r>
              <w:rPr>
                <w:rFonts w:hint="default" w:ascii="Times New Roman" w:hAnsi="Times New Roman" w:cs="Times New Roman"/>
                <w:color w:val="auto"/>
                <w:kern w:val="2"/>
                <w:sz w:val="24"/>
                <w:u w:val="none" w:color="auto"/>
                <w:lang w:val="en-US" w:eastAsia="zh-CN"/>
              </w:rPr>
              <w:t>DA001</w:t>
            </w:r>
            <w:r>
              <w:rPr>
                <w:rFonts w:hint="eastAsia" w:ascii="Times New Roman" w:hAnsi="Times New Roman" w:cs="Times New Roman"/>
                <w:color w:val="auto"/>
                <w:kern w:val="2"/>
                <w:sz w:val="24"/>
                <w:u w:val="none" w:color="auto"/>
                <w:lang w:val="en-US" w:eastAsia="zh-CN"/>
              </w:rPr>
              <w:t>、DA002、DA003</w:t>
            </w:r>
            <w:r>
              <w:rPr>
                <w:rFonts w:hint="default" w:ascii="Times New Roman" w:hAnsi="Times New Roman" w:cs="Times New Roman"/>
                <w:color w:val="auto"/>
                <w:kern w:val="2"/>
                <w:sz w:val="24"/>
                <w:u w:val="none" w:color="auto"/>
              </w:rPr>
              <w:t>排气筒</w:t>
            </w:r>
            <w:r>
              <w:rPr>
                <w:rFonts w:hint="default" w:ascii="Times New Roman" w:hAnsi="Times New Roman" w:cs="Times New Roman"/>
                <w:color w:val="auto"/>
                <w:kern w:val="2"/>
                <w:sz w:val="24"/>
                <w:u w:val="none" w:color="auto"/>
                <w:lang w:eastAsia="zh-CN"/>
              </w:rPr>
              <w:t>中</w:t>
            </w:r>
            <w:r>
              <w:rPr>
                <w:rFonts w:hint="eastAsia" w:ascii="Times New Roman" w:hAnsi="Times New Roman" w:cs="Times New Roman"/>
                <w:color w:val="auto"/>
                <w:kern w:val="2"/>
                <w:sz w:val="24"/>
                <w:u w:val="none" w:color="auto"/>
                <w:lang w:val="en-US" w:eastAsia="zh-CN"/>
              </w:rPr>
              <w:t>颗粒物</w:t>
            </w:r>
            <w:r>
              <w:rPr>
                <w:rFonts w:hint="default" w:ascii="Times New Roman" w:hAnsi="Times New Roman" w:cs="Times New Roman"/>
                <w:color w:val="auto"/>
                <w:kern w:val="2"/>
                <w:sz w:val="24"/>
                <w:u w:val="none" w:color="auto"/>
              </w:rPr>
              <w:t>排放浓度</w:t>
            </w:r>
            <w:r>
              <w:rPr>
                <w:rFonts w:hint="eastAsia" w:ascii="Times New Roman" w:hAnsi="Times New Roman" w:cs="Times New Roman"/>
                <w:color w:val="auto"/>
                <w:kern w:val="2"/>
                <w:sz w:val="24"/>
                <w:u w:val="none" w:color="auto"/>
                <w:lang w:val="en-US" w:eastAsia="zh-CN"/>
              </w:rPr>
              <w:t>不</w:t>
            </w:r>
            <w:r>
              <w:rPr>
                <w:rFonts w:hint="default" w:ascii="Times New Roman" w:hAnsi="Times New Roman" w:cs="Times New Roman"/>
                <w:color w:val="auto"/>
                <w:kern w:val="2"/>
                <w:sz w:val="24"/>
                <w:u w:val="none" w:color="auto"/>
                <w:lang w:eastAsia="zh-CN"/>
              </w:rPr>
              <w:t>满足《铸造工业大气污染物排放标准》（GB39726-2020）中表1标准。</w:t>
            </w:r>
            <w:r>
              <w:rPr>
                <w:rFonts w:hint="default" w:ascii="Times New Roman" w:hAnsi="Times New Roman" w:cs="Times New Roman"/>
                <w:color w:val="auto"/>
                <w:kern w:val="2"/>
                <w:sz w:val="24"/>
                <w:u w:val="none" w:color="auto"/>
              </w:rPr>
              <w:t>为防止生产废气非正常工况排放，企业必须加强废气处理设施的管理，定期检修，确保废气处理设施正常运行。一旦废气处理设备停止运行或出现故障时，产生废气的各工序也必须相应停止生产，直至废气处理设备正常运行。</w:t>
            </w:r>
          </w:p>
          <w:p w14:paraId="488E8E7D">
            <w:pPr>
              <w:keepNext w:val="0"/>
              <w:keepLines/>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4"/>
                <w:u w:val="none" w:color="auto"/>
              </w:rPr>
              <w:t>拟采取的防范及应急措施如下：</w:t>
            </w:r>
          </w:p>
          <w:p w14:paraId="7EE8BC47">
            <w:pPr>
              <w:keepNext w:val="0"/>
              <w:keepLines/>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4"/>
                <w:u w:val="none" w:color="auto"/>
              </w:rPr>
              <w:t>（1）平时注意废气处理设施的维护，及时检查废气处理装置的有效性和设备的运行情况，确保废气处理系统正常运行；开、停、检修要有预案，有严密周全的计划，降低非正常排放概率，或使影响最小。</w:t>
            </w:r>
          </w:p>
          <w:p w14:paraId="58976C9F">
            <w:pPr>
              <w:keepNext w:val="0"/>
              <w:keepLines/>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4"/>
                <w:u w:val="none" w:color="auto"/>
              </w:rPr>
              <w:t>（2）对员工进行岗位培训，做好值班记录，实行岗位责任制。</w:t>
            </w:r>
          </w:p>
          <w:p w14:paraId="36D5BC0D">
            <w:pPr>
              <w:keepNext w:val="0"/>
              <w:keepLines/>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4"/>
                <w:u w:val="none" w:color="auto"/>
              </w:rPr>
              <w:t>（3）应设有备用电源和备用处理设备和零件，以备停电或设备出现故障时保障及时更换，使废气全部做到达标排放。</w:t>
            </w:r>
          </w:p>
          <w:p w14:paraId="016BB887">
            <w:pPr>
              <w:keepNext w:val="0"/>
              <w:keepLines/>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表4-</w:t>
            </w:r>
            <w:r>
              <w:rPr>
                <w:rFonts w:hint="eastAsia" w:ascii="Times New Roman" w:hAnsi="Times New Roman" w:cs="Times New Roman"/>
                <w:b/>
                <w:bCs/>
                <w:color w:val="auto"/>
                <w:kern w:val="2"/>
                <w:sz w:val="21"/>
                <w:szCs w:val="21"/>
                <w:u w:val="none" w:color="auto"/>
                <w:lang w:val="en-US" w:eastAsia="zh-CN"/>
              </w:rPr>
              <w:t>11</w:t>
            </w:r>
            <w:r>
              <w:rPr>
                <w:rFonts w:hint="default" w:ascii="Times New Roman" w:hAnsi="Times New Roman" w:cs="Times New Roman"/>
                <w:b/>
                <w:bCs/>
                <w:color w:val="auto"/>
                <w:kern w:val="2"/>
                <w:sz w:val="21"/>
                <w:szCs w:val="21"/>
                <w:u w:val="none" w:color="auto"/>
                <w:lang w:val="en-US" w:eastAsia="zh-CN"/>
              </w:rPr>
              <w:t xml:space="preserve"> </w:t>
            </w:r>
            <w:r>
              <w:rPr>
                <w:rFonts w:hint="default" w:ascii="Times New Roman" w:hAnsi="Times New Roman" w:cs="Times New Roman"/>
                <w:b/>
                <w:bCs/>
                <w:color w:val="auto"/>
                <w:kern w:val="2"/>
                <w:sz w:val="21"/>
                <w:szCs w:val="21"/>
                <w:u w:val="none" w:color="auto"/>
              </w:rPr>
              <w:t>项目污染源非正常排放参数表</w:t>
            </w:r>
          </w:p>
          <w:tbl>
            <w:tblPr>
              <w:tblStyle w:val="56"/>
              <w:tblW w:w="4950" w:type="pct"/>
              <w:tblInd w:w="5" w:type="dxa"/>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354"/>
              <w:gridCol w:w="1247"/>
              <w:gridCol w:w="683"/>
              <w:gridCol w:w="775"/>
              <w:gridCol w:w="760"/>
              <w:gridCol w:w="759"/>
              <w:gridCol w:w="652"/>
              <w:gridCol w:w="621"/>
              <w:gridCol w:w="573"/>
              <w:gridCol w:w="573"/>
              <w:gridCol w:w="309"/>
              <w:gridCol w:w="893"/>
            </w:tblGrid>
            <w:tr w14:paraId="77D3FB75">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792" w:hRule="atLeast"/>
              </w:trPr>
              <w:tc>
                <w:tcPr>
                  <w:tcW w:w="216" w:type="pct"/>
                  <w:tcBorders>
                    <w:tl2br w:val="nil"/>
                    <w:tr2bl w:val="nil"/>
                  </w:tcBorders>
                  <w:noWrap w:val="0"/>
                  <w:vAlign w:val="center"/>
                </w:tcPr>
                <w:p w14:paraId="65463ED0">
                  <w:pPr>
                    <w:keepNext w:val="0"/>
                    <w:keepLines/>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序号</w:t>
                  </w:r>
                </w:p>
              </w:tc>
              <w:tc>
                <w:tcPr>
                  <w:tcW w:w="760" w:type="pct"/>
                  <w:tcBorders>
                    <w:tl2br w:val="nil"/>
                    <w:tr2bl w:val="nil"/>
                  </w:tcBorders>
                  <w:noWrap w:val="0"/>
                  <w:vAlign w:val="center"/>
                </w:tcPr>
                <w:p w14:paraId="622F0663">
                  <w:pPr>
                    <w:keepNext w:val="0"/>
                    <w:keepLines/>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污染源</w:t>
                  </w:r>
                </w:p>
              </w:tc>
              <w:tc>
                <w:tcPr>
                  <w:tcW w:w="416" w:type="pct"/>
                  <w:tcBorders>
                    <w:tl2br w:val="nil"/>
                    <w:tr2bl w:val="nil"/>
                  </w:tcBorders>
                  <w:noWrap w:val="0"/>
                  <w:vAlign w:val="center"/>
                </w:tcPr>
                <w:p w14:paraId="69348D01">
                  <w:pPr>
                    <w:keepNext w:val="0"/>
                    <w:keepLines/>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u w:val="none" w:color="auto"/>
                      <w:lang w:val="en-US" w:eastAsia="zh-CN"/>
                    </w:rPr>
                  </w:pPr>
                  <w:r>
                    <w:rPr>
                      <w:rFonts w:hint="default" w:ascii="Times New Roman" w:hAnsi="Times New Roman" w:cs="Times New Roman"/>
                      <w:b/>
                      <w:bCs/>
                      <w:color w:val="auto"/>
                      <w:kern w:val="2"/>
                      <w:sz w:val="21"/>
                      <w:szCs w:val="21"/>
                      <w:u w:val="none" w:color="auto"/>
                      <w:lang w:val="en-US" w:eastAsia="zh-CN"/>
                    </w:rPr>
                    <w:t>排放口</w:t>
                  </w:r>
                </w:p>
              </w:tc>
              <w:tc>
                <w:tcPr>
                  <w:tcW w:w="472" w:type="pct"/>
                  <w:tcBorders>
                    <w:tl2br w:val="nil"/>
                    <w:tr2bl w:val="nil"/>
                  </w:tcBorders>
                  <w:noWrap w:val="0"/>
                  <w:vAlign w:val="center"/>
                </w:tcPr>
                <w:p w14:paraId="5D4B9732">
                  <w:pPr>
                    <w:keepNext w:val="0"/>
                    <w:keepLines/>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污染物</w:t>
                  </w:r>
                </w:p>
              </w:tc>
              <w:tc>
                <w:tcPr>
                  <w:tcW w:w="463" w:type="pct"/>
                  <w:tcBorders>
                    <w:tl2br w:val="nil"/>
                    <w:tr2bl w:val="nil"/>
                  </w:tcBorders>
                  <w:noWrap w:val="0"/>
                  <w:vAlign w:val="center"/>
                </w:tcPr>
                <w:p w14:paraId="258F466E">
                  <w:pPr>
                    <w:keepNext w:val="0"/>
                    <w:keepLines/>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非正常排放原因</w:t>
                  </w:r>
                </w:p>
              </w:tc>
              <w:tc>
                <w:tcPr>
                  <w:tcW w:w="462" w:type="pct"/>
                  <w:tcBorders>
                    <w:tl2br w:val="nil"/>
                    <w:tr2bl w:val="nil"/>
                  </w:tcBorders>
                  <w:noWrap w:val="0"/>
                  <w:vAlign w:val="center"/>
                </w:tcPr>
                <w:p w14:paraId="0E97BD13">
                  <w:pPr>
                    <w:keepNext w:val="0"/>
                    <w:keepLines/>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非正常排放浓度</w:t>
                  </w:r>
                  <w:r>
                    <w:rPr>
                      <w:rFonts w:hint="default" w:ascii="Times New Roman" w:hAnsi="Times New Roman" w:cs="Times New Roman"/>
                      <w:b/>
                      <w:bCs/>
                      <w:color w:val="auto"/>
                      <w:kern w:val="2"/>
                      <w:sz w:val="21"/>
                      <w:szCs w:val="21"/>
                      <w:u w:val="none" w:color="auto"/>
                      <w:lang w:eastAsia="zh-CN"/>
                    </w:rPr>
                    <w:t>（</w:t>
                  </w:r>
                  <w:r>
                    <w:rPr>
                      <w:rFonts w:hint="default" w:ascii="Times New Roman" w:hAnsi="Times New Roman" w:cs="Times New Roman"/>
                      <w:b/>
                      <w:bCs/>
                      <w:color w:val="auto"/>
                      <w:kern w:val="2"/>
                      <w:sz w:val="21"/>
                      <w:szCs w:val="21"/>
                      <w:u w:val="none" w:color="auto"/>
                    </w:rPr>
                    <w:t>mg/m³</w:t>
                  </w:r>
                  <w:r>
                    <w:rPr>
                      <w:rFonts w:hint="default" w:ascii="Times New Roman" w:hAnsi="Times New Roman" w:cs="Times New Roman"/>
                      <w:b/>
                      <w:bCs/>
                      <w:color w:val="auto"/>
                      <w:kern w:val="2"/>
                      <w:sz w:val="21"/>
                      <w:szCs w:val="21"/>
                      <w:u w:val="none" w:color="auto"/>
                      <w:lang w:eastAsia="zh-CN"/>
                    </w:rPr>
                    <w:t>）</w:t>
                  </w:r>
                </w:p>
              </w:tc>
              <w:tc>
                <w:tcPr>
                  <w:tcW w:w="397" w:type="pct"/>
                  <w:tcBorders>
                    <w:tl2br w:val="nil"/>
                    <w:tr2bl w:val="nil"/>
                  </w:tcBorders>
                  <w:noWrap w:val="0"/>
                  <w:vAlign w:val="center"/>
                </w:tcPr>
                <w:p w14:paraId="1F53CE3C">
                  <w:pPr>
                    <w:keepNext w:val="0"/>
                    <w:keepLines/>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u w:val="none" w:color="auto"/>
                      <w:lang w:eastAsia="zh-CN"/>
                    </w:rPr>
                  </w:pPr>
                  <w:r>
                    <w:rPr>
                      <w:rFonts w:hint="default" w:ascii="Times New Roman" w:hAnsi="Times New Roman" w:cs="Times New Roman"/>
                      <w:b/>
                      <w:bCs/>
                      <w:color w:val="auto"/>
                      <w:kern w:val="2"/>
                      <w:sz w:val="21"/>
                      <w:szCs w:val="21"/>
                      <w:u w:val="none" w:color="auto"/>
                    </w:rPr>
                    <w:t>非正常排放速率</w:t>
                  </w:r>
                  <w:r>
                    <w:rPr>
                      <w:rFonts w:hint="default" w:ascii="Times New Roman" w:hAnsi="Times New Roman" w:cs="Times New Roman"/>
                      <w:b/>
                      <w:bCs/>
                      <w:color w:val="auto"/>
                      <w:kern w:val="2"/>
                      <w:sz w:val="21"/>
                      <w:szCs w:val="21"/>
                      <w:u w:val="none" w:color="auto"/>
                      <w:lang w:eastAsia="zh-CN"/>
                    </w:rPr>
                    <w:t>（</w:t>
                  </w:r>
                  <w:r>
                    <w:rPr>
                      <w:rFonts w:hint="default" w:ascii="Times New Roman" w:hAnsi="Times New Roman" w:cs="Times New Roman"/>
                      <w:b/>
                      <w:bCs/>
                      <w:color w:val="auto"/>
                      <w:kern w:val="2"/>
                      <w:sz w:val="21"/>
                      <w:szCs w:val="21"/>
                      <w:u w:val="none" w:color="auto"/>
                    </w:rPr>
                    <w:t>kg/h</w:t>
                  </w:r>
                  <w:r>
                    <w:rPr>
                      <w:rFonts w:hint="default" w:ascii="Times New Roman" w:hAnsi="Times New Roman" w:cs="Times New Roman"/>
                      <w:b/>
                      <w:bCs/>
                      <w:color w:val="auto"/>
                      <w:kern w:val="2"/>
                      <w:sz w:val="21"/>
                      <w:szCs w:val="21"/>
                      <w:u w:val="none" w:color="auto"/>
                      <w:lang w:eastAsia="zh-CN"/>
                    </w:rPr>
                    <w:t>）</w:t>
                  </w:r>
                </w:p>
              </w:tc>
              <w:tc>
                <w:tcPr>
                  <w:tcW w:w="378" w:type="pct"/>
                  <w:tcBorders>
                    <w:tl2br w:val="nil"/>
                    <w:tr2bl w:val="nil"/>
                  </w:tcBorders>
                  <w:noWrap w:val="0"/>
                  <w:vAlign w:val="center"/>
                </w:tcPr>
                <w:p w14:paraId="0209F06E">
                  <w:pPr>
                    <w:keepNext w:val="0"/>
                    <w:keepLines/>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lang w:val="en-US" w:eastAsia="zh-CN"/>
                    </w:rPr>
                    <w:t>排放标准</w:t>
                  </w:r>
                </w:p>
                <w:p w14:paraId="606E06A8">
                  <w:pPr>
                    <w:keepNext w:val="0"/>
                    <w:keepLines/>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eastAsia" w:ascii="Times New Roman" w:hAnsi="Times New Roman" w:cs="Times New Roman"/>
                      <w:b/>
                      <w:bCs/>
                      <w:color w:val="auto"/>
                      <w:kern w:val="2"/>
                      <w:sz w:val="21"/>
                      <w:szCs w:val="21"/>
                      <w:u w:val="none" w:color="auto"/>
                      <w:lang w:eastAsia="zh-CN"/>
                    </w:rPr>
                    <w:t>(</w:t>
                  </w:r>
                  <w:r>
                    <w:rPr>
                      <w:rFonts w:hint="default" w:ascii="Times New Roman" w:hAnsi="Times New Roman" w:cs="Times New Roman"/>
                      <w:b/>
                      <w:bCs/>
                      <w:color w:val="auto"/>
                      <w:kern w:val="2"/>
                      <w:sz w:val="21"/>
                      <w:szCs w:val="21"/>
                      <w:u w:val="none" w:color="auto"/>
                    </w:rPr>
                    <w:t>mg/m³</w:t>
                  </w:r>
                  <w:r>
                    <w:rPr>
                      <w:rFonts w:hint="eastAsia" w:ascii="Times New Roman" w:hAnsi="Times New Roman" w:cs="Times New Roman"/>
                      <w:b/>
                      <w:bCs/>
                      <w:color w:val="auto"/>
                      <w:kern w:val="2"/>
                      <w:sz w:val="21"/>
                      <w:szCs w:val="21"/>
                      <w:u w:val="none" w:color="auto"/>
                      <w:lang w:eastAsia="zh-CN"/>
                    </w:rPr>
                    <w:t>)</w:t>
                  </w:r>
                </w:p>
              </w:tc>
              <w:tc>
                <w:tcPr>
                  <w:tcW w:w="349" w:type="pct"/>
                  <w:tcBorders>
                    <w:tl2br w:val="nil"/>
                    <w:tr2bl w:val="nil"/>
                  </w:tcBorders>
                  <w:noWrap w:val="0"/>
                  <w:vAlign w:val="center"/>
                </w:tcPr>
                <w:p w14:paraId="57284807">
                  <w:pPr>
                    <w:keepNext w:val="0"/>
                    <w:keepLines/>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lang w:val="en-US" w:eastAsia="zh-CN"/>
                    </w:rPr>
                  </w:pPr>
                  <w:r>
                    <w:rPr>
                      <w:rFonts w:hint="eastAsia" w:ascii="Times New Roman" w:hAnsi="Times New Roman" w:cs="Times New Roman"/>
                      <w:b/>
                      <w:bCs/>
                      <w:color w:val="auto"/>
                      <w:kern w:val="2"/>
                      <w:sz w:val="21"/>
                      <w:szCs w:val="21"/>
                      <w:u w:val="none" w:color="auto"/>
                      <w:lang w:val="en-US" w:eastAsia="zh-CN"/>
                    </w:rPr>
                    <w:t>达标情况</w:t>
                  </w:r>
                </w:p>
              </w:tc>
              <w:tc>
                <w:tcPr>
                  <w:tcW w:w="349" w:type="pct"/>
                  <w:tcBorders>
                    <w:tl2br w:val="nil"/>
                    <w:tr2bl w:val="nil"/>
                  </w:tcBorders>
                  <w:noWrap w:val="0"/>
                  <w:vAlign w:val="center"/>
                </w:tcPr>
                <w:p w14:paraId="5BAE1786">
                  <w:pPr>
                    <w:keepNext w:val="0"/>
                    <w:keepLines/>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u w:val="none" w:color="auto"/>
                      <w:lang w:eastAsia="zh-CN"/>
                    </w:rPr>
                  </w:pPr>
                  <w:r>
                    <w:rPr>
                      <w:rFonts w:hint="default" w:ascii="Times New Roman" w:hAnsi="Times New Roman" w:cs="Times New Roman"/>
                      <w:b/>
                      <w:bCs/>
                      <w:color w:val="auto"/>
                      <w:kern w:val="2"/>
                      <w:sz w:val="21"/>
                      <w:szCs w:val="21"/>
                      <w:u w:val="none" w:color="auto"/>
                    </w:rPr>
                    <w:t>单次持续时间</w:t>
                  </w:r>
                  <w:r>
                    <w:rPr>
                      <w:rFonts w:hint="default" w:ascii="Times New Roman" w:hAnsi="Times New Roman" w:cs="Times New Roman"/>
                      <w:b/>
                      <w:bCs/>
                      <w:color w:val="auto"/>
                      <w:kern w:val="2"/>
                      <w:sz w:val="21"/>
                      <w:szCs w:val="21"/>
                      <w:u w:val="none" w:color="auto"/>
                      <w:lang w:eastAsia="zh-CN"/>
                    </w:rPr>
                    <w:t>（</w:t>
                  </w:r>
                  <w:r>
                    <w:rPr>
                      <w:rFonts w:hint="default" w:ascii="Times New Roman" w:hAnsi="Times New Roman" w:cs="Times New Roman"/>
                      <w:b/>
                      <w:bCs/>
                      <w:color w:val="auto"/>
                      <w:kern w:val="2"/>
                      <w:sz w:val="21"/>
                      <w:szCs w:val="21"/>
                      <w:u w:val="none" w:color="auto"/>
                      <w:lang w:val="en-US" w:eastAsia="zh-CN"/>
                    </w:rPr>
                    <w:t>h</w:t>
                  </w:r>
                  <w:r>
                    <w:rPr>
                      <w:rFonts w:hint="default" w:ascii="Times New Roman" w:hAnsi="Times New Roman" w:cs="Times New Roman"/>
                      <w:b/>
                      <w:bCs/>
                      <w:color w:val="auto"/>
                      <w:kern w:val="2"/>
                      <w:sz w:val="21"/>
                      <w:szCs w:val="21"/>
                      <w:u w:val="none" w:color="auto"/>
                      <w:lang w:eastAsia="zh-CN"/>
                    </w:rPr>
                    <w:t>）</w:t>
                  </w:r>
                </w:p>
              </w:tc>
              <w:tc>
                <w:tcPr>
                  <w:tcW w:w="188" w:type="pct"/>
                  <w:tcBorders>
                    <w:tl2br w:val="nil"/>
                    <w:tr2bl w:val="nil"/>
                  </w:tcBorders>
                  <w:noWrap w:val="0"/>
                  <w:vAlign w:val="center"/>
                </w:tcPr>
                <w:p w14:paraId="71BE2089">
                  <w:pPr>
                    <w:keepNext w:val="0"/>
                    <w:keepLines/>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年发生频次</w:t>
                  </w:r>
                </w:p>
              </w:tc>
              <w:tc>
                <w:tcPr>
                  <w:tcW w:w="544" w:type="pct"/>
                  <w:tcBorders>
                    <w:tl2br w:val="nil"/>
                    <w:tr2bl w:val="nil"/>
                  </w:tcBorders>
                  <w:noWrap w:val="0"/>
                  <w:vAlign w:val="center"/>
                </w:tcPr>
                <w:p w14:paraId="3EB8DF89">
                  <w:pPr>
                    <w:keepNext w:val="0"/>
                    <w:keepLines/>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应对措施</w:t>
                  </w:r>
                </w:p>
              </w:tc>
            </w:tr>
            <w:tr w14:paraId="58DAB7B7">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707" w:hRule="atLeast"/>
              </w:trPr>
              <w:tc>
                <w:tcPr>
                  <w:tcW w:w="216" w:type="pct"/>
                  <w:tcBorders>
                    <w:tl2br w:val="nil"/>
                    <w:tr2bl w:val="nil"/>
                  </w:tcBorders>
                  <w:noWrap w:val="0"/>
                  <w:vAlign w:val="center"/>
                </w:tcPr>
                <w:p w14:paraId="578CDE3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1</w:t>
                  </w:r>
                </w:p>
              </w:tc>
              <w:tc>
                <w:tcPr>
                  <w:tcW w:w="760" w:type="pct"/>
                  <w:tcBorders>
                    <w:tl2br w:val="nil"/>
                    <w:tr2bl w:val="nil"/>
                  </w:tcBorders>
                  <w:noWrap w:val="0"/>
                  <w:vAlign w:val="center"/>
                </w:tcPr>
                <w:p w14:paraId="0F8C2DE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熔炼+造型</w:t>
                  </w:r>
                  <w:r>
                    <w:rPr>
                      <w:rFonts w:hint="eastAsia" w:ascii="Times New Roman" w:hAnsi="Times New Roman"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砂处理</w:t>
                  </w:r>
                  <w:r>
                    <w:rPr>
                      <w:rFonts w:hint="eastAsia" w:ascii="Times New Roman" w:hAnsi="Times New Roman" w:cs="Times New Roman"/>
                      <w:i w:val="0"/>
                      <w:iCs w:val="0"/>
                      <w:color w:val="auto"/>
                      <w:kern w:val="0"/>
                      <w:sz w:val="21"/>
                      <w:szCs w:val="21"/>
                      <w:u w:val="none" w:color="auto"/>
                      <w:lang w:val="en-US" w:eastAsia="zh-CN" w:bidi="ar"/>
                    </w:rPr>
                    <w:t>+打磨清理</w:t>
                  </w:r>
                  <w:r>
                    <w:rPr>
                      <w:rFonts w:hint="default" w:ascii="Times New Roman" w:hAnsi="Times New Roman" w:eastAsia="宋体" w:cs="Times New Roman"/>
                      <w:i w:val="0"/>
                      <w:iCs w:val="0"/>
                      <w:color w:val="auto"/>
                      <w:kern w:val="0"/>
                      <w:sz w:val="21"/>
                      <w:szCs w:val="21"/>
                      <w:u w:val="none" w:color="auto"/>
                      <w:lang w:val="en-US" w:eastAsia="zh-CN" w:bidi="ar"/>
                    </w:rPr>
                    <w:t>废气</w:t>
                  </w:r>
                </w:p>
              </w:tc>
              <w:tc>
                <w:tcPr>
                  <w:tcW w:w="416" w:type="pct"/>
                  <w:tcBorders>
                    <w:tl2br w:val="nil"/>
                    <w:tr2bl w:val="nil"/>
                  </w:tcBorders>
                  <w:noWrap w:val="0"/>
                  <w:vAlign w:val="center"/>
                </w:tcPr>
                <w:p w14:paraId="4439EB2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DA001</w:t>
                  </w:r>
                </w:p>
              </w:tc>
              <w:tc>
                <w:tcPr>
                  <w:tcW w:w="472" w:type="pct"/>
                  <w:tcBorders>
                    <w:tl2br w:val="nil"/>
                    <w:tr2bl w:val="nil"/>
                  </w:tcBorders>
                  <w:noWrap w:val="0"/>
                  <w:vAlign w:val="center"/>
                </w:tcPr>
                <w:p w14:paraId="52514B4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颗粒物</w:t>
                  </w:r>
                </w:p>
              </w:tc>
              <w:tc>
                <w:tcPr>
                  <w:tcW w:w="463" w:type="pct"/>
                  <w:vMerge w:val="restart"/>
                  <w:tcBorders>
                    <w:tl2br w:val="nil"/>
                    <w:tr2bl w:val="nil"/>
                  </w:tcBorders>
                  <w:noWrap w:val="0"/>
                  <w:vAlign w:val="center"/>
                </w:tcPr>
                <w:p w14:paraId="078FE49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废气处理措施处理效率下降</w:t>
                  </w:r>
                  <w:r>
                    <w:rPr>
                      <w:rFonts w:hint="eastAsia" w:ascii="Times New Roman" w:hAnsi="Times New Roman" w:cs="Times New Roman"/>
                      <w:b w:val="0"/>
                      <w:bCs w:val="0"/>
                      <w:i w:val="0"/>
                      <w:iCs w:val="0"/>
                      <w:color w:val="auto"/>
                      <w:kern w:val="0"/>
                      <w:sz w:val="21"/>
                      <w:szCs w:val="21"/>
                      <w:u w:val="none" w:color="auto"/>
                      <w:lang w:val="en-US" w:eastAsia="zh-CN" w:bidi="ar"/>
                    </w:rPr>
                    <w:t>至正常效率的50</w:t>
                  </w:r>
                  <w:r>
                    <w:rPr>
                      <w:rFonts w:hint="default" w:ascii="Times New Roman" w:hAnsi="Times New Roman" w:eastAsia="宋体" w:cs="Times New Roman"/>
                      <w:b w:val="0"/>
                      <w:bCs w:val="0"/>
                      <w:i w:val="0"/>
                      <w:iCs w:val="0"/>
                      <w:color w:val="auto"/>
                      <w:kern w:val="0"/>
                      <w:sz w:val="21"/>
                      <w:szCs w:val="21"/>
                      <w:u w:val="none" w:color="auto"/>
                      <w:lang w:val="en-US" w:eastAsia="zh-CN" w:bidi="ar"/>
                    </w:rPr>
                    <w:t>%</w:t>
                  </w:r>
                </w:p>
              </w:tc>
              <w:tc>
                <w:tcPr>
                  <w:tcW w:w="462" w:type="pct"/>
                  <w:tcBorders>
                    <w:tl2br w:val="nil"/>
                    <w:tr2bl w:val="nil"/>
                  </w:tcBorders>
                  <w:noWrap w:val="0"/>
                  <w:vAlign w:val="center"/>
                </w:tcPr>
                <w:p w14:paraId="6C8300B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95.65 </w:t>
                  </w:r>
                </w:p>
              </w:tc>
              <w:tc>
                <w:tcPr>
                  <w:tcW w:w="397" w:type="pct"/>
                  <w:tcBorders>
                    <w:tl2br w:val="nil"/>
                    <w:tr2bl w:val="nil"/>
                  </w:tcBorders>
                  <w:noWrap w:val="0"/>
                  <w:vAlign w:val="center"/>
                </w:tcPr>
                <w:p w14:paraId="645DD2D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4.959 </w:t>
                  </w:r>
                </w:p>
              </w:tc>
              <w:tc>
                <w:tcPr>
                  <w:tcW w:w="378" w:type="pct"/>
                  <w:tcBorders>
                    <w:tl2br w:val="nil"/>
                    <w:tr2bl w:val="nil"/>
                  </w:tcBorders>
                  <w:noWrap w:val="0"/>
                  <w:vAlign w:val="center"/>
                </w:tcPr>
                <w:p w14:paraId="411DA12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30</w:t>
                  </w:r>
                </w:p>
              </w:tc>
              <w:tc>
                <w:tcPr>
                  <w:tcW w:w="349" w:type="pct"/>
                  <w:tcBorders>
                    <w:tl2br w:val="nil"/>
                    <w:tr2bl w:val="nil"/>
                  </w:tcBorders>
                  <w:noWrap w:val="0"/>
                  <w:vAlign w:val="center"/>
                </w:tcPr>
                <w:p w14:paraId="197F686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否</w:t>
                  </w:r>
                </w:p>
              </w:tc>
              <w:tc>
                <w:tcPr>
                  <w:tcW w:w="349" w:type="pct"/>
                  <w:vMerge w:val="restart"/>
                  <w:tcBorders>
                    <w:tl2br w:val="nil"/>
                    <w:tr2bl w:val="nil"/>
                  </w:tcBorders>
                  <w:noWrap w:val="0"/>
                  <w:vAlign w:val="center"/>
                </w:tcPr>
                <w:p w14:paraId="1CF309DD">
                  <w:pPr>
                    <w:keepNext w:val="0"/>
                    <w:keepLines/>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c>
                <w:tcPr>
                  <w:tcW w:w="188" w:type="pct"/>
                  <w:vMerge w:val="restart"/>
                  <w:tcBorders>
                    <w:tl2br w:val="nil"/>
                    <w:tr2bl w:val="nil"/>
                  </w:tcBorders>
                  <w:noWrap w:val="0"/>
                  <w:vAlign w:val="center"/>
                </w:tcPr>
                <w:p w14:paraId="355E554B">
                  <w:pPr>
                    <w:keepNext w:val="0"/>
                    <w:keepLines/>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c>
                <w:tcPr>
                  <w:tcW w:w="544" w:type="pct"/>
                  <w:vMerge w:val="restart"/>
                  <w:tcBorders>
                    <w:tl2br w:val="nil"/>
                    <w:tr2bl w:val="nil"/>
                  </w:tcBorders>
                  <w:noWrap w:val="0"/>
                  <w:vAlign w:val="center"/>
                </w:tcPr>
                <w:p w14:paraId="2D488330">
                  <w:pPr>
                    <w:keepNext w:val="0"/>
                    <w:keepLines/>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lang w:val="en-US" w:eastAsia="zh-CN"/>
                    </w:rPr>
                    <w:t>立即停车，对污染防治设施进行检修，及时更换损坏的设备及零件</w:t>
                  </w:r>
                </w:p>
              </w:tc>
            </w:tr>
            <w:tr w14:paraId="271B4090">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704" w:hRule="atLeast"/>
              </w:trPr>
              <w:tc>
                <w:tcPr>
                  <w:tcW w:w="216" w:type="pct"/>
                  <w:tcBorders>
                    <w:tl2br w:val="nil"/>
                    <w:tr2bl w:val="nil"/>
                  </w:tcBorders>
                  <w:noWrap w:val="0"/>
                  <w:vAlign w:val="center"/>
                </w:tcPr>
                <w:p w14:paraId="1A76E66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2</w:t>
                  </w:r>
                </w:p>
              </w:tc>
              <w:tc>
                <w:tcPr>
                  <w:tcW w:w="760" w:type="pct"/>
                  <w:tcBorders>
                    <w:tl2br w:val="nil"/>
                    <w:tr2bl w:val="nil"/>
                  </w:tcBorders>
                  <w:noWrap w:val="0"/>
                  <w:vAlign w:val="center"/>
                </w:tcPr>
                <w:p w14:paraId="0084179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浇注废气</w:t>
                  </w:r>
                </w:p>
              </w:tc>
              <w:tc>
                <w:tcPr>
                  <w:tcW w:w="416" w:type="pct"/>
                  <w:tcBorders>
                    <w:tl2br w:val="nil"/>
                    <w:tr2bl w:val="nil"/>
                  </w:tcBorders>
                  <w:noWrap w:val="0"/>
                  <w:vAlign w:val="center"/>
                </w:tcPr>
                <w:p w14:paraId="05B9B44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DA002</w:t>
                  </w:r>
                </w:p>
              </w:tc>
              <w:tc>
                <w:tcPr>
                  <w:tcW w:w="472" w:type="pct"/>
                  <w:tcBorders>
                    <w:tl2br w:val="nil"/>
                    <w:tr2bl w:val="nil"/>
                  </w:tcBorders>
                  <w:noWrap w:val="0"/>
                  <w:vAlign w:val="center"/>
                </w:tcPr>
                <w:p w14:paraId="6437264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颗粒物</w:t>
                  </w:r>
                </w:p>
              </w:tc>
              <w:tc>
                <w:tcPr>
                  <w:tcW w:w="463" w:type="pct"/>
                  <w:vMerge w:val="continue"/>
                  <w:tcBorders>
                    <w:tl2br w:val="nil"/>
                    <w:tr2bl w:val="nil"/>
                  </w:tcBorders>
                  <w:noWrap w:val="0"/>
                  <w:vAlign w:val="center"/>
                </w:tcPr>
                <w:p w14:paraId="0E3B04C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p>
              </w:tc>
              <w:tc>
                <w:tcPr>
                  <w:tcW w:w="462" w:type="pct"/>
                  <w:tcBorders>
                    <w:tl2br w:val="nil"/>
                    <w:tr2bl w:val="nil"/>
                  </w:tcBorders>
                  <w:noWrap w:val="0"/>
                  <w:vAlign w:val="center"/>
                </w:tcPr>
                <w:p w14:paraId="4254405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lang w:val="en-US" w:eastAsia="zh-CN" w:bidi="ar"/>
                    </w:rPr>
                    <w:t>111.06</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397" w:type="pct"/>
                  <w:tcBorders>
                    <w:tl2br w:val="nil"/>
                    <w:tr2bl w:val="nil"/>
                  </w:tcBorders>
                  <w:noWrap w:val="0"/>
                  <w:vAlign w:val="center"/>
                </w:tcPr>
                <w:p w14:paraId="10829C5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eastAsia" w:ascii="Times New Roman" w:hAnsi="Times New Roman" w:cs="Times New Roman"/>
                      <w:i w:val="0"/>
                      <w:iCs w:val="0"/>
                      <w:color w:val="auto"/>
                      <w:kern w:val="0"/>
                      <w:sz w:val="21"/>
                      <w:szCs w:val="21"/>
                      <w:u w:val="none"/>
                      <w:lang w:val="en-US" w:eastAsia="zh-CN" w:bidi="ar"/>
                    </w:rPr>
                    <w:t>2.221</w:t>
                  </w:r>
                </w:p>
              </w:tc>
              <w:tc>
                <w:tcPr>
                  <w:tcW w:w="378" w:type="pct"/>
                  <w:tcBorders>
                    <w:tl2br w:val="nil"/>
                    <w:tr2bl w:val="nil"/>
                  </w:tcBorders>
                  <w:noWrap w:val="0"/>
                  <w:vAlign w:val="center"/>
                </w:tcPr>
                <w:p w14:paraId="4188E5A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30</w:t>
                  </w:r>
                </w:p>
              </w:tc>
              <w:tc>
                <w:tcPr>
                  <w:tcW w:w="349" w:type="pct"/>
                  <w:tcBorders>
                    <w:tl2br w:val="nil"/>
                    <w:tr2bl w:val="nil"/>
                  </w:tcBorders>
                  <w:noWrap w:val="0"/>
                  <w:vAlign w:val="center"/>
                </w:tcPr>
                <w:p w14:paraId="0F07F73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否</w:t>
                  </w:r>
                </w:p>
              </w:tc>
              <w:tc>
                <w:tcPr>
                  <w:tcW w:w="349" w:type="pct"/>
                  <w:vMerge w:val="continue"/>
                  <w:tcBorders>
                    <w:tl2br w:val="nil"/>
                    <w:tr2bl w:val="nil"/>
                  </w:tcBorders>
                  <w:noWrap w:val="0"/>
                  <w:vAlign w:val="center"/>
                </w:tcPr>
                <w:p w14:paraId="56DCE79C">
                  <w:pPr>
                    <w:keepNext w:val="0"/>
                    <w:keepLines/>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188" w:type="pct"/>
                  <w:vMerge w:val="continue"/>
                  <w:tcBorders>
                    <w:tl2br w:val="nil"/>
                    <w:tr2bl w:val="nil"/>
                  </w:tcBorders>
                  <w:noWrap w:val="0"/>
                  <w:vAlign w:val="center"/>
                </w:tcPr>
                <w:p w14:paraId="1388C509">
                  <w:pPr>
                    <w:keepNext w:val="0"/>
                    <w:keepLines/>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544" w:type="pct"/>
                  <w:vMerge w:val="continue"/>
                  <w:tcBorders>
                    <w:tl2br w:val="nil"/>
                    <w:tr2bl w:val="nil"/>
                  </w:tcBorders>
                  <w:noWrap w:val="0"/>
                  <w:vAlign w:val="center"/>
                </w:tcPr>
                <w:p w14:paraId="45DC7405">
                  <w:pPr>
                    <w:keepNext w:val="0"/>
                    <w:keepLines/>
                    <w:suppressLineNumbers w:val="0"/>
                    <w:spacing w:before="0" w:beforeAutospacing="0" w:after="0" w:afterAutospacing="0" w:line="240" w:lineRule="auto"/>
                    <w:ind w:left="0" w:right="0"/>
                    <w:jc w:val="center"/>
                    <w:rPr>
                      <w:rFonts w:hint="default" w:ascii="Times New Roman" w:hAnsi="Times New Roman" w:cs="Times New Roman"/>
                      <w:b w:val="0"/>
                      <w:bCs w:val="0"/>
                      <w:color w:val="auto"/>
                      <w:kern w:val="2"/>
                      <w:sz w:val="21"/>
                      <w:szCs w:val="21"/>
                      <w:u w:val="none" w:color="auto"/>
                    </w:rPr>
                  </w:pPr>
                </w:p>
              </w:tc>
            </w:tr>
            <w:tr w14:paraId="496A593A">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704" w:hRule="atLeast"/>
              </w:trPr>
              <w:tc>
                <w:tcPr>
                  <w:tcW w:w="216" w:type="pct"/>
                  <w:vMerge w:val="restart"/>
                  <w:tcBorders>
                    <w:tl2br w:val="nil"/>
                    <w:tr2bl w:val="nil"/>
                  </w:tcBorders>
                  <w:noWrap w:val="0"/>
                  <w:vAlign w:val="center"/>
                </w:tcPr>
                <w:p w14:paraId="7B6CFEC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eastAsia" w:ascii="Times New Roman" w:hAnsi="Times New Roman" w:cs="Times New Roman"/>
                      <w:b w:val="0"/>
                      <w:bCs w:val="0"/>
                      <w:i w:val="0"/>
                      <w:iCs w:val="0"/>
                      <w:color w:val="auto"/>
                      <w:kern w:val="0"/>
                      <w:sz w:val="21"/>
                      <w:szCs w:val="21"/>
                      <w:u w:val="none" w:color="auto"/>
                      <w:lang w:val="en-US" w:eastAsia="zh-CN" w:bidi="ar"/>
                    </w:rPr>
                    <w:t>3</w:t>
                  </w:r>
                </w:p>
              </w:tc>
              <w:tc>
                <w:tcPr>
                  <w:tcW w:w="760" w:type="pct"/>
                  <w:vMerge w:val="restart"/>
                  <w:tcBorders>
                    <w:tl2br w:val="nil"/>
                    <w:tr2bl w:val="nil"/>
                  </w:tcBorders>
                  <w:noWrap w:val="0"/>
                  <w:vAlign w:val="center"/>
                </w:tcPr>
                <w:p w14:paraId="1199E40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cs="Times New Roman"/>
                      <w:color w:val="auto"/>
                      <w:kern w:val="2"/>
                      <w:sz w:val="21"/>
                      <w:szCs w:val="21"/>
                      <w:u w:val="none" w:color="auto"/>
                      <w:lang w:val="en-US" w:eastAsia="zh-CN"/>
                    </w:rPr>
                    <w:t>淬火回火废气</w:t>
                  </w:r>
                </w:p>
              </w:tc>
              <w:tc>
                <w:tcPr>
                  <w:tcW w:w="416" w:type="pct"/>
                  <w:vMerge w:val="restart"/>
                  <w:tcBorders>
                    <w:tl2br w:val="nil"/>
                    <w:tr2bl w:val="nil"/>
                  </w:tcBorders>
                  <w:noWrap w:val="0"/>
                  <w:vAlign w:val="center"/>
                </w:tcPr>
                <w:p w14:paraId="1829BFB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DA00</w:t>
                  </w:r>
                  <w:r>
                    <w:rPr>
                      <w:rFonts w:hint="eastAsia" w:ascii="Times New Roman" w:hAnsi="Times New Roman" w:cs="Times New Roman"/>
                      <w:b w:val="0"/>
                      <w:bCs w:val="0"/>
                      <w:i w:val="0"/>
                      <w:iCs w:val="0"/>
                      <w:color w:val="auto"/>
                      <w:kern w:val="0"/>
                      <w:sz w:val="21"/>
                      <w:szCs w:val="21"/>
                      <w:u w:val="none" w:color="auto"/>
                      <w:lang w:val="en-US" w:eastAsia="zh-CN" w:bidi="ar"/>
                    </w:rPr>
                    <w:t>3</w:t>
                  </w:r>
                </w:p>
              </w:tc>
              <w:tc>
                <w:tcPr>
                  <w:tcW w:w="472" w:type="pct"/>
                  <w:tcBorders>
                    <w:tl2br w:val="nil"/>
                    <w:tr2bl w:val="nil"/>
                  </w:tcBorders>
                  <w:noWrap w:val="0"/>
                  <w:vAlign w:val="center"/>
                </w:tcPr>
                <w:p w14:paraId="0BA0F140">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cs="Times New Roman"/>
                      <w:b w:val="0"/>
                      <w:bCs w:val="0"/>
                      <w:i w:val="0"/>
                      <w:iCs w:val="0"/>
                      <w:color w:val="auto"/>
                      <w:kern w:val="0"/>
                      <w:sz w:val="21"/>
                      <w:szCs w:val="21"/>
                      <w:u w:val="none" w:color="auto"/>
                      <w:lang w:val="en-US" w:eastAsia="zh-CN" w:bidi="ar"/>
                    </w:rPr>
                  </w:pPr>
                  <w:r>
                    <w:rPr>
                      <w:rFonts w:hint="eastAsia" w:ascii="Times New Roman" w:hAnsi="Times New Roman" w:cs="Times New Roman"/>
                      <w:b w:val="0"/>
                      <w:bCs w:val="0"/>
                      <w:i w:val="0"/>
                      <w:iCs w:val="0"/>
                      <w:color w:val="auto"/>
                      <w:kern w:val="0"/>
                      <w:sz w:val="21"/>
                      <w:szCs w:val="21"/>
                      <w:u w:val="none" w:color="auto"/>
                      <w:lang w:val="en-US" w:eastAsia="zh-CN" w:bidi="ar"/>
                    </w:rPr>
                    <w:t>颗粒物</w:t>
                  </w:r>
                </w:p>
              </w:tc>
              <w:tc>
                <w:tcPr>
                  <w:tcW w:w="463" w:type="pct"/>
                  <w:vMerge w:val="continue"/>
                  <w:tcBorders>
                    <w:tl2br w:val="nil"/>
                    <w:tr2bl w:val="nil"/>
                  </w:tcBorders>
                  <w:noWrap w:val="0"/>
                  <w:vAlign w:val="center"/>
                </w:tcPr>
                <w:p w14:paraId="4C7DC96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p>
              </w:tc>
              <w:tc>
                <w:tcPr>
                  <w:tcW w:w="462" w:type="pct"/>
                  <w:tcBorders>
                    <w:tl2br w:val="nil"/>
                    <w:tr2bl w:val="nil"/>
                  </w:tcBorders>
                  <w:noWrap w:val="0"/>
                  <w:vAlign w:val="center"/>
                </w:tcPr>
                <w:p w14:paraId="65C7289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110.00 </w:t>
                  </w:r>
                </w:p>
              </w:tc>
              <w:tc>
                <w:tcPr>
                  <w:tcW w:w="397" w:type="pct"/>
                  <w:tcBorders>
                    <w:tl2br w:val="nil"/>
                    <w:tr2bl w:val="nil"/>
                  </w:tcBorders>
                  <w:noWrap w:val="0"/>
                  <w:vAlign w:val="center"/>
                </w:tcPr>
                <w:p w14:paraId="6BFBF77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0.330 </w:t>
                  </w:r>
                </w:p>
              </w:tc>
              <w:tc>
                <w:tcPr>
                  <w:tcW w:w="378" w:type="pct"/>
                  <w:tcBorders>
                    <w:tl2br w:val="nil"/>
                    <w:tr2bl w:val="nil"/>
                  </w:tcBorders>
                  <w:noWrap w:val="0"/>
                  <w:vAlign w:val="center"/>
                </w:tcPr>
                <w:p w14:paraId="662200E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30</w:t>
                  </w:r>
                </w:p>
              </w:tc>
              <w:tc>
                <w:tcPr>
                  <w:tcW w:w="349" w:type="pct"/>
                  <w:tcBorders>
                    <w:tl2br w:val="nil"/>
                    <w:tr2bl w:val="nil"/>
                  </w:tcBorders>
                  <w:noWrap w:val="0"/>
                  <w:vAlign w:val="center"/>
                </w:tcPr>
                <w:p w14:paraId="56E4469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否</w:t>
                  </w:r>
                </w:p>
              </w:tc>
              <w:tc>
                <w:tcPr>
                  <w:tcW w:w="349" w:type="pct"/>
                  <w:vMerge w:val="continue"/>
                  <w:tcBorders>
                    <w:tl2br w:val="nil"/>
                    <w:tr2bl w:val="nil"/>
                  </w:tcBorders>
                  <w:noWrap w:val="0"/>
                  <w:vAlign w:val="center"/>
                </w:tcPr>
                <w:p w14:paraId="0B6A82C9">
                  <w:pPr>
                    <w:keepNext w:val="0"/>
                    <w:keepLines/>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188" w:type="pct"/>
                  <w:vMerge w:val="continue"/>
                  <w:tcBorders>
                    <w:tl2br w:val="nil"/>
                    <w:tr2bl w:val="nil"/>
                  </w:tcBorders>
                  <w:noWrap w:val="0"/>
                  <w:vAlign w:val="center"/>
                </w:tcPr>
                <w:p w14:paraId="34F56528">
                  <w:pPr>
                    <w:keepNext w:val="0"/>
                    <w:keepLines/>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544" w:type="pct"/>
                  <w:vMerge w:val="continue"/>
                  <w:tcBorders>
                    <w:tl2br w:val="nil"/>
                    <w:tr2bl w:val="nil"/>
                  </w:tcBorders>
                  <w:noWrap w:val="0"/>
                  <w:vAlign w:val="center"/>
                </w:tcPr>
                <w:p w14:paraId="4127F6F1">
                  <w:pPr>
                    <w:keepNext w:val="0"/>
                    <w:keepLines/>
                    <w:suppressLineNumbers w:val="0"/>
                    <w:spacing w:before="0" w:beforeAutospacing="0" w:after="0" w:afterAutospacing="0" w:line="240" w:lineRule="auto"/>
                    <w:ind w:left="0" w:right="0"/>
                    <w:jc w:val="center"/>
                    <w:rPr>
                      <w:rFonts w:hint="default" w:ascii="Times New Roman" w:hAnsi="Times New Roman" w:cs="Times New Roman"/>
                      <w:b w:val="0"/>
                      <w:bCs w:val="0"/>
                      <w:color w:val="auto"/>
                      <w:kern w:val="2"/>
                      <w:sz w:val="21"/>
                      <w:szCs w:val="21"/>
                      <w:u w:val="none" w:color="auto"/>
                    </w:rPr>
                  </w:pPr>
                </w:p>
              </w:tc>
            </w:tr>
            <w:tr w14:paraId="373B70E9">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704" w:hRule="atLeast"/>
              </w:trPr>
              <w:tc>
                <w:tcPr>
                  <w:tcW w:w="216" w:type="pct"/>
                  <w:vMerge w:val="continue"/>
                  <w:tcBorders>
                    <w:tl2br w:val="nil"/>
                    <w:tr2bl w:val="nil"/>
                  </w:tcBorders>
                  <w:noWrap w:val="0"/>
                  <w:vAlign w:val="center"/>
                </w:tcPr>
                <w:p w14:paraId="442E314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p>
              </w:tc>
              <w:tc>
                <w:tcPr>
                  <w:tcW w:w="760" w:type="pct"/>
                  <w:vMerge w:val="continue"/>
                  <w:tcBorders>
                    <w:tl2br w:val="nil"/>
                    <w:tr2bl w:val="nil"/>
                  </w:tcBorders>
                  <w:noWrap w:val="0"/>
                  <w:vAlign w:val="center"/>
                </w:tcPr>
                <w:p w14:paraId="138B9AA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p>
              </w:tc>
              <w:tc>
                <w:tcPr>
                  <w:tcW w:w="416" w:type="pct"/>
                  <w:vMerge w:val="continue"/>
                  <w:tcBorders>
                    <w:tl2br w:val="nil"/>
                    <w:tr2bl w:val="nil"/>
                  </w:tcBorders>
                  <w:noWrap w:val="0"/>
                  <w:vAlign w:val="center"/>
                </w:tcPr>
                <w:p w14:paraId="024D681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p>
              </w:tc>
              <w:tc>
                <w:tcPr>
                  <w:tcW w:w="472" w:type="pct"/>
                  <w:tcBorders>
                    <w:tl2br w:val="nil"/>
                    <w:tr2bl w:val="nil"/>
                  </w:tcBorders>
                  <w:noWrap w:val="0"/>
                  <w:vAlign w:val="center"/>
                </w:tcPr>
                <w:p w14:paraId="53A913D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eastAsia" w:ascii="Times New Roman" w:hAnsi="Times New Roman" w:cs="Times New Roman"/>
                      <w:b w:val="0"/>
                      <w:bCs w:val="0"/>
                      <w:i w:val="0"/>
                      <w:iCs w:val="0"/>
                      <w:color w:val="auto"/>
                      <w:kern w:val="0"/>
                      <w:sz w:val="21"/>
                      <w:szCs w:val="21"/>
                      <w:u w:val="none" w:color="auto"/>
                      <w:lang w:val="en-US" w:eastAsia="zh-CN" w:bidi="ar"/>
                    </w:rPr>
                    <w:t>非甲烷总烃</w:t>
                  </w:r>
                </w:p>
              </w:tc>
              <w:tc>
                <w:tcPr>
                  <w:tcW w:w="463" w:type="pct"/>
                  <w:vMerge w:val="continue"/>
                  <w:tcBorders>
                    <w:tl2br w:val="nil"/>
                    <w:tr2bl w:val="nil"/>
                  </w:tcBorders>
                  <w:noWrap w:val="0"/>
                  <w:vAlign w:val="center"/>
                </w:tcPr>
                <w:p w14:paraId="39789A6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p>
              </w:tc>
              <w:tc>
                <w:tcPr>
                  <w:tcW w:w="462" w:type="pct"/>
                  <w:tcBorders>
                    <w:tl2br w:val="nil"/>
                    <w:tr2bl w:val="nil"/>
                  </w:tcBorders>
                  <w:noWrap w:val="0"/>
                  <w:vAlign w:val="center"/>
                </w:tcPr>
                <w:p w14:paraId="063E107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0.01 </w:t>
                  </w:r>
                </w:p>
              </w:tc>
              <w:tc>
                <w:tcPr>
                  <w:tcW w:w="397" w:type="pct"/>
                  <w:tcBorders>
                    <w:tl2br w:val="nil"/>
                    <w:tr2bl w:val="nil"/>
                  </w:tcBorders>
                  <w:noWrap w:val="0"/>
                  <w:vAlign w:val="center"/>
                </w:tcPr>
                <w:p w14:paraId="0A75D13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0.00003 </w:t>
                  </w:r>
                </w:p>
              </w:tc>
              <w:tc>
                <w:tcPr>
                  <w:tcW w:w="378" w:type="pct"/>
                  <w:tcBorders>
                    <w:tl2br w:val="nil"/>
                    <w:tr2bl w:val="nil"/>
                  </w:tcBorders>
                  <w:noWrap w:val="0"/>
                  <w:vAlign w:val="center"/>
                </w:tcPr>
                <w:p w14:paraId="11BFB97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w:t>
                  </w:r>
                </w:p>
              </w:tc>
              <w:tc>
                <w:tcPr>
                  <w:tcW w:w="349" w:type="pct"/>
                  <w:tcBorders>
                    <w:tl2br w:val="nil"/>
                    <w:tr2bl w:val="nil"/>
                  </w:tcBorders>
                  <w:noWrap w:val="0"/>
                  <w:vAlign w:val="center"/>
                </w:tcPr>
                <w:p w14:paraId="786816F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w:t>
                  </w:r>
                </w:p>
              </w:tc>
              <w:tc>
                <w:tcPr>
                  <w:tcW w:w="349" w:type="pct"/>
                  <w:vMerge w:val="continue"/>
                  <w:tcBorders>
                    <w:tl2br w:val="nil"/>
                    <w:tr2bl w:val="nil"/>
                  </w:tcBorders>
                  <w:noWrap w:val="0"/>
                  <w:vAlign w:val="center"/>
                </w:tcPr>
                <w:p w14:paraId="09D1B3A8">
                  <w:pPr>
                    <w:keepNext w:val="0"/>
                    <w:keepLines/>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188" w:type="pct"/>
                  <w:vMerge w:val="continue"/>
                  <w:tcBorders>
                    <w:tl2br w:val="nil"/>
                    <w:tr2bl w:val="nil"/>
                  </w:tcBorders>
                  <w:noWrap w:val="0"/>
                  <w:vAlign w:val="center"/>
                </w:tcPr>
                <w:p w14:paraId="33C2DC8F">
                  <w:pPr>
                    <w:keepNext w:val="0"/>
                    <w:keepLines/>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544" w:type="pct"/>
                  <w:vMerge w:val="continue"/>
                  <w:tcBorders>
                    <w:tl2br w:val="nil"/>
                    <w:tr2bl w:val="nil"/>
                  </w:tcBorders>
                  <w:noWrap w:val="0"/>
                  <w:vAlign w:val="center"/>
                </w:tcPr>
                <w:p w14:paraId="70BDB82E">
                  <w:pPr>
                    <w:keepNext w:val="0"/>
                    <w:keepLines/>
                    <w:suppressLineNumbers w:val="0"/>
                    <w:spacing w:before="0" w:beforeAutospacing="0" w:after="0" w:afterAutospacing="0" w:line="240" w:lineRule="auto"/>
                    <w:ind w:left="0" w:right="0"/>
                    <w:jc w:val="center"/>
                    <w:rPr>
                      <w:rFonts w:hint="default" w:ascii="Times New Roman" w:hAnsi="Times New Roman" w:cs="Times New Roman"/>
                      <w:b w:val="0"/>
                      <w:bCs w:val="0"/>
                      <w:color w:val="auto"/>
                      <w:kern w:val="2"/>
                      <w:sz w:val="21"/>
                      <w:szCs w:val="21"/>
                      <w:u w:val="none" w:color="auto"/>
                    </w:rPr>
                  </w:pPr>
                </w:p>
              </w:tc>
            </w:tr>
          </w:tbl>
          <w:p w14:paraId="5484250C">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1.8污防措施可行性分析</w:t>
            </w:r>
          </w:p>
          <w:p w14:paraId="0A6E8F5D">
            <w:pPr>
              <w:keepNext w:val="0"/>
              <w:keepLines/>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u w:val="none" w:color="auto"/>
                <w:lang w:val="en-US" w:eastAsia="zh-CN"/>
              </w:rPr>
            </w:pPr>
            <w:r>
              <w:rPr>
                <w:rFonts w:hint="eastAsia" w:ascii="Times New Roman" w:hAnsi="Times New Roman" w:cs="Times New Roman"/>
                <w:color w:val="auto"/>
                <w:kern w:val="2"/>
                <w:sz w:val="24"/>
                <w:szCs w:val="24"/>
                <w:u w:val="none" w:color="auto"/>
                <w:lang w:val="en-US" w:eastAsia="zh-CN"/>
              </w:rPr>
              <w:t>本项目</w:t>
            </w:r>
            <w:r>
              <w:rPr>
                <w:rFonts w:hint="default" w:ascii="Times New Roman" w:hAnsi="Times New Roman" w:eastAsia="宋体" w:cs="Times New Roman"/>
                <w:color w:val="auto"/>
                <w:kern w:val="2"/>
                <w:sz w:val="24"/>
                <w:szCs w:val="24"/>
                <w:u w:val="none" w:color="auto"/>
                <w:lang w:val="en-US" w:eastAsia="zh-CN"/>
              </w:rPr>
              <w:t>熔炼废气经炉盖一体化装置收集、造型废气经集气罩收集、打磨清理废气经密闭管道收集、砂处理废气经密闭管道收集后经一台脉冲布袋除尘器处理后通过15m高DA001排气筒排放。</w:t>
            </w:r>
          </w:p>
          <w:p w14:paraId="1A2F9727">
            <w:pPr>
              <w:keepNext w:val="0"/>
              <w:keepLines/>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u w:val="none" w:color="auto"/>
                <w:lang w:val="en-US" w:eastAsia="zh-CN"/>
              </w:rPr>
            </w:pPr>
            <w:r>
              <w:rPr>
                <w:rFonts w:hint="eastAsia" w:ascii="Times New Roman" w:hAnsi="Times New Roman" w:cs="Times New Roman"/>
                <w:color w:val="auto"/>
                <w:kern w:val="2"/>
                <w:sz w:val="24"/>
                <w:szCs w:val="24"/>
                <w:u w:val="none" w:color="auto"/>
                <w:lang w:val="en-US" w:eastAsia="zh-CN"/>
              </w:rPr>
              <w:t>浇铸废气经</w:t>
            </w:r>
            <w:r>
              <w:rPr>
                <w:rFonts w:hint="default" w:ascii="Times New Roman" w:hAnsi="Times New Roman" w:eastAsia="宋体" w:cs="Times New Roman"/>
                <w:color w:val="auto"/>
                <w:kern w:val="2"/>
                <w:sz w:val="24"/>
                <w:szCs w:val="24"/>
                <w:u w:val="none" w:color="auto"/>
                <w:lang w:val="en-US" w:eastAsia="zh-CN"/>
              </w:rPr>
              <w:t>集气罩收集后经脉冲布袋除尘器处理后</w:t>
            </w:r>
            <w:r>
              <w:rPr>
                <w:rFonts w:hint="eastAsia" w:ascii="Times New Roman" w:hAnsi="Times New Roman" w:cs="Times New Roman"/>
                <w:color w:val="auto"/>
                <w:kern w:val="2"/>
                <w:sz w:val="24"/>
                <w:szCs w:val="24"/>
                <w:u w:val="none" w:color="auto"/>
                <w:lang w:val="en-US" w:eastAsia="zh-CN"/>
              </w:rPr>
              <w:t>通过</w:t>
            </w:r>
            <w:r>
              <w:rPr>
                <w:rFonts w:hint="default" w:ascii="Times New Roman" w:hAnsi="Times New Roman" w:eastAsia="宋体" w:cs="Times New Roman"/>
                <w:color w:val="auto"/>
                <w:kern w:val="2"/>
                <w:sz w:val="24"/>
                <w:szCs w:val="24"/>
                <w:u w:val="none" w:color="auto"/>
                <w:lang w:val="en-US" w:eastAsia="zh-CN"/>
              </w:rPr>
              <w:t>15m高DA002排气筒排放。</w:t>
            </w:r>
          </w:p>
          <w:p w14:paraId="54FF4664">
            <w:pPr>
              <w:keepNext w:val="0"/>
              <w:keepLines/>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u w:val="none" w:color="auto"/>
                <w:lang w:val="en-US" w:eastAsia="zh-CN"/>
              </w:rPr>
            </w:pPr>
            <w:r>
              <w:rPr>
                <w:rFonts w:hint="eastAsia" w:ascii="Times New Roman" w:hAnsi="Times New Roman" w:cs="Times New Roman"/>
                <w:color w:val="auto"/>
                <w:kern w:val="2"/>
                <w:sz w:val="24"/>
                <w:szCs w:val="24"/>
                <w:u w:val="none" w:color="auto"/>
                <w:lang w:val="en-US" w:eastAsia="zh-CN"/>
              </w:rPr>
              <w:t>淬火回火废气经</w:t>
            </w:r>
            <w:r>
              <w:rPr>
                <w:rFonts w:hint="default" w:ascii="Times New Roman" w:hAnsi="Times New Roman" w:eastAsia="宋体" w:cs="Times New Roman"/>
                <w:color w:val="auto"/>
                <w:kern w:val="2"/>
                <w:sz w:val="24"/>
                <w:szCs w:val="24"/>
                <w:u w:val="none" w:color="auto"/>
                <w:lang w:val="en-US" w:eastAsia="zh-CN"/>
              </w:rPr>
              <w:t>集气罩收集后经高压静电油烟净化处理后通过15m高DA003排气筒排放</w:t>
            </w:r>
            <w:r>
              <w:rPr>
                <w:rFonts w:hint="eastAsia" w:ascii="Times New Roman" w:hAnsi="Times New Roman" w:cs="Times New Roman"/>
                <w:color w:val="auto"/>
                <w:kern w:val="2"/>
                <w:sz w:val="24"/>
                <w:szCs w:val="24"/>
                <w:u w:val="none" w:color="auto"/>
                <w:lang w:val="en-US" w:eastAsia="zh-CN"/>
              </w:rPr>
              <w:t>。</w:t>
            </w:r>
          </w:p>
          <w:p w14:paraId="63DAE145">
            <w:pPr>
              <w:keepNext w:val="0"/>
              <w:keepLines/>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u w:val="none" w:color="auto"/>
                <w:lang w:val="en-US" w:eastAsia="zh-CN"/>
              </w:rPr>
            </w:pPr>
            <w:r>
              <w:rPr>
                <w:rFonts w:hint="eastAsia" w:ascii="Times New Roman" w:hAnsi="Times New Roman" w:cs="Times New Roman"/>
                <w:color w:val="auto"/>
                <w:kern w:val="2"/>
                <w:sz w:val="24"/>
                <w:szCs w:val="24"/>
                <w:u w:val="none" w:color="auto"/>
                <w:lang w:val="en-US" w:eastAsia="zh-CN"/>
              </w:rPr>
              <w:t>本</w:t>
            </w:r>
            <w:r>
              <w:rPr>
                <w:rFonts w:hint="default" w:ascii="Times New Roman" w:hAnsi="Times New Roman" w:eastAsia="宋体" w:cs="Times New Roman"/>
                <w:color w:val="auto"/>
                <w:kern w:val="2"/>
                <w:sz w:val="24"/>
                <w:szCs w:val="24"/>
                <w:u w:val="none" w:color="auto"/>
                <w:lang w:val="en-US" w:eastAsia="zh-CN"/>
              </w:rPr>
              <w:t>项目废气走向见下图：</w:t>
            </w:r>
          </w:p>
          <w:p w14:paraId="7F6353A3">
            <w:pPr>
              <w:pStyle w:val="51"/>
              <w:keepNext w:val="0"/>
              <w:keepLines w:val="0"/>
              <w:suppressLineNumbers w:val="0"/>
              <w:spacing w:before="0" w:beforeAutospacing="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object>
                <v:shape id="_x0000_i1027" o:spt="75" type="#_x0000_t75" style="height:387.55pt;width:373.45pt;" o:ole="t" filled="f" o:preferrelative="t" stroked="f" coordsize="21600,21600">
                  <v:path/>
                  <v:fill on="f" focussize="0,0"/>
                  <v:stroke on="f"/>
                  <v:imagedata r:id="rId27" o:title=""/>
                  <o:lock v:ext="edit" aspectratio="f"/>
                  <w10:wrap type="none"/>
                  <w10:anchorlock/>
                </v:shape>
                <o:OLEObject Type="Embed" ProgID="Visio.Drawing.11" ShapeID="_x0000_i1027" DrawAspect="Content" ObjectID="_1468075727" r:id="rId26">
                  <o:LockedField>false</o:LockedField>
                </o:OLEObject>
              </w:object>
            </w:r>
          </w:p>
          <w:p w14:paraId="06DA77F9">
            <w:pPr>
              <w:keepNext w:val="0"/>
              <w:keepLines/>
              <w:pageBreakBefore w:val="0"/>
              <w:widowControl w:val="0"/>
              <w:suppressLineNumbers w:val="0"/>
              <w:kinsoku/>
              <w:wordWrap/>
              <w:overflowPunct/>
              <w:topLinePunct w:val="0"/>
              <w:autoSpaceDE/>
              <w:autoSpaceDN/>
              <w:bidi w:val="0"/>
              <w:adjustRightInd/>
              <w:snapToGrid/>
              <w:spacing w:before="0" w:beforeLines="0" w:beforeAutospacing="0" w:after="0" w:afterLines="50" w:afterAutospacing="0" w:line="240" w:lineRule="auto"/>
              <w:ind w:left="0" w:right="0"/>
              <w:jc w:val="center"/>
              <w:textAlignment w:val="auto"/>
              <w:rPr>
                <w:rFonts w:hint="default" w:ascii="Times New Roman" w:hAnsi="Times New Roman" w:eastAsia="宋体" w:cs="Times New Roman"/>
                <w:b/>
                <w:color w:val="auto"/>
                <w:kern w:val="2"/>
                <w:sz w:val="21"/>
                <w:szCs w:val="21"/>
                <w:u w:val="none" w:color="auto"/>
                <w:lang w:val="en-US" w:eastAsia="zh-CN"/>
              </w:rPr>
            </w:pPr>
            <w:r>
              <w:rPr>
                <w:rFonts w:hint="default" w:ascii="Times New Roman" w:hAnsi="Times New Roman" w:cs="Times New Roman"/>
                <w:b/>
                <w:color w:val="auto"/>
                <w:kern w:val="2"/>
                <w:sz w:val="21"/>
                <w:szCs w:val="21"/>
                <w:u w:val="none" w:color="auto"/>
              </w:rPr>
              <w:t>表4-</w:t>
            </w:r>
            <w:r>
              <w:rPr>
                <w:rFonts w:hint="eastAsia" w:ascii="Times New Roman" w:hAnsi="Times New Roman" w:cs="Times New Roman"/>
                <w:b/>
                <w:color w:val="auto"/>
                <w:kern w:val="2"/>
                <w:sz w:val="21"/>
                <w:szCs w:val="21"/>
                <w:u w:val="none" w:color="auto"/>
                <w:lang w:val="en-US" w:eastAsia="zh-CN"/>
              </w:rPr>
              <w:t>1</w:t>
            </w:r>
            <w:r>
              <w:rPr>
                <w:rFonts w:hint="default" w:ascii="Times New Roman" w:hAnsi="Times New Roman" w:cs="Times New Roman"/>
                <w:b/>
                <w:color w:val="auto"/>
                <w:kern w:val="2"/>
                <w:sz w:val="21"/>
                <w:szCs w:val="21"/>
                <w:u w:val="none" w:color="auto"/>
              </w:rPr>
              <w:t xml:space="preserve"> </w:t>
            </w:r>
            <w:r>
              <w:rPr>
                <w:rFonts w:hint="default" w:ascii="Times New Roman" w:hAnsi="Times New Roman" w:cs="Times New Roman"/>
                <w:b/>
                <w:color w:val="auto"/>
                <w:kern w:val="2"/>
                <w:sz w:val="21"/>
                <w:szCs w:val="21"/>
                <w:u w:val="none" w:color="auto"/>
                <w:lang w:val="en-US" w:eastAsia="zh-CN"/>
              </w:rPr>
              <w:t>废气走向图</w:t>
            </w:r>
          </w:p>
          <w:p w14:paraId="67C9533B">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highlight w:val="none"/>
                <w:u w:val="none" w:color="auto"/>
                <w:lang w:val="en-US" w:eastAsia="zh-CN"/>
              </w:rPr>
            </w:pPr>
            <w:r>
              <w:rPr>
                <w:rFonts w:hint="default" w:ascii="Times New Roman" w:hAnsi="Times New Roman" w:eastAsia="宋体" w:cs="Times New Roman"/>
                <w:color w:val="auto"/>
                <w:kern w:val="2"/>
                <w:sz w:val="24"/>
                <w:highlight w:val="none"/>
                <w:u w:val="none" w:color="auto"/>
                <w:lang w:val="en-US" w:eastAsia="zh-CN"/>
              </w:rPr>
              <w:t>（1）封闭炉盖罩及除尘旋风罩可行性分析</w:t>
            </w:r>
          </w:p>
          <w:p w14:paraId="724C9389">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highlight w:val="none"/>
                <w:u w:val="none" w:color="auto"/>
                <w:lang w:val="en-US" w:eastAsia="zh-CN"/>
              </w:rPr>
            </w:pPr>
            <w:r>
              <w:rPr>
                <w:rFonts w:hint="default" w:ascii="Times New Roman" w:hAnsi="Times New Roman" w:eastAsia="宋体" w:cs="Times New Roman"/>
                <w:color w:val="auto"/>
                <w:kern w:val="2"/>
                <w:sz w:val="24"/>
                <w:highlight w:val="none"/>
                <w:u w:val="none" w:color="auto"/>
                <w:lang w:val="en-US" w:eastAsia="zh-CN"/>
              </w:rPr>
              <w:t>本项目中频炉熔炼废气采用电炉炉盖与除尘收集罩一体化设计+布袋除尘器处理废气达标后由（DA001）排气筒排放。根据《铸造工业大气污染防治可行技术指南》（HJ1292-2023）第 5.2.1 条该技术属于将电炉炉盖与除尘收集罩一体化设计，收集金属熔炼（化）过程产生的颗粒物，提高废气收集率，减少排气量。本项目熔炼废气产生的颗粒物采用“电炉炉盖与除尘收集罩一体化设计+布袋除尘器处理”属于可行技术。</w:t>
            </w:r>
          </w:p>
          <w:p w14:paraId="44552C0B">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highlight w:val="none"/>
                <w:u w:val="none" w:color="auto"/>
                <w:lang w:val="en-US" w:eastAsia="zh-CN"/>
              </w:rPr>
            </w:pPr>
            <w:r>
              <w:rPr>
                <w:rFonts w:hint="default" w:ascii="Times New Roman" w:hAnsi="Times New Roman" w:eastAsia="宋体" w:cs="Times New Roman"/>
                <w:color w:val="auto"/>
                <w:kern w:val="2"/>
                <w:sz w:val="24"/>
                <w:highlight w:val="none"/>
                <w:u w:val="none" w:color="auto"/>
                <w:lang w:val="en-US" w:eastAsia="zh-CN"/>
              </w:rPr>
              <w:t>（2）布袋除尘器可行性分析</w:t>
            </w:r>
          </w:p>
          <w:p w14:paraId="4A81A7C2">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highlight w:val="none"/>
                <w:u w:val="none" w:color="auto"/>
                <w:lang w:val="en-US" w:eastAsia="zh-CN"/>
              </w:rPr>
            </w:pPr>
            <w:r>
              <w:rPr>
                <w:rFonts w:hint="default" w:ascii="Times New Roman" w:hAnsi="Times New Roman" w:eastAsia="宋体" w:cs="Times New Roman"/>
                <w:color w:val="auto"/>
                <w:kern w:val="2"/>
                <w:sz w:val="24"/>
                <w:highlight w:val="none"/>
                <w:u w:val="none" w:color="auto"/>
                <w:lang w:val="en-US" w:eastAsia="zh-CN"/>
              </w:rPr>
              <w:t>本项目造型</w:t>
            </w:r>
            <w:r>
              <w:rPr>
                <w:rFonts w:hint="eastAsia" w:ascii="Times New Roman" w:hAnsi="Times New Roman" w:cs="Times New Roman"/>
                <w:color w:val="auto"/>
                <w:kern w:val="2"/>
                <w:sz w:val="24"/>
                <w:highlight w:val="none"/>
                <w:u w:val="none" w:color="auto"/>
                <w:lang w:val="en-US" w:eastAsia="zh-CN"/>
              </w:rPr>
              <w:t>、</w:t>
            </w:r>
            <w:r>
              <w:rPr>
                <w:rFonts w:hint="default" w:ascii="Times New Roman" w:hAnsi="Times New Roman" w:eastAsia="宋体" w:cs="Times New Roman"/>
                <w:color w:val="auto"/>
                <w:kern w:val="2"/>
                <w:sz w:val="24"/>
                <w:highlight w:val="none"/>
                <w:u w:val="none" w:color="auto"/>
                <w:lang w:val="en-US" w:eastAsia="zh-CN"/>
              </w:rPr>
              <w:t>浇注废气、砂处理废气、</w:t>
            </w:r>
            <w:r>
              <w:rPr>
                <w:rFonts w:hint="eastAsia" w:ascii="Times New Roman" w:hAnsi="Times New Roman" w:cs="Times New Roman"/>
                <w:color w:val="auto"/>
                <w:kern w:val="2"/>
                <w:sz w:val="24"/>
                <w:highlight w:val="none"/>
                <w:u w:val="none" w:color="auto"/>
                <w:lang w:val="en-US" w:eastAsia="zh-CN"/>
              </w:rPr>
              <w:t>打磨清理</w:t>
            </w:r>
            <w:r>
              <w:rPr>
                <w:rFonts w:hint="default" w:ascii="Times New Roman" w:hAnsi="Times New Roman" w:eastAsia="宋体" w:cs="Times New Roman"/>
                <w:color w:val="auto"/>
                <w:kern w:val="2"/>
                <w:sz w:val="24"/>
                <w:highlight w:val="none"/>
                <w:u w:val="none" w:color="auto"/>
                <w:lang w:val="en-US" w:eastAsia="zh-CN"/>
              </w:rPr>
              <w:t>废气污染物颗粒物收集后采用“布袋除尘器”处理达标后高空排放。《铸造工业大气污染防治可行技术指南》（HJ1292-2023）第 6.1.2 条：“袋式除尘技术适用于铸造工业企业各工序废气颗粒物的治理，除尘效率通常可达 99%以上。”对照《铸造工业大气污染防治可行技术指南》（HJ1292-2023），造型、浇注废气、砂处理废气、打磨清理废气产生的颗粒物采用布袋除尘器处理属于可行技术</w:t>
            </w:r>
            <w:r>
              <w:rPr>
                <w:rFonts w:hint="eastAsia" w:ascii="Times New Roman" w:hAnsi="Times New Roman" w:cs="Times New Roman"/>
                <w:color w:val="auto"/>
                <w:kern w:val="2"/>
                <w:sz w:val="24"/>
                <w:highlight w:val="none"/>
                <w:u w:val="none" w:color="auto"/>
                <w:lang w:val="en-US" w:eastAsia="zh-CN"/>
              </w:rPr>
              <w:t>，废气排放可以满足《铸造工业大气污染物排放标准》（GB39726-2020）中表1标准限值要求。</w:t>
            </w:r>
          </w:p>
          <w:p w14:paraId="077587E4">
            <w:pPr>
              <w:keepNext w:val="0"/>
              <w:keepLines/>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b/>
                <w:color w:val="auto"/>
                <w:kern w:val="2"/>
                <w:sz w:val="21"/>
                <w:szCs w:val="21"/>
                <w:u w:val="none" w:color="auto"/>
                <w:lang w:val="en-US" w:eastAsia="zh-CN"/>
              </w:rPr>
            </w:pPr>
            <w:r>
              <w:rPr>
                <w:rFonts w:hint="eastAsia" w:ascii="Times New Roman" w:hAnsi="Times New Roman" w:cs="Times New Roman"/>
                <w:b/>
                <w:color w:val="auto"/>
                <w:kern w:val="2"/>
                <w:sz w:val="21"/>
                <w:szCs w:val="21"/>
                <w:u w:val="none" w:color="auto"/>
              </w:rPr>
              <w:t>表4-1</w:t>
            </w:r>
            <w:r>
              <w:rPr>
                <w:rFonts w:hint="eastAsia" w:ascii="Times New Roman" w:hAnsi="Times New Roman" w:cs="Times New Roman"/>
                <w:b/>
                <w:color w:val="auto"/>
                <w:kern w:val="2"/>
                <w:sz w:val="21"/>
                <w:szCs w:val="21"/>
                <w:u w:val="none" w:color="auto"/>
                <w:lang w:val="en-US" w:eastAsia="zh-CN"/>
              </w:rPr>
              <w:t>2</w:t>
            </w:r>
            <w:r>
              <w:rPr>
                <w:rFonts w:hint="eastAsia" w:ascii="Times New Roman" w:hAnsi="Times New Roman" w:eastAsia="Times New Roman" w:cs="Times New Roman"/>
                <w:b/>
                <w:color w:val="auto"/>
                <w:kern w:val="2"/>
                <w:sz w:val="21"/>
                <w:szCs w:val="21"/>
                <w:u w:val="none" w:color="auto"/>
              </w:rPr>
              <w:t xml:space="preserve"> </w:t>
            </w:r>
            <w:r>
              <w:rPr>
                <w:rFonts w:hint="eastAsia" w:ascii="Times New Roman" w:hAnsi="Times New Roman" w:cs="Times New Roman"/>
                <w:b/>
                <w:color w:val="auto"/>
                <w:kern w:val="2"/>
                <w:sz w:val="21"/>
                <w:szCs w:val="21"/>
                <w:u w:val="none" w:color="auto"/>
              </w:rPr>
              <w:t>项目</w:t>
            </w:r>
            <w:r>
              <w:rPr>
                <w:rFonts w:hint="eastAsia" w:ascii="Times New Roman" w:hAnsi="Times New Roman" w:cs="Times New Roman"/>
                <w:b/>
                <w:color w:val="auto"/>
                <w:kern w:val="2"/>
                <w:sz w:val="21"/>
                <w:szCs w:val="21"/>
                <w:u w:val="none" w:color="auto"/>
                <w:lang w:val="en-US" w:eastAsia="zh-CN"/>
              </w:rPr>
              <w:t>废气治理措施与可行性技术对照表</w:t>
            </w:r>
          </w:p>
          <w:tbl>
            <w:tblPr>
              <w:tblStyle w:val="56"/>
              <w:tblW w:w="494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719"/>
              <w:gridCol w:w="500"/>
              <w:gridCol w:w="533"/>
              <w:gridCol w:w="933"/>
              <w:gridCol w:w="367"/>
              <w:gridCol w:w="450"/>
              <w:gridCol w:w="517"/>
              <w:gridCol w:w="750"/>
              <w:gridCol w:w="1866"/>
              <w:gridCol w:w="1034"/>
              <w:gridCol w:w="539"/>
            </w:tblGrid>
            <w:tr w14:paraId="1C7D85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95" w:hRule="atLeast"/>
                <w:jc w:val="center"/>
              </w:trPr>
              <w:tc>
                <w:tcPr>
                  <w:tcW w:w="719" w:type="dxa"/>
                  <w:vMerge w:val="restart"/>
                  <w:tcBorders>
                    <w:tl2br w:val="nil"/>
                    <w:tr2bl w:val="nil"/>
                  </w:tcBorders>
                  <w:shd w:val="clear" w:color="auto" w:fill="auto"/>
                  <w:vAlign w:val="center"/>
                </w:tcPr>
                <w:p w14:paraId="760109A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eastAsia" w:ascii="Times New Roman" w:hAnsi="Times New Roman" w:eastAsia="宋体" w:cs="Times New Roman"/>
                      <w:b w:val="0"/>
                      <w:bCs w:val="0"/>
                      <w:i w:val="0"/>
                      <w:iCs w:val="0"/>
                      <w:color w:val="auto"/>
                      <w:kern w:val="0"/>
                      <w:sz w:val="21"/>
                      <w:szCs w:val="21"/>
                      <w:u w:val="none" w:color="auto"/>
                      <w:lang w:val="en-US" w:eastAsia="zh-CN" w:bidi="ar"/>
                    </w:rPr>
                    <w:t>工序</w:t>
                  </w:r>
                </w:p>
              </w:tc>
              <w:tc>
                <w:tcPr>
                  <w:tcW w:w="500" w:type="dxa"/>
                  <w:vMerge w:val="restart"/>
                  <w:tcBorders>
                    <w:tl2br w:val="nil"/>
                    <w:tr2bl w:val="nil"/>
                  </w:tcBorders>
                  <w:shd w:val="clear" w:color="auto" w:fill="auto"/>
                  <w:vAlign w:val="center"/>
                </w:tcPr>
                <w:p w14:paraId="02779A5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可行</w:t>
                  </w:r>
                  <w:r>
                    <w:rPr>
                      <w:rFonts w:hint="default" w:ascii="Times New Roman" w:hAnsi="Times New Roman" w:eastAsia="宋体" w:cs="Times New Roman"/>
                      <w:b w:val="0"/>
                      <w:bCs w:val="0"/>
                      <w:i w:val="0"/>
                      <w:iCs w:val="0"/>
                      <w:color w:val="auto"/>
                      <w:kern w:val="0"/>
                      <w:sz w:val="21"/>
                      <w:szCs w:val="21"/>
                      <w:u w:val="none" w:color="auto"/>
                      <w:lang w:val="en-US" w:eastAsia="zh-CN" w:bidi="ar"/>
                    </w:rPr>
                    <w:br w:type="textWrapping"/>
                  </w:r>
                  <w:r>
                    <w:rPr>
                      <w:rFonts w:hint="default" w:ascii="Times New Roman" w:hAnsi="Times New Roman" w:eastAsia="宋体" w:cs="Times New Roman"/>
                      <w:b w:val="0"/>
                      <w:bCs w:val="0"/>
                      <w:i w:val="0"/>
                      <w:iCs w:val="0"/>
                      <w:color w:val="auto"/>
                      <w:kern w:val="0"/>
                      <w:sz w:val="21"/>
                      <w:szCs w:val="21"/>
                      <w:u w:val="none" w:color="auto"/>
                      <w:lang w:val="en-US" w:eastAsia="zh-CN" w:bidi="ar"/>
                    </w:rPr>
                    <w:t>技术</w:t>
                  </w:r>
                </w:p>
              </w:tc>
              <w:tc>
                <w:tcPr>
                  <w:tcW w:w="533" w:type="dxa"/>
                  <w:vMerge w:val="restart"/>
                  <w:tcBorders>
                    <w:tl2br w:val="nil"/>
                    <w:tr2bl w:val="nil"/>
                  </w:tcBorders>
                  <w:shd w:val="clear" w:color="auto" w:fill="auto"/>
                  <w:vAlign w:val="center"/>
                </w:tcPr>
                <w:p w14:paraId="6244C7D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预防技术</w:t>
                  </w:r>
                </w:p>
              </w:tc>
              <w:tc>
                <w:tcPr>
                  <w:tcW w:w="933" w:type="dxa"/>
                  <w:vMerge w:val="restart"/>
                  <w:tcBorders>
                    <w:tl2br w:val="nil"/>
                    <w:tr2bl w:val="nil"/>
                  </w:tcBorders>
                  <w:shd w:val="clear" w:color="auto" w:fill="auto"/>
                  <w:vAlign w:val="center"/>
                </w:tcPr>
                <w:p w14:paraId="0154EFD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治理技术</w:t>
                  </w:r>
                </w:p>
              </w:tc>
              <w:tc>
                <w:tcPr>
                  <w:tcW w:w="2084" w:type="dxa"/>
                  <w:gridSpan w:val="4"/>
                  <w:tcBorders>
                    <w:tl2br w:val="nil"/>
                    <w:tr2bl w:val="nil"/>
                  </w:tcBorders>
                  <w:shd w:val="clear" w:color="auto" w:fill="auto"/>
                  <w:vAlign w:val="center"/>
                </w:tcPr>
                <w:p w14:paraId="03BA9FC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污染物排放浓度水平</w:t>
                  </w:r>
                  <w:r>
                    <w:rPr>
                      <w:rFonts w:hint="eastAsia" w:ascii="Times New Roman" w:hAnsi="Times New Roman" w:cs="Times New Roman"/>
                      <w:b w:val="0"/>
                      <w:bCs w:val="0"/>
                      <w:i w:val="0"/>
                      <w:iCs w:val="0"/>
                      <w:color w:val="auto"/>
                      <w:kern w:val="0"/>
                      <w:sz w:val="21"/>
                      <w:szCs w:val="21"/>
                      <w:u w:val="none" w:color="auto"/>
                      <w:lang w:val="en-US" w:eastAsia="zh-CN" w:bidi="ar"/>
                    </w:rPr>
                    <w:t>（</w:t>
                  </w:r>
                  <w:r>
                    <w:rPr>
                      <w:rFonts w:hint="default" w:ascii="Times New Roman" w:hAnsi="Times New Roman" w:eastAsia="宋体" w:cs="Times New Roman"/>
                      <w:b w:val="0"/>
                      <w:bCs w:val="0"/>
                      <w:i w:val="0"/>
                      <w:iCs w:val="0"/>
                      <w:color w:val="auto"/>
                      <w:kern w:val="0"/>
                      <w:sz w:val="21"/>
                      <w:szCs w:val="21"/>
                      <w:u w:val="none" w:color="auto"/>
                      <w:lang w:val="en-US" w:eastAsia="zh-CN" w:bidi="ar"/>
                    </w:rPr>
                    <w:t>mg/m³</w:t>
                  </w:r>
                  <w:r>
                    <w:rPr>
                      <w:rFonts w:hint="eastAsia" w:ascii="Times New Roman" w:hAnsi="Times New Roman" w:cs="Times New Roman"/>
                      <w:b w:val="0"/>
                      <w:bCs w:val="0"/>
                      <w:i w:val="0"/>
                      <w:iCs w:val="0"/>
                      <w:color w:val="auto"/>
                      <w:kern w:val="0"/>
                      <w:sz w:val="21"/>
                      <w:szCs w:val="21"/>
                      <w:u w:val="none" w:color="auto"/>
                      <w:lang w:val="en-US" w:eastAsia="zh-CN" w:bidi="ar"/>
                    </w:rPr>
                    <w:t>）</w:t>
                  </w:r>
                </w:p>
              </w:tc>
              <w:tc>
                <w:tcPr>
                  <w:tcW w:w="1866" w:type="dxa"/>
                  <w:vMerge w:val="restart"/>
                  <w:tcBorders>
                    <w:tl2br w:val="nil"/>
                    <w:tr2bl w:val="nil"/>
                  </w:tcBorders>
                  <w:shd w:val="clear" w:color="auto" w:fill="auto"/>
                  <w:vAlign w:val="center"/>
                </w:tcPr>
                <w:p w14:paraId="52DC606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技术适用条件</w:t>
                  </w:r>
                </w:p>
              </w:tc>
              <w:tc>
                <w:tcPr>
                  <w:tcW w:w="1034" w:type="dxa"/>
                  <w:vMerge w:val="restart"/>
                  <w:tcBorders>
                    <w:tl2br w:val="nil"/>
                    <w:tr2bl w:val="nil"/>
                  </w:tcBorders>
                  <w:shd w:val="clear" w:color="auto" w:fill="auto"/>
                  <w:vAlign w:val="center"/>
                </w:tcPr>
                <w:p w14:paraId="56AF4B1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eastAsia" w:ascii="Times New Roman" w:hAnsi="Times New Roman" w:eastAsia="宋体" w:cs="Times New Roman"/>
                      <w:b w:val="0"/>
                      <w:bCs w:val="0"/>
                      <w:i w:val="0"/>
                      <w:iCs w:val="0"/>
                      <w:color w:val="auto"/>
                      <w:kern w:val="0"/>
                      <w:sz w:val="21"/>
                      <w:szCs w:val="21"/>
                      <w:u w:val="none" w:color="auto"/>
                      <w:lang w:val="en-US" w:eastAsia="zh-CN" w:bidi="ar"/>
                    </w:rPr>
                    <w:t>本项目情况</w:t>
                  </w:r>
                </w:p>
              </w:tc>
              <w:tc>
                <w:tcPr>
                  <w:tcW w:w="539" w:type="dxa"/>
                  <w:vMerge w:val="restart"/>
                  <w:tcBorders>
                    <w:tl2br w:val="nil"/>
                    <w:tr2bl w:val="nil"/>
                  </w:tcBorders>
                  <w:shd w:val="clear" w:color="auto" w:fill="auto"/>
                  <w:vAlign w:val="center"/>
                </w:tcPr>
                <w:p w14:paraId="3C1A5AA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eastAsia" w:ascii="Times New Roman" w:hAnsi="Times New Roman" w:eastAsia="宋体" w:cs="Times New Roman"/>
                      <w:b w:val="0"/>
                      <w:bCs w:val="0"/>
                      <w:i w:val="0"/>
                      <w:iCs w:val="0"/>
                      <w:color w:val="auto"/>
                      <w:kern w:val="0"/>
                      <w:sz w:val="21"/>
                      <w:szCs w:val="21"/>
                      <w:u w:val="none" w:color="auto"/>
                      <w:lang w:val="en-US" w:eastAsia="zh-CN" w:bidi="ar"/>
                    </w:rPr>
                    <w:t>是否为可行性技术</w:t>
                  </w:r>
                </w:p>
              </w:tc>
            </w:tr>
            <w:tr w14:paraId="2CA4A2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0" w:hRule="atLeast"/>
                <w:jc w:val="center"/>
              </w:trPr>
              <w:tc>
                <w:tcPr>
                  <w:tcW w:w="719" w:type="dxa"/>
                  <w:vMerge w:val="continue"/>
                  <w:tcBorders>
                    <w:tl2br w:val="nil"/>
                    <w:tr2bl w:val="nil"/>
                  </w:tcBorders>
                  <w:shd w:val="clear" w:color="auto" w:fill="auto"/>
                  <w:vAlign w:val="center"/>
                </w:tcPr>
                <w:p w14:paraId="24E14BC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val="0"/>
                      <w:i w:val="0"/>
                      <w:iCs w:val="0"/>
                      <w:color w:val="auto"/>
                      <w:kern w:val="0"/>
                      <w:sz w:val="21"/>
                      <w:szCs w:val="21"/>
                      <w:u w:val="none" w:color="auto"/>
                      <w:lang w:val="en-US" w:eastAsia="zh-CN" w:bidi="ar"/>
                    </w:rPr>
                  </w:pPr>
                </w:p>
              </w:tc>
              <w:tc>
                <w:tcPr>
                  <w:tcW w:w="500" w:type="dxa"/>
                  <w:vMerge w:val="continue"/>
                  <w:tcBorders>
                    <w:tl2br w:val="nil"/>
                    <w:tr2bl w:val="nil"/>
                  </w:tcBorders>
                  <w:shd w:val="clear" w:color="auto" w:fill="auto"/>
                  <w:vAlign w:val="center"/>
                </w:tcPr>
                <w:p w14:paraId="07A6B23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val="0"/>
                      <w:i w:val="0"/>
                      <w:iCs w:val="0"/>
                      <w:color w:val="auto"/>
                      <w:kern w:val="0"/>
                      <w:sz w:val="21"/>
                      <w:szCs w:val="21"/>
                      <w:u w:val="none" w:color="auto"/>
                      <w:lang w:val="en-US" w:eastAsia="zh-CN" w:bidi="ar"/>
                    </w:rPr>
                  </w:pPr>
                </w:p>
              </w:tc>
              <w:tc>
                <w:tcPr>
                  <w:tcW w:w="533" w:type="dxa"/>
                  <w:vMerge w:val="continue"/>
                  <w:tcBorders>
                    <w:tl2br w:val="nil"/>
                    <w:tr2bl w:val="nil"/>
                  </w:tcBorders>
                  <w:shd w:val="clear" w:color="auto" w:fill="auto"/>
                  <w:vAlign w:val="center"/>
                </w:tcPr>
                <w:p w14:paraId="03DFE6F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val="0"/>
                      <w:i w:val="0"/>
                      <w:iCs w:val="0"/>
                      <w:color w:val="auto"/>
                      <w:kern w:val="0"/>
                      <w:sz w:val="21"/>
                      <w:szCs w:val="21"/>
                      <w:u w:val="none" w:color="auto"/>
                      <w:lang w:val="en-US" w:eastAsia="zh-CN" w:bidi="ar"/>
                    </w:rPr>
                  </w:pPr>
                </w:p>
              </w:tc>
              <w:tc>
                <w:tcPr>
                  <w:tcW w:w="933" w:type="dxa"/>
                  <w:vMerge w:val="continue"/>
                  <w:tcBorders>
                    <w:tl2br w:val="nil"/>
                    <w:tr2bl w:val="nil"/>
                  </w:tcBorders>
                  <w:shd w:val="clear" w:color="auto" w:fill="auto"/>
                  <w:vAlign w:val="center"/>
                </w:tcPr>
                <w:p w14:paraId="442C875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val="0"/>
                      <w:i w:val="0"/>
                      <w:iCs w:val="0"/>
                      <w:color w:val="auto"/>
                      <w:kern w:val="0"/>
                      <w:sz w:val="21"/>
                      <w:szCs w:val="21"/>
                      <w:u w:val="none" w:color="auto"/>
                      <w:lang w:val="en-US" w:eastAsia="zh-CN" w:bidi="ar"/>
                    </w:rPr>
                  </w:pPr>
                </w:p>
              </w:tc>
              <w:tc>
                <w:tcPr>
                  <w:tcW w:w="367" w:type="dxa"/>
                  <w:tcBorders>
                    <w:tl2br w:val="nil"/>
                    <w:tr2bl w:val="nil"/>
                  </w:tcBorders>
                  <w:shd w:val="clear" w:color="auto" w:fill="auto"/>
                  <w:vAlign w:val="center"/>
                </w:tcPr>
                <w:p w14:paraId="7729CCD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颗粒物</w:t>
                  </w:r>
                </w:p>
              </w:tc>
              <w:tc>
                <w:tcPr>
                  <w:tcW w:w="450" w:type="dxa"/>
                  <w:tcBorders>
                    <w:tl2br w:val="nil"/>
                    <w:tr2bl w:val="nil"/>
                  </w:tcBorders>
                  <w:shd w:val="clear" w:color="auto" w:fill="auto"/>
                  <w:vAlign w:val="center"/>
                </w:tcPr>
                <w:p w14:paraId="377C0AD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NMHC</w:t>
                  </w:r>
                </w:p>
              </w:tc>
              <w:tc>
                <w:tcPr>
                  <w:tcW w:w="517" w:type="dxa"/>
                  <w:tcBorders>
                    <w:tl2br w:val="nil"/>
                    <w:tr2bl w:val="nil"/>
                  </w:tcBorders>
                  <w:shd w:val="clear" w:color="auto" w:fill="auto"/>
                  <w:vAlign w:val="center"/>
                </w:tcPr>
                <w:p w14:paraId="531A508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油雾</w:t>
                  </w:r>
                </w:p>
              </w:tc>
              <w:tc>
                <w:tcPr>
                  <w:tcW w:w="750" w:type="dxa"/>
                  <w:tcBorders>
                    <w:tl2br w:val="nil"/>
                    <w:tr2bl w:val="nil"/>
                  </w:tcBorders>
                  <w:shd w:val="clear" w:color="auto" w:fill="auto"/>
                  <w:vAlign w:val="center"/>
                </w:tcPr>
                <w:p w14:paraId="6AC91AF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臭气浓度</w:t>
                  </w:r>
                  <w:r>
                    <w:rPr>
                      <w:rFonts w:hint="eastAsia" w:ascii="Times New Roman" w:hAnsi="Times New Roman" w:cs="Times New Roman"/>
                      <w:b w:val="0"/>
                      <w:bCs w:val="0"/>
                      <w:i w:val="0"/>
                      <w:iCs w:val="0"/>
                      <w:color w:val="auto"/>
                      <w:kern w:val="0"/>
                      <w:sz w:val="21"/>
                      <w:szCs w:val="21"/>
                      <w:u w:val="none" w:color="auto"/>
                      <w:lang w:val="en-US" w:eastAsia="zh-CN" w:bidi="ar"/>
                    </w:rPr>
                    <w:t>（</w:t>
                  </w:r>
                  <w:r>
                    <w:rPr>
                      <w:rFonts w:hint="default" w:ascii="Times New Roman" w:hAnsi="Times New Roman" w:eastAsia="宋体" w:cs="Times New Roman"/>
                      <w:b w:val="0"/>
                      <w:bCs w:val="0"/>
                      <w:i w:val="0"/>
                      <w:iCs w:val="0"/>
                      <w:color w:val="auto"/>
                      <w:kern w:val="0"/>
                      <w:sz w:val="21"/>
                      <w:szCs w:val="21"/>
                      <w:u w:val="none" w:color="auto"/>
                      <w:lang w:val="en-US" w:eastAsia="zh-CN" w:bidi="ar"/>
                    </w:rPr>
                    <w:t>无量纲</w:t>
                  </w:r>
                  <w:r>
                    <w:rPr>
                      <w:rFonts w:hint="eastAsia" w:ascii="Times New Roman" w:hAnsi="Times New Roman" w:cs="Times New Roman"/>
                      <w:b w:val="0"/>
                      <w:bCs w:val="0"/>
                      <w:i w:val="0"/>
                      <w:iCs w:val="0"/>
                      <w:color w:val="auto"/>
                      <w:kern w:val="0"/>
                      <w:sz w:val="21"/>
                      <w:szCs w:val="21"/>
                      <w:u w:val="none" w:color="auto"/>
                      <w:lang w:val="en-US" w:eastAsia="zh-CN" w:bidi="ar"/>
                    </w:rPr>
                    <w:t>）</w:t>
                  </w:r>
                </w:p>
              </w:tc>
              <w:tc>
                <w:tcPr>
                  <w:tcW w:w="1866" w:type="dxa"/>
                  <w:vMerge w:val="continue"/>
                  <w:tcBorders>
                    <w:tl2br w:val="nil"/>
                    <w:tr2bl w:val="nil"/>
                  </w:tcBorders>
                  <w:shd w:val="clear" w:color="auto" w:fill="auto"/>
                  <w:vAlign w:val="center"/>
                </w:tcPr>
                <w:p w14:paraId="4AB4C26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val="0"/>
                      <w:i w:val="0"/>
                      <w:iCs w:val="0"/>
                      <w:color w:val="auto"/>
                      <w:kern w:val="0"/>
                      <w:sz w:val="21"/>
                      <w:szCs w:val="21"/>
                      <w:u w:val="none" w:color="auto"/>
                      <w:lang w:val="en-US" w:eastAsia="zh-CN" w:bidi="ar"/>
                    </w:rPr>
                  </w:pPr>
                </w:p>
              </w:tc>
              <w:tc>
                <w:tcPr>
                  <w:tcW w:w="1034" w:type="dxa"/>
                  <w:vMerge w:val="continue"/>
                  <w:tcBorders>
                    <w:tl2br w:val="nil"/>
                    <w:tr2bl w:val="nil"/>
                  </w:tcBorders>
                  <w:shd w:val="clear" w:color="auto" w:fill="auto"/>
                  <w:vAlign w:val="center"/>
                </w:tcPr>
                <w:p w14:paraId="0F6570A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val="0"/>
                      <w:i w:val="0"/>
                      <w:iCs w:val="0"/>
                      <w:color w:val="auto"/>
                      <w:kern w:val="0"/>
                      <w:sz w:val="21"/>
                      <w:szCs w:val="21"/>
                      <w:u w:val="none" w:color="auto"/>
                      <w:lang w:val="en-US" w:eastAsia="zh-CN" w:bidi="ar"/>
                    </w:rPr>
                  </w:pPr>
                </w:p>
              </w:tc>
              <w:tc>
                <w:tcPr>
                  <w:tcW w:w="539" w:type="dxa"/>
                  <w:vMerge w:val="continue"/>
                  <w:tcBorders>
                    <w:tl2br w:val="nil"/>
                    <w:tr2bl w:val="nil"/>
                  </w:tcBorders>
                  <w:shd w:val="clear" w:color="auto" w:fill="auto"/>
                  <w:vAlign w:val="center"/>
                </w:tcPr>
                <w:p w14:paraId="31941BD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val="0"/>
                      <w:i w:val="0"/>
                      <w:iCs w:val="0"/>
                      <w:color w:val="auto"/>
                      <w:kern w:val="0"/>
                      <w:sz w:val="21"/>
                      <w:szCs w:val="21"/>
                      <w:u w:val="none" w:color="auto"/>
                      <w:lang w:val="en-US" w:eastAsia="zh-CN" w:bidi="ar"/>
                    </w:rPr>
                  </w:pPr>
                </w:p>
              </w:tc>
            </w:tr>
            <w:tr w14:paraId="1F12F0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85" w:hRule="atLeast"/>
                <w:jc w:val="center"/>
              </w:trPr>
              <w:tc>
                <w:tcPr>
                  <w:tcW w:w="719" w:type="dxa"/>
                  <w:tcBorders>
                    <w:tl2br w:val="nil"/>
                    <w:tr2bl w:val="nil"/>
                  </w:tcBorders>
                  <w:shd w:val="clear" w:color="auto" w:fill="auto"/>
                  <w:vAlign w:val="center"/>
                </w:tcPr>
                <w:p w14:paraId="4D707F6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金属熔炼（化）工序</w:t>
                  </w:r>
                </w:p>
              </w:tc>
              <w:tc>
                <w:tcPr>
                  <w:tcW w:w="500" w:type="dxa"/>
                  <w:tcBorders>
                    <w:tl2br w:val="nil"/>
                    <w:tr2bl w:val="nil"/>
                  </w:tcBorders>
                  <w:shd w:val="clear" w:color="auto" w:fill="auto"/>
                  <w:vAlign w:val="center"/>
                </w:tcPr>
                <w:p w14:paraId="442560E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可行技术2</w:t>
                  </w:r>
                </w:p>
              </w:tc>
              <w:tc>
                <w:tcPr>
                  <w:tcW w:w="533" w:type="dxa"/>
                  <w:tcBorders>
                    <w:tl2br w:val="nil"/>
                    <w:tr2bl w:val="nil"/>
                  </w:tcBorders>
                  <w:shd w:val="clear" w:color="auto" w:fill="auto"/>
                  <w:vAlign w:val="center"/>
                </w:tcPr>
                <w:p w14:paraId="365634E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炉盖与除尘一体化技术</w:t>
                  </w:r>
                </w:p>
              </w:tc>
              <w:tc>
                <w:tcPr>
                  <w:tcW w:w="933" w:type="dxa"/>
                  <w:tcBorders>
                    <w:tl2br w:val="nil"/>
                    <w:tr2bl w:val="nil"/>
                  </w:tcBorders>
                  <w:shd w:val="clear" w:color="auto" w:fill="auto"/>
                  <w:vAlign w:val="center"/>
                </w:tcPr>
                <w:p w14:paraId="12E245B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①旋风除尘技术</w:t>
                  </w:r>
                  <w:r>
                    <w:rPr>
                      <w:rFonts w:hint="eastAsia" w:ascii="Times New Roman" w:hAnsi="Times New Roman" w:cs="Times New Roman"/>
                      <w:b w:val="0"/>
                      <w:bCs w:val="0"/>
                      <w:i w:val="0"/>
                      <w:iCs w:val="0"/>
                      <w:color w:val="auto"/>
                      <w:kern w:val="0"/>
                      <w:sz w:val="21"/>
                      <w:szCs w:val="21"/>
                      <w:u w:val="none" w:color="auto"/>
                      <w:lang w:val="en-US" w:eastAsia="zh-CN" w:bidi="ar"/>
                    </w:rPr>
                    <w:t>（</w:t>
                  </w:r>
                  <w:r>
                    <w:rPr>
                      <w:rFonts w:hint="default" w:ascii="Times New Roman" w:hAnsi="Times New Roman" w:eastAsia="宋体" w:cs="Times New Roman"/>
                      <w:b w:val="0"/>
                      <w:bCs w:val="0"/>
                      <w:i w:val="0"/>
                      <w:iCs w:val="0"/>
                      <w:color w:val="auto"/>
                      <w:kern w:val="0"/>
                      <w:sz w:val="21"/>
                      <w:szCs w:val="21"/>
                      <w:u w:val="none" w:color="auto"/>
                      <w:lang w:val="en-US" w:eastAsia="zh-CN" w:bidi="ar"/>
                    </w:rPr>
                    <w:t>可选</w:t>
                  </w:r>
                  <w:r>
                    <w:rPr>
                      <w:rFonts w:hint="eastAsia" w:ascii="Times New Roman" w:hAnsi="Times New Roman" w:cs="Times New Roman"/>
                      <w:b w:val="0"/>
                      <w:bCs w:val="0"/>
                      <w:i w:val="0"/>
                      <w:iCs w:val="0"/>
                      <w:color w:val="auto"/>
                      <w:kern w:val="0"/>
                      <w:sz w:val="21"/>
                      <w:szCs w:val="21"/>
                      <w:u w:val="none" w:color="auto"/>
                      <w:lang w:val="en-US" w:eastAsia="zh-CN" w:bidi="ar"/>
                    </w:rPr>
                    <w:t>）</w:t>
                  </w:r>
                  <w:r>
                    <w:rPr>
                      <w:rFonts w:hint="default" w:ascii="Times New Roman" w:hAnsi="Times New Roman" w:eastAsia="宋体" w:cs="Times New Roman"/>
                      <w:b w:val="0"/>
                      <w:bCs w:val="0"/>
                      <w:i w:val="0"/>
                      <w:iCs w:val="0"/>
                      <w:color w:val="auto"/>
                      <w:kern w:val="0"/>
                      <w:sz w:val="21"/>
                      <w:szCs w:val="21"/>
                      <w:u w:val="none" w:color="auto"/>
                      <w:lang w:val="en-US" w:eastAsia="zh-CN" w:bidi="ar"/>
                    </w:rPr>
                    <w:t>+②袋式除尘技术/滤筒除尘技术</w:t>
                  </w:r>
                </w:p>
              </w:tc>
              <w:tc>
                <w:tcPr>
                  <w:tcW w:w="367" w:type="dxa"/>
                  <w:tcBorders>
                    <w:tl2br w:val="nil"/>
                    <w:tr2bl w:val="nil"/>
                  </w:tcBorders>
                  <w:shd w:val="clear" w:color="auto" w:fill="auto"/>
                  <w:vAlign w:val="center"/>
                </w:tcPr>
                <w:p w14:paraId="1B111DC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5~20</w:t>
                  </w:r>
                </w:p>
              </w:tc>
              <w:tc>
                <w:tcPr>
                  <w:tcW w:w="450" w:type="dxa"/>
                  <w:tcBorders>
                    <w:tl2br w:val="nil"/>
                    <w:tr2bl w:val="nil"/>
                  </w:tcBorders>
                  <w:shd w:val="clear" w:color="auto" w:fill="auto"/>
                  <w:vAlign w:val="center"/>
                </w:tcPr>
                <w:p w14:paraId="729D5E5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一</w:t>
                  </w:r>
                </w:p>
              </w:tc>
              <w:tc>
                <w:tcPr>
                  <w:tcW w:w="517" w:type="dxa"/>
                  <w:tcBorders>
                    <w:tl2br w:val="nil"/>
                    <w:tr2bl w:val="nil"/>
                  </w:tcBorders>
                  <w:shd w:val="clear" w:color="auto" w:fill="auto"/>
                  <w:vAlign w:val="center"/>
                </w:tcPr>
                <w:p w14:paraId="78F4507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一</w:t>
                  </w:r>
                </w:p>
              </w:tc>
              <w:tc>
                <w:tcPr>
                  <w:tcW w:w="750" w:type="dxa"/>
                  <w:tcBorders>
                    <w:tl2br w:val="nil"/>
                    <w:tr2bl w:val="nil"/>
                  </w:tcBorders>
                  <w:shd w:val="clear" w:color="auto" w:fill="auto"/>
                  <w:vAlign w:val="center"/>
                </w:tcPr>
                <w:p w14:paraId="11EAF6E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一</w:t>
                  </w:r>
                </w:p>
              </w:tc>
              <w:tc>
                <w:tcPr>
                  <w:tcW w:w="1866" w:type="dxa"/>
                  <w:tcBorders>
                    <w:tl2br w:val="nil"/>
                    <w:tr2bl w:val="nil"/>
                  </w:tcBorders>
                  <w:shd w:val="clear" w:color="auto" w:fill="auto"/>
                  <w:vAlign w:val="center"/>
                </w:tcPr>
                <w:p w14:paraId="18075B0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适用于金属熔炼</w:t>
                  </w:r>
                  <w:r>
                    <w:rPr>
                      <w:rFonts w:hint="eastAsia" w:ascii="Times New Roman" w:hAnsi="Times New Roman" w:cs="Times New Roman"/>
                      <w:b w:val="0"/>
                      <w:bCs w:val="0"/>
                      <w:i w:val="0"/>
                      <w:iCs w:val="0"/>
                      <w:color w:val="auto"/>
                      <w:kern w:val="0"/>
                      <w:sz w:val="21"/>
                      <w:szCs w:val="21"/>
                      <w:u w:val="none" w:color="auto"/>
                      <w:lang w:val="en-US" w:eastAsia="zh-CN" w:bidi="ar"/>
                    </w:rPr>
                    <w:t>（</w:t>
                  </w:r>
                  <w:r>
                    <w:rPr>
                      <w:rFonts w:hint="default" w:ascii="Times New Roman" w:hAnsi="Times New Roman" w:eastAsia="宋体" w:cs="Times New Roman"/>
                      <w:b w:val="0"/>
                      <w:bCs w:val="0"/>
                      <w:i w:val="0"/>
                      <w:iCs w:val="0"/>
                      <w:color w:val="auto"/>
                      <w:kern w:val="0"/>
                      <w:sz w:val="21"/>
                      <w:szCs w:val="21"/>
                      <w:u w:val="none" w:color="auto"/>
                      <w:lang w:val="en-US" w:eastAsia="zh-CN" w:bidi="ar"/>
                    </w:rPr>
                    <w:t>化</w:t>
                  </w:r>
                  <w:r>
                    <w:rPr>
                      <w:rFonts w:hint="eastAsia" w:ascii="Times New Roman" w:hAnsi="Times New Roman" w:cs="Times New Roman"/>
                      <w:b w:val="0"/>
                      <w:bCs w:val="0"/>
                      <w:i w:val="0"/>
                      <w:iCs w:val="0"/>
                      <w:color w:val="auto"/>
                      <w:kern w:val="0"/>
                      <w:sz w:val="21"/>
                      <w:szCs w:val="21"/>
                      <w:u w:val="none" w:color="auto"/>
                      <w:lang w:val="en-US" w:eastAsia="zh-CN" w:bidi="ar"/>
                    </w:rPr>
                    <w:t>）</w:t>
                  </w:r>
                  <w:r>
                    <w:rPr>
                      <w:rFonts w:hint="default" w:ascii="Times New Roman" w:hAnsi="Times New Roman" w:eastAsia="宋体" w:cs="Times New Roman"/>
                      <w:b w:val="0"/>
                      <w:bCs w:val="0"/>
                      <w:i w:val="0"/>
                      <w:iCs w:val="0"/>
                      <w:color w:val="auto"/>
                      <w:kern w:val="0"/>
                      <w:sz w:val="21"/>
                      <w:szCs w:val="21"/>
                      <w:u w:val="none" w:color="auto"/>
                      <w:lang w:val="en-US" w:eastAsia="zh-CN" w:bidi="ar"/>
                    </w:rPr>
                    <w:t>工序的中频感应电炉。</w:t>
                  </w:r>
                </w:p>
              </w:tc>
              <w:tc>
                <w:tcPr>
                  <w:tcW w:w="1034" w:type="dxa"/>
                  <w:tcBorders>
                    <w:tl2br w:val="nil"/>
                    <w:tr2bl w:val="nil"/>
                  </w:tcBorders>
                  <w:shd w:val="clear" w:color="auto" w:fill="auto"/>
                  <w:vAlign w:val="center"/>
                </w:tcPr>
                <w:p w14:paraId="4DF7BCE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炉盖一体化装置收集</w:t>
                  </w:r>
                  <w:r>
                    <w:rPr>
                      <w:rFonts w:hint="eastAsia" w:ascii="Times New Roman" w:hAnsi="Times New Roman" w:eastAsia="宋体" w:cs="Times New Roman"/>
                      <w:b w:val="0"/>
                      <w:bCs w:val="0"/>
                      <w:i w:val="0"/>
                      <w:iCs w:val="0"/>
                      <w:color w:val="auto"/>
                      <w:kern w:val="0"/>
                      <w:sz w:val="21"/>
                      <w:szCs w:val="21"/>
                      <w:u w:val="none" w:color="auto"/>
                      <w:lang w:val="en-US" w:eastAsia="zh-CN" w:bidi="ar"/>
                    </w:rPr>
                    <w:t>+袋式除尘</w:t>
                  </w:r>
                </w:p>
              </w:tc>
              <w:tc>
                <w:tcPr>
                  <w:tcW w:w="539" w:type="dxa"/>
                  <w:tcBorders>
                    <w:tl2br w:val="nil"/>
                    <w:tr2bl w:val="nil"/>
                  </w:tcBorders>
                  <w:shd w:val="clear" w:color="auto" w:fill="auto"/>
                  <w:vAlign w:val="center"/>
                </w:tcPr>
                <w:p w14:paraId="6EEFD50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eastAsia" w:ascii="Times New Roman" w:hAnsi="Times New Roman" w:eastAsia="宋体" w:cs="Times New Roman"/>
                      <w:b w:val="0"/>
                      <w:bCs w:val="0"/>
                      <w:i w:val="0"/>
                      <w:iCs w:val="0"/>
                      <w:color w:val="auto"/>
                      <w:kern w:val="0"/>
                      <w:sz w:val="21"/>
                      <w:szCs w:val="21"/>
                      <w:u w:val="none" w:color="auto"/>
                      <w:lang w:val="en-US" w:eastAsia="zh-CN" w:bidi="ar"/>
                    </w:rPr>
                    <w:t>是</w:t>
                  </w:r>
                </w:p>
              </w:tc>
            </w:tr>
            <w:tr w14:paraId="3890F2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85" w:hRule="atLeast"/>
                <w:jc w:val="center"/>
              </w:trPr>
              <w:tc>
                <w:tcPr>
                  <w:tcW w:w="719" w:type="dxa"/>
                  <w:tcBorders>
                    <w:tl2br w:val="nil"/>
                    <w:tr2bl w:val="nil"/>
                  </w:tcBorders>
                  <w:shd w:val="clear" w:color="auto" w:fill="auto"/>
                  <w:vAlign w:val="center"/>
                </w:tcPr>
                <w:p w14:paraId="3CBF202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造型工序</w:t>
                  </w:r>
                </w:p>
              </w:tc>
              <w:tc>
                <w:tcPr>
                  <w:tcW w:w="500" w:type="dxa"/>
                  <w:tcBorders>
                    <w:tl2br w:val="nil"/>
                    <w:tr2bl w:val="nil"/>
                  </w:tcBorders>
                  <w:shd w:val="clear" w:color="auto" w:fill="auto"/>
                  <w:vAlign w:val="center"/>
                </w:tcPr>
                <w:p w14:paraId="2E790B1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可行技术1</w:t>
                  </w:r>
                </w:p>
              </w:tc>
              <w:tc>
                <w:tcPr>
                  <w:tcW w:w="533" w:type="dxa"/>
                  <w:tcBorders>
                    <w:tl2br w:val="nil"/>
                    <w:tr2bl w:val="nil"/>
                  </w:tcBorders>
                  <w:shd w:val="clear" w:color="auto" w:fill="auto"/>
                  <w:vAlign w:val="center"/>
                </w:tcPr>
                <w:p w14:paraId="7860F5F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一</w:t>
                  </w:r>
                </w:p>
              </w:tc>
              <w:tc>
                <w:tcPr>
                  <w:tcW w:w="933" w:type="dxa"/>
                  <w:tcBorders>
                    <w:tl2br w:val="nil"/>
                    <w:tr2bl w:val="nil"/>
                  </w:tcBorders>
                  <w:shd w:val="clear" w:color="auto" w:fill="auto"/>
                  <w:vAlign w:val="center"/>
                </w:tcPr>
                <w:p w14:paraId="38258CC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①旋风除尘技术</w:t>
                  </w:r>
                  <w:r>
                    <w:rPr>
                      <w:rFonts w:hint="eastAsia" w:ascii="Times New Roman" w:hAnsi="Times New Roman" w:cs="Times New Roman"/>
                      <w:b w:val="0"/>
                      <w:bCs w:val="0"/>
                      <w:i w:val="0"/>
                      <w:iCs w:val="0"/>
                      <w:color w:val="auto"/>
                      <w:kern w:val="0"/>
                      <w:sz w:val="21"/>
                      <w:szCs w:val="21"/>
                      <w:u w:val="none" w:color="auto"/>
                      <w:lang w:val="en-US" w:eastAsia="zh-CN" w:bidi="ar"/>
                    </w:rPr>
                    <w:t>（</w:t>
                  </w:r>
                  <w:r>
                    <w:rPr>
                      <w:rFonts w:hint="default" w:ascii="Times New Roman" w:hAnsi="Times New Roman" w:eastAsia="宋体" w:cs="Times New Roman"/>
                      <w:b w:val="0"/>
                      <w:bCs w:val="0"/>
                      <w:i w:val="0"/>
                      <w:iCs w:val="0"/>
                      <w:color w:val="auto"/>
                      <w:kern w:val="0"/>
                      <w:sz w:val="21"/>
                      <w:szCs w:val="21"/>
                      <w:u w:val="none" w:color="auto"/>
                      <w:lang w:val="en-US" w:eastAsia="zh-CN" w:bidi="ar"/>
                    </w:rPr>
                    <w:t>可选</w:t>
                  </w:r>
                  <w:r>
                    <w:rPr>
                      <w:rFonts w:hint="eastAsia" w:ascii="Times New Roman" w:hAnsi="Times New Roman" w:cs="Times New Roman"/>
                      <w:b w:val="0"/>
                      <w:bCs w:val="0"/>
                      <w:i w:val="0"/>
                      <w:iCs w:val="0"/>
                      <w:color w:val="auto"/>
                      <w:kern w:val="0"/>
                      <w:sz w:val="21"/>
                      <w:szCs w:val="21"/>
                      <w:u w:val="none" w:color="auto"/>
                      <w:lang w:val="en-US" w:eastAsia="zh-CN" w:bidi="ar"/>
                    </w:rPr>
                    <w:t>）</w:t>
                  </w:r>
                  <w:r>
                    <w:rPr>
                      <w:rFonts w:hint="default" w:ascii="Times New Roman" w:hAnsi="Times New Roman" w:eastAsia="宋体" w:cs="Times New Roman"/>
                      <w:b w:val="0"/>
                      <w:bCs w:val="0"/>
                      <w:i w:val="0"/>
                      <w:iCs w:val="0"/>
                      <w:color w:val="auto"/>
                      <w:kern w:val="0"/>
                      <w:sz w:val="21"/>
                      <w:szCs w:val="21"/>
                      <w:u w:val="none" w:color="auto"/>
                      <w:lang w:val="en-US" w:eastAsia="zh-CN" w:bidi="ar"/>
                    </w:rPr>
                    <w:t>+②袋式除尘技术/滤筒除尘技术</w:t>
                  </w:r>
                </w:p>
              </w:tc>
              <w:tc>
                <w:tcPr>
                  <w:tcW w:w="367" w:type="dxa"/>
                  <w:tcBorders>
                    <w:tl2br w:val="nil"/>
                    <w:tr2bl w:val="nil"/>
                  </w:tcBorders>
                  <w:shd w:val="clear" w:color="auto" w:fill="auto"/>
                  <w:vAlign w:val="center"/>
                </w:tcPr>
                <w:p w14:paraId="5955DEB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5</w:t>
                  </w:r>
                  <w:r>
                    <w:rPr>
                      <w:rFonts w:hint="eastAsia" w:ascii="Times New Roman" w:hAnsi="Times New Roman" w:cs="Times New Roman"/>
                      <w:b w:val="0"/>
                      <w:bCs w:val="0"/>
                      <w:i w:val="0"/>
                      <w:iCs w:val="0"/>
                      <w:color w:val="auto"/>
                      <w:kern w:val="0"/>
                      <w:sz w:val="21"/>
                      <w:szCs w:val="21"/>
                      <w:u w:val="none" w:color="auto"/>
                      <w:lang w:val="en-US" w:eastAsia="zh-CN" w:bidi="ar"/>
                    </w:rPr>
                    <w:t>~</w:t>
                  </w:r>
                  <w:r>
                    <w:rPr>
                      <w:rFonts w:hint="default" w:ascii="Times New Roman" w:hAnsi="Times New Roman" w:eastAsia="宋体" w:cs="Times New Roman"/>
                      <w:b w:val="0"/>
                      <w:bCs w:val="0"/>
                      <w:i w:val="0"/>
                      <w:iCs w:val="0"/>
                      <w:color w:val="auto"/>
                      <w:kern w:val="0"/>
                      <w:sz w:val="21"/>
                      <w:szCs w:val="21"/>
                      <w:u w:val="none" w:color="auto"/>
                      <w:lang w:val="en-US" w:eastAsia="zh-CN" w:bidi="ar"/>
                    </w:rPr>
                    <w:t>20</w:t>
                  </w:r>
                </w:p>
              </w:tc>
              <w:tc>
                <w:tcPr>
                  <w:tcW w:w="450" w:type="dxa"/>
                  <w:tcBorders>
                    <w:tl2br w:val="nil"/>
                    <w:tr2bl w:val="nil"/>
                  </w:tcBorders>
                  <w:shd w:val="clear" w:color="auto" w:fill="auto"/>
                  <w:vAlign w:val="center"/>
                </w:tcPr>
                <w:p w14:paraId="06DF123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一</w:t>
                  </w:r>
                </w:p>
              </w:tc>
              <w:tc>
                <w:tcPr>
                  <w:tcW w:w="517" w:type="dxa"/>
                  <w:tcBorders>
                    <w:tl2br w:val="nil"/>
                    <w:tr2bl w:val="nil"/>
                  </w:tcBorders>
                  <w:shd w:val="clear" w:color="auto" w:fill="auto"/>
                  <w:vAlign w:val="center"/>
                </w:tcPr>
                <w:p w14:paraId="2E0BB2A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一</w:t>
                  </w:r>
                </w:p>
              </w:tc>
              <w:tc>
                <w:tcPr>
                  <w:tcW w:w="750" w:type="dxa"/>
                  <w:tcBorders>
                    <w:tl2br w:val="nil"/>
                    <w:tr2bl w:val="nil"/>
                  </w:tcBorders>
                  <w:shd w:val="clear" w:color="auto" w:fill="auto"/>
                  <w:vAlign w:val="center"/>
                </w:tcPr>
                <w:p w14:paraId="256CC24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一</w:t>
                  </w:r>
                </w:p>
              </w:tc>
              <w:tc>
                <w:tcPr>
                  <w:tcW w:w="1866" w:type="dxa"/>
                  <w:tcBorders>
                    <w:tl2br w:val="nil"/>
                    <w:tr2bl w:val="nil"/>
                  </w:tcBorders>
                  <w:shd w:val="clear" w:color="auto" w:fill="auto"/>
                  <w:vAlign w:val="center"/>
                </w:tcPr>
                <w:p w14:paraId="227438E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适用于二氧化碳硬化水玻璃砂、无有机质粘土砂、无机粘结剂砂型工艺等铸造工艺以及消失模</w:t>
                  </w:r>
                  <w:r>
                    <w:rPr>
                      <w:rFonts w:hint="eastAsia" w:ascii="Times New Roman" w:hAnsi="Times New Roman" w:cs="Times New Roman"/>
                      <w:b w:val="0"/>
                      <w:bCs w:val="0"/>
                      <w:i w:val="0"/>
                      <w:iCs w:val="0"/>
                      <w:color w:val="auto"/>
                      <w:kern w:val="0"/>
                      <w:sz w:val="21"/>
                      <w:szCs w:val="21"/>
                      <w:u w:val="none" w:color="auto"/>
                      <w:lang w:val="en-US" w:eastAsia="zh-CN" w:bidi="ar"/>
                    </w:rPr>
                    <w:t>（</w:t>
                  </w:r>
                  <w:r>
                    <w:rPr>
                      <w:rFonts w:hint="default" w:ascii="Times New Roman" w:hAnsi="Times New Roman" w:eastAsia="宋体" w:cs="Times New Roman"/>
                      <w:b w:val="0"/>
                      <w:bCs w:val="0"/>
                      <w:i w:val="0"/>
                      <w:iCs w:val="0"/>
                      <w:color w:val="auto"/>
                      <w:kern w:val="0"/>
                      <w:sz w:val="21"/>
                      <w:szCs w:val="21"/>
                      <w:u w:val="none" w:color="auto"/>
                      <w:lang w:val="en-US" w:eastAsia="zh-CN" w:bidi="ar"/>
                    </w:rPr>
                    <w:t>真空</w:t>
                  </w:r>
                  <w:r>
                    <w:rPr>
                      <w:rFonts w:hint="eastAsia" w:ascii="Times New Roman" w:hAnsi="Times New Roman" w:cs="Times New Roman"/>
                      <w:b w:val="0"/>
                      <w:bCs w:val="0"/>
                      <w:i w:val="0"/>
                      <w:iCs w:val="0"/>
                      <w:color w:val="auto"/>
                      <w:kern w:val="0"/>
                      <w:sz w:val="21"/>
                      <w:szCs w:val="21"/>
                      <w:u w:val="none" w:color="auto"/>
                      <w:lang w:val="en-US" w:eastAsia="zh-CN" w:bidi="ar"/>
                    </w:rPr>
                    <w:t>）</w:t>
                  </w:r>
                  <w:r>
                    <w:rPr>
                      <w:rFonts w:hint="default" w:ascii="Times New Roman" w:hAnsi="Times New Roman" w:eastAsia="宋体" w:cs="Times New Roman"/>
                      <w:b w:val="0"/>
                      <w:bCs w:val="0"/>
                      <w:i w:val="0"/>
                      <w:iCs w:val="0"/>
                      <w:color w:val="auto"/>
                      <w:kern w:val="0"/>
                      <w:sz w:val="21"/>
                      <w:szCs w:val="21"/>
                      <w:u w:val="none" w:color="auto"/>
                      <w:lang w:val="en-US" w:eastAsia="zh-CN" w:bidi="ar"/>
                    </w:rPr>
                    <w:t>、V法、熔模等铸造工艺填砂设备、制芯工序的废气治理。消失模工艺填砂设备也可使用陶瓷砂替代技术减少颗粒物的产生。</w:t>
                  </w:r>
                </w:p>
              </w:tc>
              <w:tc>
                <w:tcPr>
                  <w:tcW w:w="1034" w:type="dxa"/>
                  <w:tcBorders>
                    <w:tl2br w:val="nil"/>
                    <w:tr2bl w:val="nil"/>
                  </w:tcBorders>
                  <w:shd w:val="clear" w:color="auto" w:fill="auto"/>
                  <w:vAlign w:val="center"/>
                </w:tcPr>
                <w:p w14:paraId="5D2E446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袋式除尘</w:t>
                  </w:r>
                </w:p>
              </w:tc>
              <w:tc>
                <w:tcPr>
                  <w:tcW w:w="539" w:type="dxa"/>
                  <w:tcBorders>
                    <w:tl2br w:val="nil"/>
                    <w:tr2bl w:val="nil"/>
                  </w:tcBorders>
                  <w:shd w:val="clear" w:color="auto" w:fill="auto"/>
                  <w:vAlign w:val="center"/>
                </w:tcPr>
                <w:p w14:paraId="04D4EB8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是</w:t>
                  </w:r>
                </w:p>
              </w:tc>
            </w:tr>
            <w:tr w14:paraId="7945EC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85" w:hRule="atLeast"/>
                <w:jc w:val="center"/>
              </w:trPr>
              <w:tc>
                <w:tcPr>
                  <w:tcW w:w="719" w:type="dxa"/>
                  <w:vMerge w:val="restart"/>
                  <w:tcBorders>
                    <w:tl2br w:val="nil"/>
                    <w:tr2bl w:val="nil"/>
                  </w:tcBorders>
                  <w:shd w:val="clear" w:color="auto" w:fill="auto"/>
                  <w:vAlign w:val="center"/>
                </w:tcPr>
                <w:p w14:paraId="562CA6C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浇注工序</w:t>
                  </w:r>
                </w:p>
              </w:tc>
              <w:tc>
                <w:tcPr>
                  <w:tcW w:w="500" w:type="dxa"/>
                  <w:tcBorders>
                    <w:tl2br w:val="nil"/>
                    <w:tr2bl w:val="nil"/>
                  </w:tcBorders>
                  <w:shd w:val="clear" w:color="auto" w:fill="auto"/>
                  <w:vAlign w:val="center"/>
                </w:tcPr>
                <w:p w14:paraId="18962C2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可行技术2</w:t>
                  </w:r>
                </w:p>
              </w:tc>
              <w:tc>
                <w:tcPr>
                  <w:tcW w:w="533" w:type="dxa"/>
                  <w:tcBorders>
                    <w:tl2br w:val="nil"/>
                    <w:tr2bl w:val="nil"/>
                  </w:tcBorders>
                  <w:shd w:val="clear" w:color="auto" w:fill="auto"/>
                  <w:vAlign w:val="center"/>
                </w:tcPr>
                <w:p w14:paraId="4BF7891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一</w:t>
                  </w:r>
                </w:p>
              </w:tc>
              <w:tc>
                <w:tcPr>
                  <w:tcW w:w="933" w:type="dxa"/>
                  <w:tcBorders>
                    <w:tl2br w:val="nil"/>
                    <w:tr2bl w:val="nil"/>
                  </w:tcBorders>
                  <w:shd w:val="clear" w:color="auto" w:fill="auto"/>
                  <w:vAlign w:val="center"/>
                </w:tcPr>
                <w:p w14:paraId="4C707CA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①旋风除尘技术</w:t>
                  </w:r>
                  <w:r>
                    <w:rPr>
                      <w:rFonts w:hint="eastAsia" w:ascii="Times New Roman" w:hAnsi="Times New Roman" w:cs="Times New Roman"/>
                      <w:b w:val="0"/>
                      <w:bCs w:val="0"/>
                      <w:i w:val="0"/>
                      <w:iCs w:val="0"/>
                      <w:color w:val="auto"/>
                      <w:kern w:val="0"/>
                      <w:sz w:val="21"/>
                      <w:szCs w:val="21"/>
                      <w:u w:val="none" w:color="auto"/>
                      <w:lang w:val="en-US" w:eastAsia="zh-CN" w:bidi="ar"/>
                    </w:rPr>
                    <w:t>（</w:t>
                  </w:r>
                  <w:r>
                    <w:rPr>
                      <w:rFonts w:hint="default" w:ascii="Times New Roman" w:hAnsi="Times New Roman" w:eastAsia="宋体" w:cs="Times New Roman"/>
                      <w:b w:val="0"/>
                      <w:bCs w:val="0"/>
                      <w:i w:val="0"/>
                      <w:iCs w:val="0"/>
                      <w:color w:val="auto"/>
                      <w:kern w:val="0"/>
                      <w:sz w:val="21"/>
                      <w:szCs w:val="21"/>
                      <w:u w:val="none" w:color="auto"/>
                      <w:lang w:val="en-US" w:eastAsia="zh-CN" w:bidi="ar"/>
                    </w:rPr>
                    <w:t>可选</w:t>
                  </w:r>
                  <w:r>
                    <w:rPr>
                      <w:rFonts w:hint="eastAsia" w:ascii="Times New Roman" w:hAnsi="Times New Roman" w:cs="Times New Roman"/>
                      <w:b w:val="0"/>
                      <w:bCs w:val="0"/>
                      <w:i w:val="0"/>
                      <w:iCs w:val="0"/>
                      <w:color w:val="auto"/>
                      <w:kern w:val="0"/>
                      <w:sz w:val="21"/>
                      <w:szCs w:val="21"/>
                      <w:u w:val="none" w:color="auto"/>
                      <w:lang w:val="en-US" w:eastAsia="zh-CN" w:bidi="ar"/>
                    </w:rPr>
                    <w:t>）</w:t>
                  </w:r>
                  <w:r>
                    <w:rPr>
                      <w:rFonts w:hint="default" w:ascii="Times New Roman" w:hAnsi="Times New Roman" w:eastAsia="宋体" w:cs="Times New Roman"/>
                      <w:b w:val="0"/>
                      <w:bCs w:val="0"/>
                      <w:i w:val="0"/>
                      <w:iCs w:val="0"/>
                      <w:color w:val="auto"/>
                      <w:kern w:val="0"/>
                      <w:sz w:val="21"/>
                      <w:szCs w:val="21"/>
                      <w:u w:val="none" w:color="auto"/>
                      <w:lang w:val="en-US" w:eastAsia="zh-CN" w:bidi="ar"/>
                    </w:rPr>
                    <w:t>+②袋式除尘技术/滤筒除尘技术</w:t>
                  </w:r>
                </w:p>
              </w:tc>
              <w:tc>
                <w:tcPr>
                  <w:tcW w:w="367" w:type="dxa"/>
                  <w:tcBorders>
                    <w:tl2br w:val="nil"/>
                    <w:tr2bl w:val="nil"/>
                  </w:tcBorders>
                  <w:shd w:val="clear" w:color="auto" w:fill="auto"/>
                  <w:vAlign w:val="center"/>
                </w:tcPr>
                <w:p w14:paraId="3634B61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5</w:t>
                  </w:r>
                  <w:r>
                    <w:rPr>
                      <w:rFonts w:hint="eastAsia" w:ascii="Times New Roman" w:hAnsi="Times New Roman" w:cs="Times New Roman"/>
                      <w:b w:val="0"/>
                      <w:bCs w:val="0"/>
                      <w:i w:val="0"/>
                      <w:iCs w:val="0"/>
                      <w:color w:val="auto"/>
                      <w:kern w:val="0"/>
                      <w:sz w:val="21"/>
                      <w:szCs w:val="21"/>
                      <w:u w:val="none" w:color="auto"/>
                      <w:lang w:val="en-US" w:eastAsia="zh-CN" w:bidi="ar"/>
                    </w:rPr>
                    <w:t>~</w:t>
                  </w:r>
                  <w:r>
                    <w:rPr>
                      <w:rFonts w:hint="default" w:ascii="Times New Roman" w:hAnsi="Times New Roman" w:eastAsia="宋体" w:cs="Times New Roman"/>
                      <w:b w:val="0"/>
                      <w:bCs w:val="0"/>
                      <w:i w:val="0"/>
                      <w:iCs w:val="0"/>
                      <w:color w:val="auto"/>
                      <w:kern w:val="0"/>
                      <w:sz w:val="21"/>
                      <w:szCs w:val="21"/>
                      <w:u w:val="none" w:color="auto"/>
                      <w:lang w:val="en-US" w:eastAsia="zh-CN" w:bidi="ar"/>
                    </w:rPr>
                    <w:t>20</w:t>
                  </w:r>
                </w:p>
              </w:tc>
              <w:tc>
                <w:tcPr>
                  <w:tcW w:w="450" w:type="dxa"/>
                  <w:tcBorders>
                    <w:tl2br w:val="nil"/>
                    <w:tr2bl w:val="nil"/>
                  </w:tcBorders>
                  <w:shd w:val="clear" w:color="auto" w:fill="auto"/>
                  <w:vAlign w:val="center"/>
                </w:tcPr>
                <w:p w14:paraId="2080229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一</w:t>
                  </w:r>
                </w:p>
              </w:tc>
              <w:tc>
                <w:tcPr>
                  <w:tcW w:w="517" w:type="dxa"/>
                  <w:tcBorders>
                    <w:tl2br w:val="nil"/>
                    <w:tr2bl w:val="nil"/>
                  </w:tcBorders>
                  <w:shd w:val="clear" w:color="auto" w:fill="auto"/>
                  <w:vAlign w:val="center"/>
                </w:tcPr>
                <w:p w14:paraId="735D558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一</w:t>
                  </w:r>
                </w:p>
              </w:tc>
              <w:tc>
                <w:tcPr>
                  <w:tcW w:w="750" w:type="dxa"/>
                  <w:tcBorders>
                    <w:tl2br w:val="nil"/>
                    <w:tr2bl w:val="nil"/>
                  </w:tcBorders>
                  <w:shd w:val="clear" w:color="auto" w:fill="auto"/>
                  <w:vAlign w:val="center"/>
                </w:tcPr>
                <w:p w14:paraId="23767BC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一</w:t>
                  </w:r>
                </w:p>
              </w:tc>
              <w:tc>
                <w:tcPr>
                  <w:tcW w:w="1866" w:type="dxa"/>
                  <w:tcBorders>
                    <w:tl2br w:val="nil"/>
                    <w:tr2bl w:val="nil"/>
                  </w:tcBorders>
                  <w:shd w:val="clear" w:color="auto" w:fill="auto"/>
                  <w:vAlign w:val="center"/>
                </w:tcPr>
                <w:p w14:paraId="7F4D7AA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适用于水玻璃砂、熔模、无有机质粘土砂、使用无机粘结剂的铸造工艺及石墨型、金属型、离心等不使用粘结剂铸造工艺的浇注工序。</w:t>
                  </w:r>
                </w:p>
              </w:tc>
              <w:tc>
                <w:tcPr>
                  <w:tcW w:w="1034" w:type="dxa"/>
                  <w:tcBorders>
                    <w:tl2br w:val="nil"/>
                    <w:tr2bl w:val="nil"/>
                  </w:tcBorders>
                  <w:shd w:val="clear" w:color="auto" w:fill="auto"/>
                  <w:vAlign w:val="center"/>
                </w:tcPr>
                <w:p w14:paraId="1D2E65A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袋式除尘</w:t>
                  </w:r>
                </w:p>
              </w:tc>
              <w:tc>
                <w:tcPr>
                  <w:tcW w:w="539" w:type="dxa"/>
                  <w:tcBorders>
                    <w:tl2br w:val="nil"/>
                    <w:tr2bl w:val="nil"/>
                  </w:tcBorders>
                  <w:shd w:val="clear" w:color="auto" w:fill="auto"/>
                  <w:vAlign w:val="center"/>
                </w:tcPr>
                <w:p w14:paraId="70A1D65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是</w:t>
                  </w:r>
                </w:p>
              </w:tc>
            </w:tr>
            <w:tr w14:paraId="6167F0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85" w:hRule="atLeast"/>
                <w:jc w:val="center"/>
              </w:trPr>
              <w:tc>
                <w:tcPr>
                  <w:tcW w:w="719" w:type="dxa"/>
                  <w:vMerge w:val="continue"/>
                  <w:tcBorders>
                    <w:tl2br w:val="nil"/>
                    <w:tr2bl w:val="nil"/>
                  </w:tcBorders>
                  <w:shd w:val="clear" w:color="auto" w:fill="auto"/>
                  <w:vAlign w:val="center"/>
                </w:tcPr>
                <w:p w14:paraId="471A1AD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p>
              </w:tc>
              <w:tc>
                <w:tcPr>
                  <w:tcW w:w="500" w:type="dxa"/>
                  <w:tcBorders>
                    <w:tl2br w:val="nil"/>
                    <w:tr2bl w:val="nil"/>
                  </w:tcBorders>
                  <w:shd w:val="clear" w:color="auto" w:fill="auto"/>
                  <w:vAlign w:val="center"/>
                </w:tcPr>
                <w:p w14:paraId="0C85E37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可行技术5</w:t>
                  </w:r>
                </w:p>
              </w:tc>
              <w:tc>
                <w:tcPr>
                  <w:tcW w:w="533" w:type="dxa"/>
                  <w:tcBorders>
                    <w:tl2br w:val="nil"/>
                    <w:tr2bl w:val="nil"/>
                  </w:tcBorders>
                  <w:shd w:val="clear" w:color="auto" w:fill="auto"/>
                  <w:vAlign w:val="center"/>
                </w:tcPr>
                <w:p w14:paraId="037E694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金属液封闭转运技术</w:t>
                  </w:r>
                </w:p>
              </w:tc>
              <w:tc>
                <w:tcPr>
                  <w:tcW w:w="933" w:type="dxa"/>
                  <w:tcBorders>
                    <w:tl2br w:val="nil"/>
                    <w:tr2bl w:val="nil"/>
                  </w:tcBorders>
                  <w:shd w:val="clear" w:color="auto" w:fill="auto"/>
                  <w:vAlign w:val="center"/>
                </w:tcPr>
                <w:p w14:paraId="0AB9D3B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袋式除尘技术</w:t>
                  </w:r>
                  <w:r>
                    <w:rPr>
                      <w:rFonts w:hint="eastAsia" w:ascii="Times New Roman" w:hAnsi="Times New Roman" w:cs="Times New Roman"/>
                      <w:b w:val="0"/>
                      <w:bCs w:val="0"/>
                      <w:i w:val="0"/>
                      <w:iCs w:val="0"/>
                      <w:color w:val="auto"/>
                      <w:kern w:val="0"/>
                      <w:sz w:val="21"/>
                      <w:szCs w:val="21"/>
                      <w:u w:val="none" w:color="auto"/>
                      <w:lang w:val="en-US" w:eastAsia="zh-CN" w:bidi="ar"/>
                    </w:rPr>
                    <w:t>（</w:t>
                  </w:r>
                  <w:r>
                    <w:rPr>
                      <w:rFonts w:hint="default" w:ascii="Times New Roman" w:hAnsi="Times New Roman" w:eastAsia="宋体" w:cs="Times New Roman"/>
                      <w:b w:val="0"/>
                      <w:bCs w:val="0"/>
                      <w:i w:val="0"/>
                      <w:iCs w:val="0"/>
                      <w:color w:val="auto"/>
                      <w:kern w:val="0"/>
                      <w:sz w:val="21"/>
                      <w:szCs w:val="21"/>
                      <w:u w:val="none" w:color="auto"/>
                      <w:lang w:val="en-US" w:eastAsia="zh-CN" w:bidi="ar"/>
                    </w:rPr>
                    <w:t>可选</w:t>
                  </w:r>
                  <w:r>
                    <w:rPr>
                      <w:rFonts w:hint="eastAsia" w:ascii="Times New Roman" w:hAnsi="Times New Roman" w:cs="Times New Roman"/>
                      <w:b w:val="0"/>
                      <w:bCs w:val="0"/>
                      <w:i w:val="0"/>
                      <w:iCs w:val="0"/>
                      <w:color w:val="auto"/>
                      <w:kern w:val="0"/>
                      <w:sz w:val="21"/>
                      <w:szCs w:val="21"/>
                      <w:u w:val="none" w:color="auto"/>
                      <w:lang w:val="en-US" w:eastAsia="zh-CN" w:bidi="ar"/>
                    </w:rPr>
                    <w:t>）</w:t>
                  </w:r>
                </w:p>
              </w:tc>
              <w:tc>
                <w:tcPr>
                  <w:tcW w:w="367" w:type="dxa"/>
                  <w:tcBorders>
                    <w:tl2br w:val="nil"/>
                    <w:tr2bl w:val="nil"/>
                  </w:tcBorders>
                  <w:shd w:val="clear" w:color="auto" w:fill="auto"/>
                  <w:vAlign w:val="center"/>
                </w:tcPr>
                <w:p w14:paraId="08868A4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5</w:t>
                  </w:r>
                  <w:r>
                    <w:rPr>
                      <w:rFonts w:hint="eastAsia" w:ascii="Times New Roman" w:hAnsi="Times New Roman" w:cs="Times New Roman"/>
                      <w:b w:val="0"/>
                      <w:bCs w:val="0"/>
                      <w:i w:val="0"/>
                      <w:iCs w:val="0"/>
                      <w:color w:val="auto"/>
                      <w:kern w:val="0"/>
                      <w:sz w:val="21"/>
                      <w:szCs w:val="21"/>
                      <w:u w:val="none" w:color="auto"/>
                      <w:lang w:val="en-US" w:eastAsia="zh-CN" w:bidi="ar"/>
                    </w:rPr>
                    <w:t>~</w:t>
                  </w:r>
                  <w:r>
                    <w:rPr>
                      <w:rFonts w:hint="default" w:ascii="Times New Roman" w:hAnsi="Times New Roman" w:eastAsia="宋体" w:cs="Times New Roman"/>
                      <w:b w:val="0"/>
                      <w:bCs w:val="0"/>
                      <w:i w:val="0"/>
                      <w:iCs w:val="0"/>
                      <w:color w:val="auto"/>
                      <w:kern w:val="0"/>
                      <w:sz w:val="21"/>
                      <w:szCs w:val="21"/>
                      <w:u w:val="none" w:color="auto"/>
                      <w:lang w:val="en-US" w:eastAsia="zh-CN" w:bidi="ar"/>
                    </w:rPr>
                    <w:t>20</w:t>
                  </w:r>
                </w:p>
              </w:tc>
              <w:tc>
                <w:tcPr>
                  <w:tcW w:w="450" w:type="dxa"/>
                  <w:tcBorders>
                    <w:tl2br w:val="nil"/>
                    <w:tr2bl w:val="nil"/>
                  </w:tcBorders>
                  <w:shd w:val="clear" w:color="auto" w:fill="auto"/>
                  <w:vAlign w:val="center"/>
                </w:tcPr>
                <w:p w14:paraId="59BDA77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一</w:t>
                  </w:r>
                </w:p>
              </w:tc>
              <w:tc>
                <w:tcPr>
                  <w:tcW w:w="517" w:type="dxa"/>
                  <w:tcBorders>
                    <w:tl2br w:val="nil"/>
                    <w:tr2bl w:val="nil"/>
                  </w:tcBorders>
                  <w:shd w:val="clear" w:color="auto" w:fill="auto"/>
                  <w:vAlign w:val="center"/>
                </w:tcPr>
                <w:p w14:paraId="332A321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一</w:t>
                  </w:r>
                </w:p>
              </w:tc>
              <w:tc>
                <w:tcPr>
                  <w:tcW w:w="750" w:type="dxa"/>
                  <w:tcBorders>
                    <w:tl2br w:val="nil"/>
                    <w:tr2bl w:val="nil"/>
                  </w:tcBorders>
                  <w:shd w:val="clear" w:color="auto" w:fill="auto"/>
                  <w:vAlign w:val="center"/>
                </w:tcPr>
                <w:p w14:paraId="4DA40C6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一</w:t>
                  </w:r>
                </w:p>
              </w:tc>
              <w:tc>
                <w:tcPr>
                  <w:tcW w:w="1866" w:type="dxa"/>
                  <w:tcBorders>
                    <w:tl2br w:val="nil"/>
                    <w:tr2bl w:val="nil"/>
                  </w:tcBorders>
                  <w:shd w:val="clear" w:color="auto" w:fill="auto"/>
                  <w:vAlign w:val="center"/>
                </w:tcPr>
                <w:p w14:paraId="7C81710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适用于金属液的转运过程。</w:t>
                  </w:r>
                </w:p>
              </w:tc>
              <w:tc>
                <w:tcPr>
                  <w:tcW w:w="1034" w:type="dxa"/>
                  <w:tcBorders>
                    <w:tl2br w:val="nil"/>
                    <w:tr2bl w:val="nil"/>
                  </w:tcBorders>
                  <w:shd w:val="clear" w:color="auto" w:fill="auto"/>
                  <w:vAlign w:val="center"/>
                </w:tcPr>
                <w:p w14:paraId="33341F4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金属液封闭转运</w:t>
                  </w:r>
                </w:p>
              </w:tc>
              <w:tc>
                <w:tcPr>
                  <w:tcW w:w="539" w:type="dxa"/>
                  <w:tcBorders>
                    <w:tl2br w:val="nil"/>
                    <w:tr2bl w:val="nil"/>
                  </w:tcBorders>
                  <w:shd w:val="clear" w:color="auto" w:fill="auto"/>
                  <w:vAlign w:val="center"/>
                </w:tcPr>
                <w:p w14:paraId="2EAF769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是</w:t>
                  </w:r>
                </w:p>
              </w:tc>
            </w:tr>
            <w:tr w14:paraId="07B618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85" w:hRule="atLeast"/>
                <w:jc w:val="center"/>
              </w:trPr>
              <w:tc>
                <w:tcPr>
                  <w:tcW w:w="719" w:type="dxa"/>
                  <w:tcBorders>
                    <w:tl2br w:val="nil"/>
                    <w:tr2bl w:val="nil"/>
                  </w:tcBorders>
                  <w:shd w:val="clear" w:color="auto" w:fill="auto"/>
                  <w:vAlign w:val="center"/>
                </w:tcPr>
                <w:p w14:paraId="5EF56C8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落砂、清理、砂处理、废砂再生</w:t>
                  </w:r>
                </w:p>
              </w:tc>
              <w:tc>
                <w:tcPr>
                  <w:tcW w:w="500" w:type="dxa"/>
                  <w:tcBorders>
                    <w:tl2br w:val="nil"/>
                    <w:tr2bl w:val="nil"/>
                  </w:tcBorders>
                  <w:shd w:val="clear" w:color="auto" w:fill="auto"/>
                  <w:vAlign w:val="center"/>
                </w:tcPr>
                <w:p w14:paraId="26D8D38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可行技术1</w:t>
                  </w:r>
                </w:p>
              </w:tc>
              <w:tc>
                <w:tcPr>
                  <w:tcW w:w="533" w:type="dxa"/>
                  <w:tcBorders>
                    <w:tl2br w:val="nil"/>
                    <w:tr2bl w:val="nil"/>
                  </w:tcBorders>
                  <w:shd w:val="clear" w:color="auto" w:fill="auto"/>
                  <w:vAlign w:val="center"/>
                </w:tcPr>
                <w:p w14:paraId="28352BE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一</w:t>
                  </w:r>
                </w:p>
              </w:tc>
              <w:tc>
                <w:tcPr>
                  <w:tcW w:w="933" w:type="dxa"/>
                  <w:tcBorders>
                    <w:tl2br w:val="nil"/>
                    <w:tr2bl w:val="nil"/>
                  </w:tcBorders>
                  <w:shd w:val="clear" w:color="auto" w:fill="auto"/>
                  <w:vAlign w:val="center"/>
                </w:tcPr>
                <w:p w14:paraId="2938669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①旋风除尘技术</w:t>
                  </w:r>
                  <w:r>
                    <w:rPr>
                      <w:rFonts w:hint="eastAsia" w:ascii="Times New Roman" w:hAnsi="Times New Roman" w:cs="Times New Roman"/>
                      <w:b w:val="0"/>
                      <w:bCs w:val="0"/>
                      <w:i w:val="0"/>
                      <w:iCs w:val="0"/>
                      <w:color w:val="auto"/>
                      <w:kern w:val="0"/>
                      <w:sz w:val="21"/>
                      <w:szCs w:val="21"/>
                      <w:u w:val="none" w:color="auto"/>
                      <w:lang w:val="en-US" w:eastAsia="zh-CN" w:bidi="ar"/>
                    </w:rPr>
                    <w:t>（</w:t>
                  </w:r>
                  <w:r>
                    <w:rPr>
                      <w:rFonts w:hint="default" w:ascii="Times New Roman" w:hAnsi="Times New Roman" w:eastAsia="宋体" w:cs="Times New Roman"/>
                      <w:b w:val="0"/>
                      <w:bCs w:val="0"/>
                      <w:i w:val="0"/>
                      <w:iCs w:val="0"/>
                      <w:color w:val="auto"/>
                      <w:kern w:val="0"/>
                      <w:sz w:val="21"/>
                      <w:szCs w:val="21"/>
                      <w:u w:val="none" w:color="auto"/>
                      <w:lang w:val="en-US" w:eastAsia="zh-CN" w:bidi="ar"/>
                    </w:rPr>
                    <w:t>可选</w:t>
                  </w:r>
                  <w:r>
                    <w:rPr>
                      <w:rFonts w:hint="eastAsia" w:ascii="Times New Roman" w:hAnsi="Times New Roman" w:cs="Times New Roman"/>
                      <w:b w:val="0"/>
                      <w:bCs w:val="0"/>
                      <w:i w:val="0"/>
                      <w:iCs w:val="0"/>
                      <w:color w:val="auto"/>
                      <w:kern w:val="0"/>
                      <w:sz w:val="21"/>
                      <w:szCs w:val="21"/>
                      <w:u w:val="none" w:color="auto"/>
                      <w:lang w:val="en-US" w:eastAsia="zh-CN" w:bidi="ar"/>
                    </w:rPr>
                    <w:t>）</w:t>
                  </w:r>
                  <w:r>
                    <w:rPr>
                      <w:rFonts w:hint="default" w:ascii="Times New Roman" w:hAnsi="Times New Roman" w:eastAsia="宋体" w:cs="Times New Roman"/>
                      <w:b w:val="0"/>
                      <w:bCs w:val="0"/>
                      <w:i w:val="0"/>
                      <w:iCs w:val="0"/>
                      <w:color w:val="auto"/>
                      <w:kern w:val="0"/>
                      <w:sz w:val="21"/>
                      <w:szCs w:val="21"/>
                      <w:u w:val="none" w:color="auto"/>
                      <w:lang w:val="en-US" w:eastAsia="zh-CN" w:bidi="ar"/>
                    </w:rPr>
                    <w:t>+②袋式除尘技术/滤筒除尘技术</w:t>
                  </w:r>
                </w:p>
              </w:tc>
              <w:tc>
                <w:tcPr>
                  <w:tcW w:w="367" w:type="dxa"/>
                  <w:tcBorders>
                    <w:tl2br w:val="nil"/>
                    <w:tr2bl w:val="nil"/>
                  </w:tcBorders>
                  <w:shd w:val="clear" w:color="auto" w:fill="auto"/>
                  <w:vAlign w:val="center"/>
                </w:tcPr>
                <w:p w14:paraId="482A4F3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5</w:t>
                  </w:r>
                  <w:r>
                    <w:rPr>
                      <w:rFonts w:hint="eastAsia" w:ascii="Times New Roman" w:hAnsi="Times New Roman" w:cs="Times New Roman"/>
                      <w:b w:val="0"/>
                      <w:bCs w:val="0"/>
                      <w:i w:val="0"/>
                      <w:iCs w:val="0"/>
                      <w:color w:val="auto"/>
                      <w:kern w:val="0"/>
                      <w:sz w:val="21"/>
                      <w:szCs w:val="21"/>
                      <w:u w:val="none" w:color="auto"/>
                      <w:lang w:val="en-US" w:eastAsia="zh-CN" w:bidi="ar"/>
                    </w:rPr>
                    <w:t>~</w:t>
                  </w:r>
                  <w:r>
                    <w:rPr>
                      <w:rFonts w:hint="default" w:ascii="Times New Roman" w:hAnsi="Times New Roman" w:eastAsia="宋体" w:cs="Times New Roman"/>
                      <w:b w:val="0"/>
                      <w:bCs w:val="0"/>
                      <w:i w:val="0"/>
                      <w:iCs w:val="0"/>
                      <w:color w:val="auto"/>
                      <w:kern w:val="0"/>
                      <w:sz w:val="21"/>
                      <w:szCs w:val="21"/>
                      <w:u w:val="none" w:color="auto"/>
                      <w:lang w:val="en-US" w:eastAsia="zh-CN" w:bidi="ar"/>
                    </w:rPr>
                    <w:t>30</w:t>
                  </w:r>
                </w:p>
              </w:tc>
              <w:tc>
                <w:tcPr>
                  <w:tcW w:w="450" w:type="dxa"/>
                  <w:tcBorders>
                    <w:tl2br w:val="nil"/>
                    <w:tr2bl w:val="nil"/>
                  </w:tcBorders>
                  <w:shd w:val="clear" w:color="auto" w:fill="auto"/>
                  <w:vAlign w:val="center"/>
                </w:tcPr>
                <w:p w14:paraId="13A0475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一</w:t>
                  </w:r>
                </w:p>
              </w:tc>
              <w:tc>
                <w:tcPr>
                  <w:tcW w:w="517" w:type="dxa"/>
                  <w:tcBorders>
                    <w:tl2br w:val="nil"/>
                    <w:tr2bl w:val="nil"/>
                  </w:tcBorders>
                  <w:shd w:val="clear" w:color="auto" w:fill="auto"/>
                  <w:vAlign w:val="center"/>
                </w:tcPr>
                <w:p w14:paraId="1414BF1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一</w:t>
                  </w:r>
                </w:p>
              </w:tc>
              <w:tc>
                <w:tcPr>
                  <w:tcW w:w="750" w:type="dxa"/>
                  <w:tcBorders>
                    <w:tl2br w:val="nil"/>
                    <w:tr2bl w:val="nil"/>
                  </w:tcBorders>
                  <w:shd w:val="clear" w:color="auto" w:fill="auto"/>
                  <w:vAlign w:val="center"/>
                </w:tcPr>
                <w:p w14:paraId="0E169CC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一</w:t>
                  </w:r>
                </w:p>
              </w:tc>
              <w:tc>
                <w:tcPr>
                  <w:tcW w:w="1866" w:type="dxa"/>
                  <w:tcBorders>
                    <w:tl2br w:val="nil"/>
                    <w:tr2bl w:val="nil"/>
                  </w:tcBorders>
                  <w:shd w:val="clear" w:color="auto" w:fill="auto"/>
                  <w:vAlign w:val="center"/>
                </w:tcPr>
                <w:p w14:paraId="41223CB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适用于各种砂型铸造工艺</w:t>
                  </w:r>
                  <w:r>
                    <w:rPr>
                      <w:rFonts w:hint="eastAsia" w:ascii="Times New Roman" w:hAnsi="Times New Roman" w:cs="Times New Roman"/>
                      <w:b w:val="0"/>
                      <w:bCs w:val="0"/>
                      <w:i w:val="0"/>
                      <w:iCs w:val="0"/>
                      <w:color w:val="auto"/>
                      <w:kern w:val="0"/>
                      <w:sz w:val="21"/>
                      <w:szCs w:val="21"/>
                      <w:u w:val="none" w:color="auto"/>
                      <w:lang w:val="en-US" w:eastAsia="zh-CN" w:bidi="ar"/>
                    </w:rPr>
                    <w:t>（</w:t>
                  </w:r>
                  <w:r>
                    <w:rPr>
                      <w:rFonts w:hint="default" w:ascii="Times New Roman" w:hAnsi="Times New Roman" w:eastAsia="宋体" w:cs="Times New Roman"/>
                      <w:b w:val="0"/>
                      <w:bCs w:val="0"/>
                      <w:i w:val="0"/>
                      <w:iCs w:val="0"/>
                      <w:color w:val="auto"/>
                      <w:kern w:val="0"/>
                      <w:sz w:val="21"/>
                      <w:szCs w:val="21"/>
                      <w:u w:val="none" w:color="auto"/>
                      <w:lang w:val="en-US" w:eastAsia="zh-CN" w:bidi="ar"/>
                    </w:rPr>
                    <w:t>含特种砂型铸造工艺</w:t>
                  </w:r>
                  <w:r>
                    <w:rPr>
                      <w:rFonts w:hint="eastAsia" w:ascii="Times New Roman" w:hAnsi="Times New Roman" w:cs="Times New Roman"/>
                      <w:b w:val="0"/>
                      <w:bCs w:val="0"/>
                      <w:i w:val="0"/>
                      <w:iCs w:val="0"/>
                      <w:color w:val="auto"/>
                      <w:kern w:val="0"/>
                      <w:sz w:val="21"/>
                      <w:szCs w:val="21"/>
                      <w:u w:val="none" w:color="auto"/>
                      <w:lang w:val="en-US" w:eastAsia="zh-CN" w:bidi="ar"/>
                    </w:rPr>
                    <w:t>）</w:t>
                  </w:r>
                  <w:r>
                    <w:rPr>
                      <w:rFonts w:hint="default" w:ascii="Times New Roman" w:hAnsi="Times New Roman" w:eastAsia="宋体" w:cs="Times New Roman"/>
                      <w:b w:val="0"/>
                      <w:bCs w:val="0"/>
                      <w:i w:val="0"/>
                      <w:iCs w:val="0"/>
                      <w:color w:val="auto"/>
                      <w:kern w:val="0"/>
                      <w:sz w:val="21"/>
                      <w:szCs w:val="21"/>
                      <w:u w:val="none" w:color="auto"/>
                      <w:lang w:val="en-US" w:eastAsia="zh-CN" w:bidi="ar"/>
                    </w:rPr>
                    <w:t>的落砂、清理、砂处理和废砂再生等工序。</w:t>
                  </w:r>
                </w:p>
              </w:tc>
              <w:tc>
                <w:tcPr>
                  <w:tcW w:w="1034" w:type="dxa"/>
                  <w:tcBorders>
                    <w:tl2br w:val="nil"/>
                    <w:tr2bl w:val="nil"/>
                  </w:tcBorders>
                  <w:shd w:val="clear" w:color="auto" w:fill="auto"/>
                  <w:vAlign w:val="center"/>
                </w:tcPr>
                <w:p w14:paraId="04BBAA3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袋式除尘</w:t>
                  </w:r>
                </w:p>
              </w:tc>
              <w:tc>
                <w:tcPr>
                  <w:tcW w:w="539" w:type="dxa"/>
                  <w:tcBorders>
                    <w:tl2br w:val="nil"/>
                    <w:tr2bl w:val="nil"/>
                  </w:tcBorders>
                  <w:shd w:val="clear" w:color="auto" w:fill="auto"/>
                  <w:vAlign w:val="center"/>
                </w:tcPr>
                <w:p w14:paraId="47F8631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eastAsia" w:ascii="Times New Roman" w:hAnsi="Times New Roman" w:eastAsia="宋体" w:cs="Times New Roman"/>
                      <w:b w:val="0"/>
                      <w:bCs w:val="0"/>
                      <w:i w:val="0"/>
                      <w:iCs w:val="0"/>
                      <w:color w:val="auto"/>
                      <w:kern w:val="0"/>
                      <w:sz w:val="21"/>
                      <w:szCs w:val="21"/>
                      <w:u w:val="none" w:color="auto"/>
                      <w:lang w:val="en-US" w:eastAsia="zh-CN" w:bidi="ar"/>
                    </w:rPr>
                    <w:t>是</w:t>
                  </w:r>
                </w:p>
              </w:tc>
            </w:tr>
          </w:tbl>
          <w:p w14:paraId="3B6ED95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50" w:beforeAutospacing="0" w:after="0" w:afterAutospacing="0"/>
              <w:ind w:left="0" w:right="0" w:firstLine="480" w:firstLineChars="200"/>
              <w:jc w:val="both"/>
              <w:textAlignment w:val="auto"/>
              <w:rPr>
                <w:rFonts w:hint="eastAsia"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（4）有组织排放控制要求</w:t>
            </w:r>
          </w:p>
          <w:p w14:paraId="6F7258C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right="0" w:firstLine="480" w:firstLineChars="200"/>
              <w:jc w:val="both"/>
              <w:textAlignment w:val="auto"/>
              <w:rPr>
                <w:rFonts w:hint="eastAsia"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根据《铸造工业大气污染物排放标准》（GB39726-2020）：“车间或生产设施排气中NMHC初始排放速率≥3kgh的，VOCs处理设施的处理效率不应低于80%。废气收集处理系统应与生产工艺设备同步运行。废气收集处理系统发生故障或检修时，对应的生产工艺设备应停止运行，待排除故障或检修完毕后同步投入使用；生产工艺设备不能停止运行或不能及时停止运行的，应设置废气应急处理设施或采取其他替代措施。除移动式除尘设备外，其他车间或生产设施排气筒高度不低于15m，具体高度以及与周围建筑物的相对高度关系应根据环境影响评价文件确定。”</w:t>
            </w:r>
          </w:p>
          <w:p w14:paraId="25967B8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right="0" w:firstLine="480" w:firstLineChars="200"/>
              <w:jc w:val="both"/>
              <w:textAlignment w:val="auto"/>
              <w:rPr>
                <w:rFonts w:hint="eastAsia"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本项目仅淬火环节涉及非甲烷总烃排放，非甲烷总烃产生速率为0.00002kg/h，本项目电淬火油槽上方、回火电炉上方拟安装收集装置（收集效率90%），经风机收集后经“高压静电油烟净化”处理后通过1根15m高的排气筒（DA003）排放。本项目废气收集处理系统应与生产工艺设备同步运行。废气收集处理系统发生故障或检修时，对应的生产工艺设备应停止运行，待排除故障或检修完毕后同步投入使用。本项目符合《铸造工业大气污染物排放标准》（GB39726-2020）有组织排放控制要求。</w:t>
            </w:r>
          </w:p>
          <w:p w14:paraId="493E7E4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right="0" w:firstLine="480" w:firstLineChars="200"/>
              <w:jc w:val="both"/>
              <w:textAlignment w:val="auto"/>
              <w:rPr>
                <w:rFonts w:hint="eastAsia"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（5）无组织排放运行管理要求</w:t>
            </w:r>
          </w:p>
          <w:p w14:paraId="67E832C2">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kern w:val="2"/>
                <w:sz w:val="24"/>
                <w:highlight w:val="none"/>
                <w:u w:val="none" w:color="auto"/>
                <w:lang w:val="en-US" w:eastAsia="zh-CN"/>
              </w:rPr>
            </w:pPr>
            <w:r>
              <w:rPr>
                <w:rFonts w:hint="eastAsia" w:ascii="Times New Roman" w:hAnsi="Times New Roman" w:cs="Times New Roman"/>
                <w:color w:val="auto"/>
                <w:kern w:val="2"/>
                <w:sz w:val="24"/>
                <w:highlight w:val="none"/>
                <w:u w:val="none" w:color="auto"/>
                <w:lang w:val="en-US" w:eastAsia="zh-CN"/>
              </w:rPr>
              <w:t>1）粉状物料和砂应袋装或罐装，并储存于封闭储库。</w:t>
            </w:r>
          </w:p>
          <w:p w14:paraId="6F55830C">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kern w:val="2"/>
                <w:sz w:val="24"/>
                <w:highlight w:val="none"/>
                <w:u w:val="none" w:color="auto"/>
                <w:lang w:val="en-US" w:eastAsia="zh-CN"/>
              </w:rPr>
            </w:pPr>
            <w:r>
              <w:rPr>
                <w:rFonts w:hint="eastAsia" w:ascii="Times New Roman" w:hAnsi="Times New Roman" w:cs="Times New Roman"/>
                <w:color w:val="auto"/>
                <w:kern w:val="2"/>
                <w:sz w:val="24"/>
                <w:highlight w:val="none"/>
                <w:u w:val="none" w:color="auto"/>
                <w:lang w:val="en-US" w:eastAsia="zh-CN"/>
              </w:rPr>
              <w:t>2）生铁、废钢等粒状、块状散装物料应储存于封闭储库、料仓中。</w:t>
            </w:r>
          </w:p>
          <w:p w14:paraId="52013545">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kern w:val="2"/>
                <w:sz w:val="24"/>
                <w:highlight w:val="none"/>
                <w:u w:val="none" w:color="auto"/>
                <w:lang w:val="en-US" w:eastAsia="zh-CN"/>
              </w:rPr>
            </w:pPr>
            <w:r>
              <w:rPr>
                <w:rFonts w:hint="eastAsia" w:ascii="Times New Roman" w:hAnsi="Times New Roman" w:cs="Times New Roman"/>
                <w:color w:val="auto"/>
                <w:kern w:val="2"/>
                <w:sz w:val="24"/>
                <w:highlight w:val="none"/>
                <w:u w:val="none" w:color="auto"/>
                <w:lang w:val="en-US" w:eastAsia="zh-CN"/>
              </w:rPr>
              <w:t>3）粉状、粒状等易散发粉尘的物料厂内转移、输送过程，应封闭或采取覆盖等抑尘措施，转移、输送、装卸过程中产尘点应采取喷淋等抑尘措施。除尘器卸灰口应采取遮挡等抑尘措施，除尘灰不得直接卸落到地面。除尘灰采取袋装、罐装等密闭措施收集、存放和运输。</w:t>
            </w:r>
          </w:p>
          <w:p w14:paraId="5F1F76E6">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kern w:val="2"/>
                <w:sz w:val="24"/>
                <w:highlight w:val="none"/>
                <w:u w:val="none" w:color="auto"/>
                <w:lang w:val="en-US" w:eastAsia="zh-CN"/>
              </w:rPr>
            </w:pPr>
            <w:r>
              <w:rPr>
                <w:rFonts w:hint="eastAsia" w:ascii="Times New Roman" w:hAnsi="Times New Roman" w:cs="Times New Roman"/>
                <w:color w:val="auto"/>
                <w:kern w:val="2"/>
                <w:sz w:val="24"/>
                <w:highlight w:val="none"/>
                <w:u w:val="none" w:color="auto"/>
                <w:lang w:val="en-US" w:eastAsia="zh-CN"/>
              </w:rPr>
              <w:t>4）厂区道路应硬化，并采取定期清扫、洒水等措施，保持清洁。</w:t>
            </w:r>
          </w:p>
          <w:p w14:paraId="288177CD">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kern w:val="2"/>
                <w:sz w:val="24"/>
                <w:highlight w:val="none"/>
                <w:u w:val="none" w:color="auto"/>
                <w:lang w:val="en-US" w:eastAsia="zh-CN"/>
              </w:rPr>
            </w:pPr>
            <w:r>
              <w:rPr>
                <w:rFonts w:hint="eastAsia" w:ascii="Times New Roman" w:hAnsi="Times New Roman" w:cs="Times New Roman"/>
                <w:color w:val="auto"/>
                <w:kern w:val="2"/>
                <w:sz w:val="24"/>
                <w:highlight w:val="none"/>
                <w:u w:val="none" w:color="auto"/>
                <w:lang w:val="en-US" w:eastAsia="zh-CN"/>
              </w:rPr>
              <w:t>5）车间外不得有可见烟粉尘外溢。</w:t>
            </w:r>
          </w:p>
          <w:p w14:paraId="6918E90C">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kern w:val="2"/>
                <w:sz w:val="24"/>
                <w:highlight w:val="none"/>
                <w:u w:val="none" w:color="auto"/>
                <w:lang w:val="en-US" w:eastAsia="zh-CN"/>
              </w:rPr>
            </w:pPr>
            <w:r>
              <w:rPr>
                <w:rFonts w:hint="eastAsia" w:ascii="Times New Roman" w:hAnsi="Times New Roman" w:cs="Times New Roman"/>
                <w:color w:val="auto"/>
                <w:kern w:val="2"/>
                <w:sz w:val="24"/>
                <w:highlight w:val="none"/>
                <w:u w:val="none" w:color="auto"/>
                <w:lang w:val="en-US" w:eastAsia="zh-CN"/>
              </w:rPr>
              <w:t>6）VOCs物料应储存于密闭的容器、包装袋、储库中。盛装VOCs物料的容器或包装袋应存放于室内。盛装VOCs物料的容器或包装袋在非取用状态时应加盖、封口，保持密闭。转移VOCs物料时，应采用密闭容器。设备与管线组件VOCs泄漏控制要求、敞开液面VOCs无组织排放控制要求，应符合GB 37822的规定。</w:t>
            </w:r>
          </w:p>
          <w:p w14:paraId="70399E2B">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kern w:val="2"/>
                <w:sz w:val="24"/>
                <w:highlight w:val="none"/>
                <w:u w:val="none" w:color="auto"/>
                <w:lang w:val="en-US" w:eastAsia="zh-CN"/>
              </w:rPr>
            </w:pPr>
            <w:r>
              <w:rPr>
                <w:rFonts w:hint="eastAsia" w:ascii="Times New Roman" w:hAnsi="Times New Roman" w:cs="Times New Roman"/>
                <w:color w:val="auto"/>
                <w:kern w:val="2"/>
                <w:sz w:val="24"/>
                <w:highlight w:val="none"/>
                <w:u w:val="none" w:color="auto"/>
                <w:lang w:val="en-US" w:eastAsia="zh-CN"/>
              </w:rPr>
              <w:t>7）VOCs无组织排放废气收集系统排风罩（集气罩）的设置应符合GB/T16758的规定。采用外部排风罩的，应按GB/T16758、WS/T757-2016规定的方法测量控制风速，测量点应选取在距排风罩开口面最远处的VOCs无组织排放位置，控制风速不应低于0.3m/s。废气收集系统的输送管道应密闭。废气收集系统应在负压状态下运行。处于正压状态的，不应有感官可察觉的泄漏：对于VOCs废气收集系统，应按照GB37822的规定对废气输送管线组件的密封点进行泄漏检测与修复，VOCs泄漏检测值不应超过500umol/mol。</w:t>
            </w:r>
          </w:p>
          <w:p w14:paraId="0FB69867">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kern w:val="2"/>
                <w:sz w:val="24"/>
                <w:highlight w:val="none"/>
                <w:u w:val="none" w:color="auto"/>
                <w:lang w:val="en-US" w:eastAsia="zh-CN"/>
              </w:rPr>
            </w:pPr>
            <w:r>
              <w:rPr>
                <w:rFonts w:hint="eastAsia" w:ascii="Times New Roman" w:hAnsi="Times New Roman" w:cs="Times New Roman"/>
                <w:color w:val="auto"/>
                <w:kern w:val="2"/>
                <w:sz w:val="24"/>
                <w:highlight w:val="none"/>
                <w:u w:val="none" w:color="auto"/>
                <w:lang w:val="en-US" w:eastAsia="zh-CN"/>
              </w:rPr>
              <w:t>8）无组织排放废气收集处理系统应与生产工艺设备同步运行。废气收集处理系统发生故障或检修时，对应的生产工艺设备应停止运行，待排除故障或检修完毕后同步投入使用；生产工艺设备不能停止运行或不能及时停止运行的，应设置废气应急处理设施或采取其他替代措施。</w:t>
            </w:r>
          </w:p>
          <w:p w14:paraId="1EC9F627">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kern w:val="2"/>
                <w:sz w:val="24"/>
                <w:highlight w:val="none"/>
                <w:u w:val="none" w:color="auto"/>
                <w:lang w:val="en-US" w:eastAsia="zh-CN"/>
              </w:rPr>
            </w:pPr>
            <w:r>
              <w:rPr>
                <w:rFonts w:hint="eastAsia" w:ascii="Times New Roman" w:hAnsi="Times New Roman" w:cs="Times New Roman"/>
                <w:color w:val="auto"/>
                <w:kern w:val="2"/>
                <w:sz w:val="24"/>
                <w:highlight w:val="none"/>
                <w:u w:val="none" w:color="auto"/>
                <w:lang w:val="en-US" w:eastAsia="zh-CN"/>
              </w:rPr>
              <w:t>9）企业应按照HJ944要求建立台账，记录无组织排放废气收集系统、污染治理设施及其他无组织排放控制措施的主要运行信息，如运行时间、废气收集量和处理量、VOCs处理设施关键运行参数、作业周期和用量等。台账保存期限不少于5年。</w:t>
            </w:r>
          </w:p>
          <w:p w14:paraId="6964D9A8">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kern w:val="2"/>
                <w:sz w:val="24"/>
                <w:highlight w:val="none"/>
                <w:u w:val="none" w:color="auto"/>
                <w:lang w:val="en-US" w:eastAsia="zh-CN"/>
              </w:rPr>
            </w:pPr>
            <w:r>
              <w:rPr>
                <w:rFonts w:hint="eastAsia" w:ascii="Times New Roman" w:hAnsi="Times New Roman" w:cs="Times New Roman"/>
                <w:color w:val="auto"/>
                <w:kern w:val="2"/>
                <w:sz w:val="24"/>
                <w:highlight w:val="none"/>
                <w:u w:val="none" w:color="auto"/>
                <w:lang w:val="en-US" w:eastAsia="zh-CN"/>
              </w:rPr>
              <w:t>本项目符合《铸造工业大气污染物排放标准》（GB39726-2020）无组织排放管控要求。</w:t>
            </w:r>
          </w:p>
          <w:p w14:paraId="6F7BDB1B">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kern w:val="2"/>
                <w:sz w:val="24"/>
                <w:highlight w:val="none"/>
                <w:u w:val="none" w:color="auto"/>
                <w:lang w:val="en-US" w:eastAsia="zh-CN"/>
              </w:rPr>
            </w:pPr>
            <w:r>
              <w:rPr>
                <w:rFonts w:hint="eastAsia" w:ascii="Times New Roman" w:hAnsi="Times New Roman" w:eastAsia="宋体" w:cs="Times New Roman"/>
                <w:color w:val="auto"/>
                <w:kern w:val="2"/>
                <w:sz w:val="24"/>
                <w:highlight w:val="none"/>
                <w:u w:val="none" w:color="auto"/>
                <w:lang w:val="en-US" w:eastAsia="zh-CN"/>
              </w:rPr>
              <w:t>（4）危险废物贮存库废气影响分析</w:t>
            </w:r>
          </w:p>
          <w:p w14:paraId="39372304">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highlight w:val="none"/>
                <w:u w:val="none" w:color="auto"/>
                <w:lang w:val="en-US" w:eastAsia="zh-CN"/>
              </w:rPr>
            </w:pPr>
            <w:r>
              <w:rPr>
                <w:rFonts w:hint="default" w:ascii="Times New Roman" w:hAnsi="Times New Roman" w:eastAsia="宋体" w:cs="Times New Roman"/>
                <w:color w:val="auto"/>
                <w:kern w:val="2"/>
                <w:sz w:val="24"/>
                <w:highlight w:val="none"/>
                <w:u w:val="none" w:color="auto"/>
                <w:lang w:val="en-US" w:eastAsia="zh-CN"/>
              </w:rPr>
              <w:t>《危险废物贮存污染控制标准》</w:t>
            </w:r>
            <w:r>
              <w:rPr>
                <w:rFonts w:hint="eastAsia" w:ascii="Times New Roman" w:hAnsi="Times New Roman" w:cs="Times New Roman"/>
                <w:color w:val="auto"/>
                <w:kern w:val="2"/>
                <w:sz w:val="24"/>
                <w:highlight w:val="none"/>
                <w:u w:val="none" w:color="auto"/>
                <w:lang w:val="en-US" w:eastAsia="zh-CN"/>
              </w:rPr>
              <w:t>（</w:t>
            </w:r>
            <w:r>
              <w:rPr>
                <w:rFonts w:hint="default" w:ascii="Times New Roman" w:hAnsi="Times New Roman" w:eastAsia="宋体" w:cs="Times New Roman"/>
                <w:color w:val="auto"/>
                <w:kern w:val="2"/>
                <w:sz w:val="24"/>
                <w:highlight w:val="none"/>
                <w:u w:val="none" w:color="auto"/>
                <w:lang w:val="en-US" w:eastAsia="zh-CN"/>
              </w:rPr>
              <w:t>GB 18597-2023</w:t>
            </w:r>
            <w:r>
              <w:rPr>
                <w:rFonts w:hint="eastAsia" w:ascii="Times New Roman" w:hAnsi="Times New Roman" w:cs="Times New Roman"/>
                <w:color w:val="auto"/>
                <w:kern w:val="2"/>
                <w:sz w:val="24"/>
                <w:highlight w:val="none"/>
                <w:u w:val="none" w:color="auto"/>
                <w:lang w:val="en-US" w:eastAsia="zh-CN"/>
              </w:rPr>
              <w:t>）</w:t>
            </w:r>
            <w:r>
              <w:rPr>
                <w:rFonts w:hint="default" w:ascii="Times New Roman" w:hAnsi="Times New Roman" w:eastAsia="宋体" w:cs="Times New Roman"/>
                <w:color w:val="auto"/>
                <w:kern w:val="2"/>
                <w:sz w:val="24"/>
                <w:highlight w:val="none"/>
                <w:u w:val="none" w:color="auto"/>
                <w:lang w:val="en-US" w:eastAsia="zh-CN"/>
              </w:rPr>
              <w:t>，明确规定：贮存易产生粉尘、VOCs、酸、有毒有害大气污染物和刺激性气味气体的危险废物贮存库，应设置气体收集装置和气体净化设施。生态环境部针对该标准在执行中的具体问题，曾专门作出官方解释，明确了可以不设置废气治理设施的具体情形。在回复</w:t>
            </w:r>
            <w:r>
              <w:rPr>
                <w:rFonts w:hint="eastAsia" w:ascii="Times New Roman" w:hAnsi="Times New Roman" w:eastAsia="宋体" w:cs="Times New Roman"/>
                <w:color w:val="auto"/>
                <w:kern w:val="2"/>
                <w:sz w:val="24"/>
                <w:highlight w:val="none"/>
                <w:u w:val="none" w:color="auto"/>
                <w:lang w:val="en-US" w:eastAsia="zh-CN"/>
              </w:rPr>
              <w:t>“</w:t>
            </w:r>
            <w:r>
              <w:rPr>
                <w:rFonts w:hint="default" w:ascii="Times New Roman" w:hAnsi="Times New Roman" w:eastAsia="宋体" w:cs="Times New Roman"/>
                <w:color w:val="auto"/>
                <w:kern w:val="2"/>
                <w:sz w:val="24"/>
                <w:highlight w:val="none"/>
                <w:u w:val="none" w:color="auto"/>
                <w:lang w:val="en-US" w:eastAsia="zh-CN"/>
              </w:rPr>
              <w:t>废有机溶剂存放在密闭容器内，再放置在危废仓库，是否需设置废气收集装置</w:t>
            </w:r>
            <w:r>
              <w:rPr>
                <w:rFonts w:hint="eastAsia" w:ascii="Times New Roman" w:hAnsi="Times New Roman" w:eastAsia="宋体" w:cs="Times New Roman"/>
                <w:color w:val="auto"/>
                <w:kern w:val="2"/>
                <w:sz w:val="24"/>
                <w:highlight w:val="none"/>
                <w:u w:val="none" w:color="auto"/>
                <w:lang w:val="en-US" w:eastAsia="zh-CN"/>
              </w:rPr>
              <w:t>”</w:t>
            </w:r>
            <w:r>
              <w:rPr>
                <w:rFonts w:hint="default" w:ascii="Times New Roman" w:hAnsi="Times New Roman" w:eastAsia="宋体" w:cs="Times New Roman"/>
                <w:color w:val="auto"/>
                <w:kern w:val="2"/>
                <w:sz w:val="24"/>
                <w:highlight w:val="none"/>
                <w:u w:val="none" w:color="auto"/>
                <w:lang w:val="en-US" w:eastAsia="zh-CN"/>
              </w:rPr>
              <w:t>的问题时，生态环境部明确指出：如果易挥发VOCs危险废物经包装后满足《挥发性有机物无组织排放控制标准》（GB 37822-2019）污染控制和无组织排放限值要求，可以不设置气体收集装置和废气治理设施。</w:t>
            </w:r>
          </w:p>
          <w:p w14:paraId="4C627709">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highlight w:val="none"/>
                <w:u w:val="none" w:color="auto"/>
                <w:lang w:val="en-US" w:eastAsia="zh-CN"/>
              </w:rPr>
            </w:pPr>
            <w:r>
              <w:rPr>
                <w:rFonts w:hint="eastAsia" w:ascii="Times New Roman" w:hAnsi="Times New Roman" w:eastAsia="宋体" w:cs="Times New Roman"/>
                <w:color w:val="auto"/>
                <w:kern w:val="2"/>
                <w:sz w:val="24"/>
                <w:highlight w:val="none"/>
                <w:u w:val="none" w:color="auto"/>
                <w:lang w:val="en-US" w:eastAsia="zh-CN"/>
              </w:rPr>
              <w:t>本项目废机油、废油桶、废淬火油和淬火废渣暂存于厂区内危险废物贮存库，定期交由有资质单位处置。废机油、废油桶、废淬火油和淬火废渣使用密闭容器（如带盖的桶、密闭塑料袋、密闭包装袋等）进行包装，确保在静态贮存过程中不会有无组织废气泄漏，危废库内的无组织废气非甲烷总烃排放浓度能够满足《铸造工业大气污染物排放标准》（GB39726-2020）附录A中表A.1排放限值，因此本项目不设置气体收集装置和废气治理设施。</w:t>
            </w:r>
          </w:p>
          <w:p w14:paraId="436CE096">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auto"/>
                <w:kern w:val="2"/>
                <w:sz w:val="24"/>
                <w:highlight w:val="none"/>
                <w:u w:val="none" w:color="auto"/>
                <w:lang w:val="en-US" w:eastAsia="zh-CN"/>
              </w:rPr>
            </w:pPr>
            <w:r>
              <w:rPr>
                <w:rFonts w:hint="default" w:ascii="Times New Roman" w:hAnsi="Times New Roman" w:eastAsia="宋体" w:cs="Times New Roman"/>
                <w:b/>
                <w:bCs/>
                <w:color w:val="auto"/>
                <w:kern w:val="2"/>
                <w:sz w:val="24"/>
                <w:highlight w:val="none"/>
                <w:u w:val="none" w:color="auto"/>
                <w:lang w:val="en-US" w:eastAsia="zh-CN"/>
              </w:rPr>
              <w:t>1.9排气筒设置合理性分析</w:t>
            </w:r>
          </w:p>
          <w:p w14:paraId="6E8F8479">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kern w:val="2"/>
                <w:sz w:val="24"/>
                <w:highlight w:val="none"/>
                <w:u w:val="none" w:color="auto"/>
                <w:lang w:val="en-US" w:eastAsia="zh-CN"/>
              </w:rPr>
            </w:pPr>
            <w:r>
              <w:rPr>
                <w:rFonts w:hint="default" w:ascii="Times New Roman" w:hAnsi="Times New Roman" w:eastAsia="宋体" w:cs="Times New Roman"/>
                <w:color w:val="auto"/>
                <w:kern w:val="2"/>
                <w:sz w:val="24"/>
                <w:highlight w:val="none"/>
                <w:u w:val="none" w:color="auto"/>
                <w:lang w:val="en-US" w:eastAsia="zh-CN"/>
              </w:rPr>
              <w:t>本项目熔炼、造型、打磨清理、砂处理</w:t>
            </w:r>
            <w:r>
              <w:rPr>
                <w:rFonts w:hint="eastAsia" w:ascii="Times New Roman" w:hAnsi="Times New Roman" w:cs="Times New Roman"/>
                <w:color w:val="auto"/>
                <w:kern w:val="2"/>
                <w:sz w:val="24"/>
                <w:highlight w:val="none"/>
                <w:u w:val="none" w:color="auto"/>
                <w:lang w:val="en-US" w:eastAsia="zh-CN"/>
              </w:rPr>
              <w:t>工序</w:t>
            </w:r>
            <w:r>
              <w:rPr>
                <w:rFonts w:hint="default" w:ascii="Times New Roman" w:hAnsi="Times New Roman" w:eastAsia="宋体" w:cs="Times New Roman"/>
                <w:color w:val="auto"/>
                <w:kern w:val="2"/>
                <w:sz w:val="24"/>
                <w:highlight w:val="none"/>
                <w:u w:val="none" w:color="auto"/>
                <w:lang w:val="en-US" w:eastAsia="zh-CN"/>
              </w:rPr>
              <w:t>设置一根排气筒，</w:t>
            </w:r>
            <w:r>
              <w:rPr>
                <w:rFonts w:hint="eastAsia" w:ascii="Times New Roman" w:hAnsi="Times New Roman" w:cs="Times New Roman"/>
                <w:color w:val="auto"/>
                <w:kern w:val="2"/>
                <w:sz w:val="24"/>
                <w:highlight w:val="none"/>
                <w:u w:val="none" w:color="auto"/>
                <w:lang w:val="en-US" w:eastAsia="zh-CN"/>
              </w:rPr>
              <w:t>浇铸工序</w:t>
            </w:r>
            <w:r>
              <w:rPr>
                <w:rFonts w:hint="default" w:ascii="Times New Roman" w:hAnsi="Times New Roman" w:eastAsia="宋体" w:cs="Times New Roman"/>
                <w:color w:val="auto"/>
                <w:kern w:val="2"/>
                <w:sz w:val="24"/>
                <w:highlight w:val="none"/>
                <w:u w:val="none" w:color="auto"/>
                <w:lang w:val="en-US" w:eastAsia="zh-CN"/>
              </w:rPr>
              <w:t>设置一根排气筒</w:t>
            </w:r>
            <w:r>
              <w:rPr>
                <w:rFonts w:hint="eastAsia" w:ascii="Times New Roman" w:hAnsi="Times New Roman" w:cs="Times New Roman"/>
                <w:color w:val="auto"/>
                <w:kern w:val="2"/>
                <w:sz w:val="24"/>
                <w:highlight w:val="none"/>
                <w:u w:val="none" w:color="auto"/>
                <w:lang w:val="en-US" w:eastAsia="zh-CN"/>
              </w:rPr>
              <w:t>、淬火回火工序设置一根排气筒</w:t>
            </w:r>
            <w:r>
              <w:rPr>
                <w:rFonts w:hint="default" w:ascii="Times New Roman" w:hAnsi="Times New Roman" w:eastAsia="宋体" w:cs="Times New Roman"/>
                <w:color w:val="auto"/>
                <w:kern w:val="2"/>
                <w:sz w:val="24"/>
                <w:highlight w:val="none"/>
                <w:u w:val="none" w:color="auto"/>
                <w:lang w:val="en-US" w:eastAsia="zh-CN"/>
              </w:rPr>
              <w:t>，共设置</w:t>
            </w:r>
            <w:r>
              <w:rPr>
                <w:rFonts w:hint="eastAsia" w:ascii="Times New Roman" w:hAnsi="Times New Roman" w:cs="Times New Roman"/>
                <w:color w:val="auto"/>
                <w:kern w:val="2"/>
                <w:sz w:val="24"/>
                <w:highlight w:val="none"/>
                <w:u w:val="none" w:color="auto"/>
                <w:lang w:val="en-US" w:eastAsia="zh-CN"/>
              </w:rPr>
              <w:t>3</w:t>
            </w:r>
            <w:r>
              <w:rPr>
                <w:rFonts w:hint="default" w:ascii="Times New Roman" w:hAnsi="Times New Roman" w:eastAsia="宋体" w:cs="Times New Roman"/>
                <w:color w:val="auto"/>
                <w:kern w:val="2"/>
                <w:sz w:val="24"/>
                <w:highlight w:val="none"/>
                <w:u w:val="none" w:color="auto"/>
                <w:lang w:val="en-US" w:eastAsia="zh-CN"/>
              </w:rPr>
              <w:t>根排气筒。</w:t>
            </w:r>
          </w:p>
          <w:p w14:paraId="59E17650">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highlight w:val="none"/>
                <w:u w:val="none" w:color="auto"/>
                <w:shd w:val="clear" w:color="auto" w:fill="auto"/>
                <w:lang w:val="en-US" w:eastAsia="zh-CN" w:bidi="en-US"/>
              </w:rPr>
            </w:pPr>
            <w:r>
              <w:rPr>
                <w:rFonts w:hint="default" w:ascii="Times New Roman" w:hAnsi="Times New Roman" w:eastAsia="宋体" w:cs="Times New Roman"/>
                <w:color w:val="auto"/>
                <w:kern w:val="2"/>
                <w:sz w:val="24"/>
                <w:szCs w:val="24"/>
                <w:highlight w:val="none"/>
                <w:u w:val="none" w:color="auto"/>
                <w:shd w:val="clear" w:color="auto" w:fill="auto"/>
                <w:lang w:val="en-US" w:eastAsia="zh-CN" w:bidi="en-US"/>
              </w:rPr>
              <w:t>本项目DA001排气筒风量为</w:t>
            </w:r>
            <w:r>
              <w:rPr>
                <w:rFonts w:hint="eastAsia" w:ascii="Times New Roman" w:hAnsi="Times New Roman" w:cs="Times New Roman"/>
                <w:color w:val="auto"/>
                <w:kern w:val="2"/>
                <w:sz w:val="24"/>
                <w:szCs w:val="24"/>
                <w:highlight w:val="none"/>
                <w:u w:val="none" w:color="auto"/>
                <w:shd w:val="clear" w:color="auto" w:fill="auto"/>
                <w:lang w:val="en-US" w:eastAsia="zh-CN" w:bidi="en-US"/>
              </w:rPr>
              <w:t>51847</w:t>
            </w:r>
            <w:r>
              <w:rPr>
                <w:rFonts w:hint="default" w:ascii="Times New Roman" w:hAnsi="Times New Roman" w:eastAsia="宋体" w:cs="Times New Roman"/>
                <w:color w:val="auto"/>
                <w:kern w:val="2"/>
                <w:sz w:val="24"/>
                <w:szCs w:val="24"/>
                <w:highlight w:val="none"/>
                <w:u w:val="none" w:color="auto"/>
                <w:shd w:val="clear" w:color="auto" w:fill="auto"/>
                <w:lang w:val="en-US" w:eastAsia="zh-CN" w:bidi="en-US"/>
              </w:rPr>
              <w:t>m</w:t>
            </w:r>
            <w:r>
              <w:rPr>
                <w:rFonts w:hint="default" w:ascii="Times New Roman" w:hAnsi="Times New Roman" w:eastAsia="宋体" w:cs="Times New Roman"/>
                <w:color w:val="auto"/>
                <w:kern w:val="2"/>
                <w:sz w:val="24"/>
                <w:szCs w:val="24"/>
                <w:highlight w:val="none"/>
                <w:u w:val="none" w:color="auto"/>
                <w:shd w:val="clear" w:color="auto" w:fill="auto"/>
                <w:vertAlign w:val="superscript"/>
                <w:lang w:val="en-US" w:eastAsia="zh-CN" w:bidi="en-US"/>
              </w:rPr>
              <w:t>3</w:t>
            </w:r>
            <w:r>
              <w:rPr>
                <w:rFonts w:hint="default" w:ascii="Times New Roman" w:hAnsi="Times New Roman" w:eastAsia="宋体" w:cs="Times New Roman"/>
                <w:color w:val="auto"/>
                <w:kern w:val="2"/>
                <w:sz w:val="24"/>
                <w:szCs w:val="24"/>
                <w:highlight w:val="none"/>
                <w:u w:val="none" w:color="auto"/>
                <w:shd w:val="clear" w:color="auto" w:fill="auto"/>
                <w:lang w:val="en-US" w:eastAsia="zh-CN" w:bidi="en-US"/>
              </w:rPr>
              <w:t>/h，排气筒内径为</w:t>
            </w:r>
            <w:r>
              <w:rPr>
                <w:rFonts w:hint="eastAsia" w:ascii="Times New Roman" w:hAnsi="Times New Roman" w:cs="Times New Roman"/>
                <w:color w:val="auto"/>
                <w:kern w:val="2"/>
                <w:sz w:val="24"/>
                <w:szCs w:val="24"/>
                <w:highlight w:val="none"/>
                <w:u w:val="none" w:color="auto"/>
                <w:shd w:val="clear" w:color="auto" w:fill="auto"/>
                <w:lang w:val="en-US" w:eastAsia="zh-CN" w:bidi="en-US"/>
              </w:rPr>
              <w:t>1</w:t>
            </w:r>
            <w:r>
              <w:rPr>
                <w:rFonts w:hint="default" w:ascii="Times New Roman" w:hAnsi="Times New Roman" w:eastAsia="宋体" w:cs="Times New Roman"/>
                <w:color w:val="auto"/>
                <w:kern w:val="2"/>
                <w:sz w:val="24"/>
                <w:szCs w:val="24"/>
                <w:highlight w:val="none"/>
                <w:u w:val="none" w:color="auto"/>
                <w:shd w:val="clear" w:color="auto" w:fill="auto"/>
                <w:lang w:val="en-US" w:eastAsia="zh-CN" w:bidi="en-US"/>
              </w:rPr>
              <w:t>m，核算出来风速为18.</w:t>
            </w:r>
            <w:r>
              <w:rPr>
                <w:rFonts w:hint="eastAsia" w:ascii="Times New Roman" w:hAnsi="Times New Roman" w:cs="Times New Roman"/>
                <w:color w:val="auto"/>
                <w:kern w:val="2"/>
                <w:sz w:val="24"/>
                <w:szCs w:val="24"/>
                <w:highlight w:val="none"/>
                <w:u w:val="none" w:color="auto"/>
                <w:shd w:val="clear" w:color="auto" w:fill="auto"/>
                <w:lang w:val="en-US" w:eastAsia="zh-CN" w:bidi="en-US"/>
              </w:rPr>
              <w:t>3</w:t>
            </w:r>
            <w:r>
              <w:rPr>
                <w:rFonts w:hint="default" w:ascii="Times New Roman" w:hAnsi="Times New Roman" w:eastAsia="宋体" w:cs="Times New Roman"/>
                <w:color w:val="auto"/>
                <w:kern w:val="2"/>
                <w:sz w:val="24"/>
                <w:szCs w:val="24"/>
                <w:highlight w:val="none"/>
                <w:u w:val="none" w:color="auto"/>
                <w:shd w:val="clear" w:color="auto" w:fill="auto"/>
                <w:lang w:val="en-US" w:eastAsia="zh-CN" w:bidi="en-US"/>
              </w:rPr>
              <w:t>m/s，在15-20m/s范围内；DA002排气筒风量为</w:t>
            </w:r>
            <w:r>
              <w:rPr>
                <w:rFonts w:hint="eastAsia" w:ascii="Times New Roman" w:hAnsi="Times New Roman" w:cs="Times New Roman"/>
                <w:color w:val="auto"/>
                <w:kern w:val="2"/>
                <w:sz w:val="24"/>
                <w:szCs w:val="24"/>
                <w:highlight w:val="none"/>
                <w:u w:val="none" w:color="auto"/>
                <w:shd w:val="clear" w:color="auto" w:fill="auto"/>
                <w:lang w:val="en-US" w:eastAsia="zh-CN" w:bidi="en-US"/>
              </w:rPr>
              <w:t>20000</w:t>
            </w:r>
            <w:r>
              <w:rPr>
                <w:rFonts w:hint="default" w:ascii="Times New Roman" w:hAnsi="Times New Roman" w:eastAsia="宋体" w:cs="Times New Roman"/>
                <w:color w:val="auto"/>
                <w:kern w:val="2"/>
                <w:sz w:val="24"/>
                <w:szCs w:val="24"/>
                <w:highlight w:val="none"/>
                <w:u w:val="none" w:color="auto"/>
                <w:shd w:val="clear" w:color="auto" w:fill="auto"/>
                <w:lang w:val="en-US" w:eastAsia="zh-CN" w:bidi="en-US"/>
              </w:rPr>
              <w:t>m</w:t>
            </w:r>
            <w:r>
              <w:rPr>
                <w:rFonts w:hint="default" w:ascii="Times New Roman" w:hAnsi="Times New Roman" w:eastAsia="宋体" w:cs="Times New Roman"/>
                <w:color w:val="auto"/>
                <w:kern w:val="2"/>
                <w:sz w:val="24"/>
                <w:szCs w:val="24"/>
                <w:highlight w:val="none"/>
                <w:u w:val="none" w:color="auto"/>
                <w:shd w:val="clear" w:color="auto" w:fill="auto"/>
                <w:vertAlign w:val="superscript"/>
                <w:lang w:val="en-US" w:eastAsia="zh-CN" w:bidi="en-US"/>
              </w:rPr>
              <w:t>3</w:t>
            </w:r>
            <w:r>
              <w:rPr>
                <w:rFonts w:hint="default" w:ascii="Times New Roman" w:hAnsi="Times New Roman" w:eastAsia="宋体" w:cs="Times New Roman"/>
                <w:color w:val="auto"/>
                <w:kern w:val="2"/>
                <w:sz w:val="24"/>
                <w:szCs w:val="24"/>
                <w:highlight w:val="none"/>
                <w:u w:val="none" w:color="auto"/>
                <w:shd w:val="clear" w:color="auto" w:fill="auto"/>
                <w:lang w:val="en-US" w:eastAsia="zh-CN" w:bidi="en-US"/>
              </w:rPr>
              <w:t>/h，排气筒内径为0.</w:t>
            </w:r>
            <w:r>
              <w:rPr>
                <w:rFonts w:hint="eastAsia" w:ascii="Times New Roman" w:hAnsi="Times New Roman" w:cs="Times New Roman"/>
                <w:color w:val="auto"/>
                <w:kern w:val="2"/>
                <w:sz w:val="24"/>
                <w:szCs w:val="24"/>
                <w:highlight w:val="none"/>
                <w:u w:val="none" w:color="auto"/>
                <w:shd w:val="clear" w:color="auto" w:fill="auto"/>
                <w:lang w:val="en-US" w:eastAsia="zh-CN" w:bidi="en-US"/>
              </w:rPr>
              <w:t>6</w:t>
            </w:r>
            <w:r>
              <w:rPr>
                <w:rFonts w:hint="default" w:ascii="Times New Roman" w:hAnsi="Times New Roman" w:eastAsia="宋体" w:cs="Times New Roman"/>
                <w:color w:val="auto"/>
                <w:kern w:val="2"/>
                <w:sz w:val="24"/>
                <w:szCs w:val="24"/>
                <w:highlight w:val="none"/>
                <w:u w:val="none" w:color="auto"/>
                <w:shd w:val="clear" w:color="auto" w:fill="auto"/>
                <w:lang w:val="en-US" w:eastAsia="zh-CN" w:bidi="en-US"/>
              </w:rPr>
              <w:t>m，核算出来风速为</w:t>
            </w:r>
            <w:r>
              <w:rPr>
                <w:rFonts w:hint="eastAsia" w:ascii="Times New Roman" w:hAnsi="Times New Roman" w:cs="Times New Roman"/>
                <w:color w:val="auto"/>
                <w:kern w:val="2"/>
                <w:sz w:val="24"/>
                <w:szCs w:val="24"/>
                <w:highlight w:val="none"/>
                <w:u w:val="none" w:color="auto"/>
                <w:shd w:val="clear" w:color="auto" w:fill="auto"/>
                <w:lang w:val="en-US" w:eastAsia="zh-CN" w:bidi="en-US"/>
              </w:rPr>
              <w:t>19.6</w:t>
            </w:r>
            <w:r>
              <w:rPr>
                <w:rFonts w:hint="default" w:ascii="Times New Roman" w:hAnsi="Times New Roman" w:eastAsia="宋体" w:cs="Times New Roman"/>
                <w:color w:val="auto"/>
                <w:kern w:val="2"/>
                <w:sz w:val="24"/>
                <w:szCs w:val="24"/>
                <w:highlight w:val="none"/>
                <w:u w:val="none" w:color="auto"/>
                <w:shd w:val="clear" w:color="auto" w:fill="auto"/>
                <w:lang w:val="en-US" w:eastAsia="zh-CN" w:bidi="en-US"/>
              </w:rPr>
              <w:t>m/s，在15-20m/s范围内</w:t>
            </w:r>
            <w:r>
              <w:rPr>
                <w:rFonts w:hint="eastAsia" w:ascii="Times New Roman" w:hAnsi="Times New Roman" w:cs="Times New Roman"/>
                <w:color w:val="auto"/>
                <w:kern w:val="2"/>
                <w:sz w:val="24"/>
                <w:szCs w:val="24"/>
                <w:highlight w:val="none"/>
                <w:u w:val="none" w:color="auto"/>
                <w:shd w:val="clear" w:color="auto" w:fill="auto"/>
                <w:lang w:val="en-US" w:eastAsia="zh-CN" w:bidi="en-US"/>
              </w:rPr>
              <w:t>；DA003排气筒风量为3000m</w:t>
            </w:r>
            <w:r>
              <w:rPr>
                <w:rFonts w:hint="eastAsia" w:ascii="Times New Roman" w:hAnsi="Times New Roman" w:cs="Times New Roman"/>
                <w:color w:val="auto"/>
                <w:kern w:val="2"/>
                <w:sz w:val="24"/>
                <w:szCs w:val="24"/>
                <w:highlight w:val="none"/>
                <w:u w:val="none" w:color="auto"/>
                <w:shd w:val="clear" w:color="auto" w:fill="auto"/>
                <w:vertAlign w:val="superscript"/>
                <w:lang w:val="en-US" w:eastAsia="zh-CN" w:bidi="en-US"/>
              </w:rPr>
              <w:t>3</w:t>
            </w:r>
            <w:r>
              <w:rPr>
                <w:rFonts w:hint="eastAsia" w:ascii="Times New Roman" w:hAnsi="Times New Roman" w:cs="Times New Roman"/>
                <w:color w:val="auto"/>
                <w:kern w:val="2"/>
                <w:sz w:val="24"/>
                <w:szCs w:val="24"/>
                <w:highlight w:val="none"/>
                <w:u w:val="none" w:color="auto"/>
                <w:shd w:val="clear" w:color="auto" w:fill="auto"/>
                <w:lang w:val="en-US" w:eastAsia="zh-CN" w:bidi="en-US"/>
              </w:rPr>
              <w:t>/h，排气筒内径为0.25m，核算出来风速为17.0m/s，在15-20m/s范围内</w:t>
            </w:r>
            <w:r>
              <w:rPr>
                <w:rFonts w:hint="default" w:ascii="Times New Roman" w:hAnsi="Times New Roman" w:eastAsia="宋体" w:cs="Times New Roman"/>
                <w:color w:val="auto"/>
                <w:kern w:val="2"/>
                <w:sz w:val="24"/>
                <w:szCs w:val="24"/>
                <w:highlight w:val="none"/>
                <w:u w:val="none" w:color="auto"/>
                <w:shd w:val="clear" w:color="auto" w:fill="auto"/>
                <w:lang w:val="en-US" w:eastAsia="zh-CN" w:bidi="en-US"/>
              </w:rPr>
              <w:t>。根据前文分析，本项目产生的各污染物排放浓度及排放速率均能够满足</w:t>
            </w:r>
            <w:r>
              <w:rPr>
                <w:rFonts w:hint="eastAsia" w:ascii="Times New Roman" w:hAnsi="Times New Roman" w:cs="Times New Roman"/>
                <w:color w:val="auto"/>
                <w:kern w:val="2"/>
                <w:sz w:val="24"/>
                <w:szCs w:val="24"/>
                <w:highlight w:val="none"/>
                <w:u w:val="none" w:color="auto"/>
                <w:shd w:val="clear" w:color="auto" w:fill="auto"/>
                <w:lang w:val="en-US" w:eastAsia="zh-CN" w:bidi="en-US"/>
              </w:rPr>
              <w:t>达标排放</w:t>
            </w:r>
            <w:r>
              <w:rPr>
                <w:rFonts w:hint="default" w:ascii="Times New Roman" w:hAnsi="Times New Roman" w:eastAsia="宋体" w:cs="Times New Roman"/>
                <w:color w:val="auto"/>
                <w:kern w:val="2"/>
                <w:sz w:val="24"/>
                <w:szCs w:val="24"/>
                <w:highlight w:val="none"/>
                <w:u w:val="none" w:color="auto"/>
                <w:shd w:val="clear" w:color="auto" w:fill="auto"/>
                <w:lang w:val="en-US" w:eastAsia="zh-CN" w:bidi="en-US"/>
              </w:rPr>
              <w:t>要求。</w:t>
            </w:r>
          </w:p>
          <w:p w14:paraId="6EE2583E">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kern w:val="2"/>
                <w:sz w:val="24"/>
                <w:highlight w:val="none"/>
                <w:u w:val="none" w:color="auto"/>
                <w:lang w:val="en-US" w:eastAsia="zh-CN"/>
              </w:rPr>
            </w:pPr>
            <w:r>
              <w:rPr>
                <w:rFonts w:hint="default" w:ascii="Times New Roman" w:hAnsi="Times New Roman" w:eastAsia="宋体" w:cs="Times New Roman"/>
                <w:color w:val="auto"/>
                <w:kern w:val="2"/>
                <w:sz w:val="24"/>
                <w:highlight w:val="none"/>
                <w:u w:val="none" w:color="auto"/>
                <w:lang w:val="en-US" w:eastAsia="zh-CN"/>
              </w:rPr>
              <w:t>本项目颗粒物执行《铸造工业大气污染物排放标准》（GB39726-2020）表1标准限值</w:t>
            </w:r>
            <w:r>
              <w:rPr>
                <w:rFonts w:hint="default" w:ascii="Times New Roman" w:hAnsi="Times New Roman" w:cs="Times New Roman"/>
                <w:color w:val="auto"/>
                <w:kern w:val="2"/>
                <w:sz w:val="24"/>
                <w:highlight w:val="none"/>
                <w:u w:val="none" w:color="auto"/>
                <w:lang w:val="en-US" w:eastAsia="zh-CN"/>
              </w:rPr>
              <w:t>。</w:t>
            </w:r>
            <w:r>
              <w:rPr>
                <w:rFonts w:hint="default" w:ascii="Times New Roman" w:hAnsi="Times New Roman" w:cs="Times New Roman"/>
                <w:color w:val="auto"/>
                <w:kern w:val="2"/>
                <w:sz w:val="24"/>
                <w:u w:val="none" w:color="auto"/>
                <w:lang w:val="en-US" w:eastAsia="zh-CN"/>
              </w:rPr>
              <w:t>依据</w:t>
            </w:r>
            <w:r>
              <w:rPr>
                <w:rFonts w:hint="default" w:ascii="Times New Roman" w:hAnsi="Times New Roman" w:eastAsia="宋体" w:cs="Times New Roman"/>
                <w:color w:val="auto"/>
                <w:kern w:val="2"/>
                <w:sz w:val="24"/>
                <w:highlight w:val="none"/>
                <w:u w:val="none" w:color="auto"/>
                <w:lang w:val="en-US" w:eastAsia="zh-CN"/>
              </w:rPr>
              <w:t>《铸造工业大气污染物排放标准》（GB39726-2020）4.7除移动式除尘设备外，其他车间或生产设施排气筒高度不低于15m，具体高度以及与周围建筑物的相对高度关系应根据环境影响评价文件确定</w:t>
            </w:r>
            <w:r>
              <w:rPr>
                <w:rFonts w:hint="default" w:ascii="Times New Roman" w:hAnsi="Times New Roman" w:cs="Times New Roman"/>
                <w:color w:val="auto"/>
                <w:kern w:val="2"/>
                <w:sz w:val="24"/>
                <w:u w:val="none" w:color="auto"/>
              </w:rPr>
              <w:t>。根据现场调查可知，</w:t>
            </w:r>
            <w:r>
              <w:rPr>
                <w:rFonts w:hint="eastAsia" w:ascii="Times New Roman" w:hAnsi="Times New Roman" w:cs="Times New Roman"/>
                <w:color w:val="auto"/>
                <w:kern w:val="2"/>
                <w:sz w:val="24"/>
                <w:u w:val="none" w:color="auto"/>
                <w:lang w:val="en-US" w:eastAsia="zh-CN"/>
              </w:rPr>
              <w:t>本</w:t>
            </w:r>
            <w:r>
              <w:rPr>
                <w:rFonts w:hint="default" w:ascii="Times New Roman" w:hAnsi="Times New Roman" w:cs="Times New Roman"/>
                <w:color w:val="auto"/>
                <w:kern w:val="2"/>
                <w:sz w:val="24"/>
                <w:u w:val="none" w:color="auto"/>
              </w:rPr>
              <w:t>项目位于</w:t>
            </w:r>
            <w:r>
              <w:rPr>
                <w:rFonts w:hint="default" w:ascii="Times New Roman" w:hAnsi="Times New Roman" w:cs="Times New Roman"/>
                <w:color w:val="auto"/>
                <w:kern w:val="2"/>
                <w:sz w:val="24"/>
                <w:u w:val="none" w:color="auto"/>
                <w:lang w:val="en-US" w:eastAsia="zh-CN"/>
              </w:rPr>
              <w:t>铁力市经济开发区内</w:t>
            </w:r>
            <w:r>
              <w:rPr>
                <w:rFonts w:hint="default" w:ascii="Times New Roman" w:hAnsi="Times New Roman" w:cs="Times New Roman"/>
                <w:color w:val="auto"/>
                <w:kern w:val="2"/>
                <w:sz w:val="24"/>
                <w:u w:val="none" w:color="auto"/>
              </w:rPr>
              <w:t>，</w:t>
            </w:r>
            <w:r>
              <w:rPr>
                <w:rFonts w:hint="default" w:ascii="Times New Roman" w:hAnsi="Times New Roman" w:cs="Times New Roman"/>
                <w:color w:val="auto"/>
                <w:kern w:val="2"/>
                <w:sz w:val="24"/>
                <w:u w:val="none" w:color="auto"/>
                <w:lang w:val="en-US" w:eastAsia="zh-CN"/>
              </w:rPr>
              <w:t>周边200m范围内均为生产厂房，无居民等敏感点，本项目废气对周围环境空气影响可接受</w:t>
            </w:r>
            <w:r>
              <w:rPr>
                <w:rFonts w:hint="default" w:ascii="Times New Roman" w:hAnsi="Times New Roman" w:cs="Times New Roman"/>
                <w:color w:val="auto"/>
                <w:kern w:val="2"/>
                <w:sz w:val="24"/>
                <w:u w:val="none" w:color="auto"/>
              </w:rPr>
              <w:t>。</w:t>
            </w:r>
            <w:r>
              <w:rPr>
                <w:rFonts w:hint="default" w:ascii="Times New Roman" w:hAnsi="Times New Roman" w:eastAsia="宋体" w:cs="Times New Roman"/>
                <w:color w:val="auto"/>
                <w:kern w:val="2"/>
                <w:sz w:val="24"/>
                <w:highlight w:val="none"/>
                <w:u w:val="none" w:color="auto"/>
                <w:lang w:val="en-US" w:eastAsia="zh-CN"/>
              </w:rPr>
              <w:t>本项目设置</w:t>
            </w:r>
            <w:r>
              <w:rPr>
                <w:rFonts w:hint="eastAsia" w:ascii="Times New Roman" w:hAnsi="Times New Roman" w:cs="Times New Roman"/>
                <w:color w:val="auto"/>
                <w:kern w:val="2"/>
                <w:sz w:val="24"/>
                <w:highlight w:val="none"/>
                <w:u w:val="none" w:color="auto"/>
                <w:lang w:val="en-US" w:eastAsia="zh-CN"/>
              </w:rPr>
              <w:t>3</w:t>
            </w:r>
            <w:r>
              <w:rPr>
                <w:rFonts w:hint="default" w:ascii="Times New Roman" w:hAnsi="Times New Roman" w:eastAsia="宋体" w:cs="Times New Roman"/>
                <w:color w:val="auto"/>
                <w:kern w:val="2"/>
                <w:sz w:val="24"/>
                <w:highlight w:val="none"/>
                <w:u w:val="none" w:color="auto"/>
                <w:lang w:val="en-US" w:eastAsia="zh-CN"/>
              </w:rPr>
              <w:t>根排气筒，高度</w:t>
            </w:r>
            <w:r>
              <w:rPr>
                <w:rFonts w:hint="eastAsia" w:ascii="Times New Roman" w:hAnsi="Times New Roman" w:cs="Times New Roman"/>
                <w:color w:val="auto"/>
                <w:kern w:val="2"/>
                <w:sz w:val="24"/>
                <w:highlight w:val="none"/>
                <w:u w:val="none" w:color="auto"/>
                <w:lang w:val="en-US" w:eastAsia="zh-CN"/>
              </w:rPr>
              <w:t>均</w:t>
            </w:r>
            <w:r>
              <w:rPr>
                <w:rFonts w:hint="default" w:ascii="Times New Roman" w:hAnsi="Times New Roman" w:eastAsia="宋体" w:cs="Times New Roman"/>
                <w:color w:val="auto"/>
                <w:kern w:val="2"/>
                <w:sz w:val="24"/>
                <w:highlight w:val="none"/>
                <w:u w:val="none" w:color="auto"/>
                <w:lang w:val="en-US" w:eastAsia="zh-CN"/>
              </w:rPr>
              <w:t>为15m（排气筒高度以地面计）</w:t>
            </w:r>
            <w:r>
              <w:rPr>
                <w:rFonts w:hint="eastAsia" w:ascii="Times New Roman" w:hAnsi="Times New Roman" w:cs="Times New Roman"/>
                <w:color w:val="auto"/>
                <w:kern w:val="2"/>
                <w:sz w:val="24"/>
                <w:highlight w:val="none"/>
                <w:u w:val="none" w:color="auto"/>
                <w:lang w:val="en-US" w:eastAsia="zh-CN"/>
              </w:rPr>
              <w:t>设置合理</w:t>
            </w:r>
            <w:r>
              <w:rPr>
                <w:rFonts w:hint="default" w:ascii="Times New Roman" w:hAnsi="Times New Roman" w:cs="Times New Roman"/>
                <w:color w:val="auto"/>
                <w:kern w:val="2"/>
                <w:sz w:val="24"/>
                <w:u w:val="none" w:color="auto"/>
              </w:rPr>
              <w:t>。</w:t>
            </w:r>
          </w:p>
          <w:p w14:paraId="78821FE1">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1.10排气筒规范化设置要求</w:t>
            </w:r>
          </w:p>
          <w:p w14:paraId="1B739335">
            <w:pPr>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1"/>
              <w:rPr>
                <w:rFonts w:hint="default" w:ascii="Times New Roman" w:hAnsi="Times New Roman" w:eastAsia="宋体" w:cs="Times New Roman"/>
                <w:b w:val="0"/>
                <w:bCs/>
                <w:color w:val="auto"/>
                <w:kern w:val="2"/>
                <w:sz w:val="24"/>
                <w:szCs w:val="32"/>
                <w:u w:val="none" w:color="auto"/>
                <w:lang w:val="en-US" w:eastAsia="zh-CN" w:bidi="ar-SA"/>
              </w:rPr>
            </w:pPr>
            <w:r>
              <w:rPr>
                <w:rFonts w:hint="default" w:ascii="Times New Roman" w:hAnsi="Times New Roman" w:eastAsia="宋体" w:cs="Times New Roman"/>
                <w:b w:val="0"/>
                <w:bCs/>
                <w:color w:val="auto"/>
                <w:kern w:val="2"/>
                <w:sz w:val="24"/>
                <w:szCs w:val="32"/>
                <w:u w:val="none" w:color="auto"/>
                <w:lang w:val="en-US" w:eastAsia="zh-CN" w:bidi="ar-SA"/>
              </w:rPr>
              <w:t>《中华人民共和国大气污染防治法》中明确指出，企事业单位和其他生产经营者向大气排放污染物的，应当依照法律法规和国务院生态环境主管部门的规定设置大气污染物排放口。</w:t>
            </w:r>
          </w:p>
          <w:p w14:paraId="0E644E84">
            <w:pPr>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1"/>
              <w:rPr>
                <w:rFonts w:hint="default" w:ascii="Times New Roman" w:hAnsi="Times New Roman" w:eastAsia="宋体" w:cs="Times New Roman"/>
                <w:b w:val="0"/>
                <w:bCs/>
                <w:color w:val="auto"/>
                <w:kern w:val="2"/>
                <w:sz w:val="24"/>
                <w:szCs w:val="32"/>
                <w:u w:val="none" w:color="auto"/>
                <w:lang w:val="en-US" w:eastAsia="zh-CN" w:bidi="ar-SA"/>
              </w:rPr>
            </w:pPr>
            <w:r>
              <w:rPr>
                <w:rFonts w:hint="default" w:ascii="Times New Roman" w:hAnsi="Times New Roman" w:eastAsia="宋体" w:cs="Times New Roman"/>
                <w:b w:val="0"/>
                <w:bCs/>
                <w:color w:val="auto"/>
                <w:kern w:val="2"/>
                <w:sz w:val="24"/>
                <w:szCs w:val="32"/>
                <w:u w:val="none" w:color="auto"/>
                <w:lang w:val="en-US" w:eastAsia="zh-CN" w:bidi="ar-SA"/>
              </w:rPr>
              <w:t>1）本项目设置</w:t>
            </w:r>
            <w:r>
              <w:rPr>
                <w:rFonts w:hint="eastAsia" w:ascii="Times New Roman" w:hAnsi="Times New Roman" w:cs="Times New Roman"/>
                <w:b w:val="0"/>
                <w:bCs/>
                <w:color w:val="auto"/>
                <w:kern w:val="2"/>
                <w:sz w:val="24"/>
                <w:szCs w:val="32"/>
                <w:u w:val="none" w:color="auto"/>
                <w:lang w:val="en-US" w:eastAsia="zh-CN" w:bidi="ar-SA"/>
              </w:rPr>
              <w:t>3</w:t>
            </w:r>
            <w:r>
              <w:rPr>
                <w:rFonts w:hint="default" w:ascii="Times New Roman" w:hAnsi="Times New Roman" w:eastAsia="宋体" w:cs="Times New Roman"/>
                <w:b w:val="0"/>
                <w:bCs/>
                <w:color w:val="auto"/>
                <w:kern w:val="2"/>
                <w:sz w:val="24"/>
                <w:szCs w:val="32"/>
                <w:u w:val="none" w:color="auto"/>
                <w:lang w:val="en-US" w:eastAsia="zh-CN" w:bidi="ar-SA"/>
              </w:rPr>
              <w:t>个15m高排气筒。</w:t>
            </w:r>
          </w:p>
          <w:p w14:paraId="4F877E19">
            <w:pPr>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1"/>
              <w:rPr>
                <w:rFonts w:hint="default" w:ascii="Times New Roman" w:hAnsi="Times New Roman" w:eastAsia="宋体" w:cs="Times New Roman"/>
                <w:b/>
                <w:bCs/>
                <w:color w:val="auto"/>
                <w:kern w:val="2"/>
                <w:sz w:val="24"/>
                <w:szCs w:val="32"/>
                <w:u w:val="none" w:color="auto"/>
                <w:lang w:val="en-US" w:eastAsia="zh-CN" w:bidi="ar-SA"/>
              </w:rPr>
            </w:pPr>
            <w:r>
              <w:rPr>
                <w:rFonts w:hint="default" w:ascii="Times New Roman" w:hAnsi="Times New Roman" w:eastAsia="宋体" w:cs="Times New Roman"/>
                <w:b w:val="0"/>
                <w:bCs/>
                <w:color w:val="auto"/>
                <w:kern w:val="2"/>
                <w:sz w:val="24"/>
                <w:szCs w:val="32"/>
                <w:u w:val="none" w:color="auto"/>
                <w:lang w:val="en-US" w:eastAsia="zh-CN" w:bidi="ar-SA"/>
              </w:rPr>
              <w:t>2）应按规范设置标识标牌。</w:t>
            </w:r>
          </w:p>
          <w:p w14:paraId="3D6B9D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4"/>
                <w:u w:val="none" w:color="auto"/>
              </w:rPr>
              <w:t>3）在处理设施出口设置废气监测采样口。</w:t>
            </w:r>
          </w:p>
          <w:p w14:paraId="17A3AB92">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1.1</w:t>
            </w:r>
            <w:r>
              <w:rPr>
                <w:rFonts w:hint="eastAsia" w:ascii="Times New Roman" w:hAnsi="Times New Roman" w:cs="Times New Roman"/>
                <w:b/>
                <w:bCs/>
                <w:color w:val="auto"/>
                <w:sz w:val="24"/>
                <w:szCs w:val="24"/>
                <w:highlight w:val="none"/>
                <w:lang w:val="en-US" w:eastAsia="zh-CN"/>
              </w:rPr>
              <w:t>1自行监测计划</w:t>
            </w:r>
          </w:p>
          <w:p w14:paraId="39C3ECC7">
            <w:pPr>
              <w:keepNext w:val="0"/>
              <w:keepLines w:val="0"/>
              <w:numPr>
                <w:ilvl w:val="0"/>
                <w:numId w:val="0"/>
              </w:numPr>
              <w:suppressLineNumbers w:val="0"/>
              <w:spacing w:before="0" w:beforeAutospacing="0" w:after="0" w:afterAutospacing="0"/>
              <w:ind w:left="0" w:right="0" w:firstLine="480" w:firstLineChars="200"/>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根据《排污单位自行监测技术指南 金属铸造工业》（HJ1251-2022）要求对企业废气污染源进行监测，监测的实施可以根据实际情况由厂方自测或委托有资质的环境监测单位监测。本项目废气监测计划如表4-</w:t>
            </w:r>
            <w:r>
              <w:rPr>
                <w:rFonts w:hint="eastAsia" w:ascii="Times New Roman" w:hAnsi="Times New Roman" w:cs="Times New Roman"/>
                <w:b w:val="0"/>
                <w:bCs w:val="0"/>
                <w:color w:val="auto"/>
                <w:sz w:val="24"/>
                <w:szCs w:val="24"/>
                <w:highlight w:val="none"/>
                <w:lang w:val="en-US" w:eastAsia="zh-CN"/>
              </w:rPr>
              <w:t>13</w:t>
            </w:r>
            <w:r>
              <w:rPr>
                <w:rFonts w:hint="default" w:ascii="Times New Roman" w:hAnsi="Times New Roman" w:eastAsia="宋体" w:cs="Times New Roman"/>
                <w:b w:val="0"/>
                <w:bCs w:val="0"/>
                <w:color w:val="auto"/>
                <w:sz w:val="24"/>
                <w:szCs w:val="24"/>
                <w:highlight w:val="none"/>
                <w:lang w:val="en-US" w:eastAsia="zh-CN"/>
              </w:rPr>
              <w:t>、4-1</w:t>
            </w:r>
            <w:r>
              <w:rPr>
                <w:rFonts w:hint="eastAsia" w:ascii="Times New Roman" w:hAnsi="Times New Roman" w:cs="Times New Roman"/>
                <w:b w:val="0"/>
                <w:bCs w:val="0"/>
                <w:color w:val="auto"/>
                <w:sz w:val="24"/>
                <w:szCs w:val="24"/>
                <w:highlight w:val="none"/>
                <w:lang w:val="en-US" w:eastAsia="zh-CN"/>
              </w:rPr>
              <w:t>4</w:t>
            </w:r>
            <w:r>
              <w:rPr>
                <w:rFonts w:hint="default" w:ascii="Times New Roman" w:hAnsi="Times New Roman" w:eastAsia="宋体" w:cs="Times New Roman"/>
                <w:b w:val="0"/>
                <w:bCs w:val="0"/>
                <w:color w:val="auto"/>
                <w:sz w:val="24"/>
                <w:szCs w:val="24"/>
                <w:highlight w:val="none"/>
                <w:lang w:val="en-US" w:eastAsia="zh-CN"/>
              </w:rPr>
              <w:t>所示</w:t>
            </w:r>
            <w:r>
              <w:rPr>
                <w:rFonts w:hint="eastAsia" w:ascii="Times New Roman" w:hAnsi="Times New Roman" w:cs="Times New Roman"/>
                <w:b w:val="0"/>
                <w:bCs w:val="0"/>
                <w:color w:val="auto"/>
                <w:sz w:val="24"/>
                <w:szCs w:val="24"/>
                <w:highlight w:val="none"/>
                <w:lang w:val="en-US" w:eastAsia="zh-CN"/>
              </w:rPr>
              <w:t>。</w:t>
            </w:r>
          </w:p>
          <w:p w14:paraId="09DFBB2A">
            <w:pPr>
              <w:keepNext w:val="0"/>
              <w:keepLines w:val="0"/>
              <w:numPr>
                <w:ilvl w:val="0"/>
                <w:numId w:val="0"/>
              </w:numPr>
              <w:suppressLineNumbers w:val="0"/>
              <w:spacing w:before="0" w:beforeAutospacing="0" w:after="0" w:afterAutospacing="0"/>
              <w:ind w:left="0" w:right="0" w:firstLine="480" w:firstLineChars="200"/>
              <w:jc w:val="both"/>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（1）有组织废气监测指标及最低监测频次</w:t>
            </w:r>
          </w:p>
          <w:p w14:paraId="07A832FB">
            <w:pPr>
              <w:keepNext w:val="0"/>
              <w:keepLines/>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b/>
                <w:color w:val="auto"/>
                <w:kern w:val="2"/>
                <w:sz w:val="21"/>
                <w:szCs w:val="21"/>
                <w:u w:val="none" w:color="auto"/>
              </w:rPr>
            </w:pPr>
            <w:r>
              <w:rPr>
                <w:rFonts w:hint="eastAsia" w:ascii="Times New Roman" w:hAnsi="Times New Roman" w:eastAsia="宋体" w:cs="Times New Roman"/>
                <w:b/>
                <w:color w:val="auto"/>
                <w:kern w:val="2"/>
                <w:sz w:val="21"/>
                <w:szCs w:val="21"/>
                <w:u w:val="none" w:color="auto"/>
              </w:rPr>
              <w:t>表4-</w:t>
            </w:r>
            <w:r>
              <w:rPr>
                <w:rFonts w:hint="eastAsia" w:ascii="Times New Roman" w:hAnsi="Times New Roman" w:eastAsia="宋体" w:cs="Times New Roman"/>
                <w:b/>
                <w:color w:val="auto"/>
                <w:kern w:val="2"/>
                <w:sz w:val="21"/>
                <w:szCs w:val="21"/>
                <w:u w:val="none" w:color="auto"/>
                <w:lang w:val="en-US" w:eastAsia="zh-CN"/>
              </w:rPr>
              <w:t xml:space="preserve">13 </w:t>
            </w:r>
            <w:r>
              <w:rPr>
                <w:rFonts w:hint="eastAsia" w:ascii="Times New Roman" w:hAnsi="Times New Roman" w:eastAsia="宋体" w:cs="Times New Roman"/>
                <w:b/>
                <w:color w:val="auto"/>
                <w:kern w:val="2"/>
                <w:sz w:val="21"/>
                <w:szCs w:val="21"/>
                <w:u w:val="none" w:color="auto"/>
              </w:rPr>
              <w:t>项目有组织废气监测方案</w:t>
            </w:r>
          </w:p>
          <w:tbl>
            <w:tblPr>
              <w:tblStyle w:val="56"/>
              <w:tblW w:w="494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39"/>
              <w:gridCol w:w="916"/>
              <w:gridCol w:w="1223"/>
              <w:gridCol w:w="1336"/>
              <w:gridCol w:w="1225"/>
              <w:gridCol w:w="1969"/>
            </w:tblGrid>
            <w:tr w14:paraId="6B646D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4" w:hRule="atLeast"/>
                <w:jc w:val="center"/>
              </w:trPr>
              <w:tc>
                <w:tcPr>
                  <w:tcW w:w="1539"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2F55BA66">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pacing w:val="-3"/>
                      <w:sz w:val="21"/>
                      <w:szCs w:val="21"/>
                    </w:rPr>
                    <w:t>生产工序</w:t>
                  </w:r>
                </w:p>
              </w:tc>
              <w:tc>
                <w:tcPr>
                  <w:tcW w:w="916"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2DAA45E5">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pacing w:val="-3"/>
                      <w:sz w:val="21"/>
                      <w:szCs w:val="21"/>
                    </w:rPr>
                    <w:t>监测点位</w:t>
                  </w:r>
                </w:p>
              </w:tc>
              <w:tc>
                <w:tcPr>
                  <w:tcW w:w="1223"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19787237">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pacing w:val="-3"/>
                      <w:sz w:val="21"/>
                      <w:szCs w:val="21"/>
                    </w:rPr>
                    <w:t>监测指标</w:t>
                  </w:r>
                </w:p>
              </w:tc>
              <w:tc>
                <w:tcPr>
                  <w:tcW w:w="1336"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13DD7657">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pacing w:val="-4"/>
                      <w:sz w:val="21"/>
                      <w:szCs w:val="21"/>
                    </w:rPr>
                    <w:t>监测频次</w:t>
                  </w:r>
                </w:p>
              </w:tc>
              <w:tc>
                <w:tcPr>
                  <w:tcW w:w="3194" w:type="dxa"/>
                  <w:gridSpan w:val="2"/>
                  <w:tcBorders>
                    <w:top w:val="single" w:color="000000" w:sz="4" w:space="0"/>
                    <w:left w:val="single" w:color="000000" w:sz="4" w:space="0"/>
                    <w:bottom w:val="single" w:color="000000" w:sz="4" w:space="0"/>
                    <w:right w:val="single" w:color="000000" w:sz="4" w:space="0"/>
                    <w:tl2br w:val="nil"/>
                    <w:tr2bl w:val="nil"/>
                  </w:tcBorders>
                  <w:noWrap w:val="0"/>
                  <w:vAlign w:val="center"/>
                </w:tcPr>
                <w:p w14:paraId="6D3877B6">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pacing w:val="-3"/>
                      <w:sz w:val="21"/>
                      <w:szCs w:val="21"/>
                    </w:rPr>
                    <w:t>执行排放标准</w:t>
                  </w:r>
                </w:p>
              </w:tc>
            </w:tr>
            <w:tr w14:paraId="75B12A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9" w:hRule="atLeast"/>
                <w:jc w:val="center"/>
              </w:trPr>
              <w:tc>
                <w:tcPr>
                  <w:tcW w:w="1539"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2FBD1476">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pacing w:val="-2"/>
                      <w:sz w:val="21"/>
                      <w:szCs w:val="21"/>
                      <w:lang w:val="en-US" w:eastAsia="zh-CN"/>
                    </w:rPr>
                    <w:t>浇铸</w:t>
                  </w:r>
                </w:p>
              </w:tc>
              <w:tc>
                <w:tcPr>
                  <w:tcW w:w="916"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4C390282">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DA001</w:t>
                  </w:r>
                </w:p>
              </w:tc>
              <w:tc>
                <w:tcPr>
                  <w:tcW w:w="1223"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0B0EE450">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颗粒物</w:t>
                  </w:r>
                </w:p>
              </w:tc>
              <w:tc>
                <w:tcPr>
                  <w:tcW w:w="1336"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1090A3EA">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0"/>
                      <w:sz w:val="21"/>
                      <w:szCs w:val="21"/>
                    </w:rPr>
                    <w:t>1</w:t>
                  </w:r>
                  <w:r>
                    <w:rPr>
                      <w:rFonts w:hint="default" w:ascii="Times New Roman" w:hAnsi="Times New Roman" w:eastAsia="宋体" w:cs="Times New Roman"/>
                      <w:color w:val="auto"/>
                      <w:spacing w:val="-9"/>
                      <w:sz w:val="21"/>
                      <w:szCs w:val="21"/>
                    </w:rPr>
                    <w:t>次/</w:t>
                  </w:r>
                  <w:r>
                    <w:rPr>
                      <w:rFonts w:hint="default" w:ascii="Times New Roman" w:hAnsi="Times New Roman" w:eastAsia="宋体" w:cs="Times New Roman"/>
                      <w:color w:val="auto"/>
                      <w:sz w:val="21"/>
                      <w:szCs w:val="21"/>
                    </w:rPr>
                    <w:t>年</w:t>
                  </w:r>
                </w:p>
              </w:tc>
              <w:tc>
                <w:tcPr>
                  <w:tcW w:w="1225"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2EFD2773">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30mg/m³</w:t>
                  </w:r>
                </w:p>
              </w:tc>
              <w:tc>
                <w:tcPr>
                  <w:tcW w:w="1969" w:type="dxa"/>
                  <w:vMerge w:val="restart"/>
                  <w:tcBorders>
                    <w:top w:val="single" w:color="000000" w:sz="4" w:space="0"/>
                    <w:left w:val="single" w:color="000000" w:sz="4" w:space="0"/>
                    <w:right w:val="single" w:color="000000" w:sz="4" w:space="0"/>
                    <w:tl2br w:val="nil"/>
                    <w:tr2bl w:val="nil"/>
                  </w:tcBorders>
                  <w:noWrap w:val="0"/>
                  <w:vAlign w:val="center"/>
                </w:tcPr>
                <w:p w14:paraId="2A81CE86">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textAlignment w:val="auto"/>
                    <w:rPr>
                      <w:rFonts w:hint="eastAsia" w:ascii="Times New Roman" w:hAnsi="Times New Roman" w:eastAsia="宋体" w:cs="Times New Roman"/>
                      <w:color w:val="auto"/>
                      <w:spacing w:val="-2"/>
                      <w:sz w:val="21"/>
                      <w:szCs w:val="21"/>
                      <w:lang w:val="en-US" w:eastAsia="zh-CN"/>
                    </w:rPr>
                  </w:pPr>
                  <w:r>
                    <w:rPr>
                      <w:rFonts w:hint="default" w:ascii="Times New Roman" w:hAnsi="Times New Roman" w:eastAsia="宋体" w:cs="Times New Roman"/>
                      <w:color w:val="auto"/>
                      <w:spacing w:val="-2"/>
                      <w:sz w:val="21"/>
                      <w:szCs w:val="21"/>
                    </w:rPr>
                    <w:t>《铸造工业大气污染物排放标准》</w:t>
                  </w:r>
                  <w:r>
                    <w:rPr>
                      <w:rFonts w:hint="eastAsia" w:ascii="Times New Roman" w:hAnsi="Times New Roman" w:cs="Times New Roman"/>
                      <w:color w:val="auto"/>
                      <w:spacing w:val="-2"/>
                      <w:sz w:val="21"/>
                      <w:szCs w:val="21"/>
                      <w:lang w:eastAsia="zh-CN"/>
                    </w:rPr>
                    <w:t>（</w:t>
                  </w:r>
                  <w:r>
                    <w:rPr>
                      <w:rFonts w:hint="default" w:ascii="Times New Roman" w:hAnsi="Times New Roman" w:eastAsia="宋体" w:cs="Times New Roman"/>
                      <w:color w:val="auto"/>
                      <w:spacing w:val="-2"/>
                      <w:sz w:val="21"/>
                      <w:szCs w:val="21"/>
                    </w:rPr>
                    <w:t>GB39726-2020</w:t>
                  </w:r>
                  <w:r>
                    <w:rPr>
                      <w:rFonts w:hint="eastAsia" w:ascii="Times New Roman" w:hAnsi="Times New Roman" w:cs="Times New Roman"/>
                      <w:color w:val="auto"/>
                      <w:spacing w:val="-2"/>
                      <w:sz w:val="21"/>
                      <w:szCs w:val="21"/>
                      <w:lang w:eastAsia="zh-CN"/>
                    </w:rPr>
                    <w:t>）</w:t>
                  </w:r>
                  <w:r>
                    <w:rPr>
                      <w:rFonts w:hint="default" w:ascii="Times New Roman" w:hAnsi="Times New Roman" w:eastAsia="宋体" w:cs="Times New Roman"/>
                      <w:color w:val="auto"/>
                      <w:spacing w:val="-2"/>
                      <w:sz w:val="21"/>
                      <w:szCs w:val="21"/>
                    </w:rPr>
                    <w:t>表</w:t>
                  </w:r>
                  <w:r>
                    <w:rPr>
                      <w:rFonts w:hint="eastAsia" w:ascii="Times New Roman" w:hAnsi="Times New Roman" w:eastAsia="宋体" w:cs="Times New Roman"/>
                      <w:color w:val="auto"/>
                      <w:spacing w:val="-2"/>
                      <w:sz w:val="21"/>
                      <w:szCs w:val="21"/>
                      <w:lang w:val="en-US" w:eastAsia="zh-CN"/>
                    </w:rPr>
                    <w:t>1</w:t>
                  </w:r>
                </w:p>
              </w:tc>
            </w:tr>
            <w:tr w14:paraId="74D69C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jc w:val="center"/>
              </w:trPr>
              <w:tc>
                <w:tcPr>
                  <w:tcW w:w="1539" w:type="dxa"/>
                  <w:tcBorders>
                    <w:top w:val="single" w:color="000000" w:sz="4" w:space="0"/>
                    <w:left w:val="single" w:color="000000" w:sz="4" w:space="0"/>
                    <w:bottom w:val="nil"/>
                    <w:right w:val="single" w:color="000000" w:sz="4" w:space="0"/>
                    <w:tl2br w:val="nil"/>
                    <w:tr2bl w:val="nil"/>
                  </w:tcBorders>
                  <w:noWrap w:val="0"/>
                  <w:vAlign w:val="center"/>
                </w:tcPr>
                <w:p w14:paraId="3FDE9DE8">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pacing w:val="-9"/>
                      <w:sz w:val="21"/>
                      <w:szCs w:val="21"/>
                      <w:lang w:val="en-US" w:eastAsia="zh-CN"/>
                    </w:rPr>
                    <w:t>熔炼</w:t>
                  </w:r>
                  <w:r>
                    <w:rPr>
                      <w:rFonts w:hint="default" w:ascii="Times New Roman" w:hAnsi="Times New Roman" w:eastAsia="宋体" w:cs="Times New Roman"/>
                      <w:color w:val="auto"/>
                      <w:spacing w:val="-9"/>
                      <w:sz w:val="21"/>
                      <w:szCs w:val="21"/>
                    </w:rPr>
                    <w:t>、</w:t>
                  </w:r>
                  <w:r>
                    <w:rPr>
                      <w:rFonts w:hint="eastAsia" w:ascii="Times New Roman" w:hAnsi="Times New Roman" w:eastAsia="宋体" w:cs="Times New Roman"/>
                      <w:color w:val="auto"/>
                      <w:spacing w:val="-9"/>
                      <w:sz w:val="21"/>
                      <w:szCs w:val="21"/>
                      <w:lang w:val="en-US" w:eastAsia="zh-CN"/>
                    </w:rPr>
                    <w:t>造型</w:t>
                  </w:r>
                  <w:r>
                    <w:rPr>
                      <w:rFonts w:hint="default" w:ascii="Times New Roman" w:hAnsi="Times New Roman" w:eastAsia="宋体" w:cs="Times New Roman"/>
                      <w:color w:val="auto"/>
                      <w:spacing w:val="2"/>
                      <w:sz w:val="21"/>
                      <w:szCs w:val="21"/>
                    </w:rPr>
                    <w:t>、</w:t>
                  </w:r>
                  <w:r>
                    <w:rPr>
                      <w:rFonts w:hint="eastAsia" w:ascii="Times New Roman" w:hAnsi="Times New Roman" w:eastAsia="宋体" w:cs="Times New Roman"/>
                      <w:color w:val="auto"/>
                      <w:spacing w:val="2"/>
                      <w:sz w:val="21"/>
                      <w:szCs w:val="21"/>
                      <w:lang w:val="en-US" w:eastAsia="zh-CN"/>
                    </w:rPr>
                    <w:t>打磨清理、</w:t>
                  </w:r>
                  <w:r>
                    <w:rPr>
                      <w:rFonts w:hint="default" w:ascii="Times New Roman" w:hAnsi="Times New Roman" w:eastAsia="宋体" w:cs="Times New Roman"/>
                      <w:color w:val="auto"/>
                      <w:spacing w:val="-1"/>
                      <w:sz w:val="21"/>
                      <w:szCs w:val="21"/>
                    </w:rPr>
                    <w:t>砂处理</w:t>
                  </w:r>
                </w:p>
              </w:tc>
              <w:tc>
                <w:tcPr>
                  <w:tcW w:w="916" w:type="dxa"/>
                  <w:tcBorders>
                    <w:top w:val="single" w:color="000000" w:sz="4" w:space="0"/>
                    <w:left w:val="single" w:color="000000" w:sz="4" w:space="0"/>
                    <w:bottom w:val="nil"/>
                    <w:right w:val="single" w:color="000000" w:sz="4" w:space="0"/>
                    <w:tl2br w:val="nil"/>
                    <w:tr2bl w:val="nil"/>
                  </w:tcBorders>
                  <w:noWrap w:val="0"/>
                  <w:vAlign w:val="center"/>
                </w:tcPr>
                <w:p w14:paraId="7FE613A4">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DA002</w:t>
                  </w:r>
                </w:p>
              </w:tc>
              <w:tc>
                <w:tcPr>
                  <w:tcW w:w="1223"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6A474937">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颗粒物</w:t>
                  </w:r>
                </w:p>
              </w:tc>
              <w:tc>
                <w:tcPr>
                  <w:tcW w:w="1336"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24CBDB71">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0"/>
                      <w:sz w:val="21"/>
                      <w:szCs w:val="21"/>
                    </w:rPr>
                    <w:t>1</w:t>
                  </w:r>
                  <w:r>
                    <w:rPr>
                      <w:rFonts w:hint="default" w:ascii="Times New Roman" w:hAnsi="Times New Roman" w:eastAsia="宋体" w:cs="Times New Roman"/>
                      <w:color w:val="auto"/>
                      <w:spacing w:val="-9"/>
                      <w:sz w:val="21"/>
                      <w:szCs w:val="21"/>
                    </w:rPr>
                    <w:t>次/</w:t>
                  </w:r>
                  <w:r>
                    <w:rPr>
                      <w:rFonts w:hint="default" w:ascii="Times New Roman" w:hAnsi="Times New Roman" w:eastAsia="宋体" w:cs="Times New Roman"/>
                      <w:color w:val="auto"/>
                      <w:sz w:val="21"/>
                      <w:szCs w:val="21"/>
                    </w:rPr>
                    <w:t>年</w:t>
                  </w:r>
                </w:p>
              </w:tc>
              <w:tc>
                <w:tcPr>
                  <w:tcW w:w="1225"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1B2D886D">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30mg/m³</w:t>
                  </w:r>
                </w:p>
              </w:tc>
              <w:tc>
                <w:tcPr>
                  <w:tcW w:w="1969" w:type="dxa"/>
                  <w:vMerge w:val="continue"/>
                  <w:tcBorders>
                    <w:left w:val="single" w:color="000000" w:sz="4" w:space="0"/>
                    <w:right w:val="single" w:color="000000" w:sz="4" w:space="0"/>
                    <w:tl2br w:val="nil"/>
                    <w:tr2bl w:val="nil"/>
                  </w:tcBorders>
                  <w:noWrap w:val="0"/>
                  <w:vAlign w:val="center"/>
                </w:tcPr>
                <w:p w14:paraId="6C1918F1">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textAlignment w:val="auto"/>
                    <w:rPr>
                      <w:rFonts w:hint="default" w:ascii="Times New Roman" w:hAnsi="Times New Roman" w:eastAsia="宋体" w:cs="Times New Roman"/>
                      <w:color w:val="auto"/>
                      <w:spacing w:val="-2"/>
                      <w:sz w:val="21"/>
                      <w:szCs w:val="21"/>
                    </w:rPr>
                  </w:pPr>
                </w:p>
              </w:tc>
            </w:tr>
            <w:tr w14:paraId="7C8C7A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8" w:hRule="atLeast"/>
                <w:jc w:val="center"/>
              </w:trPr>
              <w:tc>
                <w:tcPr>
                  <w:tcW w:w="1539" w:type="dxa"/>
                  <w:vMerge w:val="restart"/>
                  <w:tcBorders>
                    <w:top w:val="single" w:color="000000" w:sz="4" w:space="0"/>
                    <w:left w:val="single" w:color="000000" w:sz="4" w:space="0"/>
                    <w:right w:val="single" w:color="000000" w:sz="4" w:space="0"/>
                    <w:tl2br w:val="nil"/>
                    <w:tr2bl w:val="nil"/>
                  </w:tcBorders>
                  <w:noWrap w:val="0"/>
                  <w:vAlign w:val="center"/>
                </w:tcPr>
                <w:p w14:paraId="2D0C9C8B">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淬火、回火</w:t>
                  </w:r>
                </w:p>
              </w:tc>
              <w:tc>
                <w:tcPr>
                  <w:tcW w:w="916" w:type="dxa"/>
                  <w:vMerge w:val="restart"/>
                  <w:tcBorders>
                    <w:top w:val="single" w:color="000000" w:sz="4" w:space="0"/>
                    <w:left w:val="single" w:color="000000" w:sz="4" w:space="0"/>
                    <w:right w:val="single" w:color="000000" w:sz="4" w:space="0"/>
                    <w:tl2br w:val="nil"/>
                    <w:tr2bl w:val="nil"/>
                  </w:tcBorders>
                  <w:noWrap w:val="0"/>
                  <w:vAlign w:val="center"/>
                </w:tcPr>
                <w:p w14:paraId="2DB8AE38">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DA003</w:t>
                  </w:r>
                </w:p>
              </w:tc>
              <w:tc>
                <w:tcPr>
                  <w:tcW w:w="1223"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61921C84">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颗粒物</w:t>
                  </w:r>
                </w:p>
              </w:tc>
              <w:tc>
                <w:tcPr>
                  <w:tcW w:w="1336"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6210CFCA">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0"/>
                      <w:sz w:val="21"/>
                      <w:szCs w:val="21"/>
                    </w:rPr>
                    <w:t>1</w:t>
                  </w:r>
                  <w:r>
                    <w:rPr>
                      <w:rFonts w:hint="default" w:ascii="Times New Roman" w:hAnsi="Times New Roman" w:eastAsia="宋体" w:cs="Times New Roman"/>
                      <w:color w:val="auto"/>
                      <w:spacing w:val="-9"/>
                      <w:sz w:val="21"/>
                      <w:szCs w:val="21"/>
                    </w:rPr>
                    <w:t>次/</w:t>
                  </w:r>
                  <w:r>
                    <w:rPr>
                      <w:rFonts w:hint="default" w:ascii="Times New Roman" w:hAnsi="Times New Roman" w:eastAsia="宋体" w:cs="Times New Roman"/>
                      <w:color w:val="auto"/>
                      <w:sz w:val="21"/>
                      <w:szCs w:val="21"/>
                    </w:rPr>
                    <w:t>年</w:t>
                  </w:r>
                </w:p>
              </w:tc>
              <w:tc>
                <w:tcPr>
                  <w:tcW w:w="1225"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74BF705D">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30mg/m³</w:t>
                  </w:r>
                </w:p>
              </w:tc>
              <w:tc>
                <w:tcPr>
                  <w:tcW w:w="1969" w:type="dxa"/>
                  <w:vMerge w:val="continue"/>
                  <w:tcBorders>
                    <w:left w:val="single" w:color="000000" w:sz="4" w:space="0"/>
                    <w:right w:val="single" w:color="000000" w:sz="4" w:space="0"/>
                    <w:tl2br w:val="nil"/>
                    <w:tr2bl w:val="nil"/>
                  </w:tcBorders>
                  <w:noWrap w:val="0"/>
                  <w:vAlign w:val="center"/>
                </w:tcPr>
                <w:p w14:paraId="0E193C82">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textAlignment w:val="auto"/>
                    <w:rPr>
                      <w:rFonts w:hint="default" w:ascii="Times New Roman" w:hAnsi="Times New Roman" w:eastAsia="宋体" w:cs="Times New Roman"/>
                      <w:color w:val="auto"/>
                      <w:spacing w:val="-2"/>
                      <w:sz w:val="21"/>
                      <w:szCs w:val="21"/>
                    </w:rPr>
                  </w:pPr>
                </w:p>
              </w:tc>
            </w:tr>
            <w:tr w14:paraId="429427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8" w:hRule="atLeast"/>
                <w:jc w:val="center"/>
              </w:trPr>
              <w:tc>
                <w:tcPr>
                  <w:tcW w:w="1539" w:type="dxa"/>
                  <w:vMerge w:val="continue"/>
                  <w:tcBorders>
                    <w:left w:val="single" w:color="000000" w:sz="4" w:space="0"/>
                    <w:bottom w:val="single" w:color="000000" w:sz="4" w:space="0"/>
                    <w:right w:val="single" w:color="000000" w:sz="4" w:space="0"/>
                    <w:tl2br w:val="nil"/>
                    <w:tr2bl w:val="nil"/>
                  </w:tcBorders>
                  <w:noWrap w:val="0"/>
                  <w:vAlign w:val="center"/>
                </w:tcPr>
                <w:p w14:paraId="5EAB30B3">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eastAsia" w:ascii="Times New Roman" w:hAnsi="Times New Roman" w:eastAsia="宋体" w:cs="Times New Roman"/>
                      <w:color w:val="auto"/>
                      <w:sz w:val="21"/>
                      <w:szCs w:val="21"/>
                      <w:lang w:val="en-US" w:eastAsia="zh-CN"/>
                    </w:rPr>
                  </w:pPr>
                </w:p>
              </w:tc>
              <w:tc>
                <w:tcPr>
                  <w:tcW w:w="916" w:type="dxa"/>
                  <w:vMerge w:val="continue"/>
                  <w:tcBorders>
                    <w:left w:val="single" w:color="000000" w:sz="4" w:space="0"/>
                    <w:bottom w:val="single" w:color="000000" w:sz="4" w:space="0"/>
                    <w:right w:val="single" w:color="000000" w:sz="4" w:space="0"/>
                    <w:tl2br w:val="nil"/>
                    <w:tr2bl w:val="nil"/>
                  </w:tcBorders>
                  <w:noWrap w:val="0"/>
                  <w:vAlign w:val="center"/>
                </w:tcPr>
                <w:p w14:paraId="59974E9B">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pacing w:val="-1"/>
                      <w:sz w:val="21"/>
                      <w:szCs w:val="21"/>
                    </w:rPr>
                  </w:pPr>
                </w:p>
              </w:tc>
              <w:tc>
                <w:tcPr>
                  <w:tcW w:w="1223" w:type="dxa"/>
                  <w:tcBorders>
                    <w:top w:val="single" w:color="000000" w:sz="4" w:space="0"/>
                    <w:left w:val="single" w:color="000000" w:sz="4" w:space="0"/>
                    <w:bottom w:val="single" w:color="000000" w:sz="4" w:space="0"/>
                    <w:right w:val="single" w:color="000000" w:sz="4" w:space="0"/>
                    <w:tl2br w:val="nil"/>
                    <w:tr2bl w:val="nil"/>
                  </w:tcBorders>
                  <w:shd w:val="clear" w:color="auto" w:fill="auto"/>
                  <w:noWrap w:val="0"/>
                  <w:vAlign w:val="center"/>
                </w:tcPr>
                <w:p w14:paraId="4F661D88">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lang w:val="en-US" w:eastAsia="en-US" w:bidi="ar-SA"/>
                    </w:rPr>
                  </w:pPr>
                  <w:r>
                    <w:rPr>
                      <w:rFonts w:hint="default" w:ascii="Times New Roman" w:hAnsi="Times New Roman" w:eastAsia="宋体" w:cs="Times New Roman"/>
                      <w:color w:val="auto"/>
                      <w:spacing w:val="-2"/>
                      <w:sz w:val="21"/>
                      <w:szCs w:val="21"/>
                    </w:rPr>
                    <w:t>非甲烷总烃</w:t>
                  </w:r>
                </w:p>
              </w:tc>
              <w:tc>
                <w:tcPr>
                  <w:tcW w:w="1336" w:type="dxa"/>
                  <w:tcBorders>
                    <w:top w:val="single" w:color="000000" w:sz="4" w:space="0"/>
                    <w:left w:val="single" w:color="000000" w:sz="4" w:space="0"/>
                    <w:bottom w:val="single" w:color="000000" w:sz="4" w:space="0"/>
                    <w:right w:val="single" w:color="000000" w:sz="4" w:space="0"/>
                    <w:tl2br w:val="nil"/>
                    <w:tr2bl w:val="nil"/>
                  </w:tcBorders>
                  <w:shd w:val="clear" w:color="auto" w:fill="auto"/>
                  <w:noWrap w:val="0"/>
                  <w:vAlign w:val="center"/>
                </w:tcPr>
                <w:p w14:paraId="64AC275C">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pacing w:val="-10"/>
                      <w:sz w:val="21"/>
                      <w:szCs w:val="21"/>
                      <w:lang w:val="en-US" w:eastAsia="zh-CN"/>
                    </w:rPr>
                    <w:t>/</w:t>
                  </w:r>
                </w:p>
              </w:tc>
              <w:tc>
                <w:tcPr>
                  <w:tcW w:w="1225" w:type="dxa"/>
                  <w:tcBorders>
                    <w:top w:val="single" w:color="000000" w:sz="4" w:space="0"/>
                    <w:left w:val="single" w:color="000000" w:sz="4" w:space="0"/>
                    <w:bottom w:val="single" w:color="000000" w:sz="4" w:space="0"/>
                    <w:right w:val="single" w:color="000000" w:sz="4" w:space="0"/>
                    <w:tl2br w:val="nil"/>
                    <w:tr2bl w:val="nil"/>
                  </w:tcBorders>
                  <w:shd w:val="clear" w:color="auto" w:fill="auto"/>
                  <w:noWrap w:val="0"/>
                  <w:vAlign w:val="center"/>
                </w:tcPr>
                <w:p w14:paraId="46028F02">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pacing w:val="-2"/>
                      <w:sz w:val="21"/>
                      <w:szCs w:val="21"/>
                      <w:lang w:val="en-US" w:eastAsia="zh-CN"/>
                    </w:rPr>
                    <w:t>/</w:t>
                  </w:r>
                </w:p>
              </w:tc>
              <w:tc>
                <w:tcPr>
                  <w:tcW w:w="1969" w:type="dxa"/>
                  <w:vMerge w:val="continue"/>
                  <w:tcBorders>
                    <w:left w:val="single" w:color="000000" w:sz="4" w:space="0"/>
                    <w:bottom w:val="single" w:color="000000" w:sz="4" w:space="0"/>
                    <w:right w:val="single" w:color="000000" w:sz="4" w:space="0"/>
                    <w:tl2br w:val="nil"/>
                    <w:tr2bl w:val="nil"/>
                  </w:tcBorders>
                  <w:noWrap w:val="0"/>
                  <w:vAlign w:val="center"/>
                </w:tcPr>
                <w:p w14:paraId="15FAF051">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textAlignment w:val="auto"/>
                    <w:rPr>
                      <w:rFonts w:hint="default" w:ascii="Times New Roman" w:hAnsi="Times New Roman" w:eastAsia="宋体" w:cs="Times New Roman"/>
                      <w:color w:val="auto"/>
                      <w:spacing w:val="-2"/>
                      <w:sz w:val="21"/>
                      <w:szCs w:val="21"/>
                    </w:rPr>
                  </w:pPr>
                </w:p>
              </w:tc>
            </w:tr>
          </w:tbl>
          <w:p w14:paraId="3E9D791D">
            <w:pPr>
              <w:keepNext w:val="0"/>
              <w:keepLines w:val="0"/>
              <w:numPr>
                <w:ilvl w:val="0"/>
                <w:numId w:val="0"/>
              </w:numPr>
              <w:suppressLineNumbers w:val="0"/>
              <w:spacing w:before="0" w:beforeAutospacing="0" w:after="0" w:afterAutospacing="0"/>
              <w:ind w:left="0" w:right="0" w:firstLine="480" w:firstLineChars="200"/>
              <w:jc w:val="both"/>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（2）无组织废气排放监测项目及最低监测频次</w:t>
            </w:r>
          </w:p>
          <w:p w14:paraId="398A0DC4">
            <w:pPr>
              <w:keepNext w:val="0"/>
              <w:keepLines w:val="0"/>
              <w:numPr>
                <w:ilvl w:val="0"/>
                <w:numId w:val="0"/>
              </w:numPr>
              <w:suppressLineNumbers w:val="0"/>
              <w:spacing w:before="0" w:beforeAutospacing="0" w:after="0" w:afterAutospacing="0"/>
              <w:ind w:left="0" w:right="0" w:firstLine="480" w:firstLineChars="200"/>
              <w:jc w:val="both"/>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企业厂区内颗粒物无组织排放监控点浓度应符合《铸造工业大气污染物 排放标准》</w:t>
            </w:r>
            <w:r>
              <w:rPr>
                <w:rFonts w:hint="eastAsia" w:ascii="Times New Roman" w:hAnsi="Times New Roman"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GB39726-2020</w:t>
            </w:r>
            <w:r>
              <w:rPr>
                <w:rFonts w:hint="eastAsia" w:ascii="Times New Roman" w:hAnsi="Times New Roman"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表</w:t>
            </w:r>
            <w:r>
              <w:rPr>
                <w:rFonts w:hint="default" w:ascii="Times New Roman" w:hAnsi="Times New Roman" w:eastAsia="宋体" w:cs="Times New Roman"/>
                <w:b w:val="0"/>
                <w:bCs w:val="0"/>
                <w:color w:val="auto"/>
                <w:sz w:val="24"/>
                <w:szCs w:val="24"/>
                <w:highlight w:val="none"/>
                <w:lang w:val="en-US" w:eastAsia="zh-CN"/>
              </w:rPr>
              <w:t>A.1</w:t>
            </w:r>
            <w:r>
              <w:rPr>
                <w:rFonts w:hint="eastAsia" w:ascii="Times New Roman" w:hAnsi="Times New Roman" w:eastAsia="宋体" w:cs="Times New Roman"/>
                <w:b w:val="0"/>
                <w:bCs w:val="0"/>
                <w:color w:val="auto"/>
                <w:sz w:val="24"/>
                <w:szCs w:val="24"/>
                <w:highlight w:val="none"/>
                <w:lang w:val="en-US" w:eastAsia="zh-CN"/>
              </w:rPr>
              <w:t>规定的限值。</w:t>
            </w:r>
          </w:p>
          <w:p w14:paraId="0A7A4B5E">
            <w:pPr>
              <w:keepNext w:val="0"/>
              <w:keepLines/>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b/>
                <w:color w:val="auto"/>
                <w:kern w:val="2"/>
                <w:sz w:val="21"/>
                <w:szCs w:val="21"/>
                <w:u w:val="none" w:color="auto"/>
              </w:rPr>
            </w:pPr>
            <w:r>
              <w:rPr>
                <w:rFonts w:hint="eastAsia" w:ascii="Times New Roman" w:hAnsi="Times New Roman" w:eastAsia="宋体" w:cs="Times New Roman"/>
                <w:b/>
                <w:color w:val="auto"/>
                <w:kern w:val="2"/>
                <w:sz w:val="21"/>
                <w:szCs w:val="21"/>
                <w:u w:val="none" w:color="auto"/>
              </w:rPr>
              <w:t>表4-1</w:t>
            </w:r>
            <w:r>
              <w:rPr>
                <w:rFonts w:hint="eastAsia" w:ascii="Times New Roman" w:hAnsi="Times New Roman" w:eastAsia="宋体" w:cs="Times New Roman"/>
                <w:b/>
                <w:color w:val="auto"/>
                <w:kern w:val="2"/>
                <w:sz w:val="21"/>
                <w:szCs w:val="21"/>
                <w:u w:val="none" w:color="auto"/>
                <w:lang w:val="en-US" w:eastAsia="zh-CN"/>
              </w:rPr>
              <w:t xml:space="preserve">4 </w:t>
            </w:r>
            <w:r>
              <w:rPr>
                <w:rFonts w:hint="eastAsia" w:ascii="Times New Roman" w:hAnsi="Times New Roman" w:eastAsia="宋体" w:cs="Times New Roman"/>
                <w:b/>
                <w:color w:val="auto"/>
                <w:kern w:val="2"/>
                <w:sz w:val="21"/>
                <w:szCs w:val="21"/>
                <w:u w:val="none" w:color="auto"/>
              </w:rPr>
              <w:t>项目无组织废气监测计划表</w:t>
            </w:r>
          </w:p>
          <w:tbl>
            <w:tblPr>
              <w:tblStyle w:val="56"/>
              <w:tblW w:w="494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036"/>
              <w:gridCol w:w="1518"/>
              <w:gridCol w:w="1193"/>
              <w:gridCol w:w="2508"/>
              <w:gridCol w:w="953"/>
            </w:tblGrid>
            <w:tr w14:paraId="03793C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2036"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5C52DFA3">
                  <w:pPr>
                    <w:pStyle w:val="385"/>
                    <w:keepNext w:val="0"/>
                    <w:keepLines w:val="0"/>
                    <w:suppressLineNumbers w:val="0"/>
                    <w:spacing w:before="59" w:beforeLines="0" w:beforeAutospacing="0" w:after="0" w:afterLines="0" w:afterAutospacing="0" w:line="221" w:lineRule="auto"/>
                    <w:ind w:left="347" w:right="0"/>
                    <w:rPr>
                      <w:rFonts w:hint="eastAsia"/>
                      <w:color w:val="auto"/>
                      <w:sz w:val="21"/>
                      <w:szCs w:val="21"/>
                    </w:rPr>
                  </w:pPr>
                  <w:r>
                    <w:rPr>
                      <w:rFonts w:hint="eastAsia"/>
                      <w:b/>
                      <w:color w:val="auto"/>
                      <w:spacing w:val="-3"/>
                      <w:sz w:val="21"/>
                      <w:szCs w:val="21"/>
                    </w:rPr>
                    <w:t>监测点位</w:t>
                  </w:r>
                </w:p>
              </w:tc>
              <w:tc>
                <w:tcPr>
                  <w:tcW w:w="1518"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70DABB84">
                  <w:pPr>
                    <w:pStyle w:val="385"/>
                    <w:keepNext w:val="0"/>
                    <w:keepLines w:val="0"/>
                    <w:suppressLineNumbers w:val="0"/>
                    <w:spacing w:before="59" w:beforeLines="0" w:beforeAutospacing="0" w:after="0" w:afterLines="0" w:afterAutospacing="0" w:line="220" w:lineRule="auto"/>
                    <w:ind w:left="185" w:right="0"/>
                    <w:rPr>
                      <w:rFonts w:hint="eastAsia"/>
                      <w:color w:val="auto"/>
                      <w:sz w:val="21"/>
                      <w:szCs w:val="21"/>
                    </w:rPr>
                  </w:pPr>
                  <w:r>
                    <w:rPr>
                      <w:rFonts w:hint="eastAsia"/>
                      <w:b/>
                      <w:color w:val="auto"/>
                      <w:spacing w:val="-3"/>
                      <w:sz w:val="21"/>
                      <w:szCs w:val="21"/>
                    </w:rPr>
                    <w:t>监测指标</w:t>
                  </w:r>
                </w:p>
              </w:tc>
              <w:tc>
                <w:tcPr>
                  <w:tcW w:w="1193"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494936E0">
                  <w:pPr>
                    <w:pStyle w:val="385"/>
                    <w:keepNext w:val="0"/>
                    <w:keepLines w:val="0"/>
                    <w:suppressLineNumbers w:val="0"/>
                    <w:spacing w:before="59" w:beforeLines="0" w:beforeAutospacing="0" w:after="0" w:afterLines="0" w:afterAutospacing="0" w:line="219" w:lineRule="auto"/>
                    <w:ind w:left="77" w:right="0"/>
                    <w:rPr>
                      <w:rFonts w:hint="eastAsia"/>
                      <w:color w:val="auto"/>
                      <w:sz w:val="21"/>
                      <w:szCs w:val="21"/>
                    </w:rPr>
                  </w:pPr>
                  <w:r>
                    <w:rPr>
                      <w:rFonts w:hint="eastAsia"/>
                      <w:b/>
                      <w:color w:val="auto"/>
                      <w:spacing w:val="-3"/>
                      <w:sz w:val="21"/>
                      <w:szCs w:val="21"/>
                    </w:rPr>
                    <w:t>排放限值</w:t>
                  </w:r>
                </w:p>
              </w:tc>
              <w:tc>
                <w:tcPr>
                  <w:tcW w:w="2509"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40268D41">
                  <w:pPr>
                    <w:pStyle w:val="385"/>
                    <w:keepNext w:val="0"/>
                    <w:keepLines w:val="0"/>
                    <w:suppressLineNumbers w:val="0"/>
                    <w:spacing w:before="59" w:beforeLines="0" w:beforeAutospacing="0" w:after="0" w:afterLines="0" w:afterAutospacing="0" w:line="219" w:lineRule="auto"/>
                    <w:ind w:left="508" w:right="0"/>
                    <w:rPr>
                      <w:rFonts w:hint="eastAsia"/>
                      <w:color w:val="auto"/>
                      <w:sz w:val="21"/>
                      <w:szCs w:val="21"/>
                    </w:rPr>
                  </w:pPr>
                  <w:r>
                    <w:rPr>
                      <w:rFonts w:hint="eastAsia"/>
                      <w:b/>
                      <w:color w:val="auto"/>
                      <w:spacing w:val="-5"/>
                      <w:sz w:val="21"/>
                      <w:szCs w:val="21"/>
                    </w:rPr>
                    <w:t>限值含义</w:t>
                  </w:r>
                </w:p>
              </w:tc>
              <w:tc>
                <w:tcPr>
                  <w:tcW w:w="953"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57864A3F">
                  <w:pPr>
                    <w:pStyle w:val="385"/>
                    <w:keepNext w:val="0"/>
                    <w:keepLines w:val="0"/>
                    <w:suppressLineNumbers w:val="0"/>
                    <w:spacing w:before="59" w:beforeLines="0" w:beforeAutospacing="0" w:after="0" w:afterLines="0" w:afterAutospacing="0" w:line="219" w:lineRule="auto"/>
                    <w:ind w:left="0" w:right="0"/>
                    <w:jc w:val="right"/>
                    <w:rPr>
                      <w:rFonts w:hint="eastAsia"/>
                      <w:color w:val="auto"/>
                      <w:sz w:val="21"/>
                      <w:szCs w:val="21"/>
                    </w:rPr>
                  </w:pPr>
                  <w:r>
                    <w:rPr>
                      <w:rFonts w:hint="eastAsia"/>
                      <w:b/>
                      <w:color w:val="auto"/>
                      <w:spacing w:val="-6"/>
                      <w:sz w:val="21"/>
                      <w:szCs w:val="21"/>
                    </w:rPr>
                    <w:t>监测频次</w:t>
                  </w:r>
                </w:p>
              </w:tc>
            </w:tr>
            <w:tr w14:paraId="2D1764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8" w:hRule="atLeast"/>
                <w:jc w:val="center"/>
              </w:trPr>
              <w:tc>
                <w:tcPr>
                  <w:tcW w:w="2036" w:type="dxa"/>
                  <w:vMerge w:val="restart"/>
                  <w:tcBorders>
                    <w:top w:val="single" w:color="000000" w:sz="4" w:space="0"/>
                    <w:left w:val="single" w:color="000000" w:sz="4" w:space="0"/>
                    <w:bottom w:val="nil"/>
                    <w:right w:val="single" w:color="000000" w:sz="4" w:space="0"/>
                    <w:tl2br w:val="nil"/>
                    <w:tr2bl w:val="nil"/>
                  </w:tcBorders>
                  <w:noWrap w:val="0"/>
                  <w:vAlign w:val="center"/>
                </w:tcPr>
                <w:p w14:paraId="63D225EB">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在厂房外设置监控点</w:t>
                  </w:r>
                </w:p>
              </w:tc>
              <w:tc>
                <w:tcPr>
                  <w:tcW w:w="1518"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2C32320D">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颗粒物</w:t>
                  </w:r>
                </w:p>
              </w:tc>
              <w:tc>
                <w:tcPr>
                  <w:tcW w:w="1193"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69606A9C">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2509"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17E3D1A0">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监控点处1h平均浓度值</w:t>
                  </w:r>
                </w:p>
              </w:tc>
              <w:tc>
                <w:tcPr>
                  <w:tcW w:w="953"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11AB753B">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1次/年</w:t>
                  </w:r>
                </w:p>
              </w:tc>
            </w:tr>
            <w:tr w14:paraId="2805D2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jc w:val="center"/>
              </w:trPr>
              <w:tc>
                <w:tcPr>
                  <w:tcW w:w="2036" w:type="dxa"/>
                  <w:vMerge w:val="continue"/>
                  <w:tcBorders>
                    <w:top w:val="nil"/>
                    <w:left w:val="single" w:color="000000" w:sz="4" w:space="0"/>
                    <w:bottom w:val="nil"/>
                    <w:right w:val="single" w:color="000000" w:sz="4" w:space="0"/>
                    <w:tl2br w:val="nil"/>
                    <w:tr2bl w:val="nil"/>
                  </w:tcBorders>
                  <w:noWrap w:val="0"/>
                  <w:vAlign w:val="center"/>
                </w:tcPr>
                <w:p w14:paraId="3C898FD1">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p>
              </w:tc>
              <w:tc>
                <w:tcPr>
                  <w:tcW w:w="1518" w:type="dxa"/>
                  <w:vMerge w:val="restart"/>
                  <w:tcBorders>
                    <w:top w:val="single" w:color="000000" w:sz="4" w:space="0"/>
                    <w:left w:val="single" w:color="000000" w:sz="4" w:space="0"/>
                    <w:bottom w:val="nil"/>
                    <w:right w:val="single" w:color="000000" w:sz="4" w:space="0"/>
                    <w:tl2br w:val="nil"/>
                    <w:tr2bl w:val="nil"/>
                  </w:tcBorders>
                  <w:noWrap w:val="0"/>
                  <w:vAlign w:val="center"/>
                </w:tcPr>
                <w:p w14:paraId="5D8E282A">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非甲烷总烃</w:t>
                  </w:r>
                </w:p>
              </w:tc>
              <w:tc>
                <w:tcPr>
                  <w:tcW w:w="1193"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3CB8F8A2">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2509"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5B60BB71">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监控点处1h平均浓度值</w:t>
                  </w:r>
                </w:p>
              </w:tc>
              <w:tc>
                <w:tcPr>
                  <w:tcW w:w="953"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4D3B11CE">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r w14:paraId="30C2BE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2036" w:type="dxa"/>
                  <w:vMerge w:val="continue"/>
                  <w:tcBorders>
                    <w:top w:val="nil"/>
                    <w:left w:val="single" w:color="000000" w:sz="4" w:space="0"/>
                    <w:bottom w:val="single" w:color="000000" w:sz="4" w:space="0"/>
                    <w:right w:val="single" w:color="000000" w:sz="4" w:space="0"/>
                    <w:tl2br w:val="nil"/>
                    <w:tr2bl w:val="nil"/>
                  </w:tcBorders>
                  <w:noWrap w:val="0"/>
                  <w:vAlign w:val="center"/>
                </w:tcPr>
                <w:p w14:paraId="1A243B3C">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p>
              </w:tc>
              <w:tc>
                <w:tcPr>
                  <w:tcW w:w="1518" w:type="dxa"/>
                  <w:vMerge w:val="continue"/>
                  <w:tcBorders>
                    <w:top w:val="nil"/>
                    <w:left w:val="single" w:color="000000" w:sz="4" w:space="0"/>
                    <w:bottom w:val="single" w:color="000000" w:sz="4" w:space="0"/>
                    <w:right w:val="single" w:color="000000" w:sz="4" w:space="0"/>
                    <w:tl2br w:val="nil"/>
                    <w:tr2bl w:val="nil"/>
                  </w:tcBorders>
                  <w:noWrap w:val="0"/>
                  <w:vAlign w:val="center"/>
                </w:tcPr>
                <w:p w14:paraId="392FBB2C">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p>
              </w:tc>
              <w:tc>
                <w:tcPr>
                  <w:tcW w:w="1193"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31EB7ADD">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30</w:t>
                  </w:r>
                </w:p>
              </w:tc>
              <w:tc>
                <w:tcPr>
                  <w:tcW w:w="2509"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58453563">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监控点处任意一次浓度值</w:t>
                  </w:r>
                </w:p>
              </w:tc>
              <w:tc>
                <w:tcPr>
                  <w:tcW w:w="953" w:type="dxa"/>
                  <w:tcBorders>
                    <w:top w:val="single" w:color="000000" w:sz="4" w:space="0"/>
                    <w:left w:val="single" w:color="000000" w:sz="4" w:space="0"/>
                    <w:bottom w:val="single" w:color="000000" w:sz="4" w:space="0"/>
                    <w:right w:val="single" w:color="000000" w:sz="4" w:space="0"/>
                    <w:tl2br w:val="nil"/>
                    <w:tr2bl w:val="nil"/>
                  </w:tcBorders>
                  <w:noWrap w:val="0"/>
                  <w:vAlign w:val="center"/>
                </w:tcPr>
                <w:p w14:paraId="6592D726">
                  <w:pPr>
                    <w:pStyle w:val="385"/>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bl>
          <w:p w14:paraId="65A9BF03">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2</w:t>
            </w:r>
            <w:r>
              <w:rPr>
                <w:rFonts w:hint="eastAsia" w:ascii="Times New Roman" w:hAnsi="Times New Roman"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lang w:val="en-US" w:eastAsia="zh-CN"/>
              </w:rPr>
              <w:t>水环境影响分析</w:t>
            </w:r>
          </w:p>
          <w:p w14:paraId="2EA0E216">
            <w:pPr>
              <w:keepNext w:val="0"/>
              <w:keepLines w:val="0"/>
              <w:numPr>
                <w:ilvl w:val="0"/>
                <w:numId w:val="0"/>
              </w:numPr>
              <w:suppressLineNumbers w:val="0"/>
              <w:spacing w:before="0" w:beforeAutospacing="0" w:after="0" w:afterAutospacing="0"/>
              <w:ind w:left="0" w:right="0" w:firstLine="480" w:firstLineChars="200"/>
              <w:jc w:val="both"/>
              <w:rPr>
                <w:rFonts w:hint="default" w:ascii="Times New Roman" w:hAnsi="Times New Roman" w:eastAsia="宋体"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（1）</w:t>
            </w:r>
            <w:r>
              <w:rPr>
                <w:rFonts w:hint="default" w:ascii="Times New Roman" w:hAnsi="Times New Roman" w:eastAsia="宋体" w:cs="Times New Roman"/>
                <w:b w:val="0"/>
                <w:bCs w:val="0"/>
                <w:color w:val="auto"/>
                <w:sz w:val="24"/>
                <w:szCs w:val="24"/>
                <w:highlight w:val="none"/>
                <w:lang w:val="en-US" w:eastAsia="zh-CN"/>
              </w:rPr>
              <w:t>废水污染源强核算</w:t>
            </w:r>
          </w:p>
          <w:p w14:paraId="45CA7D8E">
            <w:pPr>
              <w:keepNext/>
              <w:keepLines/>
              <w:suppressLineNumbers w:val="0"/>
              <w:spacing w:before="0" w:beforeAutospacing="0" w:after="0" w:afterAutospacing="0" w:line="360" w:lineRule="auto"/>
              <w:ind w:left="0" w:right="0" w:firstLine="480" w:firstLineChars="200"/>
              <w:jc w:val="both"/>
              <w:outlineLvl w:val="3"/>
              <w:rPr>
                <w:rFonts w:hint="default" w:ascii="Times New Roman" w:hAnsi="Times New Roman" w:eastAsia="宋体" w:cs="Times New Roman"/>
                <w:bCs/>
                <w:color w:val="auto"/>
                <w:kern w:val="2"/>
                <w:sz w:val="24"/>
                <w:u w:val="none" w:color="auto"/>
                <w:lang w:val="en-US" w:eastAsia="zh-CN"/>
              </w:rPr>
            </w:pPr>
            <w:r>
              <w:rPr>
                <w:rFonts w:hint="default" w:ascii="Times New Roman" w:hAnsi="Times New Roman" w:eastAsia="宋体" w:cs="Times New Roman"/>
                <w:bCs/>
                <w:color w:val="auto"/>
                <w:kern w:val="2"/>
                <w:sz w:val="24"/>
                <w:u w:val="none" w:color="auto"/>
                <w:lang w:val="en-US" w:eastAsia="zh-CN"/>
              </w:rPr>
              <w:t>本项目生产过程中仅产生生活污水，间接冷却水循环使用，水循环泵废水经循环水池沉淀后回用。</w:t>
            </w:r>
          </w:p>
          <w:p w14:paraId="0499557A">
            <w:pPr>
              <w:keepNext/>
              <w:keepLines/>
              <w:suppressLineNumbers w:val="0"/>
              <w:spacing w:before="0" w:beforeAutospacing="0" w:after="0" w:afterAutospacing="0" w:line="360" w:lineRule="auto"/>
              <w:ind w:left="0" w:right="0" w:firstLine="480" w:firstLineChars="200"/>
              <w:jc w:val="both"/>
              <w:outlineLvl w:val="3"/>
              <w:rPr>
                <w:rFonts w:hint="default" w:ascii="Times New Roman" w:hAnsi="Times New Roman" w:eastAsia="宋体" w:cs="Times New Roman"/>
                <w:bCs/>
                <w:color w:val="auto"/>
                <w:kern w:val="2"/>
                <w:sz w:val="24"/>
                <w:u w:val="none" w:color="auto"/>
              </w:rPr>
            </w:pPr>
            <w:r>
              <w:rPr>
                <w:rFonts w:hint="default" w:ascii="Times New Roman" w:hAnsi="Times New Roman" w:eastAsia="宋体" w:cs="Times New Roman"/>
                <w:color w:val="auto"/>
                <w:kern w:val="2"/>
                <w:sz w:val="24"/>
                <w:u w:val="none" w:color="auto"/>
              </w:rPr>
              <w:t>本项目生活用水量为</w:t>
            </w:r>
            <w:r>
              <w:rPr>
                <w:rFonts w:hint="eastAsia" w:ascii="Times New Roman" w:hAnsi="Times New Roman" w:cs="Times New Roman"/>
                <w:color w:val="auto"/>
                <w:kern w:val="2"/>
                <w:sz w:val="24"/>
                <w:u w:val="none" w:color="auto"/>
                <w:lang w:val="en-US" w:eastAsia="zh-CN"/>
              </w:rPr>
              <w:t>625</w:t>
            </w:r>
            <w:r>
              <w:rPr>
                <w:rFonts w:hint="default" w:ascii="Times New Roman" w:hAnsi="Times New Roman" w:eastAsia="宋体" w:cs="Times New Roman"/>
                <w:color w:val="auto"/>
                <w:kern w:val="2"/>
                <w:sz w:val="24"/>
                <w:u w:val="none" w:color="auto"/>
              </w:rPr>
              <w:t>m³/a</w:t>
            </w:r>
            <w:r>
              <w:rPr>
                <w:rFonts w:hint="default" w:ascii="Times New Roman" w:hAnsi="Times New Roman" w:eastAsia="宋体" w:cs="Times New Roman"/>
                <w:bCs/>
                <w:color w:val="auto"/>
                <w:kern w:val="2"/>
                <w:sz w:val="24"/>
                <w:u w:val="none" w:color="auto"/>
              </w:rPr>
              <w:t>；污水产生系数取0.8，则生活污水量为</w:t>
            </w:r>
            <w:r>
              <w:rPr>
                <w:rFonts w:hint="eastAsia" w:ascii="Times New Roman" w:hAnsi="Times New Roman" w:cs="Times New Roman"/>
                <w:bCs/>
                <w:color w:val="auto"/>
                <w:kern w:val="2"/>
                <w:sz w:val="24"/>
                <w:u w:val="none" w:color="auto"/>
                <w:lang w:val="en-US" w:eastAsia="zh-CN"/>
              </w:rPr>
              <w:t>500</w:t>
            </w:r>
            <w:r>
              <w:rPr>
                <w:rFonts w:hint="default" w:ascii="Times New Roman" w:hAnsi="Times New Roman" w:eastAsia="宋体" w:cs="Times New Roman"/>
                <w:bCs/>
                <w:color w:val="auto"/>
                <w:kern w:val="2"/>
                <w:sz w:val="24"/>
                <w:u w:val="none" w:color="auto"/>
              </w:rPr>
              <w:t>m³/a。典型生活污水水质为COD：2</w:t>
            </w:r>
            <w:r>
              <w:rPr>
                <w:rFonts w:hint="eastAsia" w:ascii="Times New Roman" w:hAnsi="Times New Roman" w:cs="Times New Roman"/>
                <w:bCs/>
                <w:color w:val="auto"/>
                <w:kern w:val="2"/>
                <w:sz w:val="24"/>
                <w:u w:val="none" w:color="auto"/>
                <w:lang w:val="en-US" w:eastAsia="zh-CN"/>
              </w:rPr>
              <w:t>5</w:t>
            </w:r>
            <w:r>
              <w:rPr>
                <w:rFonts w:hint="default" w:ascii="Times New Roman" w:hAnsi="Times New Roman" w:eastAsia="宋体" w:cs="Times New Roman"/>
                <w:bCs/>
                <w:color w:val="auto"/>
                <w:kern w:val="2"/>
                <w:sz w:val="24"/>
                <w:u w:val="none" w:color="auto"/>
              </w:rPr>
              <w:t>0mg/L、BOD</w:t>
            </w:r>
            <w:r>
              <w:rPr>
                <w:rFonts w:hint="default" w:ascii="Times New Roman" w:hAnsi="Times New Roman" w:eastAsia="宋体" w:cs="Times New Roman"/>
                <w:bCs/>
                <w:color w:val="auto"/>
                <w:kern w:val="2"/>
                <w:sz w:val="24"/>
                <w:u w:val="none" w:color="auto"/>
                <w:vertAlign w:val="subscript"/>
              </w:rPr>
              <w:t>5</w:t>
            </w:r>
            <w:r>
              <w:rPr>
                <w:rFonts w:hint="eastAsia" w:ascii="Times New Roman" w:hAnsi="Times New Roman" w:cs="Times New Roman"/>
                <w:bCs/>
                <w:color w:val="auto"/>
                <w:kern w:val="2"/>
                <w:sz w:val="24"/>
                <w:u w:val="none" w:color="auto"/>
                <w:vertAlign w:val="subscript"/>
                <w:lang w:eastAsia="zh-CN"/>
              </w:rPr>
              <w:t>:</w:t>
            </w:r>
            <w:r>
              <w:rPr>
                <w:rFonts w:hint="default" w:ascii="Times New Roman" w:hAnsi="Times New Roman" w:eastAsia="宋体" w:cs="Times New Roman"/>
                <w:bCs/>
                <w:color w:val="auto"/>
                <w:kern w:val="2"/>
                <w:sz w:val="24"/>
                <w:u w:val="none" w:color="auto"/>
              </w:rPr>
              <w:t>1</w:t>
            </w:r>
            <w:r>
              <w:rPr>
                <w:rFonts w:hint="eastAsia" w:ascii="Times New Roman" w:hAnsi="Times New Roman" w:cs="Times New Roman"/>
                <w:bCs/>
                <w:color w:val="auto"/>
                <w:kern w:val="2"/>
                <w:sz w:val="24"/>
                <w:u w:val="none" w:color="auto"/>
                <w:lang w:val="en-US" w:eastAsia="zh-CN"/>
              </w:rPr>
              <w:t>5</w:t>
            </w:r>
            <w:r>
              <w:rPr>
                <w:rFonts w:hint="default" w:ascii="Times New Roman" w:hAnsi="Times New Roman" w:eastAsia="宋体" w:cs="Times New Roman"/>
                <w:bCs/>
                <w:color w:val="auto"/>
                <w:kern w:val="2"/>
                <w:sz w:val="24"/>
                <w:u w:val="none" w:color="auto"/>
              </w:rPr>
              <w:t>0mg/L、SS：150mg/L、NH</w:t>
            </w:r>
            <w:r>
              <w:rPr>
                <w:rFonts w:hint="default" w:ascii="Times New Roman" w:hAnsi="Times New Roman" w:eastAsia="宋体" w:cs="Times New Roman"/>
                <w:bCs/>
                <w:color w:val="auto"/>
                <w:kern w:val="2"/>
                <w:sz w:val="24"/>
                <w:u w:val="none" w:color="auto"/>
                <w:vertAlign w:val="subscript"/>
              </w:rPr>
              <w:t>3</w:t>
            </w:r>
            <w:r>
              <w:rPr>
                <w:rFonts w:hint="default" w:ascii="Times New Roman" w:hAnsi="Times New Roman" w:eastAsia="宋体" w:cs="Times New Roman"/>
                <w:bCs/>
                <w:color w:val="auto"/>
                <w:kern w:val="2"/>
                <w:sz w:val="24"/>
                <w:u w:val="none" w:color="auto"/>
              </w:rPr>
              <w:t>-N：18mg/L、TP：2.5mg/L。</w:t>
            </w:r>
          </w:p>
          <w:p w14:paraId="5129B89B">
            <w:pPr>
              <w:keepNext w:val="0"/>
              <w:keepLines/>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b/>
                <w:color w:val="auto"/>
                <w:kern w:val="2"/>
                <w:sz w:val="21"/>
                <w:szCs w:val="21"/>
                <w:u w:val="none" w:color="auto"/>
              </w:rPr>
            </w:pPr>
            <w:r>
              <w:rPr>
                <w:rFonts w:hint="eastAsia" w:ascii="Times New Roman" w:hAnsi="Times New Roman" w:eastAsia="宋体" w:cs="Times New Roman"/>
                <w:b/>
                <w:color w:val="auto"/>
                <w:kern w:val="2"/>
                <w:sz w:val="21"/>
                <w:szCs w:val="21"/>
                <w:u w:val="none" w:color="auto"/>
                <w:lang w:val="en-US" w:eastAsia="zh-CN"/>
              </w:rPr>
              <w:t>表</w:t>
            </w:r>
            <w:r>
              <w:rPr>
                <w:rFonts w:hint="default" w:ascii="Times New Roman" w:hAnsi="Times New Roman" w:eastAsia="宋体" w:cs="Times New Roman"/>
                <w:b/>
                <w:color w:val="auto"/>
                <w:kern w:val="2"/>
                <w:sz w:val="21"/>
                <w:szCs w:val="21"/>
                <w:u w:val="none" w:color="auto"/>
                <w:lang w:val="en-US" w:eastAsia="zh-CN"/>
              </w:rPr>
              <w:t>4-</w:t>
            </w:r>
            <w:r>
              <w:rPr>
                <w:rFonts w:hint="eastAsia" w:ascii="Times New Roman" w:hAnsi="Times New Roman" w:eastAsia="宋体" w:cs="Times New Roman"/>
                <w:b/>
                <w:color w:val="auto"/>
                <w:kern w:val="2"/>
                <w:sz w:val="21"/>
                <w:szCs w:val="21"/>
                <w:u w:val="none" w:color="auto"/>
                <w:lang w:val="en-US" w:eastAsia="zh-CN"/>
              </w:rPr>
              <w:t>15</w:t>
            </w:r>
            <w:r>
              <w:rPr>
                <w:rFonts w:hint="default" w:ascii="Times New Roman" w:hAnsi="Times New Roman" w:eastAsia="宋体" w:cs="Times New Roman"/>
                <w:b/>
                <w:color w:val="auto"/>
                <w:kern w:val="2"/>
                <w:sz w:val="21"/>
                <w:szCs w:val="21"/>
                <w:u w:val="none" w:color="auto"/>
                <w:lang w:val="en-US" w:eastAsia="zh-CN"/>
              </w:rPr>
              <w:t xml:space="preserve"> </w:t>
            </w:r>
            <w:r>
              <w:rPr>
                <w:rFonts w:hint="eastAsia" w:ascii="Times New Roman" w:hAnsi="Times New Roman" w:eastAsia="宋体" w:cs="Times New Roman"/>
                <w:b/>
                <w:color w:val="auto"/>
                <w:kern w:val="2"/>
                <w:sz w:val="21"/>
                <w:szCs w:val="21"/>
                <w:u w:val="none" w:color="auto"/>
                <w:lang w:val="en-US" w:eastAsia="zh-CN"/>
              </w:rPr>
              <w:t>生活污水产生和排放情况汇总表</w:t>
            </w:r>
          </w:p>
          <w:tbl>
            <w:tblPr>
              <w:tblStyle w:val="56"/>
              <w:tblW w:w="4995"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Layout w:type="fixed"/>
              <w:tblCellMar>
                <w:top w:w="0" w:type="dxa"/>
                <w:left w:w="108" w:type="dxa"/>
                <w:bottom w:w="0" w:type="dxa"/>
                <w:right w:w="108" w:type="dxa"/>
              </w:tblCellMar>
            </w:tblPr>
            <w:tblGrid>
              <w:gridCol w:w="349"/>
              <w:gridCol w:w="339"/>
              <w:gridCol w:w="678"/>
              <w:gridCol w:w="802"/>
              <w:gridCol w:w="352"/>
              <w:gridCol w:w="532"/>
              <w:gridCol w:w="530"/>
              <w:gridCol w:w="624"/>
              <w:gridCol w:w="354"/>
              <w:gridCol w:w="619"/>
              <w:gridCol w:w="354"/>
              <w:gridCol w:w="572"/>
              <w:gridCol w:w="503"/>
              <w:gridCol w:w="684"/>
              <w:gridCol w:w="475"/>
              <w:gridCol w:w="508"/>
            </w:tblGrid>
            <w:tr w14:paraId="4ED02AA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9" w:type="dxa"/>
                  <w:vMerge w:val="restart"/>
                  <w:tcBorders>
                    <w:tl2br w:val="nil"/>
                    <w:tr2bl w:val="nil"/>
                  </w:tcBorders>
                  <w:shd w:val="clear" w:color="auto" w:fill="auto"/>
                  <w:vAlign w:val="center"/>
                </w:tcPr>
                <w:p w14:paraId="3D75AC74">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工序</w:t>
                  </w:r>
                  <w:r>
                    <w:rPr>
                      <w:rFonts w:hint="default" w:ascii="Times New Roman" w:hAnsi="Times New Roman" w:eastAsia="宋体" w:cs="Times New Roman"/>
                      <w:b/>
                      <w:bCs w:val="0"/>
                      <w:color w:val="auto"/>
                      <w:kern w:val="2"/>
                      <w:sz w:val="21"/>
                      <w:szCs w:val="21"/>
                      <w:lang w:val="en-US" w:eastAsia="zh-CN" w:bidi="ar"/>
                    </w:rPr>
                    <w:t>/</w:t>
                  </w:r>
                  <w:r>
                    <w:rPr>
                      <w:rFonts w:hint="eastAsia" w:ascii="宋体" w:hAnsi="宋体" w:eastAsia="宋体" w:cs="宋体"/>
                      <w:b/>
                      <w:bCs w:val="0"/>
                      <w:color w:val="auto"/>
                      <w:kern w:val="2"/>
                      <w:sz w:val="21"/>
                      <w:szCs w:val="21"/>
                      <w:lang w:val="en-US" w:eastAsia="zh-CN" w:bidi="ar"/>
                    </w:rPr>
                    <w:t>生产线</w:t>
                  </w:r>
                </w:p>
              </w:tc>
              <w:tc>
                <w:tcPr>
                  <w:tcW w:w="339" w:type="dxa"/>
                  <w:vMerge w:val="restart"/>
                  <w:tcBorders>
                    <w:tl2br w:val="nil"/>
                    <w:tr2bl w:val="nil"/>
                  </w:tcBorders>
                  <w:shd w:val="clear" w:color="auto" w:fill="auto"/>
                  <w:vAlign w:val="center"/>
                </w:tcPr>
                <w:p w14:paraId="0B1F89D8">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装置</w:t>
                  </w:r>
                </w:p>
              </w:tc>
              <w:tc>
                <w:tcPr>
                  <w:tcW w:w="678" w:type="dxa"/>
                  <w:vMerge w:val="restart"/>
                  <w:tcBorders>
                    <w:tl2br w:val="nil"/>
                    <w:tr2bl w:val="nil"/>
                  </w:tcBorders>
                  <w:shd w:val="clear" w:color="auto" w:fill="auto"/>
                  <w:vAlign w:val="center"/>
                </w:tcPr>
                <w:p w14:paraId="161938FB">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污染源</w:t>
                  </w:r>
                </w:p>
              </w:tc>
              <w:tc>
                <w:tcPr>
                  <w:tcW w:w="802" w:type="dxa"/>
                  <w:vMerge w:val="restart"/>
                  <w:tcBorders>
                    <w:tl2br w:val="nil"/>
                    <w:tr2bl w:val="nil"/>
                  </w:tcBorders>
                  <w:shd w:val="clear" w:color="auto" w:fill="auto"/>
                  <w:vAlign w:val="center"/>
                </w:tcPr>
                <w:p w14:paraId="5ECC93A6">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污染物</w:t>
                  </w:r>
                </w:p>
              </w:tc>
              <w:tc>
                <w:tcPr>
                  <w:tcW w:w="2038" w:type="dxa"/>
                  <w:gridSpan w:val="4"/>
                  <w:tcBorders>
                    <w:tl2br w:val="nil"/>
                    <w:tr2bl w:val="nil"/>
                  </w:tcBorders>
                  <w:shd w:val="clear" w:color="auto" w:fill="auto"/>
                  <w:vAlign w:val="center"/>
                </w:tcPr>
                <w:p w14:paraId="2507C21C">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污染物产生</w:t>
                  </w:r>
                </w:p>
              </w:tc>
              <w:tc>
                <w:tcPr>
                  <w:tcW w:w="973" w:type="dxa"/>
                  <w:gridSpan w:val="2"/>
                  <w:tcBorders>
                    <w:tl2br w:val="nil"/>
                    <w:tr2bl w:val="nil"/>
                  </w:tcBorders>
                  <w:shd w:val="clear" w:color="auto" w:fill="auto"/>
                  <w:vAlign w:val="center"/>
                </w:tcPr>
                <w:p w14:paraId="2F75355F">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治理措施</w:t>
                  </w:r>
                </w:p>
              </w:tc>
              <w:tc>
                <w:tcPr>
                  <w:tcW w:w="2588" w:type="dxa"/>
                  <w:gridSpan w:val="5"/>
                  <w:tcBorders>
                    <w:tl2br w:val="nil"/>
                    <w:tr2bl w:val="nil"/>
                  </w:tcBorders>
                  <w:shd w:val="clear" w:color="auto" w:fill="auto"/>
                  <w:vAlign w:val="center"/>
                </w:tcPr>
                <w:p w14:paraId="52837A91">
                  <w:pPr>
                    <w:keepNext w:val="0"/>
                    <w:keepLines w:val="0"/>
                    <w:widowControl w:val="0"/>
                    <w:suppressLineNumbers w:val="0"/>
                    <w:autoSpaceDE w:val="0"/>
                    <w:autoSpaceDN/>
                    <w:snapToGrid w:val="0"/>
                    <w:spacing w:before="0" w:beforeAutospacing="0" w:after="0" w:afterAutospacing="0" w:line="240" w:lineRule="auto"/>
                    <w:ind w:left="0" w:right="0"/>
                    <w:jc w:val="center"/>
                    <w:rPr>
                      <w:rFonts w:hint="eastAsia" w:ascii="宋体" w:hAnsi="宋体" w:eastAsia="宋体" w:cs="宋体"/>
                      <w:b/>
                      <w:bCs w:val="0"/>
                      <w:color w:val="auto"/>
                      <w:kern w:val="2"/>
                      <w:sz w:val="21"/>
                      <w:szCs w:val="21"/>
                    </w:rPr>
                  </w:pPr>
                  <w:r>
                    <w:rPr>
                      <w:rFonts w:hint="eastAsia" w:ascii="宋体" w:hAnsi="宋体" w:eastAsia="宋体" w:cs="宋体"/>
                      <w:b/>
                      <w:bCs w:val="0"/>
                      <w:color w:val="auto"/>
                      <w:kern w:val="2"/>
                      <w:sz w:val="21"/>
                      <w:szCs w:val="21"/>
                      <w:lang w:val="en-US" w:eastAsia="zh-CN" w:bidi="ar"/>
                    </w:rPr>
                    <w:t>污染物排放</w:t>
                  </w:r>
                </w:p>
              </w:tc>
              <w:tc>
                <w:tcPr>
                  <w:tcW w:w="508" w:type="dxa"/>
                  <w:vMerge w:val="restart"/>
                  <w:tcBorders>
                    <w:tl2br w:val="nil"/>
                    <w:tr2bl w:val="nil"/>
                  </w:tcBorders>
                  <w:shd w:val="clear" w:color="auto" w:fill="auto"/>
                  <w:vAlign w:val="center"/>
                </w:tcPr>
                <w:p w14:paraId="6D237583">
                  <w:pPr>
                    <w:keepNext w:val="0"/>
                    <w:keepLines w:val="0"/>
                    <w:widowControl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排放</w:t>
                  </w:r>
                </w:p>
                <w:p w14:paraId="37C8D5F7">
                  <w:pPr>
                    <w:keepNext w:val="0"/>
                    <w:keepLines w:val="0"/>
                    <w:widowControl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rPr>
                  </w:pPr>
                  <w:r>
                    <w:rPr>
                      <w:rFonts w:hint="eastAsia" w:ascii="宋体" w:hAnsi="宋体" w:eastAsia="宋体" w:cs="宋体"/>
                      <w:b/>
                      <w:bCs w:val="0"/>
                      <w:color w:val="auto"/>
                      <w:kern w:val="2"/>
                      <w:sz w:val="21"/>
                      <w:szCs w:val="21"/>
                      <w:lang w:val="en-US" w:eastAsia="zh-CN" w:bidi="ar"/>
                    </w:rPr>
                    <w:t>时间</w:t>
                  </w:r>
                  <w:r>
                    <w:rPr>
                      <w:rFonts w:hint="default" w:ascii="Times New Roman" w:hAnsi="Times New Roman" w:eastAsia="宋体" w:cs="Times New Roman"/>
                      <w:b/>
                      <w:bCs w:val="0"/>
                      <w:color w:val="auto"/>
                      <w:kern w:val="2"/>
                      <w:sz w:val="21"/>
                      <w:szCs w:val="21"/>
                      <w:lang w:val="en-US" w:eastAsia="zh-CN" w:bidi="ar"/>
                    </w:rPr>
                    <w:t>/h</w:t>
                  </w:r>
                </w:p>
              </w:tc>
            </w:tr>
            <w:tr w14:paraId="521C010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9" w:type="dxa"/>
                  <w:vMerge w:val="continue"/>
                  <w:tcBorders>
                    <w:tl2br w:val="nil"/>
                    <w:tr2bl w:val="nil"/>
                  </w:tcBorders>
                  <w:shd w:val="clear" w:color="auto" w:fill="auto"/>
                  <w:vAlign w:val="center"/>
                </w:tcPr>
                <w:p w14:paraId="776094E4">
                  <w:pPr>
                    <w:keepNext w:val="0"/>
                    <w:keepLines w:val="0"/>
                    <w:suppressLineNumbers w:val="0"/>
                    <w:spacing w:before="0" w:beforeAutospacing="0" w:after="0" w:afterAutospacing="0" w:line="240" w:lineRule="auto"/>
                    <w:ind w:left="0" w:right="0"/>
                    <w:rPr>
                      <w:rFonts w:hint="default" w:ascii="Times New Roman" w:hAnsi="Times New Roman" w:cs="Times New Roman"/>
                      <w:b/>
                      <w:bCs w:val="0"/>
                      <w:color w:val="auto"/>
                      <w:sz w:val="20"/>
                      <w:szCs w:val="20"/>
                    </w:rPr>
                  </w:pPr>
                </w:p>
              </w:tc>
              <w:tc>
                <w:tcPr>
                  <w:tcW w:w="339" w:type="dxa"/>
                  <w:vMerge w:val="continue"/>
                  <w:tcBorders>
                    <w:tl2br w:val="nil"/>
                    <w:tr2bl w:val="nil"/>
                  </w:tcBorders>
                  <w:shd w:val="clear" w:color="auto" w:fill="auto"/>
                  <w:vAlign w:val="center"/>
                </w:tcPr>
                <w:p w14:paraId="63B75835">
                  <w:pPr>
                    <w:keepNext w:val="0"/>
                    <w:keepLines w:val="0"/>
                    <w:suppressLineNumbers w:val="0"/>
                    <w:spacing w:before="0" w:beforeAutospacing="0" w:after="0" w:afterAutospacing="0" w:line="240" w:lineRule="auto"/>
                    <w:ind w:left="0" w:right="0"/>
                    <w:rPr>
                      <w:rFonts w:hint="default" w:ascii="Times New Roman" w:hAnsi="Times New Roman" w:cs="Times New Roman"/>
                      <w:b/>
                      <w:bCs w:val="0"/>
                      <w:color w:val="auto"/>
                      <w:sz w:val="20"/>
                      <w:szCs w:val="20"/>
                    </w:rPr>
                  </w:pPr>
                </w:p>
              </w:tc>
              <w:tc>
                <w:tcPr>
                  <w:tcW w:w="678" w:type="dxa"/>
                  <w:vMerge w:val="continue"/>
                  <w:tcBorders>
                    <w:tl2br w:val="nil"/>
                    <w:tr2bl w:val="nil"/>
                  </w:tcBorders>
                  <w:shd w:val="clear" w:color="auto" w:fill="auto"/>
                  <w:vAlign w:val="center"/>
                </w:tcPr>
                <w:p w14:paraId="54D7E942">
                  <w:pPr>
                    <w:keepNext w:val="0"/>
                    <w:keepLines w:val="0"/>
                    <w:suppressLineNumbers w:val="0"/>
                    <w:spacing w:before="0" w:beforeAutospacing="0" w:after="0" w:afterAutospacing="0" w:line="240" w:lineRule="auto"/>
                    <w:ind w:left="0" w:right="0"/>
                    <w:rPr>
                      <w:rFonts w:hint="default" w:ascii="Times New Roman" w:hAnsi="Times New Roman" w:cs="Times New Roman"/>
                      <w:b/>
                      <w:bCs w:val="0"/>
                      <w:color w:val="auto"/>
                      <w:sz w:val="20"/>
                      <w:szCs w:val="20"/>
                    </w:rPr>
                  </w:pPr>
                </w:p>
              </w:tc>
              <w:tc>
                <w:tcPr>
                  <w:tcW w:w="802" w:type="dxa"/>
                  <w:vMerge w:val="continue"/>
                  <w:tcBorders>
                    <w:tl2br w:val="nil"/>
                    <w:tr2bl w:val="nil"/>
                  </w:tcBorders>
                  <w:shd w:val="clear" w:color="auto" w:fill="auto"/>
                  <w:vAlign w:val="center"/>
                </w:tcPr>
                <w:p w14:paraId="3E08BC23">
                  <w:pPr>
                    <w:keepNext w:val="0"/>
                    <w:keepLines w:val="0"/>
                    <w:suppressLineNumbers w:val="0"/>
                    <w:spacing w:before="0" w:beforeAutospacing="0" w:after="0" w:afterAutospacing="0" w:line="240" w:lineRule="auto"/>
                    <w:ind w:left="0" w:right="0"/>
                    <w:rPr>
                      <w:rFonts w:hint="default" w:ascii="Times New Roman" w:hAnsi="Times New Roman" w:cs="Times New Roman"/>
                      <w:b/>
                      <w:bCs w:val="0"/>
                      <w:color w:val="auto"/>
                      <w:sz w:val="20"/>
                      <w:szCs w:val="20"/>
                    </w:rPr>
                  </w:pPr>
                </w:p>
              </w:tc>
              <w:tc>
                <w:tcPr>
                  <w:tcW w:w="352" w:type="dxa"/>
                  <w:tcBorders>
                    <w:tl2br w:val="nil"/>
                    <w:tr2bl w:val="nil"/>
                  </w:tcBorders>
                  <w:shd w:val="clear" w:color="auto" w:fill="auto"/>
                  <w:vAlign w:val="center"/>
                </w:tcPr>
                <w:p w14:paraId="6AF004BB">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核算</w:t>
                  </w:r>
                </w:p>
                <w:p w14:paraId="78EFE511">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方法</w:t>
                  </w:r>
                </w:p>
              </w:tc>
              <w:tc>
                <w:tcPr>
                  <w:tcW w:w="532" w:type="dxa"/>
                  <w:tcBorders>
                    <w:tl2br w:val="nil"/>
                    <w:tr2bl w:val="nil"/>
                  </w:tcBorders>
                  <w:shd w:val="clear" w:color="auto" w:fill="auto"/>
                  <w:vAlign w:val="center"/>
                </w:tcPr>
                <w:p w14:paraId="1A1BF23E">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产生</w:t>
                  </w:r>
                </w:p>
                <w:p w14:paraId="20321023">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废水</w:t>
                  </w:r>
                  <w:r>
                    <w:rPr>
                      <w:rFonts w:hint="default" w:ascii="Times New Roman" w:hAnsi="Times New Roman" w:eastAsia="宋体" w:cs="Times New Roman"/>
                      <w:b/>
                      <w:bCs w:val="0"/>
                      <w:color w:val="auto"/>
                      <w:kern w:val="2"/>
                      <w:sz w:val="21"/>
                      <w:szCs w:val="21"/>
                      <w:lang w:val="en-US" w:eastAsia="zh-CN" w:bidi="ar"/>
                    </w:rPr>
                    <w:t>t/a</w:t>
                  </w:r>
                </w:p>
              </w:tc>
              <w:tc>
                <w:tcPr>
                  <w:tcW w:w="530" w:type="dxa"/>
                  <w:tcBorders>
                    <w:tl2br w:val="nil"/>
                    <w:tr2bl w:val="nil"/>
                  </w:tcBorders>
                  <w:shd w:val="clear" w:color="auto" w:fill="auto"/>
                  <w:vAlign w:val="center"/>
                </w:tcPr>
                <w:p w14:paraId="4F50FBA8">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产生</w:t>
                  </w:r>
                </w:p>
                <w:p w14:paraId="6E3C0CA4">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浓度</w:t>
                  </w:r>
                  <w:r>
                    <w:rPr>
                      <w:rFonts w:hint="default" w:ascii="Times New Roman" w:hAnsi="Times New Roman" w:eastAsia="宋体" w:cs="Times New Roman"/>
                      <w:b/>
                      <w:bCs w:val="0"/>
                      <w:color w:val="auto"/>
                      <w:kern w:val="2"/>
                      <w:sz w:val="21"/>
                      <w:szCs w:val="21"/>
                      <w:lang w:val="en-US" w:eastAsia="zh-CN" w:bidi="ar"/>
                    </w:rPr>
                    <w:t>mg/L</w:t>
                  </w:r>
                </w:p>
              </w:tc>
              <w:tc>
                <w:tcPr>
                  <w:tcW w:w="624" w:type="dxa"/>
                  <w:tcBorders>
                    <w:tl2br w:val="nil"/>
                    <w:tr2bl w:val="nil"/>
                  </w:tcBorders>
                  <w:shd w:val="clear" w:color="auto" w:fill="auto"/>
                  <w:vAlign w:val="center"/>
                </w:tcPr>
                <w:p w14:paraId="2C930D7C">
                  <w:pPr>
                    <w:keepNext w:val="0"/>
                    <w:keepLines w:val="0"/>
                    <w:widowControl/>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产生量</w:t>
                  </w:r>
                </w:p>
                <w:p w14:paraId="7A48A597">
                  <w:pPr>
                    <w:keepNext w:val="0"/>
                    <w:keepLines w:val="0"/>
                    <w:widowControl/>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default" w:ascii="Times New Roman" w:hAnsi="Times New Roman" w:eastAsia="宋体" w:cs="Times New Roman"/>
                      <w:b/>
                      <w:bCs w:val="0"/>
                      <w:color w:val="auto"/>
                      <w:kern w:val="2"/>
                      <w:sz w:val="21"/>
                      <w:szCs w:val="21"/>
                      <w:lang w:val="en-US" w:eastAsia="zh-CN" w:bidi="ar"/>
                    </w:rPr>
                    <w:t>t/a</w:t>
                  </w:r>
                </w:p>
              </w:tc>
              <w:tc>
                <w:tcPr>
                  <w:tcW w:w="354" w:type="dxa"/>
                  <w:tcBorders>
                    <w:tl2br w:val="nil"/>
                    <w:tr2bl w:val="nil"/>
                  </w:tcBorders>
                  <w:shd w:val="clear" w:color="auto" w:fill="auto"/>
                  <w:vAlign w:val="center"/>
                </w:tcPr>
                <w:p w14:paraId="56B50C7A">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工</w:t>
                  </w:r>
                </w:p>
                <w:p w14:paraId="0A55E083">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艺</w:t>
                  </w:r>
                </w:p>
              </w:tc>
              <w:tc>
                <w:tcPr>
                  <w:tcW w:w="619" w:type="dxa"/>
                  <w:tcBorders>
                    <w:tl2br w:val="nil"/>
                    <w:tr2bl w:val="nil"/>
                  </w:tcBorders>
                  <w:shd w:val="clear" w:color="auto" w:fill="auto"/>
                  <w:vAlign w:val="center"/>
                </w:tcPr>
                <w:p w14:paraId="034D5BB5">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效</w:t>
                  </w:r>
                </w:p>
                <w:p w14:paraId="7C875ACF">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率</w:t>
                  </w:r>
                  <w:r>
                    <w:rPr>
                      <w:rFonts w:hint="default" w:ascii="Times New Roman" w:hAnsi="Times New Roman" w:eastAsia="宋体" w:cs="Times New Roman"/>
                      <w:b/>
                      <w:bCs w:val="0"/>
                      <w:color w:val="auto"/>
                      <w:kern w:val="2"/>
                      <w:sz w:val="21"/>
                      <w:szCs w:val="21"/>
                      <w:lang w:val="en-US" w:eastAsia="zh-CN" w:bidi="ar"/>
                    </w:rPr>
                    <w:t>%</w:t>
                  </w:r>
                </w:p>
              </w:tc>
              <w:tc>
                <w:tcPr>
                  <w:tcW w:w="354" w:type="dxa"/>
                  <w:tcBorders>
                    <w:tl2br w:val="nil"/>
                    <w:tr2bl w:val="nil"/>
                  </w:tcBorders>
                  <w:shd w:val="clear" w:color="auto" w:fill="auto"/>
                  <w:vAlign w:val="center"/>
                </w:tcPr>
                <w:p w14:paraId="6A5BC780">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核算方法</w:t>
                  </w:r>
                </w:p>
              </w:tc>
              <w:tc>
                <w:tcPr>
                  <w:tcW w:w="572" w:type="dxa"/>
                  <w:tcBorders>
                    <w:tl2br w:val="nil"/>
                    <w:tr2bl w:val="nil"/>
                  </w:tcBorders>
                  <w:shd w:val="clear" w:color="auto" w:fill="auto"/>
                  <w:vAlign w:val="center"/>
                </w:tcPr>
                <w:p w14:paraId="2D8A59D6">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排放</w:t>
                  </w:r>
                </w:p>
                <w:p w14:paraId="3730F339">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废水</w:t>
                  </w:r>
                </w:p>
                <w:p w14:paraId="0B1D634C">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default" w:ascii="Times New Roman" w:hAnsi="Times New Roman" w:eastAsia="宋体" w:cs="Times New Roman"/>
                      <w:b/>
                      <w:bCs w:val="0"/>
                      <w:color w:val="auto"/>
                      <w:kern w:val="2"/>
                      <w:sz w:val="21"/>
                      <w:szCs w:val="21"/>
                      <w:lang w:val="en-US" w:eastAsia="zh-CN" w:bidi="ar"/>
                    </w:rPr>
                    <w:t>t/a</w:t>
                  </w:r>
                </w:p>
              </w:tc>
              <w:tc>
                <w:tcPr>
                  <w:tcW w:w="503" w:type="dxa"/>
                  <w:tcBorders>
                    <w:tl2br w:val="nil"/>
                    <w:tr2bl w:val="nil"/>
                  </w:tcBorders>
                  <w:shd w:val="clear" w:color="auto" w:fill="auto"/>
                  <w:vAlign w:val="center"/>
                </w:tcPr>
                <w:p w14:paraId="58B94F86">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排放浓度</w:t>
                  </w:r>
                  <w:r>
                    <w:rPr>
                      <w:rFonts w:hint="default" w:ascii="Times New Roman" w:hAnsi="Times New Roman" w:eastAsia="宋体" w:cs="Times New Roman"/>
                      <w:b/>
                      <w:bCs w:val="0"/>
                      <w:color w:val="auto"/>
                      <w:kern w:val="2"/>
                      <w:sz w:val="21"/>
                      <w:szCs w:val="21"/>
                      <w:lang w:val="en-US" w:eastAsia="zh-CN" w:bidi="ar"/>
                    </w:rPr>
                    <w:t>mg/L</w:t>
                  </w:r>
                </w:p>
              </w:tc>
              <w:tc>
                <w:tcPr>
                  <w:tcW w:w="684" w:type="dxa"/>
                  <w:tcBorders>
                    <w:tl2br w:val="nil"/>
                    <w:tr2bl w:val="nil"/>
                  </w:tcBorders>
                  <w:shd w:val="clear" w:color="auto" w:fill="auto"/>
                  <w:vAlign w:val="center"/>
                </w:tcPr>
                <w:p w14:paraId="5687FF1C">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排放量</w:t>
                  </w:r>
                </w:p>
                <w:p w14:paraId="730573A2">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Times New Roman" w:hAnsi="Times New Roman" w:eastAsia="宋体" w:cs="Times New Roman"/>
                      <w:b/>
                      <w:bCs w:val="0"/>
                      <w:color w:val="auto"/>
                      <w:kern w:val="2"/>
                      <w:sz w:val="21"/>
                      <w:szCs w:val="21"/>
                      <w:lang w:val="en-US" w:eastAsia="zh-CN" w:bidi="ar"/>
                    </w:rPr>
                    <w:t>kg</w:t>
                  </w:r>
                  <w:r>
                    <w:rPr>
                      <w:rFonts w:hint="default" w:ascii="Times New Roman" w:hAnsi="Times New Roman" w:eastAsia="宋体" w:cs="Times New Roman"/>
                      <w:b/>
                      <w:bCs w:val="0"/>
                      <w:color w:val="auto"/>
                      <w:kern w:val="2"/>
                      <w:sz w:val="21"/>
                      <w:szCs w:val="21"/>
                      <w:lang w:val="en-US" w:eastAsia="zh-CN" w:bidi="ar"/>
                    </w:rPr>
                    <w:t>/d</w:t>
                  </w:r>
                </w:p>
              </w:tc>
              <w:tc>
                <w:tcPr>
                  <w:tcW w:w="475" w:type="dxa"/>
                  <w:tcBorders>
                    <w:tl2br w:val="nil"/>
                    <w:tr2bl w:val="nil"/>
                  </w:tcBorders>
                  <w:shd w:val="clear" w:color="auto" w:fill="auto"/>
                  <w:vAlign w:val="center"/>
                </w:tcPr>
                <w:p w14:paraId="7A2BB436">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排放量</w:t>
                  </w:r>
                </w:p>
                <w:p w14:paraId="4FD95F57">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default" w:ascii="Times New Roman" w:hAnsi="Times New Roman" w:eastAsia="宋体" w:cs="Times New Roman"/>
                      <w:b/>
                      <w:bCs w:val="0"/>
                      <w:color w:val="auto"/>
                      <w:kern w:val="2"/>
                      <w:sz w:val="21"/>
                      <w:szCs w:val="21"/>
                      <w:lang w:val="en-US" w:eastAsia="zh-CN" w:bidi="ar"/>
                    </w:rPr>
                    <w:t>t/a</w:t>
                  </w:r>
                </w:p>
              </w:tc>
              <w:tc>
                <w:tcPr>
                  <w:tcW w:w="508" w:type="dxa"/>
                  <w:vMerge w:val="continue"/>
                  <w:tcBorders>
                    <w:tl2br w:val="nil"/>
                    <w:tr2bl w:val="nil"/>
                  </w:tcBorders>
                  <w:shd w:val="clear" w:color="auto" w:fill="auto"/>
                  <w:vAlign w:val="center"/>
                </w:tcPr>
                <w:p w14:paraId="4F73831F">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r>
            <w:tr w14:paraId="3848B68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40" w:hRule="atLeast"/>
                <w:jc w:val="center"/>
              </w:trPr>
              <w:tc>
                <w:tcPr>
                  <w:tcW w:w="349" w:type="dxa"/>
                  <w:vMerge w:val="restart"/>
                  <w:tcBorders>
                    <w:tl2br w:val="nil"/>
                    <w:tr2bl w:val="nil"/>
                  </w:tcBorders>
                  <w:shd w:val="clear" w:color="auto" w:fill="auto"/>
                  <w:vAlign w:val="center"/>
                </w:tcPr>
                <w:p w14:paraId="114ADB5C">
                  <w:pPr>
                    <w:keepNext w:val="0"/>
                    <w:keepLines w:val="0"/>
                    <w:widowControl w:val="0"/>
                    <w:suppressLineNumbers w:val="0"/>
                    <w:autoSpaceDE w:val="0"/>
                    <w:autoSpaceDN/>
                    <w:snapToGrid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办公</w:t>
                  </w:r>
                </w:p>
              </w:tc>
              <w:tc>
                <w:tcPr>
                  <w:tcW w:w="339" w:type="dxa"/>
                  <w:vMerge w:val="restart"/>
                  <w:tcBorders>
                    <w:tl2br w:val="nil"/>
                    <w:tr2bl w:val="nil"/>
                  </w:tcBorders>
                  <w:shd w:val="clear" w:color="auto" w:fill="auto"/>
                  <w:vAlign w:val="center"/>
                </w:tcPr>
                <w:p w14:paraId="74F119F8">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办公、生活</w:t>
                  </w:r>
                </w:p>
              </w:tc>
              <w:tc>
                <w:tcPr>
                  <w:tcW w:w="678" w:type="dxa"/>
                  <w:vMerge w:val="restart"/>
                  <w:tcBorders>
                    <w:tl2br w:val="nil"/>
                    <w:tr2bl w:val="nil"/>
                  </w:tcBorders>
                  <w:shd w:val="clear" w:color="auto" w:fill="auto"/>
                  <w:vAlign w:val="center"/>
                </w:tcPr>
                <w:p w14:paraId="2E20532F">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职工生活制备废水等</w:t>
                  </w:r>
                </w:p>
              </w:tc>
              <w:tc>
                <w:tcPr>
                  <w:tcW w:w="802" w:type="dxa"/>
                  <w:tcBorders>
                    <w:tl2br w:val="nil"/>
                    <w:tr2bl w:val="nil"/>
                  </w:tcBorders>
                  <w:shd w:val="clear" w:color="auto" w:fill="auto"/>
                  <w:vAlign w:val="center"/>
                </w:tcPr>
                <w:p w14:paraId="7D1AEC7C">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COD</w:t>
                  </w:r>
                </w:p>
              </w:tc>
              <w:tc>
                <w:tcPr>
                  <w:tcW w:w="352" w:type="dxa"/>
                  <w:vMerge w:val="restart"/>
                  <w:tcBorders>
                    <w:tl2br w:val="nil"/>
                    <w:tr2bl w:val="nil"/>
                  </w:tcBorders>
                  <w:shd w:val="clear" w:color="auto" w:fill="auto"/>
                  <w:vAlign w:val="center"/>
                </w:tcPr>
                <w:p w14:paraId="24617859">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类比法</w:t>
                  </w:r>
                </w:p>
              </w:tc>
              <w:tc>
                <w:tcPr>
                  <w:tcW w:w="532" w:type="dxa"/>
                  <w:vMerge w:val="restart"/>
                  <w:tcBorders>
                    <w:tl2br w:val="nil"/>
                    <w:tr2bl w:val="nil"/>
                  </w:tcBorders>
                  <w:shd w:val="clear" w:color="auto" w:fill="auto"/>
                  <w:vAlign w:val="center"/>
                </w:tcPr>
                <w:p w14:paraId="34A438B1">
                  <w:pPr>
                    <w:keepNext w:val="0"/>
                    <w:keepLines w:val="0"/>
                    <w:widowControl/>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rPr>
                  </w:pPr>
                  <w:r>
                    <w:rPr>
                      <w:rFonts w:hint="eastAsia" w:ascii="Times New Roman" w:hAnsi="Times New Roman" w:eastAsia="宋体" w:cs="Times New Roman"/>
                      <w:i w:val="0"/>
                      <w:iCs w:val="0"/>
                      <w:color w:val="auto"/>
                      <w:kern w:val="0"/>
                      <w:sz w:val="21"/>
                      <w:szCs w:val="21"/>
                      <w:lang w:val="en-US" w:eastAsia="zh-CN" w:bidi="ar"/>
                    </w:rPr>
                    <w:t>500</w:t>
                  </w:r>
                </w:p>
              </w:tc>
              <w:tc>
                <w:tcPr>
                  <w:tcW w:w="530" w:type="dxa"/>
                  <w:tcBorders>
                    <w:tl2br w:val="nil"/>
                    <w:tr2bl w:val="nil"/>
                  </w:tcBorders>
                  <w:shd w:val="clear" w:color="auto" w:fill="auto"/>
                  <w:vAlign w:val="center"/>
                </w:tcPr>
                <w:p w14:paraId="1795E56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lang w:val="en-US"/>
                    </w:rPr>
                  </w:pPr>
                  <w:r>
                    <w:rPr>
                      <w:rFonts w:hint="default" w:ascii="Times New Roman" w:hAnsi="Times New Roman" w:eastAsia="宋体" w:cs="Times New Roman"/>
                      <w:i w:val="0"/>
                      <w:iCs w:val="0"/>
                      <w:color w:val="auto"/>
                      <w:kern w:val="0"/>
                      <w:sz w:val="21"/>
                      <w:szCs w:val="21"/>
                      <w:u w:val="none"/>
                      <w:lang w:val="en-US" w:eastAsia="zh-CN" w:bidi="ar"/>
                    </w:rPr>
                    <w:t>250</w:t>
                  </w:r>
                </w:p>
              </w:tc>
              <w:tc>
                <w:tcPr>
                  <w:tcW w:w="624" w:type="dxa"/>
                  <w:tcBorders>
                    <w:tl2br w:val="nil"/>
                    <w:tr2bl w:val="nil"/>
                  </w:tcBorders>
                  <w:shd w:val="clear" w:color="auto" w:fill="auto"/>
                  <w:vAlign w:val="center"/>
                </w:tcPr>
                <w:p w14:paraId="4E14922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0.125 </w:t>
                  </w:r>
                </w:p>
              </w:tc>
              <w:tc>
                <w:tcPr>
                  <w:tcW w:w="354" w:type="dxa"/>
                  <w:vMerge w:val="restart"/>
                  <w:tcBorders>
                    <w:tl2br w:val="nil"/>
                    <w:tr2bl w:val="nil"/>
                  </w:tcBorders>
                  <w:shd w:val="clear" w:color="auto" w:fill="auto"/>
                  <w:vAlign w:val="center"/>
                </w:tcPr>
                <w:p w14:paraId="7B569FD7">
                  <w:pPr>
                    <w:keepNext w:val="0"/>
                    <w:keepLines w:val="0"/>
                    <w:widowControl/>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i w:val="0"/>
                      <w:iCs w:val="0"/>
                      <w:color w:val="auto"/>
                      <w:kern w:val="0"/>
                      <w:sz w:val="21"/>
                      <w:szCs w:val="21"/>
                      <w:lang w:val="en-US" w:eastAsia="zh-CN" w:bidi="ar"/>
                    </w:rPr>
                    <w:t>/</w:t>
                  </w:r>
                </w:p>
              </w:tc>
              <w:tc>
                <w:tcPr>
                  <w:tcW w:w="619" w:type="dxa"/>
                  <w:tcBorders>
                    <w:tl2br w:val="nil"/>
                    <w:tr2bl w:val="nil"/>
                  </w:tcBorders>
                  <w:shd w:val="clear" w:color="auto" w:fill="auto"/>
                  <w:vAlign w:val="center"/>
                </w:tcPr>
                <w:p w14:paraId="469F96EF">
                  <w:pPr>
                    <w:keepNext w:val="0"/>
                    <w:keepLines w:val="0"/>
                    <w:widowControl/>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Times New Roman" w:hAnsi="Times New Roman" w:eastAsia="宋体" w:cs="Times New Roman"/>
                      <w:i w:val="0"/>
                      <w:iCs w:val="0"/>
                      <w:color w:val="auto"/>
                      <w:kern w:val="0"/>
                      <w:sz w:val="21"/>
                      <w:szCs w:val="21"/>
                      <w:lang w:val="en-US" w:eastAsia="zh-CN" w:bidi="ar"/>
                    </w:rPr>
                    <w:t>/</w:t>
                  </w:r>
                </w:p>
              </w:tc>
              <w:tc>
                <w:tcPr>
                  <w:tcW w:w="354" w:type="dxa"/>
                  <w:vMerge w:val="restart"/>
                  <w:tcBorders>
                    <w:tl2br w:val="nil"/>
                    <w:tr2bl w:val="nil"/>
                  </w:tcBorders>
                  <w:shd w:val="clear" w:color="auto" w:fill="auto"/>
                  <w:vAlign w:val="center"/>
                </w:tcPr>
                <w:p w14:paraId="1C63BCC3">
                  <w:pPr>
                    <w:keepNext w:val="0"/>
                    <w:keepLines w:val="0"/>
                    <w:widowControl/>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rPr>
                  </w:pPr>
                  <w:r>
                    <w:rPr>
                      <w:rFonts w:hint="eastAsia" w:ascii="宋体" w:hAnsi="宋体" w:eastAsia="宋体" w:cs="宋体"/>
                      <w:i w:val="0"/>
                      <w:iCs w:val="0"/>
                      <w:color w:val="auto"/>
                      <w:kern w:val="0"/>
                      <w:sz w:val="21"/>
                      <w:szCs w:val="21"/>
                      <w:lang w:val="en-US" w:eastAsia="zh-CN" w:bidi="ar"/>
                    </w:rPr>
                    <w:t>类比法</w:t>
                  </w:r>
                </w:p>
              </w:tc>
              <w:tc>
                <w:tcPr>
                  <w:tcW w:w="572" w:type="dxa"/>
                  <w:vMerge w:val="restart"/>
                  <w:tcBorders>
                    <w:tl2br w:val="nil"/>
                    <w:tr2bl w:val="nil"/>
                  </w:tcBorders>
                  <w:shd w:val="clear" w:color="auto" w:fill="auto"/>
                  <w:vAlign w:val="center"/>
                </w:tcPr>
                <w:p w14:paraId="39C2E77D">
                  <w:pPr>
                    <w:keepNext w:val="0"/>
                    <w:keepLines w:val="0"/>
                    <w:widowControl/>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rPr>
                  </w:pPr>
                  <w:r>
                    <w:rPr>
                      <w:rFonts w:hint="eastAsia" w:ascii="Times New Roman" w:hAnsi="Times New Roman" w:eastAsia="宋体" w:cs="Times New Roman"/>
                      <w:i w:val="0"/>
                      <w:iCs w:val="0"/>
                      <w:color w:val="auto"/>
                      <w:kern w:val="0"/>
                      <w:sz w:val="21"/>
                      <w:szCs w:val="21"/>
                      <w:lang w:val="en-US" w:eastAsia="zh-CN" w:bidi="ar"/>
                    </w:rPr>
                    <w:t>500</w:t>
                  </w:r>
                </w:p>
              </w:tc>
              <w:tc>
                <w:tcPr>
                  <w:tcW w:w="503" w:type="dxa"/>
                  <w:tcBorders>
                    <w:tl2br w:val="nil"/>
                    <w:tr2bl w:val="nil"/>
                  </w:tcBorders>
                  <w:shd w:val="clear" w:color="auto" w:fill="auto"/>
                  <w:vAlign w:val="center"/>
                </w:tcPr>
                <w:p w14:paraId="4E911D3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250</w:t>
                  </w:r>
                </w:p>
              </w:tc>
              <w:tc>
                <w:tcPr>
                  <w:tcW w:w="684" w:type="dxa"/>
                  <w:tcBorders>
                    <w:tl2br w:val="nil"/>
                    <w:tr2bl w:val="nil"/>
                  </w:tcBorders>
                  <w:shd w:val="clear" w:color="auto" w:fill="auto"/>
                  <w:vAlign w:val="center"/>
                </w:tcPr>
                <w:p w14:paraId="13F23C2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0.417 </w:t>
                  </w:r>
                </w:p>
              </w:tc>
              <w:tc>
                <w:tcPr>
                  <w:tcW w:w="475" w:type="dxa"/>
                  <w:tcBorders>
                    <w:tl2br w:val="nil"/>
                    <w:tr2bl w:val="nil"/>
                  </w:tcBorders>
                  <w:shd w:val="clear" w:color="auto" w:fill="auto"/>
                  <w:vAlign w:val="center"/>
                </w:tcPr>
                <w:p w14:paraId="519A145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0.125</w:t>
                  </w:r>
                </w:p>
              </w:tc>
              <w:tc>
                <w:tcPr>
                  <w:tcW w:w="508" w:type="dxa"/>
                  <w:vMerge w:val="restart"/>
                  <w:tcBorders>
                    <w:tl2br w:val="nil"/>
                    <w:tr2bl w:val="nil"/>
                  </w:tcBorders>
                  <w:shd w:val="clear" w:color="auto" w:fill="auto"/>
                  <w:vAlign w:val="center"/>
                </w:tcPr>
                <w:p w14:paraId="45DA9859">
                  <w:pPr>
                    <w:keepNext w:val="0"/>
                    <w:keepLines w:val="0"/>
                    <w:widowControl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eastAsia="zh-CN" w:bidi="ar"/>
                    </w:rPr>
                    <w:t>4800</w:t>
                  </w:r>
                </w:p>
              </w:tc>
            </w:tr>
            <w:tr w14:paraId="07DC238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9" w:type="dxa"/>
                  <w:vMerge w:val="continue"/>
                  <w:tcBorders>
                    <w:tl2br w:val="nil"/>
                    <w:tr2bl w:val="nil"/>
                  </w:tcBorders>
                  <w:shd w:val="clear" w:color="auto" w:fill="auto"/>
                  <w:vAlign w:val="center"/>
                </w:tcPr>
                <w:p w14:paraId="0A389BAA">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339" w:type="dxa"/>
                  <w:vMerge w:val="continue"/>
                  <w:tcBorders>
                    <w:tl2br w:val="nil"/>
                    <w:tr2bl w:val="nil"/>
                  </w:tcBorders>
                  <w:shd w:val="clear" w:color="auto" w:fill="auto"/>
                  <w:vAlign w:val="center"/>
                </w:tcPr>
                <w:p w14:paraId="1941CB4F">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678" w:type="dxa"/>
                  <w:vMerge w:val="continue"/>
                  <w:tcBorders>
                    <w:tl2br w:val="nil"/>
                    <w:tr2bl w:val="nil"/>
                  </w:tcBorders>
                  <w:shd w:val="clear" w:color="auto" w:fill="auto"/>
                  <w:vAlign w:val="center"/>
                </w:tcPr>
                <w:p w14:paraId="60F43ED7">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802" w:type="dxa"/>
                  <w:tcBorders>
                    <w:tl2br w:val="nil"/>
                    <w:tr2bl w:val="nil"/>
                  </w:tcBorders>
                  <w:shd w:val="clear" w:color="auto" w:fill="auto"/>
                  <w:vAlign w:val="center"/>
                </w:tcPr>
                <w:p w14:paraId="285E323F">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BOD</w:t>
                  </w:r>
                  <w:r>
                    <w:rPr>
                      <w:rFonts w:hint="default" w:ascii="Times New Roman" w:hAnsi="Times New Roman" w:eastAsia="宋体" w:cs="Times New Roman"/>
                      <w:color w:val="auto"/>
                      <w:kern w:val="2"/>
                      <w:sz w:val="21"/>
                      <w:szCs w:val="21"/>
                      <w:vertAlign w:val="subscript"/>
                      <w:lang w:val="en-US" w:eastAsia="zh-CN" w:bidi="ar"/>
                    </w:rPr>
                    <w:t>5</w:t>
                  </w:r>
                </w:p>
              </w:tc>
              <w:tc>
                <w:tcPr>
                  <w:tcW w:w="352" w:type="dxa"/>
                  <w:vMerge w:val="continue"/>
                  <w:tcBorders>
                    <w:tl2br w:val="nil"/>
                    <w:tr2bl w:val="nil"/>
                  </w:tcBorders>
                  <w:shd w:val="clear" w:color="auto" w:fill="auto"/>
                  <w:vAlign w:val="center"/>
                </w:tcPr>
                <w:p w14:paraId="0BA23C45">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532" w:type="dxa"/>
                  <w:vMerge w:val="continue"/>
                  <w:tcBorders>
                    <w:tl2br w:val="nil"/>
                    <w:tr2bl w:val="nil"/>
                  </w:tcBorders>
                  <w:shd w:val="clear" w:color="auto" w:fill="auto"/>
                  <w:vAlign w:val="center"/>
                </w:tcPr>
                <w:p w14:paraId="7A1961BF">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530" w:type="dxa"/>
                  <w:tcBorders>
                    <w:tl2br w:val="nil"/>
                    <w:tr2bl w:val="nil"/>
                  </w:tcBorders>
                  <w:shd w:val="clear" w:color="auto" w:fill="auto"/>
                  <w:vAlign w:val="center"/>
                </w:tcPr>
                <w:p w14:paraId="302EEBF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150</w:t>
                  </w:r>
                </w:p>
              </w:tc>
              <w:tc>
                <w:tcPr>
                  <w:tcW w:w="624" w:type="dxa"/>
                  <w:tcBorders>
                    <w:tl2br w:val="nil"/>
                    <w:tr2bl w:val="nil"/>
                  </w:tcBorders>
                  <w:shd w:val="clear" w:color="auto" w:fill="auto"/>
                  <w:vAlign w:val="center"/>
                </w:tcPr>
                <w:p w14:paraId="6327B03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0.075 </w:t>
                  </w:r>
                </w:p>
              </w:tc>
              <w:tc>
                <w:tcPr>
                  <w:tcW w:w="354" w:type="dxa"/>
                  <w:vMerge w:val="continue"/>
                  <w:tcBorders>
                    <w:tl2br w:val="nil"/>
                    <w:tr2bl w:val="nil"/>
                  </w:tcBorders>
                  <w:shd w:val="clear" w:color="auto" w:fill="auto"/>
                  <w:vAlign w:val="center"/>
                </w:tcPr>
                <w:p w14:paraId="01A18411">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619" w:type="dxa"/>
                  <w:tcBorders>
                    <w:tl2br w:val="nil"/>
                    <w:tr2bl w:val="nil"/>
                  </w:tcBorders>
                  <w:shd w:val="clear" w:color="auto" w:fill="auto"/>
                  <w:vAlign w:val="center"/>
                </w:tcPr>
                <w:p w14:paraId="559DDE9F">
                  <w:pPr>
                    <w:keepNext w:val="0"/>
                    <w:keepLines w:val="0"/>
                    <w:widowControl/>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rPr>
                  </w:pPr>
                  <w:r>
                    <w:rPr>
                      <w:rFonts w:hint="eastAsia" w:ascii="Times New Roman" w:hAnsi="Times New Roman" w:eastAsia="宋体" w:cs="Times New Roman"/>
                      <w:i w:val="0"/>
                      <w:iCs w:val="0"/>
                      <w:color w:val="auto"/>
                      <w:kern w:val="0"/>
                      <w:sz w:val="21"/>
                      <w:szCs w:val="21"/>
                      <w:lang w:val="en-US" w:eastAsia="zh-CN" w:bidi="ar"/>
                    </w:rPr>
                    <w:t>/</w:t>
                  </w:r>
                </w:p>
              </w:tc>
              <w:tc>
                <w:tcPr>
                  <w:tcW w:w="354" w:type="dxa"/>
                  <w:vMerge w:val="continue"/>
                  <w:tcBorders>
                    <w:tl2br w:val="nil"/>
                    <w:tr2bl w:val="nil"/>
                  </w:tcBorders>
                  <w:shd w:val="clear" w:color="auto" w:fill="auto"/>
                  <w:vAlign w:val="center"/>
                </w:tcPr>
                <w:p w14:paraId="36AC1223">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572" w:type="dxa"/>
                  <w:vMerge w:val="continue"/>
                  <w:tcBorders>
                    <w:tl2br w:val="nil"/>
                    <w:tr2bl w:val="nil"/>
                  </w:tcBorders>
                  <w:shd w:val="clear" w:color="auto" w:fill="auto"/>
                  <w:vAlign w:val="center"/>
                </w:tcPr>
                <w:p w14:paraId="6EE0FC11">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503" w:type="dxa"/>
                  <w:tcBorders>
                    <w:tl2br w:val="nil"/>
                    <w:tr2bl w:val="nil"/>
                  </w:tcBorders>
                  <w:shd w:val="clear" w:color="auto" w:fill="auto"/>
                  <w:vAlign w:val="center"/>
                </w:tcPr>
                <w:p w14:paraId="5066BE1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150</w:t>
                  </w:r>
                </w:p>
              </w:tc>
              <w:tc>
                <w:tcPr>
                  <w:tcW w:w="684" w:type="dxa"/>
                  <w:tcBorders>
                    <w:tl2br w:val="nil"/>
                    <w:tr2bl w:val="nil"/>
                  </w:tcBorders>
                  <w:shd w:val="clear" w:color="auto" w:fill="auto"/>
                  <w:vAlign w:val="center"/>
                </w:tcPr>
                <w:p w14:paraId="32B1F81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0.250 </w:t>
                  </w:r>
                </w:p>
              </w:tc>
              <w:tc>
                <w:tcPr>
                  <w:tcW w:w="475" w:type="dxa"/>
                  <w:tcBorders>
                    <w:tl2br w:val="nil"/>
                    <w:tr2bl w:val="nil"/>
                  </w:tcBorders>
                  <w:shd w:val="clear" w:color="auto" w:fill="auto"/>
                  <w:vAlign w:val="center"/>
                </w:tcPr>
                <w:p w14:paraId="1287010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0.075</w:t>
                  </w:r>
                </w:p>
              </w:tc>
              <w:tc>
                <w:tcPr>
                  <w:tcW w:w="508" w:type="dxa"/>
                  <w:vMerge w:val="continue"/>
                  <w:tcBorders>
                    <w:tl2br w:val="nil"/>
                    <w:tr2bl w:val="nil"/>
                  </w:tcBorders>
                  <w:shd w:val="clear" w:color="auto" w:fill="auto"/>
                  <w:vAlign w:val="center"/>
                </w:tcPr>
                <w:p w14:paraId="07FAAEFB">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r>
            <w:tr w14:paraId="1900CF7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9" w:type="dxa"/>
                  <w:vMerge w:val="continue"/>
                  <w:tcBorders>
                    <w:tl2br w:val="nil"/>
                    <w:tr2bl w:val="nil"/>
                  </w:tcBorders>
                  <w:shd w:val="clear" w:color="auto" w:fill="auto"/>
                  <w:vAlign w:val="center"/>
                </w:tcPr>
                <w:p w14:paraId="5812EFDB">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339" w:type="dxa"/>
                  <w:vMerge w:val="continue"/>
                  <w:tcBorders>
                    <w:tl2br w:val="nil"/>
                    <w:tr2bl w:val="nil"/>
                  </w:tcBorders>
                  <w:shd w:val="clear" w:color="auto" w:fill="auto"/>
                  <w:vAlign w:val="center"/>
                </w:tcPr>
                <w:p w14:paraId="03EC0B71">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678" w:type="dxa"/>
                  <w:vMerge w:val="continue"/>
                  <w:tcBorders>
                    <w:tl2br w:val="nil"/>
                    <w:tr2bl w:val="nil"/>
                  </w:tcBorders>
                  <w:shd w:val="clear" w:color="auto" w:fill="auto"/>
                  <w:vAlign w:val="center"/>
                </w:tcPr>
                <w:p w14:paraId="277A893B">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802" w:type="dxa"/>
                  <w:tcBorders>
                    <w:tl2br w:val="nil"/>
                    <w:tr2bl w:val="nil"/>
                  </w:tcBorders>
                  <w:shd w:val="clear" w:color="auto" w:fill="auto"/>
                  <w:vAlign w:val="center"/>
                </w:tcPr>
                <w:p w14:paraId="6AB3754E">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SS</w:t>
                  </w:r>
                </w:p>
              </w:tc>
              <w:tc>
                <w:tcPr>
                  <w:tcW w:w="352" w:type="dxa"/>
                  <w:vMerge w:val="continue"/>
                  <w:tcBorders>
                    <w:tl2br w:val="nil"/>
                    <w:tr2bl w:val="nil"/>
                  </w:tcBorders>
                  <w:shd w:val="clear" w:color="auto" w:fill="auto"/>
                  <w:vAlign w:val="center"/>
                </w:tcPr>
                <w:p w14:paraId="2D90919C">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532" w:type="dxa"/>
                  <w:vMerge w:val="continue"/>
                  <w:tcBorders>
                    <w:tl2br w:val="nil"/>
                    <w:tr2bl w:val="nil"/>
                  </w:tcBorders>
                  <w:shd w:val="clear" w:color="auto" w:fill="auto"/>
                  <w:vAlign w:val="center"/>
                </w:tcPr>
                <w:p w14:paraId="02B46DA3">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530" w:type="dxa"/>
                  <w:tcBorders>
                    <w:tl2br w:val="nil"/>
                    <w:tr2bl w:val="nil"/>
                  </w:tcBorders>
                  <w:shd w:val="clear" w:color="auto" w:fill="auto"/>
                  <w:vAlign w:val="center"/>
                </w:tcPr>
                <w:p w14:paraId="4C8C5D9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lang w:val="en-US"/>
                    </w:rPr>
                  </w:pPr>
                  <w:r>
                    <w:rPr>
                      <w:rFonts w:hint="default" w:ascii="Times New Roman" w:hAnsi="Times New Roman" w:eastAsia="宋体" w:cs="Times New Roman"/>
                      <w:i w:val="0"/>
                      <w:iCs w:val="0"/>
                      <w:color w:val="auto"/>
                      <w:kern w:val="0"/>
                      <w:sz w:val="21"/>
                      <w:szCs w:val="21"/>
                      <w:u w:val="none"/>
                      <w:lang w:val="en-US" w:eastAsia="zh-CN" w:bidi="ar"/>
                    </w:rPr>
                    <w:t>150</w:t>
                  </w:r>
                </w:p>
              </w:tc>
              <w:tc>
                <w:tcPr>
                  <w:tcW w:w="624" w:type="dxa"/>
                  <w:tcBorders>
                    <w:tl2br w:val="nil"/>
                    <w:tr2bl w:val="nil"/>
                  </w:tcBorders>
                  <w:shd w:val="clear" w:color="auto" w:fill="auto"/>
                  <w:vAlign w:val="center"/>
                </w:tcPr>
                <w:p w14:paraId="228EB88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0.075 </w:t>
                  </w:r>
                </w:p>
              </w:tc>
              <w:tc>
                <w:tcPr>
                  <w:tcW w:w="354" w:type="dxa"/>
                  <w:vMerge w:val="continue"/>
                  <w:tcBorders>
                    <w:tl2br w:val="nil"/>
                    <w:tr2bl w:val="nil"/>
                  </w:tcBorders>
                  <w:shd w:val="clear" w:color="auto" w:fill="auto"/>
                  <w:vAlign w:val="center"/>
                </w:tcPr>
                <w:p w14:paraId="7DB56233">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619" w:type="dxa"/>
                  <w:tcBorders>
                    <w:tl2br w:val="nil"/>
                    <w:tr2bl w:val="nil"/>
                  </w:tcBorders>
                  <w:shd w:val="clear" w:color="auto" w:fill="auto"/>
                  <w:vAlign w:val="center"/>
                </w:tcPr>
                <w:p w14:paraId="2666B8F8">
                  <w:pPr>
                    <w:keepNext w:val="0"/>
                    <w:keepLines w:val="0"/>
                    <w:widowControl/>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Times New Roman" w:hAnsi="Times New Roman" w:eastAsia="宋体" w:cs="Times New Roman"/>
                      <w:i w:val="0"/>
                      <w:iCs w:val="0"/>
                      <w:color w:val="auto"/>
                      <w:kern w:val="0"/>
                      <w:sz w:val="21"/>
                      <w:szCs w:val="21"/>
                      <w:lang w:val="en-US" w:eastAsia="zh-CN" w:bidi="ar"/>
                    </w:rPr>
                    <w:t>/</w:t>
                  </w:r>
                </w:p>
              </w:tc>
              <w:tc>
                <w:tcPr>
                  <w:tcW w:w="354" w:type="dxa"/>
                  <w:vMerge w:val="continue"/>
                  <w:tcBorders>
                    <w:tl2br w:val="nil"/>
                    <w:tr2bl w:val="nil"/>
                  </w:tcBorders>
                  <w:shd w:val="clear" w:color="auto" w:fill="auto"/>
                  <w:vAlign w:val="center"/>
                </w:tcPr>
                <w:p w14:paraId="136E33A4">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572" w:type="dxa"/>
                  <w:vMerge w:val="continue"/>
                  <w:tcBorders>
                    <w:tl2br w:val="nil"/>
                    <w:tr2bl w:val="nil"/>
                  </w:tcBorders>
                  <w:shd w:val="clear" w:color="auto" w:fill="auto"/>
                  <w:vAlign w:val="center"/>
                </w:tcPr>
                <w:p w14:paraId="1E963AA2">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503" w:type="dxa"/>
                  <w:tcBorders>
                    <w:tl2br w:val="nil"/>
                    <w:tr2bl w:val="nil"/>
                  </w:tcBorders>
                  <w:shd w:val="clear" w:color="auto" w:fill="auto"/>
                  <w:vAlign w:val="center"/>
                </w:tcPr>
                <w:p w14:paraId="594D16D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150</w:t>
                  </w:r>
                </w:p>
              </w:tc>
              <w:tc>
                <w:tcPr>
                  <w:tcW w:w="684" w:type="dxa"/>
                  <w:tcBorders>
                    <w:tl2br w:val="nil"/>
                    <w:tr2bl w:val="nil"/>
                  </w:tcBorders>
                  <w:shd w:val="clear" w:color="auto" w:fill="auto"/>
                  <w:vAlign w:val="center"/>
                </w:tcPr>
                <w:p w14:paraId="28EED12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0.250 </w:t>
                  </w:r>
                </w:p>
              </w:tc>
              <w:tc>
                <w:tcPr>
                  <w:tcW w:w="475" w:type="dxa"/>
                  <w:tcBorders>
                    <w:tl2br w:val="nil"/>
                    <w:tr2bl w:val="nil"/>
                  </w:tcBorders>
                  <w:shd w:val="clear" w:color="auto" w:fill="auto"/>
                  <w:vAlign w:val="center"/>
                </w:tcPr>
                <w:p w14:paraId="0F969F4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0.075</w:t>
                  </w:r>
                </w:p>
              </w:tc>
              <w:tc>
                <w:tcPr>
                  <w:tcW w:w="508" w:type="dxa"/>
                  <w:vMerge w:val="continue"/>
                  <w:tcBorders>
                    <w:tl2br w:val="nil"/>
                    <w:tr2bl w:val="nil"/>
                  </w:tcBorders>
                  <w:shd w:val="clear" w:color="auto" w:fill="auto"/>
                  <w:vAlign w:val="center"/>
                </w:tcPr>
                <w:p w14:paraId="06793B0E">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r>
            <w:tr w14:paraId="54F06D8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9" w:type="dxa"/>
                  <w:vMerge w:val="continue"/>
                  <w:tcBorders>
                    <w:tl2br w:val="nil"/>
                    <w:tr2bl w:val="nil"/>
                  </w:tcBorders>
                  <w:shd w:val="clear" w:color="auto" w:fill="auto"/>
                  <w:vAlign w:val="center"/>
                </w:tcPr>
                <w:p w14:paraId="6866DEDC">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339" w:type="dxa"/>
                  <w:vMerge w:val="continue"/>
                  <w:tcBorders>
                    <w:tl2br w:val="nil"/>
                    <w:tr2bl w:val="nil"/>
                  </w:tcBorders>
                  <w:shd w:val="clear" w:color="auto" w:fill="auto"/>
                  <w:vAlign w:val="center"/>
                </w:tcPr>
                <w:p w14:paraId="6D654A78">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678" w:type="dxa"/>
                  <w:vMerge w:val="continue"/>
                  <w:tcBorders>
                    <w:tl2br w:val="nil"/>
                    <w:tr2bl w:val="nil"/>
                  </w:tcBorders>
                  <w:shd w:val="clear" w:color="auto" w:fill="auto"/>
                  <w:vAlign w:val="center"/>
                </w:tcPr>
                <w:p w14:paraId="4AC243E4">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802" w:type="dxa"/>
                  <w:tcBorders>
                    <w:tl2br w:val="nil"/>
                    <w:tr2bl w:val="nil"/>
                  </w:tcBorders>
                  <w:shd w:val="clear" w:color="auto" w:fill="auto"/>
                  <w:vAlign w:val="center"/>
                </w:tcPr>
                <w:p w14:paraId="681ED269">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氨氮</w:t>
                  </w:r>
                </w:p>
              </w:tc>
              <w:tc>
                <w:tcPr>
                  <w:tcW w:w="352" w:type="dxa"/>
                  <w:vMerge w:val="continue"/>
                  <w:tcBorders>
                    <w:tl2br w:val="nil"/>
                    <w:tr2bl w:val="nil"/>
                  </w:tcBorders>
                  <w:shd w:val="clear" w:color="auto" w:fill="auto"/>
                  <w:vAlign w:val="center"/>
                </w:tcPr>
                <w:p w14:paraId="2029A267">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532" w:type="dxa"/>
                  <w:vMerge w:val="continue"/>
                  <w:tcBorders>
                    <w:tl2br w:val="nil"/>
                    <w:tr2bl w:val="nil"/>
                  </w:tcBorders>
                  <w:shd w:val="clear" w:color="auto" w:fill="auto"/>
                  <w:vAlign w:val="center"/>
                </w:tcPr>
                <w:p w14:paraId="684416D1">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530" w:type="dxa"/>
                  <w:tcBorders>
                    <w:tl2br w:val="nil"/>
                    <w:tr2bl w:val="nil"/>
                  </w:tcBorders>
                  <w:shd w:val="clear" w:color="auto" w:fill="auto"/>
                  <w:vAlign w:val="center"/>
                </w:tcPr>
                <w:p w14:paraId="56E157F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lang w:val="en-US"/>
                    </w:rPr>
                  </w:pPr>
                  <w:r>
                    <w:rPr>
                      <w:rFonts w:hint="default" w:ascii="Times New Roman" w:hAnsi="Times New Roman" w:eastAsia="宋体" w:cs="Times New Roman"/>
                      <w:i w:val="0"/>
                      <w:iCs w:val="0"/>
                      <w:color w:val="auto"/>
                      <w:kern w:val="0"/>
                      <w:sz w:val="21"/>
                      <w:szCs w:val="21"/>
                      <w:u w:val="none"/>
                      <w:lang w:val="en-US" w:eastAsia="zh-CN" w:bidi="ar"/>
                    </w:rPr>
                    <w:t>18</w:t>
                  </w:r>
                </w:p>
              </w:tc>
              <w:tc>
                <w:tcPr>
                  <w:tcW w:w="624" w:type="dxa"/>
                  <w:tcBorders>
                    <w:tl2br w:val="nil"/>
                    <w:tr2bl w:val="nil"/>
                  </w:tcBorders>
                  <w:shd w:val="clear" w:color="auto" w:fill="auto"/>
                  <w:vAlign w:val="center"/>
                </w:tcPr>
                <w:p w14:paraId="31D7936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0.009 </w:t>
                  </w:r>
                </w:p>
              </w:tc>
              <w:tc>
                <w:tcPr>
                  <w:tcW w:w="354" w:type="dxa"/>
                  <w:vMerge w:val="continue"/>
                  <w:tcBorders>
                    <w:tl2br w:val="nil"/>
                    <w:tr2bl w:val="nil"/>
                  </w:tcBorders>
                  <w:shd w:val="clear" w:color="auto" w:fill="auto"/>
                  <w:vAlign w:val="center"/>
                </w:tcPr>
                <w:p w14:paraId="2D450CFF">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619" w:type="dxa"/>
                  <w:tcBorders>
                    <w:tl2br w:val="nil"/>
                    <w:tr2bl w:val="nil"/>
                  </w:tcBorders>
                  <w:shd w:val="clear" w:color="auto" w:fill="auto"/>
                  <w:vAlign w:val="center"/>
                </w:tcPr>
                <w:p w14:paraId="1EF53883">
                  <w:pPr>
                    <w:keepNext w:val="0"/>
                    <w:keepLines w:val="0"/>
                    <w:widowControl/>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i w:val="0"/>
                      <w:iCs w:val="0"/>
                      <w:color w:val="auto"/>
                      <w:kern w:val="0"/>
                      <w:sz w:val="21"/>
                      <w:szCs w:val="21"/>
                      <w:lang w:val="en-US" w:eastAsia="zh-CN" w:bidi="ar"/>
                    </w:rPr>
                    <w:t>70</w:t>
                  </w:r>
                </w:p>
              </w:tc>
              <w:tc>
                <w:tcPr>
                  <w:tcW w:w="354" w:type="dxa"/>
                  <w:vMerge w:val="continue"/>
                  <w:tcBorders>
                    <w:tl2br w:val="nil"/>
                    <w:tr2bl w:val="nil"/>
                  </w:tcBorders>
                  <w:shd w:val="clear" w:color="auto" w:fill="auto"/>
                  <w:vAlign w:val="center"/>
                </w:tcPr>
                <w:p w14:paraId="16EE2AF8">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572" w:type="dxa"/>
                  <w:vMerge w:val="continue"/>
                  <w:tcBorders>
                    <w:tl2br w:val="nil"/>
                    <w:tr2bl w:val="nil"/>
                  </w:tcBorders>
                  <w:shd w:val="clear" w:color="auto" w:fill="auto"/>
                  <w:vAlign w:val="center"/>
                </w:tcPr>
                <w:p w14:paraId="1555D23E">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503" w:type="dxa"/>
                  <w:tcBorders>
                    <w:tl2br w:val="nil"/>
                    <w:tr2bl w:val="nil"/>
                  </w:tcBorders>
                  <w:shd w:val="clear" w:color="auto" w:fill="auto"/>
                  <w:vAlign w:val="center"/>
                </w:tcPr>
                <w:p w14:paraId="2DADD07C">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18</w:t>
                  </w:r>
                </w:p>
              </w:tc>
              <w:tc>
                <w:tcPr>
                  <w:tcW w:w="684" w:type="dxa"/>
                  <w:tcBorders>
                    <w:tl2br w:val="nil"/>
                    <w:tr2bl w:val="nil"/>
                  </w:tcBorders>
                  <w:shd w:val="clear" w:color="auto" w:fill="auto"/>
                  <w:vAlign w:val="center"/>
                </w:tcPr>
                <w:p w14:paraId="7DDA20F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0.030 </w:t>
                  </w:r>
                </w:p>
              </w:tc>
              <w:tc>
                <w:tcPr>
                  <w:tcW w:w="475" w:type="dxa"/>
                  <w:tcBorders>
                    <w:tl2br w:val="nil"/>
                    <w:tr2bl w:val="nil"/>
                  </w:tcBorders>
                  <w:shd w:val="clear" w:color="auto" w:fill="auto"/>
                  <w:vAlign w:val="center"/>
                </w:tcPr>
                <w:p w14:paraId="21BC7CE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0.009</w:t>
                  </w:r>
                </w:p>
              </w:tc>
              <w:tc>
                <w:tcPr>
                  <w:tcW w:w="508" w:type="dxa"/>
                  <w:vMerge w:val="continue"/>
                  <w:tcBorders>
                    <w:tl2br w:val="nil"/>
                    <w:tr2bl w:val="nil"/>
                  </w:tcBorders>
                  <w:shd w:val="clear" w:color="auto" w:fill="auto"/>
                  <w:vAlign w:val="center"/>
                </w:tcPr>
                <w:p w14:paraId="07839D61">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r>
            <w:tr w14:paraId="6FEFD09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9" w:type="dxa"/>
                  <w:vMerge w:val="continue"/>
                  <w:tcBorders>
                    <w:tl2br w:val="nil"/>
                    <w:tr2bl w:val="nil"/>
                  </w:tcBorders>
                  <w:shd w:val="clear" w:color="auto" w:fill="auto"/>
                  <w:vAlign w:val="center"/>
                </w:tcPr>
                <w:p w14:paraId="3E9B28D7">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339" w:type="dxa"/>
                  <w:vMerge w:val="continue"/>
                  <w:tcBorders>
                    <w:tl2br w:val="nil"/>
                    <w:tr2bl w:val="nil"/>
                  </w:tcBorders>
                  <w:shd w:val="clear" w:color="auto" w:fill="auto"/>
                  <w:vAlign w:val="center"/>
                </w:tcPr>
                <w:p w14:paraId="09C73C3D">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678" w:type="dxa"/>
                  <w:vMerge w:val="continue"/>
                  <w:tcBorders>
                    <w:tl2br w:val="nil"/>
                    <w:tr2bl w:val="nil"/>
                  </w:tcBorders>
                  <w:shd w:val="clear" w:color="auto" w:fill="auto"/>
                  <w:vAlign w:val="center"/>
                </w:tcPr>
                <w:p w14:paraId="588F4EFA">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802" w:type="dxa"/>
                  <w:tcBorders>
                    <w:tl2br w:val="nil"/>
                    <w:tr2bl w:val="nil"/>
                  </w:tcBorders>
                  <w:shd w:val="clear" w:color="auto" w:fill="auto"/>
                  <w:vAlign w:val="center"/>
                </w:tcPr>
                <w:p w14:paraId="5F1C7FE0">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T</w:t>
                  </w:r>
                  <w:r>
                    <w:rPr>
                      <w:rFonts w:hint="eastAsia" w:ascii="Times New Roman" w:hAnsi="Times New Roman" w:eastAsia="宋体" w:cs="Times New Roman"/>
                      <w:color w:val="auto"/>
                      <w:kern w:val="2"/>
                      <w:sz w:val="21"/>
                      <w:szCs w:val="21"/>
                      <w:lang w:val="en-US" w:eastAsia="zh-CN" w:bidi="ar"/>
                    </w:rPr>
                    <w:t>P</w:t>
                  </w:r>
                </w:p>
              </w:tc>
              <w:tc>
                <w:tcPr>
                  <w:tcW w:w="352" w:type="dxa"/>
                  <w:vMerge w:val="continue"/>
                  <w:tcBorders>
                    <w:tl2br w:val="nil"/>
                    <w:tr2bl w:val="nil"/>
                  </w:tcBorders>
                  <w:shd w:val="clear" w:color="auto" w:fill="auto"/>
                  <w:vAlign w:val="center"/>
                </w:tcPr>
                <w:p w14:paraId="1AFD3BB4">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532" w:type="dxa"/>
                  <w:vMerge w:val="continue"/>
                  <w:tcBorders>
                    <w:tl2br w:val="nil"/>
                    <w:tr2bl w:val="nil"/>
                  </w:tcBorders>
                  <w:shd w:val="clear" w:color="auto" w:fill="auto"/>
                  <w:vAlign w:val="center"/>
                </w:tcPr>
                <w:p w14:paraId="620C6337">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530" w:type="dxa"/>
                  <w:tcBorders>
                    <w:tl2br w:val="nil"/>
                    <w:tr2bl w:val="nil"/>
                  </w:tcBorders>
                  <w:shd w:val="clear" w:color="auto" w:fill="auto"/>
                  <w:vAlign w:val="center"/>
                </w:tcPr>
                <w:p w14:paraId="041A748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lang w:val="en-US"/>
                    </w:rPr>
                  </w:pPr>
                  <w:r>
                    <w:rPr>
                      <w:rFonts w:hint="default" w:ascii="Times New Roman" w:hAnsi="Times New Roman" w:eastAsia="宋体" w:cs="Times New Roman"/>
                      <w:i w:val="0"/>
                      <w:iCs w:val="0"/>
                      <w:color w:val="auto"/>
                      <w:kern w:val="0"/>
                      <w:sz w:val="21"/>
                      <w:szCs w:val="21"/>
                      <w:u w:val="none"/>
                      <w:lang w:val="en-US" w:eastAsia="zh-CN" w:bidi="ar"/>
                    </w:rPr>
                    <w:t>2.5</w:t>
                  </w:r>
                </w:p>
              </w:tc>
              <w:tc>
                <w:tcPr>
                  <w:tcW w:w="624" w:type="dxa"/>
                  <w:tcBorders>
                    <w:tl2br w:val="nil"/>
                    <w:tr2bl w:val="nil"/>
                  </w:tcBorders>
                  <w:shd w:val="clear" w:color="auto" w:fill="auto"/>
                  <w:vAlign w:val="center"/>
                </w:tcPr>
                <w:p w14:paraId="0EAC79F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0.001 </w:t>
                  </w:r>
                </w:p>
              </w:tc>
              <w:tc>
                <w:tcPr>
                  <w:tcW w:w="354" w:type="dxa"/>
                  <w:vMerge w:val="continue"/>
                  <w:tcBorders>
                    <w:tl2br w:val="nil"/>
                    <w:tr2bl w:val="nil"/>
                  </w:tcBorders>
                  <w:shd w:val="clear" w:color="auto" w:fill="auto"/>
                  <w:vAlign w:val="center"/>
                </w:tcPr>
                <w:p w14:paraId="65A64022">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619" w:type="dxa"/>
                  <w:tcBorders>
                    <w:tl2br w:val="nil"/>
                    <w:tr2bl w:val="nil"/>
                  </w:tcBorders>
                  <w:shd w:val="clear" w:color="auto" w:fill="auto"/>
                  <w:vAlign w:val="center"/>
                </w:tcPr>
                <w:p w14:paraId="71C7BC6A">
                  <w:pPr>
                    <w:keepNext w:val="0"/>
                    <w:keepLines w:val="0"/>
                    <w:widowControl/>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i w:val="0"/>
                      <w:iCs w:val="0"/>
                      <w:color w:val="auto"/>
                      <w:kern w:val="0"/>
                      <w:sz w:val="21"/>
                      <w:szCs w:val="21"/>
                    </w:rPr>
                  </w:pPr>
                  <w:r>
                    <w:rPr>
                      <w:rFonts w:hint="default" w:ascii="Times New Roman" w:hAnsi="Times New Roman" w:eastAsia="宋体" w:cs="Times New Roman"/>
                      <w:i w:val="0"/>
                      <w:iCs w:val="0"/>
                      <w:color w:val="auto"/>
                      <w:kern w:val="0"/>
                      <w:sz w:val="21"/>
                      <w:szCs w:val="21"/>
                      <w:lang w:val="en-US" w:eastAsia="zh-CN" w:bidi="ar"/>
                    </w:rPr>
                    <w:t>0</w:t>
                  </w:r>
                </w:p>
              </w:tc>
              <w:tc>
                <w:tcPr>
                  <w:tcW w:w="354" w:type="dxa"/>
                  <w:vMerge w:val="continue"/>
                  <w:tcBorders>
                    <w:tl2br w:val="nil"/>
                    <w:tr2bl w:val="nil"/>
                  </w:tcBorders>
                  <w:shd w:val="clear" w:color="auto" w:fill="auto"/>
                  <w:vAlign w:val="center"/>
                </w:tcPr>
                <w:p w14:paraId="45EA4696">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572" w:type="dxa"/>
                  <w:vMerge w:val="continue"/>
                  <w:tcBorders>
                    <w:tl2br w:val="nil"/>
                    <w:tr2bl w:val="nil"/>
                  </w:tcBorders>
                  <w:shd w:val="clear" w:color="auto" w:fill="auto"/>
                  <w:vAlign w:val="center"/>
                </w:tcPr>
                <w:p w14:paraId="7010141D">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503" w:type="dxa"/>
                  <w:tcBorders>
                    <w:tl2br w:val="nil"/>
                    <w:tr2bl w:val="nil"/>
                  </w:tcBorders>
                  <w:shd w:val="clear" w:color="auto" w:fill="auto"/>
                  <w:vAlign w:val="center"/>
                </w:tcPr>
                <w:p w14:paraId="12F7FA9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2.5</w:t>
                  </w:r>
                </w:p>
              </w:tc>
              <w:tc>
                <w:tcPr>
                  <w:tcW w:w="684" w:type="dxa"/>
                  <w:tcBorders>
                    <w:tl2br w:val="nil"/>
                    <w:tr2bl w:val="nil"/>
                  </w:tcBorders>
                  <w:shd w:val="clear" w:color="auto" w:fill="auto"/>
                  <w:vAlign w:val="center"/>
                </w:tcPr>
                <w:p w14:paraId="1373C10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0.004 </w:t>
                  </w:r>
                </w:p>
              </w:tc>
              <w:tc>
                <w:tcPr>
                  <w:tcW w:w="475" w:type="dxa"/>
                  <w:tcBorders>
                    <w:tl2br w:val="nil"/>
                    <w:tr2bl w:val="nil"/>
                  </w:tcBorders>
                  <w:shd w:val="clear" w:color="auto" w:fill="auto"/>
                  <w:vAlign w:val="center"/>
                </w:tcPr>
                <w:p w14:paraId="3A51F2E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0.00125</w:t>
                  </w:r>
                </w:p>
              </w:tc>
              <w:tc>
                <w:tcPr>
                  <w:tcW w:w="508" w:type="dxa"/>
                  <w:vMerge w:val="continue"/>
                  <w:tcBorders>
                    <w:tl2br w:val="nil"/>
                    <w:tr2bl w:val="nil"/>
                  </w:tcBorders>
                  <w:shd w:val="clear" w:color="auto" w:fill="auto"/>
                  <w:vAlign w:val="center"/>
                </w:tcPr>
                <w:p w14:paraId="666A49B6">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r>
          </w:tbl>
          <w:p w14:paraId="72A7430F">
            <w:pPr>
              <w:keepNext w:val="0"/>
              <w:keepLines/>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b/>
                <w:color w:val="auto"/>
                <w:kern w:val="2"/>
                <w:sz w:val="21"/>
                <w:szCs w:val="21"/>
                <w:u w:val="none" w:color="auto"/>
              </w:rPr>
            </w:pPr>
            <w:r>
              <w:rPr>
                <w:rFonts w:hint="eastAsia" w:ascii="Times New Roman" w:hAnsi="Times New Roman" w:eastAsia="宋体" w:cs="Times New Roman"/>
                <w:b/>
                <w:color w:val="auto"/>
                <w:kern w:val="2"/>
                <w:sz w:val="21"/>
                <w:szCs w:val="21"/>
                <w:u w:val="none" w:color="auto"/>
                <w:lang w:val="en-US" w:eastAsia="zh-CN"/>
              </w:rPr>
              <w:t>表</w:t>
            </w:r>
            <w:r>
              <w:rPr>
                <w:rFonts w:hint="default" w:ascii="Times New Roman" w:hAnsi="Times New Roman" w:eastAsia="宋体" w:cs="Times New Roman"/>
                <w:b/>
                <w:color w:val="auto"/>
                <w:kern w:val="2"/>
                <w:sz w:val="21"/>
                <w:szCs w:val="21"/>
                <w:u w:val="none" w:color="auto"/>
                <w:lang w:val="en-US" w:eastAsia="zh-CN"/>
              </w:rPr>
              <w:t>4-</w:t>
            </w:r>
            <w:r>
              <w:rPr>
                <w:rFonts w:hint="eastAsia" w:ascii="Times New Roman" w:hAnsi="Times New Roman" w:eastAsia="宋体" w:cs="Times New Roman"/>
                <w:b/>
                <w:color w:val="auto"/>
                <w:kern w:val="2"/>
                <w:sz w:val="21"/>
                <w:szCs w:val="21"/>
                <w:u w:val="none" w:color="auto"/>
                <w:lang w:val="en-US" w:eastAsia="zh-CN"/>
              </w:rPr>
              <w:t>16</w:t>
            </w:r>
            <w:r>
              <w:rPr>
                <w:rFonts w:hint="default" w:ascii="Times New Roman" w:hAnsi="Times New Roman" w:eastAsia="宋体" w:cs="Times New Roman"/>
                <w:b/>
                <w:color w:val="auto"/>
                <w:kern w:val="2"/>
                <w:sz w:val="21"/>
                <w:szCs w:val="21"/>
                <w:u w:val="none" w:color="auto"/>
                <w:lang w:val="en-US" w:eastAsia="zh-CN"/>
              </w:rPr>
              <w:t xml:space="preserve"> </w:t>
            </w:r>
            <w:r>
              <w:rPr>
                <w:rFonts w:hint="eastAsia" w:ascii="Times New Roman" w:hAnsi="Times New Roman" w:eastAsia="宋体" w:cs="Times New Roman"/>
                <w:b/>
                <w:color w:val="auto"/>
                <w:kern w:val="2"/>
                <w:sz w:val="21"/>
                <w:szCs w:val="21"/>
                <w:u w:val="none" w:color="auto"/>
                <w:lang w:val="en-US" w:eastAsia="zh-CN"/>
              </w:rPr>
              <w:t>废水类别、污染物及污染治理设施信息表</w:t>
            </w:r>
          </w:p>
          <w:tbl>
            <w:tblPr>
              <w:tblStyle w:val="56"/>
              <w:tblW w:w="4991"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Layout w:type="fixed"/>
              <w:tblCellMar>
                <w:top w:w="0" w:type="dxa"/>
                <w:left w:w="108" w:type="dxa"/>
                <w:bottom w:w="0" w:type="dxa"/>
                <w:right w:w="108" w:type="dxa"/>
              </w:tblCellMar>
            </w:tblPr>
            <w:tblGrid>
              <w:gridCol w:w="401"/>
              <w:gridCol w:w="562"/>
              <w:gridCol w:w="1009"/>
              <w:gridCol w:w="545"/>
              <w:gridCol w:w="1100"/>
              <w:gridCol w:w="650"/>
              <w:gridCol w:w="587"/>
              <w:gridCol w:w="492"/>
              <w:gridCol w:w="440"/>
              <w:gridCol w:w="761"/>
              <w:gridCol w:w="406"/>
              <w:gridCol w:w="1315"/>
            </w:tblGrid>
            <w:tr w14:paraId="03CAFC5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40" w:hRule="atLeast"/>
                <w:jc w:val="center"/>
              </w:trPr>
              <w:tc>
                <w:tcPr>
                  <w:tcW w:w="410" w:type="dxa"/>
                  <w:vMerge w:val="restart"/>
                  <w:tcBorders>
                    <w:tl2br w:val="nil"/>
                    <w:tr2bl w:val="nil"/>
                  </w:tcBorders>
                  <w:shd w:val="clear" w:color="auto" w:fill="auto"/>
                  <w:vAlign w:val="center"/>
                </w:tcPr>
                <w:p w14:paraId="59EEED66">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序号</w:t>
                  </w:r>
                </w:p>
              </w:tc>
              <w:tc>
                <w:tcPr>
                  <w:tcW w:w="573" w:type="dxa"/>
                  <w:vMerge w:val="restart"/>
                  <w:tcBorders>
                    <w:tl2br w:val="nil"/>
                    <w:tr2bl w:val="nil"/>
                  </w:tcBorders>
                  <w:shd w:val="clear" w:color="auto" w:fill="auto"/>
                  <w:vAlign w:val="center"/>
                </w:tcPr>
                <w:p w14:paraId="008636FE">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废水</w:t>
                  </w:r>
                </w:p>
                <w:p w14:paraId="3A12B724">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类别</w:t>
                  </w:r>
                </w:p>
              </w:tc>
              <w:tc>
                <w:tcPr>
                  <w:tcW w:w="1031" w:type="dxa"/>
                  <w:vMerge w:val="restart"/>
                  <w:tcBorders>
                    <w:tl2br w:val="nil"/>
                    <w:tr2bl w:val="nil"/>
                  </w:tcBorders>
                  <w:shd w:val="clear" w:color="auto" w:fill="auto"/>
                  <w:vAlign w:val="center"/>
                </w:tcPr>
                <w:p w14:paraId="3098B91F">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污染物</w:t>
                  </w:r>
                </w:p>
                <w:p w14:paraId="6A597D22">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种类</w:t>
                  </w:r>
                </w:p>
              </w:tc>
              <w:tc>
                <w:tcPr>
                  <w:tcW w:w="557" w:type="dxa"/>
                  <w:vMerge w:val="restart"/>
                  <w:tcBorders>
                    <w:tl2br w:val="nil"/>
                    <w:tr2bl w:val="nil"/>
                  </w:tcBorders>
                  <w:shd w:val="clear" w:color="auto" w:fill="auto"/>
                  <w:vAlign w:val="center"/>
                </w:tcPr>
                <w:p w14:paraId="052FC4C0">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排放去向</w:t>
                  </w:r>
                </w:p>
              </w:tc>
              <w:tc>
                <w:tcPr>
                  <w:tcW w:w="1124" w:type="dxa"/>
                  <w:vMerge w:val="restart"/>
                  <w:tcBorders>
                    <w:tl2br w:val="nil"/>
                    <w:tr2bl w:val="nil"/>
                  </w:tcBorders>
                  <w:shd w:val="clear" w:color="auto" w:fill="auto"/>
                  <w:vAlign w:val="center"/>
                </w:tcPr>
                <w:p w14:paraId="55C18183">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排放规律</w:t>
                  </w:r>
                </w:p>
              </w:tc>
              <w:tc>
                <w:tcPr>
                  <w:tcW w:w="1767" w:type="dxa"/>
                  <w:gridSpan w:val="3"/>
                  <w:tcBorders>
                    <w:tl2br w:val="nil"/>
                    <w:tr2bl w:val="nil"/>
                  </w:tcBorders>
                  <w:shd w:val="clear" w:color="auto" w:fill="auto"/>
                  <w:vAlign w:val="center"/>
                </w:tcPr>
                <w:p w14:paraId="2A4551A4">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污染治理设施</w:t>
                  </w:r>
                </w:p>
              </w:tc>
              <w:tc>
                <w:tcPr>
                  <w:tcW w:w="450" w:type="dxa"/>
                  <w:vMerge w:val="restart"/>
                  <w:tcBorders>
                    <w:tl2br w:val="nil"/>
                    <w:tr2bl w:val="nil"/>
                  </w:tcBorders>
                  <w:shd w:val="clear" w:color="auto" w:fill="auto"/>
                  <w:vAlign w:val="center"/>
                </w:tcPr>
                <w:p w14:paraId="42BDD88A">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排放口编号</w:t>
                  </w:r>
                </w:p>
              </w:tc>
              <w:tc>
                <w:tcPr>
                  <w:tcW w:w="777" w:type="dxa"/>
                  <w:vMerge w:val="restart"/>
                  <w:tcBorders>
                    <w:tl2br w:val="nil"/>
                    <w:tr2bl w:val="nil"/>
                  </w:tcBorders>
                  <w:shd w:val="clear" w:color="auto" w:fill="auto"/>
                  <w:vAlign w:val="center"/>
                </w:tcPr>
                <w:p w14:paraId="3E02FF27">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排放口设置是否符合要求</w:t>
                  </w:r>
                </w:p>
              </w:tc>
              <w:tc>
                <w:tcPr>
                  <w:tcW w:w="1758" w:type="dxa"/>
                  <w:gridSpan w:val="2"/>
                  <w:vMerge w:val="restart"/>
                  <w:tcBorders>
                    <w:tl2br w:val="nil"/>
                    <w:tr2bl w:val="nil"/>
                  </w:tcBorders>
                  <w:shd w:val="clear" w:color="auto" w:fill="auto"/>
                  <w:vAlign w:val="center"/>
                </w:tcPr>
                <w:p w14:paraId="37F0F625">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排放口</w:t>
                  </w:r>
                </w:p>
                <w:p w14:paraId="74599C68">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类型</w:t>
                  </w:r>
                </w:p>
              </w:tc>
            </w:tr>
            <w:tr w14:paraId="0259892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40" w:hRule="atLeast"/>
                <w:jc w:val="center"/>
              </w:trPr>
              <w:tc>
                <w:tcPr>
                  <w:tcW w:w="410" w:type="dxa"/>
                  <w:vMerge w:val="continue"/>
                  <w:tcBorders>
                    <w:tl2br w:val="nil"/>
                    <w:tr2bl w:val="nil"/>
                  </w:tcBorders>
                  <w:shd w:val="clear" w:color="auto" w:fill="auto"/>
                  <w:vAlign w:val="center"/>
                </w:tcPr>
                <w:p w14:paraId="6594E3ED">
                  <w:pPr>
                    <w:keepNext w:val="0"/>
                    <w:keepLines w:val="0"/>
                    <w:suppressLineNumbers w:val="0"/>
                    <w:spacing w:before="0" w:beforeAutospacing="0" w:after="0" w:afterAutospacing="0" w:line="240" w:lineRule="auto"/>
                    <w:ind w:left="0" w:right="0"/>
                    <w:rPr>
                      <w:rFonts w:hint="default" w:ascii="Times New Roman" w:hAnsi="Times New Roman" w:cs="Times New Roman"/>
                      <w:b/>
                      <w:bCs/>
                      <w:color w:val="auto"/>
                      <w:sz w:val="20"/>
                      <w:szCs w:val="20"/>
                    </w:rPr>
                  </w:pPr>
                </w:p>
              </w:tc>
              <w:tc>
                <w:tcPr>
                  <w:tcW w:w="573" w:type="dxa"/>
                  <w:vMerge w:val="continue"/>
                  <w:tcBorders>
                    <w:tl2br w:val="nil"/>
                    <w:tr2bl w:val="nil"/>
                  </w:tcBorders>
                  <w:shd w:val="clear" w:color="auto" w:fill="auto"/>
                  <w:vAlign w:val="center"/>
                </w:tcPr>
                <w:p w14:paraId="657572AE">
                  <w:pPr>
                    <w:keepNext w:val="0"/>
                    <w:keepLines w:val="0"/>
                    <w:suppressLineNumbers w:val="0"/>
                    <w:spacing w:before="0" w:beforeAutospacing="0" w:after="0" w:afterAutospacing="0" w:line="240" w:lineRule="auto"/>
                    <w:ind w:left="0" w:right="0"/>
                    <w:rPr>
                      <w:rFonts w:hint="default" w:ascii="Times New Roman" w:hAnsi="Times New Roman" w:cs="Times New Roman"/>
                      <w:b/>
                      <w:bCs/>
                      <w:color w:val="auto"/>
                      <w:sz w:val="20"/>
                      <w:szCs w:val="20"/>
                    </w:rPr>
                  </w:pPr>
                </w:p>
              </w:tc>
              <w:tc>
                <w:tcPr>
                  <w:tcW w:w="1031" w:type="dxa"/>
                  <w:vMerge w:val="continue"/>
                  <w:tcBorders>
                    <w:tl2br w:val="nil"/>
                    <w:tr2bl w:val="nil"/>
                  </w:tcBorders>
                  <w:shd w:val="clear" w:color="auto" w:fill="auto"/>
                  <w:vAlign w:val="center"/>
                </w:tcPr>
                <w:p w14:paraId="4873C9A9">
                  <w:pPr>
                    <w:keepNext w:val="0"/>
                    <w:keepLines w:val="0"/>
                    <w:suppressLineNumbers w:val="0"/>
                    <w:spacing w:before="0" w:beforeAutospacing="0" w:after="0" w:afterAutospacing="0" w:line="240" w:lineRule="auto"/>
                    <w:ind w:left="0" w:right="0"/>
                    <w:rPr>
                      <w:rFonts w:hint="default" w:ascii="Times New Roman" w:hAnsi="Times New Roman" w:cs="Times New Roman"/>
                      <w:b/>
                      <w:bCs/>
                      <w:color w:val="auto"/>
                      <w:sz w:val="20"/>
                      <w:szCs w:val="20"/>
                    </w:rPr>
                  </w:pPr>
                </w:p>
              </w:tc>
              <w:tc>
                <w:tcPr>
                  <w:tcW w:w="557" w:type="dxa"/>
                  <w:vMerge w:val="continue"/>
                  <w:tcBorders>
                    <w:tl2br w:val="nil"/>
                    <w:tr2bl w:val="nil"/>
                  </w:tcBorders>
                  <w:shd w:val="clear" w:color="auto" w:fill="auto"/>
                  <w:vAlign w:val="center"/>
                </w:tcPr>
                <w:p w14:paraId="67D3D00E">
                  <w:pPr>
                    <w:keepNext w:val="0"/>
                    <w:keepLines w:val="0"/>
                    <w:suppressLineNumbers w:val="0"/>
                    <w:spacing w:before="0" w:beforeAutospacing="0" w:after="0" w:afterAutospacing="0" w:line="240" w:lineRule="auto"/>
                    <w:ind w:left="0" w:right="0"/>
                    <w:rPr>
                      <w:rFonts w:hint="default" w:ascii="Times New Roman" w:hAnsi="Times New Roman" w:cs="Times New Roman"/>
                      <w:b/>
                      <w:bCs/>
                      <w:color w:val="auto"/>
                      <w:sz w:val="20"/>
                      <w:szCs w:val="20"/>
                    </w:rPr>
                  </w:pPr>
                </w:p>
              </w:tc>
              <w:tc>
                <w:tcPr>
                  <w:tcW w:w="1124" w:type="dxa"/>
                  <w:vMerge w:val="continue"/>
                  <w:tcBorders>
                    <w:tl2br w:val="nil"/>
                    <w:tr2bl w:val="nil"/>
                  </w:tcBorders>
                  <w:shd w:val="clear" w:color="auto" w:fill="auto"/>
                  <w:vAlign w:val="center"/>
                </w:tcPr>
                <w:p w14:paraId="6D078583">
                  <w:pPr>
                    <w:keepNext w:val="0"/>
                    <w:keepLines w:val="0"/>
                    <w:suppressLineNumbers w:val="0"/>
                    <w:spacing w:before="0" w:beforeAutospacing="0" w:after="0" w:afterAutospacing="0" w:line="240" w:lineRule="auto"/>
                    <w:ind w:left="0" w:right="0"/>
                    <w:rPr>
                      <w:rFonts w:hint="default" w:ascii="Times New Roman" w:hAnsi="Times New Roman" w:cs="Times New Roman"/>
                      <w:b/>
                      <w:bCs/>
                      <w:color w:val="auto"/>
                      <w:sz w:val="20"/>
                      <w:szCs w:val="20"/>
                    </w:rPr>
                  </w:pPr>
                </w:p>
              </w:tc>
              <w:tc>
                <w:tcPr>
                  <w:tcW w:w="665" w:type="dxa"/>
                  <w:tcBorders>
                    <w:tl2br w:val="nil"/>
                    <w:tr2bl w:val="nil"/>
                  </w:tcBorders>
                  <w:shd w:val="clear" w:color="auto" w:fill="auto"/>
                  <w:vAlign w:val="center"/>
                </w:tcPr>
                <w:p w14:paraId="54B879BA">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污染治理设施编号</w:t>
                  </w:r>
                </w:p>
              </w:tc>
              <w:tc>
                <w:tcPr>
                  <w:tcW w:w="599" w:type="dxa"/>
                  <w:tcBorders>
                    <w:tl2br w:val="nil"/>
                    <w:tr2bl w:val="nil"/>
                  </w:tcBorders>
                  <w:shd w:val="clear" w:color="auto" w:fill="auto"/>
                  <w:vAlign w:val="center"/>
                </w:tcPr>
                <w:p w14:paraId="7830B9A8">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污染治理设施名称</w:t>
                  </w:r>
                </w:p>
              </w:tc>
              <w:tc>
                <w:tcPr>
                  <w:tcW w:w="503" w:type="dxa"/>
                  <w:tcBorders>
                    <w:tl2br w:val="nil"/>
                    <w:tr2bl w:val="nil"/>
                  </w:tcBorders>
                  <w:shd w:val="clear" w:color="auto" w:fill="auto"/>
                  <w:vAlign w:val="center"/>
                </w:tcPr>
                <w:p w14:paraId="1A50D18C">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污染治理设施工艺</w:t>
                  </w:r>
                </w:p>
              </w:tc>
              <w:tc>
                <w:tcPr>
                  <w:tcW w:w="450" w:type="dxa"/>
                  <w:vMerge w:val="continue"/>
                  <w:tcBorders>
                    <w:tl2br w:val="nil"/>
                    <w:tr2bl w:val="nil"/>
                  </w:tcBorders>
                  <w:shd w:val="clear" w:color="auto" w:fill="auto"/>
                  <w:vAlign w:val="center"/>
                </w:tcPr>
                <w:p w14:paraId="1F8212D8">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777" w:type="dxa"/>
                  <w:vMerge w:val="continue"/>
                  <w:tcBorders>
                    <w:tl2br w:val="nil"/>
                    <w:tr2bl w:val="nil"/>
                  </w:tcBorders>
                  <w:shd w:val="clear" w:color="auto" w:fill="auto"/>
                  <w:vAlign w:val="center"/>
                </w:tcPr>
                <w:p w14:paraId="5A99EB74">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1758" w:type="dxa"/>
                  <w:gridSpan w:val="2"/>
                  <w:vMerge w:val="continue"/>
                  <w:tcBorders>
                    <w:tl2br w:val="nil"/>
                    <w:tr2bl w:val="nil"/>
                  </w:tcBorders>
                  <w:shd w:val="clear" w:color="auto" w:fill="auto"/>
                  <w:vAlign w:val="center"/>
                </w:tcPr>
                <w:p w14:paraId="5B82BB92">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r>
            <w:tr w14:paraId="2F0ED28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40" w:hRule="atLeast"/>
                <w:jc w:val="center"/>
              </w:trPr>
              <w:tc>
                <w:tcPr>
                  <w:tcW w:w="410" w:type="dxa"/>
                  <w:tcBorders>
                    <w:tl2br w:val="nil"/>
                    <w:tr2bl w:val="nil"/>
                  </w:tcBorders>
                  <w:shd w:val="clear" w:color="auto" w:fill="auto"/>
                  <w:vAlign w:val="center"/>
                </w:tcPr>
                <w:p w14:paraId="2C5472F4">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1</w:t>
                  </w:r>
                </w:p>
              </w:tc>
              <w:tc>
                <w:tcPr>
                  <w:tcW w:w="573" w:type="dxa"/>
                  <w:tcBorders>
                    <w:tl2br w:val="nil"/>
                    <w:tr2bl w:val="nil"/>
                  </w:tcBorders>
                  <w:shd w:val="clear" w:color="auto" w:fill="auto"/>
                  <w:vAlign w:val="center"/>
                </w:tcPr>
                <w:p w14:paraId="3E2F1A2B">
                  <w:pPr>
                    <w:keepNext w:val="0"/>
                    <w:keepLines w:val="0"/>
                    <w:widowControl w:val="0"/>
                    <w:suppressLineNumbers w:val="0"/>
                    <w:snapToGrid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生活污水</w:t>
                  </w:r>
                </w:p>
              </w:tc>
              <w:tc>
                <w:tcPr>
                  <w:tcW w:w="1031" w:type="dxa"/>
                  <w:tcBorders>
                    <w:tl2br w:val="nil"/>
                    <w:tr2bl w:val="nil"/>
                  </w:tcBorders>
                  <w:shd w:val="clear" w:color="auto" w:fill="auto"/>
                  <w:vAlign w:val="center"/>
                </w:tcPr>
                <w:p w14:paraId="12445B1E">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rPr>
                  </w:pPr>
                  <w:r>
                    <w:rPr>
                      <w:rFonts w:hint="default" w:ascii="Times New Roman" w:hAnsi="Times New Roman" w:eastAsia="宋体" w:cs="Times New Roman"/>
                      <w:color w:val="auto"/>
                      <w:kern w:val="2"/>
                      <w:sz w:val="21"/>
                      <w:szCs w:val="21"/>
                      <w:lang w:val="en-US" w:eastAsia="zh-CN" w:bidi="ar"/>
                    </w:rPr>
                    <w:t>pH</w:t>
                  </w:r>
                  <w:r>
                    <w:rPr>
                      <w:rFonts w:hint="eastAsia" w:ascii="宋体" w:hAnsi="宋体" w:eastAsia="宋体" w:cs="宋体"/>
                      <w:color w:val="auto"/>
                      <w:kern w:val="2"/>
                      <w:sz w:val="21"/>
                      <w:szCs w:val="21"/>
                      <w:lang w:val="en-US" w:eastAsia="zh-CN" w:bidi="ar"/>
                    </w:rPr>
                    <w:t>值、</w:t>
                  </w:r>
                  <w:r>
                    <w:rPr>
                      <w:rFonts w:hint="default" w:ascii="Times New Roman" w:hAnsi="Times New Roman" w:eastAsia="宋体" w:cs="Times New Roman"/>
                      <w:color w:val="auto"/>
                      <w:kern w:val="2"/>
                      <w:sz w:val="21"/>
                      <w:szCs w:val="21"/>
                      <w:lang w:val="en-US" w:eastAsia="zh-CN" w:bidi="ar"/>
                    </w:rPr>
                    <w:t>COD</w:t>
                  </w:r>
                  <w:r>
                    <w:rPr>
                      <w:rFonts w:hint="eastAsia" w:ascii="宋体" w:hAnsi="宋体" w:eastAsia="宋体" w:cs="宋体"/>
                      <w:color w:val="auto"/>
                      <w:kern w:val="2"/>
                      <w:sz w:val="21"/>
                      <w:szCs w:val="21"/>
                      <w:lang w:val="en-US" w:eastAsia="zh-CN" w:bidi="ar"/>
                    </w:rPr>
                    <w:t>、</w:t>
                  </w:r>
                  <w:r>
                    <w:rPr>
                      <w:rFonts w:hint="default" w:ascii="Times New Roman" w:hAnsi="Times New Roman" w:eastAsia="宋体" w:cs="Times New Roman"/>
                      <w:color w:val="auto"/>
                      <w:kern w:val="2"/>
                      <w:sz w:val="21"/>
                      <w:szCs w:val="21"/>
                      <w:lang w:val="en-US" w:eastAsia="zh-CN" w:bidi="ar"/>
                    </w:rPr>
                    <w:t>BOD</w:t>
                  </w:r>
                  <w:r>
                    <w:rPr>
                      <w:rFonts w:hint="default" w:ascii="Times New Roman" w:hAnsi="Times New Roman" w:eastAsia="宋体" w:cs="Times New Roman"/>
                      <w:color w:val="auto"/>
                      <w:kern w:val="2"/>
                      <w:sz w:val="21"/>
                      <w:szCs w:val="21"/>
                      <w:vertAlign w:val="subscript"/>
                      <w:lang w:val="en-US" w:eastAsia="zh-CN" w:bidi="ar"/>
                    </w:rPr>
                    <w:t>5</w:t>
                  </w:r>
                  <w:r>
                    <w:rPr>
                      <w:rFonts w:hint="eastAsia" w:ascii="宋体" w:hAnsi="宋体" w:eastAsia="宋体" w:cs="宋体"/>
                      <w:color w:val="auto"/>
                      <w:kern w:val="2"/>
                      <w:sz w:val="21"/>
                      <w:szCs w:val="21"/>
                      <w:lang w:val="en-US" w:eastAsia="zh-CN" w:bidi="ar"/>
                    </w:rPr>
                    <w:t>、氨氮、悬浮物、氨氮、TP</w:t>
                  </w:r>
                </w:p>
              </w:tc>
              <w:tc>
                <w:tcPr>
                  <w:tcW w:w="557" w:type="dxa"/>
                  <w:tcBorders>
                    <w:tl2br w:val="nil"/>
                    <w:tr2bl w:val="nil"/>
                  </w:tcBorders>
                  <w:shd w:val="clear" w:color="auto" w:fill="auto"/>
                  <w:vAlign w:val="center"/>
                </w:tcPr>
                <w:p w14:paraId="59B30806">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排入污水管网</w:t>
                  </w:r>
                </w:p>
              </w:tc>
              <w:tc>
                <w:tcPr>
                  <w:tcW w:w="1124" w:type="dxa"/>
                  <w:tcBorders>
                    <w:tl2br w:val="nil"/>
                    <w:tr2bl w:val="nil"/>
                  </w:tcBorders>
                  <w:shd w:val="clear" w:color="auto" w:fill="auto"/>
                  <w:vAlign w:val="center"/>
                </w:tcPr>
                <w:p w14:paraId="4AA3EC90">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间断排放，排放期间流量不稳定且无规律，但不属于冲击型排放</w:t>
                  </w:r>
                </w:p>
              </w:tc>
              <w:tc>
                <w:tcPr>
                  <w:tcW w:w="665" w:type="dxa"/>
                  <w:tcBorders>
                    <w:tl2br w:val="nil"/>
                    <w:tr2bl w:val="nil"/>
                  </w:tcBorders>
                  <w:shd w:val="clear" w:color="auto" w:fill="auto"/>
                  <w:vAlign w:val="center"/>
                </w:tcPr>
                <w:p w14:paraId="06EE808A">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Times New Roman" w:hAnsi="Times New Roman" w:eastAsia="宋体" w:cs="Times New Roman"/>
                      <w:color w:val="auto"/>
                      <w:kern w:val="2"/>
                      <w:sz w:val="21"/>
                      <w:szCs w:val="21"/>
                      <w:lang w:val="en-US" w:eastAsia="zh-CN" w:bidi="ar"/>
                    </w:rPr>
                    <w:t>/</w:t>
                  </w:r>
                </w:p>
              </w:tc>
              <w:tc>
                <w:tcPr>
                  <w:tcW w:w="599" w:type="dxa"/>
                  <w:tcBorders>
                    <w:tl2br w:val="nil"/>
                    <w:tr2bl w:val="nil"/>
                  </w:tcBorders>
                  <w:shd w:val="clear" w:color="auto" w:fill="auto"/>
                  <w:vAlign w:val="center"/>
                </w:tcPr>
                <w:p w14:paraId="24B4DB40">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w:t>
                  </w:r>
                </w:p>
              </w:tc>
              <w:tc>
                <w:tcPr>
                  <w:tcW w:w="503" w:type="dxa"/>
                  <w:tcBorders>
                    <w:tl2br w:val="nil"/>
                    <w:tr2bl w:val="nil"/>
                  </w:tcBorders>
                  <w:shd w:val="clear" w:color="auto" w:fill="auto"/>
                  <w:vAlign w:val="center"/>
                </w:tcPr>
                <w:p w14:paraId="73BBB690">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w:t>
                  </w:r>
                </w:p>
              </w:tc>
              <w:tc>
                <w:tcPr>
                  <w:tcW w:w="450" w:type="dxa"/>
                  <w:tcBorders>
                    <w:tl2br w:val="nil"/>
                    <w:tr2bl w:val="nil"/>
                  </w:tcBorders>
                  <w:shd w:val="clear" w:color="auto" w:fill="auto"/>
                  <w:vAlign w:val="center"/>
                </w:tcPr>
                <w:p w14:paraId="3D75B170">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DW001</w:t>
                  </w:r>
                </w:p>
              </w:tc>
              <w:tc>
                <w:tcPr>
                  <w:tcW w:w="777" w:type="dxa"/>
                  <w:tcBorders>
                    <w:tl2br w:val="nil"/>
                    <w:tr2bl w:val="nil"/>
                  </w:tcBorders>
                  <w:shd w:val="clear" w:color="auto" w:fill="auto"/>
                  <w:vAlign w:val="center"/>
                </w:tcPr>
                <w:p w14:paraId="44686A45">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是</w:t>
                  </w:r>
                  <w:r>
                    <w:rPr>
                      <w:rFonts w:hint="default" w:ascii="Wingdings" w:hAnsi="Wingdings" w:eastAsia="宋体" w:cs="Wingdings"/>
                      <w:color w:val="auto"/>
                      <w:kern w:val="2"/>
                      <w:sz w:val="21"/>
                      <w:szCs w:val="21"/>
                      <w:lang w:val="en-US" w:eastAsia="zh-CN" w:bidi="ar"/>
                    </w:rPr>
                    <w:t>þ</w:t>
                  </w:r>
                </w:p>
                <w:p w14:paraId="352EFD29">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否</w:t>
                  </w:r>
                  <w:r>
                    <w:rPr>
                      <w:rFonts w:hint="default" w:ascii="Wingdings" w:hAnsi="Wingdings" w:eastAsia="宋体" w:cs="Wingdings"/>
                      <w:color w:val="auto"/>
                      <w:kern w:val="2"/>
                      <w:sz w:val="21"/>
                      <w:szCs w:val="21"/>
                      <w:lang w:val="en-US" w:eastAsia="zh-CN" w:bidi="ar"/>
                    </w:rPr>
                    <w:t>¨</w:t>
                  </w:r>
                </w:p>
              </w:tc>
              <w:tc>
                <w:tcPr>
                  <w:tcW w:w="415" w:type="dxa"/>
                  <w:tcBorders>
                    <w:tl2br w:val="nil"/>
                    <w:tr2bl w:val="nil"/>
                  </w:tcBorders>
                  <w:shd w:val="clear" w:color="auto" w:fill="auto"/>
                  <w:vAlign w:val="center"/>
                </w:tcPr>
                <w:p w14:paraId="083C2475">
                  <w:pPr>
                    <w:keepNext w:val="0"/>
                    <w:keepLines w:val="0"/>
                    <w:widowControl w:val="0"/>
                    <w:suppressLineNumbers w:val="0"/>
                    <w:autoSpaceDE w:val="0"/>
                    <w:autoSpaceDN/>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一般排放口</w:t>
                  </w:r>
                </w:p>
              </w:tc>
              <w:tc>
                <w:tcPr>
                  <w:tcW w:w="1343" w:type="dxa"/>
                  <w:tcBorders>
                    <w:tl2br w:val="nil"/>
                    <w:tr2bl w:val="nil"/>
                  </w:tcBorders>
                  <w:shd w:val="clear" w:color="auto" w:fill="auto"/>
                  <w:vAlign w:val="center"/>
                </w:tcPr>
                <w:p w14:paraId="7B907B44">
                  <w:pPr>
                    <w:keepNext w:val="0"/>
                    <w:keepLines w:val="0"/>
                    <w:widowControl w:val="0"/>
                    <w:suppressLineNumbers w:val="0"/>
                    <w:autoSpaceDE w:val="0"/>
                    <w:autoSpaceDN/>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kern w:val="20"/>
                      <w:sz w:val="21"/>
                      <w:szCs w:val="21"/>
                    </w:rPr>
                  </w:pPr>
                  <w:r>
                    <w:rPr>
                      <w:rFonts w:hint="default" w:ascii="Wingdings 2" w:hAnsi="Wingdings 2" w:eastAsia="Wingdings 2" w:cs="Wingdings 2"/>
                      <w:color w:val="auto"/>
                      <w:kern w:val="2"/>
                      <w:sz w:val="21"/>
                      <w:szCs w:val="21"/>
                      <w:lang w:val="en-US" w:eastAsia="zh-CN" w:bidi="ar"/>
                    </w:rPr>
                    <w:t>R</w:t>
                  </w:r>
                  <w:r>
                    <w:rPr>
                      <w:rFonts w:hint="eastAsia" w:ascii="宋体" w:hAnsi="宋体" w:eastAsia="宋体" w:cs="宋体"/>
                      <w:color w:val="auto"/>
                      <w:kern w:val="2"/>
                      <w:sz w:val="21"/>
                      <w:szCs w:val="21"/>
                      <w:lang w:val="en-US" w:eastAsia="zh-CN" w:bidi="ar"/>
                    </w:rPr>
                    <w:t>企业总排</w:t>
                  </w:r>
                </w:p>
                <w:p w14:paraId="4164A767">
                  <w:pPr>
                    <w:keepNext w:val="0"/>
                    <w:keepLines w:val="0"/>
                    <w:widowControl w:val="0"/>
                    <w:suppressLineNumbers w:val="0"/>
                    <w:autoSpaceDE w:val="0"/>
                    <w:autoSpaceDN/>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kern w:val="2"/>
                      <w:sz w:val="21"/>
                      <w:szCs w:val="21"/>
                    </w:rPr>
                  </w:pPr>
                  <w:r>
                    <w:rPr>
                      <w:rFonts w:hint="default" w:ascii="Wingdings 2" w:hAnsi="Wingdings 2" w:eastAsia="Wingdings 2" w:cs="Wingdings 2"/>
                      <w:color w:val="auto"/>
                      <w:kern w:val="2"/>
                      <w:sz w:val="21"/>
                      <w:szCs w:val="21"/>
                      <w:lang w:val="en-US" w:eastAsia="zh-CN" w:bidi="ar"/>
                    </w:rPr>
                    <w:t>£</w:t>
                  </w:r>
                  <w:r>
                    <w:rPr>
                      <w:rFonts w:hint="eastAsia" w:ascii="宋体" w:hAnsi="宋体" w:eastAsia="宋体" w:cs="宋体"/>
                      <w:color w:val="auto"/>
                      <w:kern w:val="2"/>
                      <w:sz w:val="21"/>
                      <w:szCs w:val="21"/>
                      <w:lang w:val="en-US" w:eastAsia="zh-CN" w:bidi="ar"/>
                    </w:rPr>
                    <w:t>雨水排放</w:t>
                  </w:r>
                </w:p>
                <w:p w14:paraId="33E9C5CD">
                  <w:pPr>
                    <w:keepNext w:val="0"/>
                    <w:keepLines w:val="0"/>
                    <w:widowControl w:val="0"/>
                    <w:suppressLineNumbers w:val="0"/>
                    <w:autoSpaceDE w:val="0"/>
                    <w:autoSpaceDN/>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kern w:val="2"/>
                      <w:sz w:val="21"/>
                      <w:szCs w:val="21"/>
                    </w:rPr>
                  </w:pPr>
                  <w:r>
                    <w:rPr>
                      <w:rFonts w:hint="default" w:ascii="Wingdings 2" w:hAnsi="Wingdings 2" w:eastAsia="Wingdings 2" w:cs="Wingdings 2"/>
                      <w:color w:val="auto"/>
                      <w:kern w:val="2"/>
                      <w:sz w:val="21"/>
                      <w:szCs w:val="21"/>
                      <w:lang w:val="en-US" w:eastAsia="zh-CN" w:bidi="ar"/>
                    </w:rPr>
                    <w:t>£</w:t>
                  </w:r>
                  <w:r>
                    <w:rPr>
                      <w:rFonts w:hint="eastAsia" w:ascii="宋体" w:hAnsi="宋体" w:eastAsia="宋体" w:cs="宋体"/>
                      <w:color w:val="auto"/>
                      <w:spacing w:val="-10"/>
                      <w:kern w:val="2"/>
                      <w:sz w:val="21"/>
                      <w:szCs w:val="21"/>
                      <w:lang w:val="en-US" w:eastAsia="zh-CN" w:bidi="ar"/>
                    </w:rPr>
                    <w:t>清净下水排放</w:t>
                  </w:r>
                </w:p>
                <w:p w14:paraId="1383A0AB">
                  <w:pPr>
                    <w:keepNext w:val="0"/>
                    <w:keepLines w:val="0"/>
                    <w:widowControl w:val="0"/>
                    <w:suppressLineNumbers w:val="0"/>
                    <w:autoSpaceDE w:val="0"/>
                    <w:autoSpaceDN/>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kern w:val="2"/>
                      <w:sz w:val="21"/>
                      <w:szCs w:val="21"/>
                    </w:rPr>
                  </w:pPr>
                  <w:r>
                    <w:rPr>
                      <w:rFonts w:hint="default" w:ascii="Wingdings 2" w:hAnsi="Wingdings 2" w:eastAsia="Wingdings 2" w:cs="Wingdings 2"/>
                      <w:color w:val="auto"/>
                      <w:kern w:val="2"/>
                      <w:sz w:val="21"/>
                      <w:szCs w:val="21"/>
                      <w:lang w:val="en-US" w:eastAsia="zh-CN" w:bidi="ar"/>
                    </w:rPr>
                    <w:t>£</w:t>
                  </w:r>
                  <w:r>
                    <w:rPr>
                      <w:rFonts w:hint="eastAsia" w:ascii="宋体" w:hAnsi="宋体" w:eastAsia="宋体" w:cs="宋体"/>
                      <w:color w:val="auto"/>
                      <w:kern w:val="2"/>
                      <w:sz w:val="21"/>
                      <w:szCs w:val="21"/>
                      <w:lang w:val="en-US" w:eastAsia="zh-CN" w:bidi="ar"/>
                    </w:rPr>
                    <w:t>温排水排放</w:t>
                  </w:r>
                </w:p>
                <w:p w14:paraId="424080F7">
                  <w:pPr>
                    <w:keepNext w:val="0"/>
                    <w:keepLines w:val="0"/>
                    <w:widowControl w:val="0"/>
                    <w:suppressLineNumbers w:val="0"/>
                    <w:autoSpaceDE w:val="0"/>
                    <w:autoSpaceDN/>
                    <w:adjustRightInd w:val="0"/>
                    <w:snapToGrid w:val="0"/>
                    <w:spacing w:before="0" w:beforeAutospacing="0" w:after="0" w:afterAutospacing="0" w:line="240" w:lineRule="auto"/>
                    <w:ind w:left="0" w:right="0"/>
                    <w:jc w:val="left"/>
                    <w:rPr>
                      <w:rFonts w:hint="default" w:ascii="Times New Roman" w:hAnsi="Times New Roman" w:eastAsia="宋体" w:cs="Times New Roman"/>
                      <w:color w:val="auto"/>
                      <w:kern w:val="2"/>
                      <w:sz w:val="21"/>
                      <w:szCs w:val="21"/>
                    </w:rPr>
                  </w:pPr>
                  <w:r>
                    <w:rPr>
                      <w:rFonts w:hint="default" w:ascii="Wingdings 2" w:hAnsi="Wingdings 2" w:eastAsia="Wingdings 2" w:cs="Wingdings 2"/>
                      <w:color w:val="auto"/>
                      <w:kern w:val="2"/>
                      <w:sz w:val="21"/>
                      <w:szCs w:val="21"/>
                      <w:lang w:val="en-US" w:eastAsia="zh-CN" w:bidi="ar"/>
                    </w:rPr>
                    <w:t>£</w:t>
                  </w:r>
                  <w:r>
                    <w:rPr>
                      <w:rFonts w:hint="eastAsia" w:ascii="宋体" w:hAnsi="宋体" w:eastAsia="宋体" w:cs="宋体"/>
                      <w:color w:val="auto"/>
                      <w:kern w:val="2"/>
                      <w:sz w:val="21"/>
                      <w:szCs w:val="21"/>
                      <w:lang w:val="en-US" w:eastAsia="zh-CN" w:bidi="ar"/>
                    </w:rPr>
                    <w:t>车间或车间处理设施排放口</w:t>
                  </w:r>
                </w:p>
              </w:tc>
            </w:tr>
          </w:tbl>
          <w:p w14:paraId="75CEE993">
            <w:pPr>
              <w:keepNext w:val="0"/>
              <w:keepLines/>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b/>
                <w:color w:val="auto"/>
                <w:kern w:val="2"/>
                <w:sz w:val="21"/>
                <w:szCs w:val="21"/>
                <w:u w:val="none" w:color="auto"/>
              </w:rPr>
            </w:pPr>
            <w:r>
              <w:rPr>
                <w:rFonts w:hint="eastAsia" w:ascii="Times New Roman" w:hAnsi="Times New Roman" w:eastAsia="宋体" w:cs="Times New Roman"/>
                <w:b/>
                <w:color w:val="auto"/>
                <w:kern w:val="2"/>
                <w:sz w:val="21"/>
                <w:szCs w:val="21"/>
                <w:u w:val="none" w:color="auto"/>
                <w:lang w:val="en-US" w:eastAsia="zh-CN"/>
              </w:rPr>
              <w:t>表</w:t>
            </w:r>
            <w:r>
              <w:rPr>
                <w:rFonts w:hint="default" w:ascii="Times New Roman" w:hAnsi="Times New Roman" w:eastAsia="宋体" w:cs="Times New Roman"/>
                <w:b/>
                <w:color w:val="auto"/>
                <w:kern w:val="2"/>
                <w:sz w:val="21"/>
                <w:szCs w:val="21"/>
                <w:u w:val="none" w:color="auto"/>
                <w:lang w:val="en-US" w:eastAsia="zh-CN"/>
              </w:rPr>
              <w:t>4-</w:t>
            </w:r>
            <w:r>
              <w:rPr>
                <w:rFonts w:hint="eastAsia" w:ascii="Times New Roman" w:hAnsi="Times New Roman" w:eastAsia="宋体" w:cs="Times New Roman"/>
                <w:b/>
                <w:color w:val="auto"/>
                <w:kern w:val="2"/>
                <w:sz w:val="21"/>
                <w:szCs w:val="21"/>
                <w:u w:val="none" w:color="auto"/>
                <w:lang w:val="en-US" w:eastAsia="zh-CN"/>
              </w:rPr>
              <w:t>17</w:t>
            </w:r>
            <w:r>
              <w:rPr>
                <w:rFonts w:hint="default" w:ascii="Times New Roman" w:hAnsi="Times New Roman" w:eastAsia="宋体" w:cs="Times New Roman"/>
                <w:b/>
                <w:color w:val="auto"/>
                <w:kern w:val="2"/>
                <w:sz w:val="21"/>
                <w:szCs w:val="21"/>
                <w:u w:val="none" w:color="auto"/>
                <w:lang w:val="en-US" w:eastAsia="zh-CN"/>
              </w:rPr>
              <w:t xml:space="preserve"> </w:t>
            </w:r>
            <w:r>
              <w:rPr>
                <w:rFonts w:hint="eastAsia" w:ascii="Times New Roman" w:hAnsi="Times New Roman" w:eastAsia="宋体" w:cs="Times New Roman"/>
                <w:b/>
                <w:color w:val="auto"/>
                <w:kern w:val="2"/>
                <w:sz w:val="21"/>
                <w:szCs w:val="21"/>
                <w:u w:val="none" w:color="auto"/>
                <w:lang w:val="en-US" w:eastAsia="zh-CN"/>
              </w:rPr>
              <w:t>废水排放口基本情况表</w:t>
            </w:r>
          </w:p>
          <w:tbl>
            <w:tblPr>
              <w:tblStyle w:val="56"/>
              <w:tblW w:w="4975"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Layout w:type="fixed"/>
              <w:tblCellMar>
                <w:top w:w="0" w:type="dxa"/>
                <w:left w:w="108" w:type="dxa"/>
                <w:bottom w:w="0" w:type="dxa"/>
                <w:right w:w="108" w:type="dxa"/>
              </w:tblCellMar>
            </w:tblPr>
            <w:tblGrid>
              <w:gridCol w:w="282"/>
              <w:gridCol w:w="640"/>
              <w:gridCol w:w="719"/>
              <w:gridCol w:w="716"/>
              <w:gridCol w:w="567"/>
              <w:gridCol w:w="850"/>
              <w:gridCol w:w="983"/>
              <w:gridCol w:w="600"/>
              <w:gridCol w:w="864"/>
              <w:gridCol w:w="995"/>
              <w:gridCol w:w="1025"/>
            </w:tblGrid>
            <w:tr w14:paraId="2EED402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97" w:hRule="atLeast"/>
                <w:jc w:val="center"/>
              </w:trPr>
              <w:tc>
                <w:tcPr>
                  <w:tcW w:w="282" w:type="dxa"/>
                  <w:vMerge w:val="restart"/>
                  <w:tcBorders>
                    <w:tl2br w:val="nil"/>
                    <w:tr2bl w:val="nil"/>
                  </w:tcBorders>
                  <w:shd w:val="clear" w:color="auto" w:fill="auto"/>
                  <w:vAlign w:val="center"/>
                </w:tcPr>
                <w:p w14:paraId="39333F89">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序号</w:t>
                  </w:r>
                </w:p>
              </w:tc>
              <w:tc>
                <w:tcPr>
                  <w:tcW w:w="640" w:type="dxa"/>
                  <w:vMerge w:val="restart"/>
                  <w:tcBorders>
                    <w:tl2br w:val="nil"/>
                    <w:tr2bl w:val="nil"/>
                  </w:tcBorders>
                  <w:shd w:val="clear" w:color="auto" w:fill="auto"/>
                  <w:vAlign w:val="center"/>
                </w:tcPr>
                <w:p w14:paraId="571EA958">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排放口编号</w:t>
                  </w:r>
                </w:p>
              </w:tc>
              <w:tc>
                <w:tcPr>
                  <w:tcW w:w="1435" w:type="dxa"/>
                  <w:gridSpan w:val="2"/>
                  <w:tcBorders>
                    <w:tl2br w:val="nil"/>
                    <w:tr2bl w:val="nil"/>
                  </w:tcBorders>
                  <w:shd w:val="clear" w:color="auto" w:fill="auto"/>
                  <w:vAlign w:val="center"/>
                </w:tcPr>
                <w:p w14:paraId="12F6CB7F">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排放口地理坐标</w:t>
                  </w:r>
                </w:p>
              </w:tc>
              <w:tc>
                <w:tcPr>
                  <w:tcW w:w="567" w:type="dxa"/>
                  <w:vMerge w:val="restart"/>
                  <w:tcBorders>
                    <w:tl2br w:val="nil"/>
                    <w:tr2bl w:val="nil"/>
                  </w:tcBorders>
                  <w:shd w:val="clear" w:color="auto" w:fill="auto"/>
                  <w:vAlign w:val="center"/>
                </w:tcPr>
                <w:p w14:paraId="4F6ED486">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废水排放量</w:t>
                  </w:r>
                </w:p>
                <w:p w14:paraId="1ACAC34D">
                  <w:pPr>
                    <w:pStyle w:val="53"/>
                    <w:keepNext w:val="0"/>
                    <w:keepLines w:val="0"/>
                    <w:widowControl w:val="0"/>
                    <w:suppressLineNumbers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lang w:val="en-US" w:eastAsia="zh-CN" w:bidi="ar"/>
                    </w:rPr>
                    <w:t>(m</w:t>
                  </w:r>
                  <w:r>
                    <w:rPr>
                      <w:rFonts w:hint="default" w:ascii="Times New Roman" w:hAnsi="Times New Roman" w:eastAsia="宋体" w:cs="Times New Roman"/>
                      <w:b/>
                      <w:bCs/>
                      <w:color w:val="auto"/>
                      <w:kern w:val="2"/>
                      <w:sz w:val="21"/>
                      <w:szCs w:val="21"/>
                      <w:vertAlign w:val="superscript"/>
                      <w:lang w:val="en-US" w:eastAsia="zh-CN" w:bidi="ar"/>
                    </w:rPr>
                    <w:t>3</w:t>
                  </w:r>
                  <w:r>
                    <w:rPr>
                      <w:rFonts w:hint="default" w:ascii="Times New Roman" w:hAnsi="Times New Roman" w:eastAsia="宋体" w:cs="Times New Roman"/>
                      <w:b/>
                      <w:bCs/>
                      <w:color w:val="auto"/>
                      <w:kern w:val="2"/>
                      <w:sz w:val="21"/>
                      <w:szCs w:val="21"/>
                      <w:lang w:val="en-US" w:eastAsia="zh-CN" w:bidi="ar"/>
                    </w:rPr>
                    <w:t>/a)</w:t>
                  </w:r>
                </w:p>
              </w:tc>
              <w:tc>
                <w:tcPr>
                  <w:tcW w:w="850" w:type="dxa"/>
                  <w:vMerge w:val="restart"/>
                  <w:tcBorders>
                    <w:tl2br w:val="nil"/>
                    <w:tr2bl w:val="nil"/>
                  </w:tcBorders>
                  <w:shd w:val="clear" w:color="auto" w:fill="auto"/>
                  <w:vAlign w:val="center"/>
                </w:tcPr>
                <w:p w14:paraId="29511BE6">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排放</w:t>
                  </w:r>
                </w:p>
                <w:p w14:paraId="5FC2D8EC">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去向</w:t>
                  </w:r>
                </w:p>
              </w:tc>
              <w:tc>
                <w:tcPr>
                  <w:tcW w:w="983" w:type="dxa"/>
                  <w:vMerge w:val="restart"/>
                  <w:tcBorders>
                    <w:tl2br w:val="nil"/>
                    <w:tr2bl w:val="nil"/>
                  </w:tcBorders>
                  <w:shd w:val="clear" w:color="auto" w:fill="auto"/>
                  <w:vAlign w:val="center"/>
                </w:tcPr>
                <w:p w14:paraId="4877D3DF">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排放规律</w:t>
                  </w:r>
                </w:p>
              </w:tc>
              <w:tc>
                <w:tcPr>
                  <w:tcW w:w="600" w:type="dxa"/>
                  <w:vMerge w:val="restart"/>
                  <w:tcBorders>
                    <w:tl2br w:val="nil"/>
                    <w:tr2bl w:val="nil"/>
                  </w:tcBorders>
                  <w:shd w:val="clear" w:color="auto" w:fill="auto"/>
                  <w:vAlign w:val="center"/>
                </w:tcPr>
                <w:p w14:paraId="606A90F2">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间歇排放时段</w:t>
                  </w:r>
                </w:p>
              </w:tc>
              <w:tc>
                <w:tcPr>
                  <w:tcW w:w="2884" w:type="dxa"/>
                  <w:gridSpan w:val="3"/>
                  <w:tcBorders>
                    <w:tl2br w:val="nil"/>
                    <w:tr2bl w:val="nil"/>
                  </w:tcBorders>
                  <w:shd w:val="clear" w:color="auto" w:fill="auto"/>
                  <w:vAlign w:val="center"/>
                </w:tcPr>
                <w:p w14:paraId="0B0C7089">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受纳污水处理厂信息</w:t>
                  </w:r>
                </w:p>
              </w:tc>
            </w:tr>
            <w:tr w14:paraId="35F30B3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82" w:type="dxa"/>
                  <w:vMerge w:val="continue"/>
                  <w:tcBorders>
                    <w:tl2br w:val="nil"/>
                    <w:tr2bl w:val="nil"/>
                  </w:tcBorders>
                  <w:shd w:val="clear" w:color="auto" w:fill="auto"/>
                  <w:vAlign w:val="center"/>
                </w:tcPr>
                <w:p w14:paraId="38324DC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0"/>
                      <w:szCs w:val="20"/>
                    </w:rPr>
                  </w:pPr>
                </w:p>
              </w:tc>
              <w:tc>
                <w:tcPr>
                  <w:tcW w:w="640" w:type="dxa"/>
                  <w:vMerge w:val="continue"/>
                  <w:tcBorders>
                    <w:tl2br w:val="nil"/>
                    <w:tr2bl w:val="nil"/>
                  </w:tcBorders>
                  <w:shd w:val="clear" w:color="auto" w:fill="auto"/>
                  <w:vAlign w:val="center"/>
                </w:tcPr>
                <w:p w14:paraId="376505D8">
                  <w:pPr>
                    <w:keepNext w:val="0"/>
                    <w:keepLines w:val="0"/>
                    <w:suppressLineNumbers w:val="0"/>
                    <w:spacing w:before="0" w:beforeAutospacing="0" w:after="0" w:afterAutospacing="0" w:line="240" w:lineRule="auto"/>
                    <w:ind w:left="0" w:right="0"/>
                    <w:rPr>
                      <w:rFonts w:hint="default" w:ascii="Times New Roman" w:hAnsi="Times New Roman" w:cs="Times New Roman"/>
                      <w:b/>
                      <w:bCs/>
                      <w:color w:val="auto"/>
                      <w:sz w:val="20"/>
                      <w:szCs w:val="20"/>
                    </w:rPr>
                  </w:pPr>
                </w:p>
              </w:tc>
              <w:tc>
                <w:tcPr>
                  <w:tcW w:w="719" w:type="dxa"/>
                  <w:tcBorders>
                    <w:tl2br w:val="nil"/>
                    <w:tr2bl w:val="nil"/>
                  </w:tcBorders>
                  <w:shd w:val="clear" w:color="auto" w:fill="auto"/>
                  <w:vAlign w:val="center"/>
                </w:tcPr>
                <w:p w14:paraId="04C36D51">
                  <w:pPr>
                    <w:keepNext w:val="0"/>
                    <w:keepLines w:val="0"/>
                    <w:widowControl w:val="0"/>
                    <w:suppressLineNumbers w:val="0"/>
                    <w:spacing w:before="0" w:beforeAutospacing="0" w:after="0" w:afterAutospacing="0" w:line="240" w:lineRule="auto"/>
                    <w:ind w:left="0" w:right="0"/>
                    <w:jc w:val="center"/>
                    <w:rPr>
                      <w:rFonts w:hint="eastAsia"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经度（度）</w:t>
                  </w:r>
                </w:p>
              </w:tc>
              <w:tc>
                <w:tcPr>
                  <w:tcW w:w="716" w:type="dxa"/>
                  <w:tcBorders>
                    <w:tl2br w:val="nil"/>
                    <w:tr2bl w:val="nil"/>
                  </w:tcBorders>
                  <w:shd w:val="clear" w:color="auto" w:fill="auto"/>
                  <w:vAlign w:val="center"/>
                </w:tcPr>
                <w:p w14:paraId="7FB4617D">
                  <w:pPr>
                    <w:keepNext w:val="0"/>
                    <w:keepLines w:val="0"/>
                    <w:widowControl w:val="0"/>
                    <w:suppressLineNumbers w:val="0"/>
                    <w:spacing w:before="0" w:beforeAutospacing="0" w:after="0" w:afterAutospacing="0" w:line="240" w:lineRule="auto"/>
                    <w:ind w:left="0" w:right="0"/>
                    <w:jc w:val="center"/>
                    <w:rPr>
                      <w:rFonts w:hint="eastAsia"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纬度（度）</w:t>
                  </w:r>
                </w:p>
              </w:tc>
              <w:tc>
                <w:tcPr>
                  <w:tcW w:w="567" w:type="dxa"/>
                  <w:vMerge w:val="continue"/>
                  <w:tcBorders>
                    <w:tl2br w:val="nil"/>
                    <w:tr2bl w:val="nil"/>
                  </w:tcBorders>
                  <w:shd w:val="clear" w:color="auto" w:fill="auto"/>
                  <w:vAlign w:val="center"/>
                </w:tcPr>
                <w:p w14:paraId="4B0BC241">
                  <w:pPr>
                    <w:keepNext w:val="0"/>
                    <w:keepLines w:val="0"/>
                    <w:suppressLineNumbers w:val="0"/>
                    <w:spacing w:before="0" w:beforeAutospacing="0" w:after="0" w:afterAutospacing="0" w:line="240" w:lineRule="auto"/>
                    <w:ind w:left="0" w:right="0"/>
                    <w:rPr>
                      <w:rFonts w:hint="default" w:ascii="Times New Roman" w:hAnsi="Times New Roman" w:cs="Times New Roman"/>
                      <w:b/>
                      <w:bCs/>
                      <w:color w:val="auto"/>
                      <w:sz w:val="20"/>
                      <w:szCs w:val="20"/>
                    </w:rPr>
                  </w:pPr>
                </w:p>
              </w:tc>
              <w:tc>
                <w:tcPr>
                  <w:tcW w:w="850" w:type="dxa"/>
                  <w:vMerge w:val="continue"/>
                  <w:tcBorders>
                    <w:tl2br w:val="nil"/>
                    <w:tr2bl w:val="nil"/>
                  </w:tcBorders>
                  <w:shd w:val="clear" w:color="auto" w:fill="auto"/>
                  <w:vAlign w:val="center"/>
                </w:tcPr>
                <w:p w14:paraId="3FD80102">
                  <w:pPr>
                    <w:keepNext w:val="0"/>
                    <w:keepLines w:val="0"/>
                    <w:suppressLineNumbers w:val="0"/>
                    <w:spacing w:before="0" w:beforeAutospacing="0" w:after="0" w:afterAutospacing="0" w:line="240" w:lineRule="auto"/>
                    <w:ind w:left="0" w:right="0"/>
                    <w:rPr>
                      <w:rFonts w:hint="default" w:ascii="Times New Roman" w:hAnsi="Times New Roman" w:cs="Times New Roman"/>
                      <w:b/>
                      <w:bCs/>
                      <w:color w:val="auto"/>
                      <w:sz w:val="20"/>
                      <w:szCs w:val="20"/>
                    </w:rPr>
                  </w:pPr>
                </w:p>
              </w:tc>
              <w:tc>
                <w:tcPr>
                  <w:tcW w:w="983" w:type="dxa"/>
                  <w:vMerge w:val="continue"/>
                  <w:tcBorders>
                    <w:tl2br w:val="nil"/>
                    <w:tr2bl w:val="nil"/>
                  </w:tcBorders>
                  <w:shd w:val="clear" w:color="auto" w:fill="auto"/>
                  <w:vAlign w:val="center"/>
                </w:tcPr>
                <w:p w14:paraId="72C889F6">
                  <w:pPr>
                    <w:keepNext w:val="0"/>
                    <w:keepLines w:val="0"/>
                    <w:suppressLineNumbers w:val="0"/>
                    <w:spacing w:before="0" w:beforeAutospacing="0" w:after="0" w:afterAutospacing="0" w:line="240" w:lineRule="auto"/>
                    <w:ind w:left="0" w:right="0"/>
                    <w:rPr>
                      <w:rFonts w:hint="default" w:ascii="Times New Roman" w:hAnsi="Times New Roman" w:cs="Times New Roman"/>
                      <w:b/>
                      <w:bCs/>
                      <w:color w:val="auto"/>
                      <w:sz w:val="20"/>
                      <w:szCs w:val="20"/>
                    </w:rPr>
                  </w:pPr>
                </w:p>
              </w:tc>
              <w:tc>
                <w:tcPr>
                  <w:tcW w:w="600" w:type="dxa"/>
                  <w:vMerge w:val="continue"/>
                  <w:tcBorders>
                    <w:tl2br w:val="nil"/>
                    <w:tr2bl w:val="nil"/>
                  </w:tcBorders>
                  <w:shd w:val="clear" w:color="auto" w:fill="auto"/>
                  <w:vAlign w:val="center"/>
                </w:tcPr>
                <w:p w14:paraId="75614C6C">
                  <w:pPr>
                    <w:keepNext w:val="0"/>
                    <w:keepLines w:val="0"/>
                    <w:suppressLineNumbers w:val="0"/>
                    <w:spacing w:before="0" w:beforeAutospacing="0" w:after="0" w:afterAutospacing="0" w:line="240" w:lineRule="auto"/>
                    <w:ind w:left="0" w:right="0"/>
                    <w:rPr>
                      <w:rFonts w:hint="default" w:ascii="Times New Roman" w:hAnsi="Times New Roman" w:cs="Times New Roman"/>
                      <w:b/>
                      <w:bCs/>
                      <w:color w:val="auto"/>
                      <w:sz w:val="20"/>
                      <w:szCs w:val="20"/>
                    </w:rPr>
                  </w:pPr>
                </w:p>
              </w:tc>
              <w:tc>
                <w:tcPr>
                  <w:tcW w:w="864" w:type="dxa"/>
                  <w:tcBorders>
                    <w:tl2br w:val="nil"/>
                    <w:tr2bl w:val="nil"/>
                  </w:tcBorders>
                  <w:shd w:val="clear" w:color="auto" w:fill="auto"/>
                  <w:vAlign w:val="center"/>
                </w:tcPr>
                <w:p w14:paraId="02FF099D">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名称</w:t>
                  </w:r>
                </w:p>
              </w:tc>
              <w:tc>
                <w:tcPr>
                  <w:tcW w:w="995" w:type="dxa"/>
                  <w:tcBorders>
                    <w:tl2br w:val="nil"/>
                    <w:tr2bl w:val="nil"/>
                  </w:tcBorders>
                  <w:shd w:val="clear" w:color="auto" w:fill="auto"/>
                  <w:vAlign w:val="center"/>
                </w:tcPr>
                <w:p w14:paraId="28B9E0CE">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污染物</w:t>
                  </w:r>
                </w:p>
                <w:p w14:paraId="3AD375B5">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种类</w:t>
                  </w:r>
                </w:p>
              </w:tc>
              <w:tc>
                <w:tcPr>
                  <w:tcW w:w="1025" w:type="dxa"/>
                  <w:tcBorders>
                    <w:tl2br w:val="nil"/>
                    <w:tr2bl w:val="nil"/>
                  </w:tcBorders>
                  <w:shd w:val="clear" w:color="auto" w:fill="auto"/>
                  <w:vAlign w:val="center"/>
                </w:tcPr>
                <w:p w14:paraId="0D80261D">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rPr>
                  </w:pPr>
                  <w:r>
                    <w:rPr>
                      <w:rFonts w:hint="eastAsia" w:ascii="宋体" w:hAnsi="宋体" w:eastAsia="宋体" w:cs="宋体"/>
                      <w:b/>
                      <w:bCs/>
                      <w:color w:val="auto"/>
                      <w:kern w:val="2"/>
                      <w:sz w:val="21"/>
                      <w:szCs w:val="21"/>
                      <w:lang w:val="en-US" w:eastAsia="zh-CN" w:bidi="ar"/>
                    </w:rPr>
                    <w:t>国家或地方污染物排放标准浓度限值</w:t>
                  </w:r>
                  <w:r>
                    <w:rPr>
                      <w:rFonts w:hint="eastAsia" w:ascii="宋体" w:hAnsi="宋体" w:cs="宋体"/>
                      <w:b/>
                      <w:bCs/>
                      <w:color w:val="auto"/>
                      <w:kern w:val="2"/>
                      <w:sz w:val="21"/>
                      <w:szCs w:val="21"/>
                      <w:lang w:val="en-US" w:eastAsia="zh-CN" w:bidi="ar"/>
                    </w:rPr>
                    <w:t>（</w:t>
                  </w:r>
                  <w:r>
                    <w:rPr>
                      <w:rFonts w:hint="default" w:ascii="Times New Roman" w:hAnsi="Times New Roman" w:eastAsia="宋体" w:cs="Times New Roman"/>
                      <w:b/>
                      <w:bCs/>
                      <w:color w:val="auto"/>
                      <w:kern w:val="2"/>
                      <w:sz w:val="21"/>
                      <w:szCs w:val="21"/>
                      <w:lang w:val="en-US" w:eastAsia="zh-CN" w:bidi="ar"/>
                    </w:rPr>
                    <w:t>mg/L</w:t>
                  </w:r>
                  <w:r>
                    <w:rPr>
                      <w:rFonts w:hint="eastAsia" w:ascii="Times New Roman" w:hAnsi="Times New Roman" w:cs="Times New Roman"/>
                      <w:b/>
                      <w:bCs/>
                      <w:color w:val="auto"/>
                      <w:kern w:val="2"/>
                      <w:sz w:val="21"/>
                      <w:szCs w:val="21"/>
                      <w:lang w:val="en-US" w:eastAsia="zh-CN" w:bidi="ar"/>
                    </w:rPr>
                    <w:t>）</w:t>
                  </w:r>
                </w:p>
              </w:tc>
            </w:tr>
            <w:tr w14:paraId="6048523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82" w:type="dxa"/>
                  <w:vMerge w:val="restart"/>
                  <w:tcBorders>
                    <w:tl2br w:val="nil"/>
                    <w:tr2bl w:val="nil"/>
                  </w:tcBorders>
                  <w:shd w:val="clear" w:color="auto" w:fill="auto"/>
                  <w:vAlign w:val="center"/>
                </w:tcPr>
                <w:p w14:paraId="2993EA6E">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1</w:t>
                  </w:r>
                </w:p>
              </w:tc>
              <w:tc>
                <w:tcPr>
                  <w:tcW w:w="640" w:type="dxa"/>
                  <w:vMerge w:val="restart"/>
                  <w:tcBorders>
                    <w:tl2br w:val="nil"/>
                    <w:tr2bl w:val="nil"/>
                  </w:tcBorders>
                  <w:shd w:val="clear" w:color="auto" w:fill="auto"/>
                  <w:vAlign w:val="center"/>
                </w:tcPr>
                <w:p w14:paraId="57183076">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DW</w:t>
                  </w:r>
                </w:p>
                <w:p w14:paraId="6A2BBA77">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001</w:t>
                  </w:r>
                </w:p>
              </w:tc>
              <w:tc>
                <w:tcPr>
                  <w:tcW w:w="719" w:type="dxa"/>
                  <w:vMerge w:val="restart"/>
                  <w:tcBorders>
                    <w:tl2br w:val="nil"/>
                    <w:tr2bl w:val="nil"/>
                  </w:tcBorders>
                  <w:shd w:val="clear" w:color="auto" w:fill="auto"/>
                  <w:vAlign w:val="center"/>
                </w:tcPr>
                <w:p w14:paraId="362CA283">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eastAsia="zh-CN"/>
                    </w:rPr>
                  </w:pPr>
                  <w:r>
                    <w:rPr>
                      <w:rFonts w:hint="default" w:ascii="Times New Roman" w:hAnsi="Times New Roman" w:cs="Times New Roman"/>
                      <w:color w:val="auto"/>
                    </w:rPr>
                    <w:t>128.10444</w:t>
                  </w:r>
                  <w:r>
                    <w:rPr>
                      <w:rFonts w:hint="default" w:ascii="Times New Roman" w:hAnsi="Times New Roman" w:cs="Times New Roman"/>
                      <w:color w:val="auto"/>
                      <w:lang w:val="en-US" w:eastAsia="zh-CN"/>
                    </w:rPr>
                    <w:t>8</w:t>
                  </w:r>
                </w:p>
              </w:tc>
              <w:tc>
                <w:tcPr>
                  <w:tcW w:w="716" w:type="dxa"/>
                  <w:vMerge w:val="restart"/>
                  <w:tcBorders>
                    <w:tl2br w:val="nil"/>
                    <w:tr2bl w:val="nil"/>
                  </w:tcBorders>
                  <w:shd w:val="clear" w:color="auto" w:fill="auto"/>
                  <w:vAlign w:val="center"/>
                </w:tcPr>
                <w:p w14:paraId="18E3455A">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cs="Times New Roman"/>
                      <w:color w:val="auto"/>
                    </w:rPr>
                    <w:t>46.968464</w:t>
                  </w:r>
                </w:p>
              </w:tc>
              <w:tc>
                <w:tcPr>
                  <w:tcW w:w="567" w:type="dxa"/>
                  <w:vMerge w:val="restart"/>
                  <w:tcBorders>
                    <w:tl2br w:val="nil"/>
                    <w:tr2bl w:val="nil"/>
                  </w:tcBorders>
                  <w:shd w:val="clear" w:color="auto" w:fill="auto"/>
                  <w:vAlign w:val="center"/>
                </w:tcPr>
                <w:p w14:paraId="32EA5FAD">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eastAsia="zh-CN" w:bidi="ar"/>
                    </w:rPr>
                    <w:t>500</w:t>
                  </w:r>
                </w:p>
              </w:tc>
              <w:tc>
                <w:tcPr>
                  <w:tcW w:w="850" w:type="dxa"/>
                  <w:vMerge w:val="restart"/>
                  <w:tcBorders>
                    <w:tl2br w:val="nil"/>
                    <w:tr2bl w:val="nil"/>
                  </w:tcBorders>
                  <w:shd w:val="clear" w:color="auto" w:fill="auto"/>
                  <w:vAlign w:val="center"/>
                </w:tcPr>
                <w:p w14:paraId="71BC0CB2">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铁力市城市污水处理厂（铁力市伊吉污水处理厂）</w:t>
                  </w:r>
                </w:p>
              </w:tc>
              <w:tc>
                <w:tcPr>
                  <w:tcW w:w="983" w:type="dxa"/>
                  <w:vMerge w:val="restart"/>
                  <w:tcBorders>
                    <w:tl2br w:val="nil"/>
                    <w:tr2bl w:val="nil"/>
                  </w:tcBorders>
                  <w:shd w:val="clear" w:color="auto" w:fill="auto"/>
                  <w:vAlign w:val="center"/>
                </w:tcPr>
                <w:p w14:paraId="78CD50EF">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间断排放，排放期间流量不稳定且无规律，但不属于冲击型排放</w:t>
                  </w:r>
                </w:p>
              </w:tc>
              <w:tc>
                <w:tcPr>
                  <w:tcW w:w="600" w:type="dxa"/>
                  <w:vMerge w:val="restart"/>
                  <w:tcBorders>
                    <w:tl2br w:val="nil"/>
                    <w:tr2bl w:val="nil"/>
                  </w:tcBorders>
                  <w:shd w:val="clear" w:color="auto" w:fill="auto"/>
                  <w:vAlign w:val="center"/>
                </w:tcPr>
                <w:p w14:paraId="2EB2CFF2">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6</w:t>
                  </w:r>
                  <w:r>
                    <w:rPr>
                      <w:rFonts w:hint="eastAsia" w:ascii="宋体" w:hAnsi="宋体" w:eastAsia="宋体" w:cs="宋体"/>
                      <w:color w:val="auto"/>
                      <w:kern w:val="2"/>
                      <w:sz w:val="21"/>
                      <w:szCs w:val="21"/>
                      <w:lang w:val="en-US" w:eastAsia="zh-CN" w:bidi="ar"/>
                    </w:rPr>
                    <w:t>点</w:t>
                  </w:r>
                  <w:r>
                    <w:rPr>
                      <w:rFonts w:hint="eastAsia" w:ascii="宋体" w:hAnsi="宋体" w:cs="宋体"/>
                      <w:color w:val="auto"/>
                      <w:kern w:val="2"/>
                      <w:sz w:val="21"/>
                      <w:szCs w:val="21"/>
                      <w:lang w:val="en-US" w:eastAsia="zh-CN" w:bidi="ar"/>
                    </w:rPr>
                    <w:t>～</w:t>
                  </w:r>
                  <w:r>
                    <w:rPr>
                      <w:rFonts w:hint="default" w:ascii="Times New Roman" w:hAnsi="Times New Roman" w:eastAsia="宋体" w:cs="Times New Roman"/>
                      <w:color w:val="auto"/>
                      <w:kern w:val="2"/>
                      <w:sz w:val="21"/>
                      <w:szCs w:val="21"/>
                      <w:lang w:val="en-US" w:eastAsia="zh-CN" w:bidi="ar"/>
                    </w:rPr>
                    <w:t>22</w:t>
                  </w:r>
                  <w:r>
                    <w:rPr>
                      <w:rFonts w:hint="eastAsia" w:ascii="宋体" w:hAnsi="宋体" w:eastAsia="宋体" w:cs="宋体"/>
                      <w:color w:val="auto"/>
                      <w:kern w:val="2"/>
                      <w:sz w:val="21"/>
                      <w:szCs w:val="21"/>
                      <w:lang w:val="en-US" w:eastAsia="zh-CN" w:bidi="ar"/>
                    </w:rPr>
                    <w:t>点</w:t>
                  </w:r>
                </w:p>
              </w:tc>
              <w:tc>
                <w:tcPr>
                  <w:tcW w:w="864" w:type="dxa"/>
                  <w:vMerge w:val="restart"/>
                  <w:tcBorders>
                    <w:tl2br w:val="nil"/>
                    <w:tr2bl w:val="nil"/>
                  </w:tcBorders>
                  <w:shd w:val="clear" w:color="auto" w:fill="auto"/>
                  <w:vAlign w:val="center"/>
                </w:tcPr>
                <w:p w14:paraId="0CFF55B7">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铁力市城市污水处理厂（铁力市伊吉污水处理厂）</w:t>
                  </w:r>
                </w:p>
              </w:tc>
              <w:tc>
                <w:tcPr>
                  <w:tcW w:w="995" w:type="dxa"/>
                  <w:tcBorders>
                    <w:tl2br w:val="nil"/>
                    <w:tr2bl w:val="nil"/>
                  </w:tcBorders>
                  <w:shd w:val="clear" w:color="auto" w:fill="auto"/>
                  <w:vAlign w:val="center"/>
                </w:tcPr>
                <w:p w14:paraId="74027FD1">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b w:val="0"/>
                      <w:bCs w:val="0"/>
                      <w:color w:val="auto"/>
                      <w:kern w:val="2"/>
                      <w:sz w:val="21"/>
                      <w:szCs w:val="21"/>
                      <w:lang w:val="en-US" w:eastAsia="zh-CN" w:bidi="ar"/>
                    </w:rPr>
                    <w:t>pH</w:t>
                  </w:r>
                </w:p>
              </w:tc>
              <w:tc>
                <w:tcPr>
                  <w:tcW w:w="1025" w:type="dxa"/>
                  <w:tcBorders>
                    <w:tl2br w:val="nil"/>
                    <w:tr2bl w:val="nil"/>
                  </w:tcBorders>
                  <w:shd w:val="clear" w:color="auto" w:fill="auto"/>
                  <w:vAlign w:val="center"/>
                </w:tcPr>
                <w:p w14:paraId="36BFD856">
                  <w:pPr>
                    <w:pStyle w:val="53"/>
                    <w:keepNext w:val="0"/>
                    <w:keepLines w:val="0"/>
                    <w:widowControl w:val="0"/>
                    <w:suppressLineNumbers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6-9</w:t>
                  </w:r>
                </w:p>
              </w:tc>
            </w:tr>
            <w:tr w14:paraId="6FBE87B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82" w:type="dxa"/>
                  <w:vMerge w:val="continue"/>
                  <w:tcBorders>
                    <w:tl2br w:val="nil"/>
                    <w:tr2bl w:val="nil"/>
                  </w:tcBorders>
                  <w:shd w:val="clear" w:color="auto" w:fill="auto"/>
                  <w:vAlign w:val="center"/>
                </w:tcPr>
                <w:p w14:paraId="3B51521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0"/>
                      <w:szCs w:val="20"/>
                    </w:rPr>
                  </w:pPr>
                </w:p>
              </w:tc>
              <w:tc>
                <w:tcPr>
                  <w:tcW w:w="640" w:type="dxa"/>
                  <w:vMerge w:val="continue"/>
                  <w:tcBorders>
                    <w:tl2br w:val="nil"/>
                    <w:tr2bl w:val="nil"/>
                  </w:tcBorders>
                  <w:shd w:val="clear" w:color="auto" w:fill="auto"/>
                  <w:vAlign w:val="center"/>
                </w:tcPr>
                <w:p w14:paraId="53613B10">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719" w:type="dxa"/>
                  <w:vMerge w:val="continue"/>
                  <w:tcBorders>
                    <w:tl2br w:val="nil"/>
                    <w:tr2bl w:val="nil"/>
                  </w:tcBorders>
                  <w:shd w:val="clear" w:color="auto" w:fill="auto"/>
                  <w:vAlign w:val="center"/>
                </w:tcPr>
                <w:p w14:paraId="47D25A77">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716" w:type="dxa"/>
                  <w:vMerge w:val="continue"/>
                  <w:tcBorders>
                    <w:tl2br w:val="nil"/>
                    <w:tr2bl w:val="nil"/>
                  </w:tcBorders>
                  <w:shd w:val="clear" w:color="auto" w:fill="auto"/>
                  <w:vAlign w:val="center"/>
                </w:tcPr>
                <w:p w14:paraId="2523071B">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567" w:type="dxa"/>
                  <w:vMerge w:val="continue"/>
                  <w:tcBorders>
                    <w:tl2br w:val="nil"/>
                    <w:tr2bl w:val="nil"/>
                  </w:tcBorders>
                  <w:shd w:val="clear" w:color="auto" w:fill="auto"/>
                  <w:vAlign w:val="center"/>
                </w:tcPr>
                <w:p w14:paraId="5217B87F">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850" w:type="dxa"/>
                  <w:vMerge w:val="continue"/>
                  <w:tcBorders>
                    <w:tl2br w:val="nil"/>
                    <w:tr2bl w:val="nil"/>
                  </w:tcBorders>
                  <w:shd w:val="clear" w:color="auto" w:fill="auto"/>
                  <w:vAlign w:val="center"/>
                </w:tcPr>
                <w:p w14:paraId="443C1FD7">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983" w:type="dxa"/>
                  <w:vMerge w:val="continue"/>
                  <w:tcBorders>
                    <w:tl2br w:val="nil"/>
                    <w:tr2bl w:val="nil"/>
                  </w:tcBorders>
                  <w:shd w:val="clear" w:color="auto" w:fill="auto"/>
                  <w:vAlign w:val="center"/>
                </w:tcPr>
                <w:p w14:paraId="232E047A">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600" w:type="dxa"/>
                  <w:vMerge w:val="continue"/>
                  <w:tcBorders>
                    <w:tl2br w:val="nil"/>
                    <w:tr2bl w:val="nil"/>
                  </w:tcBorders>
                  <w:shd w:val="clear" w:color="auto" w:fill="auto"/>
                  <w:vAlign w:val="center"/>
                </w:tcPr>
                <w:p w14:paraId="1CE52EFE">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864" w:type="dxa"/>
                  <w:vMerge w:val="continue"/>
                  <w:tcBorders>
                    <w:tl2br w:val="nil"/>
                    <w:tr2bl w:val="nil"/>
                  </w:tcBorders>
                  <w:shd w:val="clear" w:color="auto" w:fill="auto"/>
                  <w:vAlign w:val="center"/>
                </w:tcPr>
                <w:p w14:paraId="01685520">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995" w:type="dxa"/>
                  <w:tcBorders>
                    <w:tl2br w:val="nil"/>
                    <w:tr2bl w:val="nil"/>
                  </w:tcBorders>
                  <w:shd w:val="clear" w:color="auto" w:fill="auto"/>
                  <w:vAlign w:val="center"/>
                </w:tcPr>
                <w:p w14:paraId="5821F76C">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COD</w:t>
                  </w:r>
                </w:p>
              </w:tc>
              <w:tc>
                <w:tcPr>
                  <w:tcW w:w="1025" w:type="dxa"/>
                  <w:tcBorders>
                    <w:tl2br w:val="nil"/>
                    <w:tr2bl w:val="nil"/>
                  </w:tcBorders>
                  <w:shd w:val="clear" w:color="auto" w:fill="auto"/>
                  <w:vAlign w:val="center"/>
                </w:tcPr>
                <w:p w14:paraId="70C30275">
                  <w:pPr>
                    <w:pStyle w:val="53"/>
                    <w:keepNext w:val="0"/>
                    <w:keepLines w:val="0"/>
                    <w:widowControl w:val="0"/>
                    <w:suppressLineNumbers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50</w:t>
                  </w:r>
                </w:p>
              </w:tc>
            </w:tr>
            <w:tr w14:paraId="708012F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82" w:type="dxa"/>
                  <w:vMerge w:val="continue"/>
                  <w:tcBorders>
                    <w:tl2br w:val="nil"/>
                    <w:tr2bl w:val="nil"/>
                  </w:tcBorders>
                  <w:shd w:val="clear" w:color="auto" w:fill="auto"/>
                  <w:vAlign w:val="center"/>
                </w:tcPr>
                <w:p w14:paraId="2A8B3BB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0"/>
                      <w:szCs w:val="20"/>
                    </w:rPr>
                  </w:pPr>
                </w:p>
              </w:tc>
              <w:tc>
                <w:tcPr>
                  <w:tcW w:w="640" w:type="dxa"/>
                  <w:vMerge w:val="continue"/>
                  <w:tcBorders>
                    <w:tl2br w:val="nil"/>
                    <w:tr2bl w:val="nil"/>
                  </w:tcBorders>
                  <w:shd w:val="clear" w:color="auto" w:fill="auto"/>
                  <w:vAlign w:val="center"/>
                </w:tcPr>
                <w:p w14:paraId="1874C354">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719" w:type="dxa"/>
                  <w:vMerge w:val="continue"/>
                  <w:tcBorders>
                    <w:tl2br w:val="nil"/>
                    <w:tr2bl w:val="nil"/>
                  </w:tcBorders>
                  <w:shd w:val="clear" w:color="auto" w:fill="auto"/>
                  <w:vAlign w:val="center"/>
                </w:tcPr>
                <w:p w14:paraId="1D9F9BA7">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716" w:type="dxa"/>
                  <w:vMerge w:val="continue"/>
                  <w:tcBorders>
                    <w:tl2br w:val="nil"/>
                    <w:tr2bl w:val="nil"/>
                  </w:tcBorders>
                  <w:shd w:val="clear" w:color="auto" w:fill="auto"/>
                  <w:vAlign w:val="center"/>
                </w:tcPr>
                <w:p w14:paraId="5C34F002">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567" w:type="dxa"/>
                  <w:vMerge w:val="continue"/>
                  <w:tcBorders>
                    <w:tl2br w:val="nil"/>
                    <w:tr2bl w:val="nil"/>
                  </w:tcBorders>
                  <w:shd w:val="clear" w:color="auto" w:fill="auto"/>
                  <w:vAlign w:val="center"/>
                </w:tcPr>
                <w:p w14:paraId="510FC670">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850" w:type="dxa"/>
                  <w:vMerge w:val="continue"/>
                  <w:tcBorders>
                    <w:tl2br w:val="nil"/>
                    <w:tr2bl w:val="nil"/>
                  </w:tcBorders>
                  <w:shd w:val="clear" w:color="auto" w:fill="auto"/>
                  <w:vAlign w:val="center"/>
                </w:tcPr>
                <w:p w14:paraId="13914608">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983" w:type="dxa"/>
                  <w:vMerge w:val="continue"/>
                  <w:tcBorders>
                    <w:tl2br w:val="nil"/>
                    <w:tr2bl w:val="nil"/>
                  </w:tcBorders>
                  <w:shd w:val="clear" w:color="auto" w:fill="auto"/>
                  <w:vAlign w:val="center"/>
                </w:tcPr>
                <w:p w14:paraId="7EE42696">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600" w:type="dxa"/>
                  <w:vMerge w:val="continue"/>
                  <w:tcBorders>
                    <w:tl2br w:val="nil"/>
                    <w:tr2bl w:val="nil"/>
                  </w:tcBorders>
                  <w:shd w:val="clear" w:color="auto" w:fill="auto"/>
                  <w:vAlign w:val="center"/>
                </w:tcPr>
                <w:p w14:paraId="7BCD75D8">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864" w:type="dxa"/>
                  <w:vMerge w:val="continue"/>
                  <w:tcBorders>
                    <w:tl2br w:val="nil"/>
                    <w:tr2bl w:val="nil"/>
                  </w:tcBorders>
                  <w:shd w:val="clear" w:color="auto" w:fill="auto"/>
                  <w:vAlign w:val="center"/>
                </w:tcPr>
                <w:p w14:paraId="5FF27F86">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995" w:type="dxa"/>
                  <w:tcBorders>
                    <w:tl2br w:val="nil"/>
                    <w:tr2bl w:val="nil"/>
                  </w:tcBorders>
                  <w:shd w:val="clear" w:color="auto" w:fill="auto"/>
                  <w:vAlign w:val="center"/>
                </w:tcPr>
                <w:p w14:paraId="529E49AC">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BOD</w:t>
                  </w:r>
                  <w:r>
                    <w:rPr>
                      <w:rFonts w:hint="default" w:ascii="Times New Roman" w:hAnsi="Times New Roman" w:eastAsia="宋体" w:cs="Times New Roman"/>
                      <w:color w:val="auto"/>
                      <w:kern w:val="2"/>
                      <w:sz w:val="21"/>
                      <w:szCs w:val="21"/>
                      <w:vertAlign w:val="subscript"/>
                      <w:lang w:val="en-US" w:eastAsia="zh-CN" w:bidi="ar"/>
                    </w:rPr>
                    <w:t>5</w:t>
                  </w:r>
                </w:p>
              </w:tc>
              <w:tc>
                <w:tcPr>
                  <w:tcW w:w="1025" w:type="dxa"/>
                  <w:tcBorders>
                    <w:tl2br w:val="nil"/>
                    <w:tr2bl w:val="nil"/>
                  </w:tcBorders>
                  <w:shd w:val="clear" w:color="auto" w:fill="auto"/>
                  <w:vAlign w:val="center"/>
                </w:tcPr>
                <w:p w14:paraId="78B911F7">
                  <w:pPr>
                    <w:pStyle w:val="53"/>
                    <w:keepNext w:val="0"/>
                    <w:keepLines w:val="0"/>
                    <w:widowControl w:val="0"/>
                    <w:suppressLineNumbers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10</w:t>
                  </w:r>
                </w:p>
              </w:tc>
            </w:tr>
            <w:tr w14:paraId="08EC7C5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82" w:type="dxa"/>
                  <w:vMerge w:val="continue"/>
                  <w:tcBorders>
                    <w:tl2br w:val="nil"/>
                    <w:tr2bl w:val="nil"/>
                  </w:tcBorders>
                  <w:shd w:val="clear" w:color="auto" w:fill="auto"/>
                  <w:vAlign w:val="center"/>
                </w:tcPr>
                <w:p w14:paraId="6998252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0"/>
                      <w:szCs w:val="20"/>
                    </w:rPr>
                  </w:pPr>
                </w:p>
              </w:tc>
              <w:tc>
                <w:tcPr>
                  <w:tcW w:w="640" w:type="dxa"/>
                  <w:vMerge w:val="continue"/>
                  <w:tcBorders>
                    <w:tl2br w:val="nil"/>
                    <w:tr2bl w:val="nil"/>
                  </w:tcBorders>
                  <w:shd w:val="clear" w:color="auto" w:fill="auto"/>
                  <w:vAlign w:val="center"/>
                </w:tcPr>
                <w:p w14:paraId="58DC8D3D">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719" w:type="dxa"/>
                  <w:vMerge w:val="continue"/>
                  <w:tcBorders>
                    <w:tl2br w:val="nil"/>
                    <w:tr2bl w:val="nil"/>
                  </w:tcBorders>
                  <w:shd w:val="clear" w:color="auto" w:fill="auto"/>
                  <w:vAlign w:val="center"/>
                </w:tcPr>
                <w:p w14:paraId="20767EF8">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716" w:type="dxa"/>
                  <w:vMerge w:val="continue"/>
                  <w:tcBorders>
                    <w:tl2br w:val="nil"/>
                    <w:tr2bl w:val="nil"/>
                  </w:tcBorders>
                  <w:shd w:val="clear" w:color="auto" w:fill="auto"/>
                  <w:vAlign w:val="center"/>
                </w:tcPr>
                <w:p w14:paraId="7775085D">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567" w:type="dxa"/>
                  <w:vMerge w:val="continue"/>
                  <w:tcBorders>
                    <w:tl2br w:val="nil"/>
                    <w:tr2bl w:val="nil"/>
                  </w:tcBorders>
                  <w:shd w:val="clear" w:color="auto" w:fill="auto"/>
                  <w:vAlign w:val="center"/>
                </w:tcPr>
                <w:p w14:paraId="5F26A216">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850" w:type="dxa"/>
                  <w:vMerge w:val="continue"/>
                  <w:tcBorders>
                    <w:tl2br w:val="nil"/>
                    <w:tr2bl w:val="nil"/>
                  </w:tcBorders>
                  <w:shd w:val="clear" w:color="auto" w:fill="auto"/>
                  <w:vAlign w:val="center"/>
                </w:tcPr>
                <w:p w14:paraId="27596DBE">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983" w:type="dxa"/>
                  <w:vMerge w:val="continue"/>
                  <w:tcBorders>
                    <w:tl2br w:val="nil"/>
                    <w:tr2bl w:val="nil"/>
                  </w:tcBorders>
                  <w:shd w:val="clear" w:color="auto" w:fill="auto"/>
                  <w:vAlign w:val="center"/>
                </w:tcPr>
                <w:p w14:paraId="141F1288">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600" w:type="dxa"/>
                  <w:vMerge w:val="continue"/>
                  <w:tcBorders>
                    <w:tl2br w:val="nil"/>
                    <w:tr2bl w:val="nil"/>
                  </w:tcBorders>
                  <w:shd w:val="clear" w:color="auto" w:fill="auto"/>
                  <w:vAlign w:val="center"/>
                </w:tcPr>
                <w:p w14:paraId="40809631">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864" w:type="dxa"/>
                  <w:vMerge w:val="continue"/>
                  <w:tcBorders>
                    <w:tl2br w:val="nil"/>
                    <w:tr2bl w:val="nil"/>
                  </w:tcBorders>
                  <w:shd w:val="clear" w:color="auto" w:fill="auto"/>
                  <w:vAlign w:val="center"/>
                </w:tcPr>
                <w:p w14:paraId="1AF9D57D">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995" w:type="dxa"/>
                  <w:tcBorders>
                    <w:tl2br w:val="nil"/>
                    <w:tr2bl w:val="nil"/>
                  </w:tcBorders>
                  <w:shd w:val="clear" w:color="auto" w:fill="auto"/>
                  <w:vAlign w:val="center"/>
                </w:tcPr>
                <w:p w14:paraId="54C12BAB">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NH</w:t>
                  </w:r>
                  <w:r>
                    <w:rPr>
                      <w:rFonts w:hint="default" w:ascii="Times New Roman" w:hAnsi="Times New Roman" w:eastAsia="宋体" w:cs="Times New Roman"/>
                      <w:color w:val="auto"/>
                      <w:kern w:val="2"/>
                      <w:sz w:val="21"/>
                      <w:szCs w:val="21"/>
                      <w:vertAlign w:val="subscript"/>
                      <w:lang w:val="en-US" w:eastAsia="zh-CN" w:bidi="ar"/>
                    </w:rPr>
                    <w:t>3</w:t>
                  </w:r>
                  <w:r>
                    <w:rPr>
                      <w:rFonts w:hint="default" w:ascii="Times New Roman" w:hAnsi="Times New Roman" w:eastAsia="宋体" w:cs="Times New Roman"/>
                      <w:color w:val="auto"/>
                      <w:kern w:val="2"/>
                      <w:sz w:val="21"/>
                      <w:szCs w:val="21"/>
                      <w:lang w:val="en-US" w:eastAsia="zh-CN" w:bidi="ar"/>
                    </w:rPr>
                    <w:t>-N</w:t>
                  </w:r>
                </w:p>
              </w:tc>
              <w:tc>
                <w:tcPr>
                  <w:tcW w:w="1025" w:type="dxa"/>
                  <w:tcBorders>
                    <w:tl2br w:val="nil"/>
                    <w:tr2bl w:val="nil"/>
                  </w:tcBorders>
                  <w:shd w:val="clear" w:color="auto" w:fill="auto"/>
                  <w:vAlign w:val="center"/>
                </w:tcPr>
                <w:p w14:paraId="4DF09D42">
                  <w:pPr>
                    <w:pStyle w:val="53"/>
                    <w:keepNext w:val="0"/>
                    <w:keepLines w:val="0"/>
                    <w:widowControl w:val="0"/>
                    <w:suppressLineNumbers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5</w:t>
                  </w:r>
                  <w:r>
                    <w:rPr>
                      <w:rFonts w:hint="eastAsia" w:ascii="Times New Roman" w:hAnsi="Times New Roman" w:cs="Times New Roman"/>
                      <w:color w:val="auto"/>
                      <w:kern w:val="2"/>
                      <w:sz w:val="21"/>
                      <w:szCs w:val="21"/>
                      <w:lang w:val="en-US" w:eastAsia="zh-CN" w:bidi="ar"/>
                    </w:rPr>
                    <w:t>(</w:t>
                  </w:r>
                  <w:r>
                    <w:rPr>
                      <w:rFonts w:hint="default" w:ascii="Times New Roman" w:hAnsi="Times New Roman" w:eastAsia="宋体" w:cs="Times New Roman"/>
                      <w:color w:val="auto"/>
                      <w:kern w:val="2"/>
                      <w:sz w:val="21"/>
                      <w:szCs w:val="21"/>
                      <w:lang w:val="en-US" w:eastAsia="zh-CN" w:bidi="ar"/>
                    </w:rPr>
                    <w:t>8</w:t>
                  </w:r>
                  <w:r>
                    <w:rPr>
                      <w:rFonts w:hint="eastAsia" w:ascii="Times New Roman" w:hAnsi="Times New Roman" w:cs="Times New Roman"/>
                      <w:color w:val="auto"/>
                      <w:kern w:val="2"/>
                      <w:sz w:val="21"/>
                      <w:szCs w:val="21"/>
                      <w:lang w:val="en-US" w:eastAsia="zh-CN" w:bidi="ar"/>
                    </w:rPr>
                    <w:t>)</w:t>
                  </w:r>
                </w:p>
              </w:tc>
            </w:tr>
            <w:tr w14:paraId="524462B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82" w:type="dxa"/>
                  <w:vMerge w:val="continue"/>
                  <w:tcBorders>
                    <w:tl2br w:val="nil"/>
                    <w:tr2bl w:val="nil"/>
                  </w:tcBorders>
                  <w:shd w:val="clear" w:color="auto" w:fill="auto"/>
                  <w:vAlign w:val="center"/>
                </w:tcPr>
                <w:p w14:paraId="1E67300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0"/>
                      <w:szCs w:val="20"/>
                    </w:rPr>
                  </w:pPr>
                </w:p>
              </w:tc>
              <w:tc>
                <w:tcPr>
                  <w:tcW w:w="640" w:type="dxa"/>
                  <w:vMerge w:val="continue"/>
                  <w:tcBorders>
                    <w:tl2br w:val="nil"/>
                    <w:tr2bl w:val="nil"/>
                  </w:tcBorders>
                  <w:shd w:val="clear" w:color="auto" w:fill="auto"/>
                  <w:vAlign w:val="center"/>
                </w:tcPr>
                <w:p w14:paraId="5ADDE9C1">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719" w:type="dxa"/>
                  <w:vMerge w:val="continue"/>
                  <w:tcBorders>
                    <w:tl2br w:val="nil"/>
                    <w:tr2bl w:val="nil"/>
                  </w:tcBorders>
                  <w:shd w:val="clear" w:color="auto" w:fill="auto"/>
                  <w:vAlign w:val="center"/>
                </w:tcPr>
                <w:p w14:paraId="5765A103">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716" w:type="dxa"/>
                  <w:vMerge w:val="continue"/>
                  <w:tcBorders>
                    <w:tl2br w:val="nil"/>
                    <w:tr2bl w:val="nil"/>
                  </w:tcBorders>
                  <w:shd w:val="clear" w:color="auto" w:fill="auto"/>
                  <w:vAlign w:val="center"/>
                </w:tcPr>
                <w:p w14:paraId="2DADABAD">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567" w:type="dxa"/>
                  <w:vMerge w:val="continue"/>
                  <w:tcBorders>
                    <w:tl2br w:val="nil"/>
                    <w:tr2bl w:val="nil"/>
                  </w:tcBorders>
                  <w:shd w:val="clear" w:color="auto" w:fill="auto"/>
                  <w:vAlign w:val="center"/>
                </w:tcPr>
                <w:p w14:paraId="2D45B123">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850" w:type="dxa"/>
                  <w:vMerge w:val="continue"/>
                  <w:tcBorders>
                    <w:tl2br w:val="nil"/>
                    <w:tr2bl w:val="nil"/>
                  </w:tcBorders>
                  <w:shd w:val="clear" w:color="auto" w:fill="auto"/>
                  <w:vAlign w:val="center"/>
                </w:tcPr>
                <w:p w14:paraId="0AD11119">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983" w:type="dxa"/>
                  <w:vMerge w:val="continue"/>
                  <w:tcBorders>
                    <w:tl2br w:val="nil"/>
                    <w:tr2bl w:val="nil"/>
                  </w:tcBorders>
                  <w:shd w:val="clear" w:color="auto" w:fill="auto"/>
                  <w:vAlign w:val="center"/>
                </w:tcPr>
                <w:p w14:paraId="6C5E0CF7">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600" w:type="dxa"/>
                  <w:vMerge w:val="continue"/>
                  <w:tcBorders>
                    <w:tl2br w:val="nil"/>
                    <w:tr2bl w:val="nil"/>
                  </w:tcBorders>
                  <w:shd w:val="clear" w:color="auto" w:fill="auto"/>
                  <w:vAlign w:val="center"/>
                </w:tcPr>
                <w:p w14:paraId="5036A609">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864" w:type="dxa"/>
                  <w:vMerge w:val="continue"/>
                  <w:tcBorders>
                    <w:tl2br w:val="nil"/>
                    <w:tr2bl w:val="nil"/>
                  </w:tcBorders>
                  <w:shd w:val="clear" w:color="auto" w:fill="auto"/>
                  <w:vAlign w:val="center"/>
                </w:tcPr>
                <w:p w14:paraId="06CCAF41">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995" w:type="dxa"/>
                  <w:tcBorders>
                    <w:tl2br w:val="nil"/>
                    <w:tr2bl w:val="nil"/>
                  </w:tcBorders>
                  <w:shd w:val="clear" w:color="auto" w:fill="auto"/>
                  <w:vAlign w:val="center"/>
                </w:tcPr>
                <w:p w14:paraId="3731DC05">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SS</w:t>
                  </w:r>
                </w:p>
              </w:tc>
              <w:tc>
                <w:tcPr>
                  <w:tcW w:w="1025" w:type="dxa"/>
                  <w:tcBorders>
                    <w:tl2br w:val="nil"/>
                    <w:tr2bl w:val="nil"/>
                  </w:tcBorders>
                  <w:shd w:val="clear" w:color="auto" w:fill="auto"/>
                  <w:vAlign w:val="center"/>
                </w:tcPr>
                <w:p w14:paraId="73AC0982">
                  <w:pPr>
                    <w:pStyle w:val="53"/>
                    <w:keepNext w:val="0"/>
                    <w:keepLines w:val="0"/>
                    <w:widowControl w:val="0"/>
                    <w:suppressLineNumbers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10</w:t>
                  </w:r>
                </w:p>
              </w:tc>
            </w:tr>
            <w:tr w14:paraId="15EFC25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82" w:type="dxa"/>
                  <w:vMerge w:val="continue"/>
                  <w:tcBorders>
                    <w:tl2br w:val="nil"/>
                    <w:tr2bl w:val="nil"/>
                  </w:tcBorders>
                  <w:shd w:val="clear" w:color="auto" w:fill="auto"/>
                  <w:vAlign w:val="center"/>
                </w:tcPr>
                <w:p w14:paraId="25C794A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0"/>
                      <w:szCs w:val="20"/>
                    </w:rPr>
                  </w:pPr>
                </w:p>
              </w:tc>
              <w:tc>
                <w:tcPr>
                  <w:tcW w:w="640" w:type="dxa"/>
                  <w:vMerge w:val="continue"/>
                  <w:tcBorders>
                    <w:tl2br w:val="nil"/>
                    <w:tr2bl w:val="nil"/>
                  </w:tcBorders>
                  <w:shd w:val="clear" w:color="auto" w:fill="auto"/>
                  <w:vAlign w:val="center"/>
                </w:tcPr>
                <w:p w14:paraId="3E8AC98C">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719" w:type="dxa"/>
                  <w:vMerge w:val="continue"/>
                  <w:tcBorders>
                    <w:tl2br w:val="nil"/>
                    <w:tr2bl w:val="nil"/>
                  </w:tcBorders>
                  <w:shd w:val="clear" w:color="auto" w:fill="auto"/>
                  <w:vAlign w:val="center"/>
                </w:tcPr>
                <w:p w14:paraId="34CD1B61">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716" w:type="dxa"/>
                  <w:vMerge w:val="continue"/>
                  <w:tcBorders>
                    <w:tl2br w:val="nil"/>
                    <w:tr2bl w:val="nil"/>
                  </w:tcBorders>
                  <w:shd w:val="clear" w:color="auto" w:fill="auto"/>
                  <w:vAlign w:val="center"/>
                </w:tcPr>
                <w:p w14:paraId="4686A868">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567" w:type="dxa"/>
                  <w:vMerge w:val="continue"/>
                  <w:tcBorders>
                    <w:tl2br w:val="nil"/>
                    <w:tr2bl w:val="nil"/>
                  </w:tcBorders>
                  <w:shd w:val="clear" w:color="auto" w:fill="auto"/>
                  <w:vAlign w:val="center"/>
                </w:tcPr>
                <w:p w14:paraId="7797BB52">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850" w:type="dxa"/>
                  <w:vMerge w:val="continue"/>
                  <w:tcBorders>
                    <w:tl2br w:val="nil"/>
                    <w:tr2bl w:val="nil"/>
                  </w:tcBorders>
                  <w:shd w:val="clear" w:color="auto" w:fill="auto"/>
                  <w:vAlign w:val="center"/>
                </w:tcPr>
                <w:p w14:paraId="7F5C7065">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983" w:type="dxa"/>
                  <w:vMerge w:val="continue"/>
                  <w:tcBorders>
                    <w:tl2br w:val="nil"/>
                    <w:tr2bl w:val="nil"/>
                  </w:tcBorders>
                  <w:shd w:val="clear" w:color="auto" w:fill="auto"/>
                  <w:vAlign w:val="center"/>
                </w:tcPr>
                <w:p w14:paraId="05AF58C0">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600" w:type="dxa"/>
                  <w:vMerge w:val="continue"/>
                  <w:tcBorders>
                    <w:tl2br w:val="nil"/>
                    <w:tr2bl w:val="nil"/>
                  </w:tcBorders>
                  <w:shd w:val="clear" w:color="auto" w:fill="auto"/>
                  <w:vAlign w:val="center"/>
                </w:tcPr>
                <w:p w14:paraId="5735F2BC">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864" w:type="dxa"/>
                  <w:vMerge w:val="continue"/>
                  <w:tcBorders>
                    <w:tl2br w:val="nil"/>
                    <w:tr2bl w:val="nil"/>
                  </w:tcBorders>
                  <w:shd w:val="clear" w:color="auto" w:fill="auto"/>
                  <w:vAlign w:val="center"/>
                </w:tcPr>
                <w:p w14:paraId="4AFD38DF">
                  <w:pPr>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20"/>
                      <w:szCs w:val="20"/>
                    </w:rPr>
                  </w:pPr>
                </w:p>
              </w:tc>
              <w:tc>
                <w:tcPr>
                  <w:tcW w:w="995" w:type="dxa"/>
                  <w:tcBorders>
                    <w:tl2br w:val="nil"/>
                    <w:tr2bl w:val="nil"/>
                  </w:tcBorders>
                  <w:shd w:val="clear" w:color="auto" w:fill="auto"/>
                  <w:vAlign w:val="center"/>
                </w:tcPr>
                <w:p w14:paraId="2DAD34F3">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cs="Times New Roman"/>
                      <w:color w:val="auto"/>
                      <w:kern w:val="2"/>
                      <w:sz w:val="21"/>
                      <w:szCs w:val="21"/>
                      <w:lang w:val="en-US" w:eastAsia="zh-CN"/>
                    </w:rPr>
                    <w:t>TP</w:t>
                  </w:r>
                </w:p>
              </w:tc>
              <w:tc>
                <w:tcPr>
                  <w:tcW w:w="1025" w:type="dxa"/>
                  <w:tcBorders>
                    <w:tl2br w:val="nil"/>
                    <w:tr2bl w:val="nil"/>
                  </w:tcBorders>
                  <w:shd w:val="clear" w:color="auto" w:fill="auto"/>
                  <w:vAlign w:val="center"/>
                </w:tcPr>
                <w:p w14:paraId="7698A4FC">
                  <w:pPr>
                    <w:pStyle w:val="53"/>
                    <w:keepNext w:val="0"/>
                    <w:keepLines w:val="0"/>
                    <w:widowControl w:val="0"/>
                    <w:suppressLineNumbers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cs="Times New Roman"/>
                      <w:color w:val="auto"/>
                      <w:kern w:val="2"/>
                      <w:sz w:val="21"/>
                      <w:szCs w:val="21"/>
                      <w:lang w:val="en-US" w:eastAsia="zh-CN"/>
                    </w:rPr>
                    <w:t>0.5</w:t>
                  </w:r>
                </w:p>
              </w:tc>
            </w:tr>
          </w:tbl>
          <w:p w14:paraId="6275A686">
            <w:pPr>
              <w:keepNext w:val="0"/>
              <w:keepLines w:val="0"/>
              <w:widowControl w:val="0"/>
              <w:suppressLineNumbers w:val="0"/>
              <w:autoSpaceDE w:val="0"/>
              <w:autoSpaceDN/>
              <w:spacing w:before="0" w:beforeAutospacing="0" w:after="0" w:afterAutospacing="0" w:line="360" w:lineRule="auto"/>
              <w:ind w:left="0" w:right="0" w:firstLine="480" w:firstLineChars="200"/>
              <w:jc w:val="left"/>
              <w:rPr>
                <w:rFonts w:hint="default" w:ascii="Times New Roman" w:hAnsi="Times New Roman" w:eastAsia="宋体" w:cs="Times New Roman"/>
                <w:color w:val="auto"/>
                <w:kern w:val="2"/>
                <w:sz w:val="24"/>
                <w:szCs w:val="24"/>
              </w:rPr>
            </w:pPr>
            <w:r>
              <w:rPr>
                <w:rFonts w:hint="eastAsia" w:ascii="宋体" w:hAnsi="宋体" w:eastAsia="宋体" w:cs="宋体"/>
                <w:color w:val="auto"/>
                <w:kern w:val="2"/>
                <w:sz w:val="24"/>
                <w:szCs w:val="24"/>
                <w:lang w:val="en-US" w:eastAsia="zh-CN" w:bidi="ar"/>
              </w:rPr>
              <w:t>（</w:t>
            </w:r>
            <w:r>
              <w:rPr>
                <w:rFonts w:hint="eastAsia" w:ascii="Times New Roman" w:hAnsi="Times New Roman" w:eastAsia="宋体" w:cs="Times New Roman"/>
                <w:color w:val="auto"/>
                <w:kern w:val="2"/>
                <w:sz w:val="24"/>
                <w:szCs w:val="24"/>
                <w:lang w:val="en-US" w:eastAsia="zh-CN" w:bidi="ar"/>
              </w:rPr>
              <w:t>2</w:t>
            </w:r>
            <w:r>
              <w:rPr>
                <w:rFonts w:hint="eastAsia" w:ascii="宋体" w:hAnsi="宋体" w:eastAsia="宋体" w:cs="宋体"/>
                <w:color w:val="auto"/>
                <w:kern w:val="2"/>
                <w:sz w:val="24"/>
                <w:szCs w:val="24"/>
                <w:lang w:val="en-US" w:eastAsia="zh-CN" w:bidi="ar"/>
              </w:rPr>
              <w:t>）依托污水处理设施的环境可行性评价</w:t>
            </w:r>
          </w:p>
          <w:p w14:paraId="28AEACB1">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kern w:val="2"/>
                <w:sz w:val="24"/>
                <w:highlight w:val="none"/>
                <w:u w:val="none" w:color="auto"/>
                <w:lang w:val="en-US" w:eastAsia="zh-CN"/>
              </w:rPr>
            </w:pPr>
            <w:r>
              <w:rPr>
                <w:rFonts w:hint="eastAsia" w:ascii="Times New Roman" w:hAnsi="Times New Roman" w:eastAsia="宋体" w:cs="Times New Roman"/>
                <w:color w:val="auto"/>
                <w:kern w:val="2"/>
                <w:sz w:val="24"/>
                <w:highlight w:val="none"/>
                <w:u w:val="none" w:color="auto"/>
                <w:lang w:val="en-US" w:eastAsia="zh-CN"/>
              </w:rPr>
              <w:t>①铁力市城市污水处理厂（铁力市伊吉污水处理厂）概况</w:t>
            </w:r>
          </w:p>
          <w:p w14:paraId="7071FC34">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kern w:val="2"/>
                <w:sz w:val="24"/>
                <w:highlight w:val="none"/>
                <w:u w:val="none" w:color="auto"/>
                <w:lang w:val="en-US" w:eastAsia="zh-CN"/>
              </w:rPr>
            </w:pPr>
            <w:r>
              <w:rPr>
                <w:rFonts w:hint="eastAsia" w:ascii="Times New Roman" w:hAnsi="Times New Roman" w:eastAsia="宋体" w:cs="Times New Roman"/>
                <w:color w:val="auto"/>
                <w:kern w:val="2"/>
                <w:sz w:val="24"/>
                <w:highlight w:val="none"/>
                <w:u w:val="none" w:color="auto"/>
                <w:lang w:val="en-US" w:eastAsia="zh-CN"/>
              </w:rPr>
              <w:t>铁力市城市污水处理厂（铁力市伊吉污水处理厂）成立于2009年9月23日，位于黑龙江省伊春市铁力市工农乡新兴村，工程建设规模为日处理3万吨，2020年扩容至4万吨，现实际日处理3万吨。处理工艺为“EBIS+深度处理”，经处理后的污水水质排放标准为《城镇污水处理厂污染物排放标准》（GB18918-2002）一级A标准。铁力市伊吉污水处理厂已于2023年1月1日取得伊春市生态环境局颁发的排污许可证，排污许可证书编号91230700692628658D001V。</w:t>
            </w:r>
          </w:p>
          <w:p w14:paraId="5B721A43">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kern w:val="2"/>
                <w:sz w:val="24"/>
                <w:highlight w:val="none"/>
                <w:u w:val="none" w:color="auto"/>
                <w:lang w:val="en-US" w:eastAsia="zh-CN"/>
              </w:rPr>
            </w:pPr>
            <w:r>
              <w:rPr>
                <w:rFonts w:hint="eastAsia" w:ascii="Times New Roman" w:hAnsi="Times New Roman" w:eastAsia="宋体" w:cs="Times New Roman"/>
                <w:color w:val="auto"/>
                <w:kern w:val="2"/>
                <w:sz w:val="24"/>
                <w:highlight w:val="none"/>
                <w:u w:val="none" w:color="auto"/>
                <w:lang w:val="en-US" w:eastAsia="zh-CN"/>
              </w:rPr>
              <w:t>根据铁力市城市污水处理厂（铁力市伊吉污水处理厂）自行检测数据，废水排水浓度可以满足《城镇污水处理厂污染物排放标准》（</w:t>
            </w:r>
            <w:r>
              <w:rPr>
                <w:rFonts w:hint="default" w:ascii="Times New Roman" w:hAnsi="Times New Roman" w:eastAsia="宋体" w:cs="Times New Roman"/>
                <w:color w:val="auto"/>
                <w:kern w:val="2"/>
                <w:sz w:val="24"/>
                <w:highlight w:val="none"/>
                <w:u w:val="none" w:color="auto"/>
                <w:lang w:val="en-US" w:eastAsia="zh-CN"/>
              </w:rPr>
              <w:t>GB18918-2002</w:t>
            </w:r>
            <w:r>
              <w:rPr>
                <w:rFonts w:hint="eastAsia" w:ascii="Times New Roman" w:hAnsi="Times New Roman" w:eastAsia="宋体" w:cs="Times New Roman"/>
                <w:color w:val="auto"/>
                <w:kern w:val="2"/>
                <w:sz w:val="24"/>
                <w:highlight w:val="none"/>
                <w:u w:val="none" w:color="auto"/>
                <w:lang w:val="en-US" w:eastAsia="zh-CN"/>
              </w:rPr>
              <w:t>）一级</w:t>
            </w:r>
            <w:r>
              <w:rPr>
                <w:rFonts w:hint="default" w:ascii="Times New Roman" w:hAnsi="Times New Roman" w:eastAsia="宋体" w:cs="Times New Roman"/>
                <w:color w:val="auto"/>
                <w:kern w:val="2"/>
                <w:sz w:val="24"/>
                <w:highlight w:val="none"/>
                <w:u w:val="none" w:color="auto"/>
                <w:lang w:val="en-US" w:eastAsia="zh-CN"/>
              </w:rPr>
              <w:t>A</w:t>
            </w:r>
            <w:r>
              <w:rPr>
                <w:rFonts w:hint="eastAsia" w:ascii="Times New Roman" w:hAnsi="Times New Roman" w:eastAsia="宋体" w:cs="Times New Roman"/>
                <w:color w:val="auto"/>
                <w:kern w:val="2"/>
                <w:sz w:val="24"/>
                <w:highlight w:val="none"/>
                <w:u w:val="none" w:color="auto"/>
                <w:lang w:val="en-US" w:eastAsia="zh-CN"/>
              </w:rPr>
              <w:t>标准要求，可以稳定达标排放。</w:t>
            </w:r>
          </w:p>
          <w:p w14:paraId="37DE931B">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kern w:val="2"/>
                <w:sz w:val="24"/>
                <w:highlight w:val="none"/>
                <w:u w:val="none" w:color="auto"/>
                <w:lang w:val="en-US" w:eastAsia="zh-CN"/>
              </w:rPr>
            </w:pPr>
            <w:r>
              <w:rPr>
                <w:rFonts w:hint="eastAsia" w:ascii="Times New Roman" w:hAnsi="Times New Roman" w:eastAsia="宋体" w:cs="Times New Roman"/>
                <w:color w:val="auto"/>
                <w:kern w:val="2"/>
                <w:sz w:val="24"/>
                <w:highlight w:val="none"/>
                <w:u w:val="none" w:color="auto"/>
                <w:lang w:val="en-US" w:eastAsia="zh-CN"/>
              </w:rPr>
              <w:t>②接管可行性分析</w:t>
            </w:r>
          </w:p>
          <w:p w14:paraId="288F4315">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kern w:val="2"/>
                <w:sz w:val="24"/>
                <w:highlight w:val="none"/>
                <w:u w:val="none" w:color="auto"/>
                <w:lang w:val="en-US" w:eastAsia="zh-CN"/>
              </w:rPr>
            </w:pPr>
            <w:r>
              <w:rPr>
                <w:rFonts w:hint="eastAsia" w:ascii="Times New Roman" w:hAnsi="Times New Roman" w:eastAsia="宋体" w:cs="Times New Roman"/>
                <w:color w:val="auto"/>
                <w:kern w:val="2"/>
                <w:sz w:val="24"/>
                <w:highlight w:val="none"/>
                <w:u w:val="none" w:color="auto"/>
                <w:lang w:val="en-US" w:eastAsia="zh-CN"/>
              </w:rPr>
              <w:t>本项目所在地属于铁力市城市污水处理厂（铁力市伊吉污水处理厂）收水范围之内，项目废水可以进入铁力市城市污水处理厂（铁力市伊吉污水处理厂）处理。目前，现有厂区污水管网已接入污水管网。待铁力经济开发区污水处理厂运营后，污水由铁力经济开发区污水处理厂接管，处理满足《城镇污水处理厂污染物排放标准》（GB18918-2002）一级A标准后，排入呼兰河。</w:t>
            </w:r>
          </w:p>
          <w:p w14:paraId="3723C3E5">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kern w:val="2"/>
                <w:sz w:val="24"/>
                <w:highlight w:val="none"/>
                <w:u w:val="none" w:color="auto"/>
                <w:lang w:val="en-US" w:eastAsia="zh-CN"/>
              </w:rPr>
            </w:pPr>
            <w:r>
              <w:rPr>
                <w:rFonts w:hint="eastAsia" w:ascii="Times New Roman" w:hAnsi="Times New Roman" w:eastAsia="宋体" w:cs="Times New Roman"/>
                <w:color w:val="auto"/>
                <w:kern w:val="2"/>
                <w:sz w:val="24"/>
                <w:highlight w:val="none"/>
                <w:u w:val="none" w:color="auto"/>
                <w:lang w:val="en-US" w:eastAsia="zh-CN"/>
              </w:rPr>
              <w:t>③水质</w:t>
            </w:r>
          </w:p>
          <w:p w14:paraId="3C000F79">
            <w:pPr>
              <w:pStyle w:val="53"/>
              <w:keepNext w:val="0"/>
              <w:keepLines w:val="0"/>
              <w:widowControl w:val="0"/>
              <w:suppressLineNumbers w:val="0"/>
              <w:autoSpaceDE w:val="0"/>
              <w:autoSpaceDN/>
              <w:snapToGrid w:val="0"/>
              <w:spacing w:before="0" w:beforeLines="0" w:beforeAutospacing="0" w:after="0" w:afterLines="0" w:afterAutospacing="0" w:line="360" w:lineRule="auto"/>
              <w:ind w:left="0" w:right="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本项目废水水质较简单，废水量1.667t/d，废水可达到《污水综合排放标准》（GB8978-1996）中三级标准的要求，</w:t>
            </w:r>
            <w:r>
              <w:rPr>
                <w:rFonts w:hint="eastAsia" w:ascii="宋体" w:hAnsi="宋体" w:eastAsia="宋体" w:cs="宋体"/>
                <w:color w:val="auto"/>
                <w:kern w:val="2"/>
                <w:sz w:val="24"/>
                <w:szCs w:val="24"/>
                <w:lang w:val="en-US" w:eastAsia="zh-CN" w:bidi="ar"/>
              </w:rPr>
              <w:t>排入污水处理厂</w:t>
            </w:r>
            <w:r>
              <w:rPr>
                <w:rFonts w:hint="eastAsia" w:cs="宋体"/>
                <w:color w:val="auto"/>
                <w:kern w:val="2"/>
                <w:sz w:val="24"/>
                <w:szCs w:val="24"/>
                <w:lang w:val="en-US" w:eastAsia="zh-CN" w:bidi="ar"/>
              </w:rPr>
              <w:t>做</w:t>
            </w:r>
            <w:r>
              <w:rPr>
                <w:rFonts w:hint="eastAsia" w:ascii="宋体" w:hAnsi="宋体" w:eastAsia="宋体" w:cs="宋体"/>
                <w:color w:val="auto"/>
                <w:kern w:val="2"/>
                <w:sz w:val="24"/>
                <w:szCs w:val="24"/>
                <w:lang w:val="en-US" w:eastAsia="zh-CN" w:bidi="ar"/>
              </w:rPr>
              <w:t>进一步处理。项目外排废水中主要污染物浓度满足铁力市城市污水处理厂（铁力市伊吉污水处理厂）进水浓度要求。本项目污水不会给铁力市城市污水处理厂（铁力市伊吉污水处理厂）造成负荷冲击。</w:t>
            </w:r>
          </w:p>
          <w:p w14:paraId="46A9B20D">
            <w:pPr>
              <w:pStyle w:val="53"/>
              <w:keepNext w:val="0"/>
              <w:keepLines w:val="0"/>
              <w:widowControl w:val="0"/>
              <w:suppressLineNumbers w:val="0"/>
              <w:autoSpaceDE w:val="0"/>
              <w:autoSpaceDN/>
              <w:snapToGrid w:val="0"/>
              <w:spacing w:before="0" w:beforeLines="0" w:beforeAutospacing="0" w:after="0" w:afterLines="0" w:afterAutospacing="0" w:line="360" w:lineRule="auto"/>
              <w:ind w:left="0" w:right="0" w:firstLine="480" w:firstLineChars="200"/>
              <w:jc w:val="both"/>
              <w:rPr>
                <w:rFonts w:hint="eastAsia" w:ascii="宋体" w:hAnsi="宋体" w:eastAsia="宋体" w:cs="宋体"/>
                <w:color w:val="auto"/>
                <w:kern w:val="2"/>
                <w:sz w:val="24"/>
                <w:szCs w:val="24"/>
              </w:rPr>
            </w:pPr>
            <w:r>
              <w:rPr>
                <w:rFonts w:hint="eastAsia" w:ascii="宋体" w:hAnsi="宋体" w:eastAsia="宋体" w:cs="宋体"/>
                <w:color w:val="auto"/>
                <w:kern w:val="2"/>
                <w:sz w:val="24"/>
                <w:szCs w:val="24"/>
                <w:lang w:val="en-US" w:eastAsia="zh-CN" w:bidi="ar"/>
              </w:rPr>
              <w:t>④水量</w:t>
            </w:r>
          </w:p>
          <w:p w14:paraId="43C2DE98">
            <w:pPr>
              <w:pStyle w:val="53"/>
              <w:keepNext w:val="0"/>
              <w:keepLines w:val="0"/>
              <w:widowControl w:val="0"/>
              <w:suppressLineNumbers w:val="0"/>
              <w:autoSpaceDE w:val="0"/>
              <w:autoSpaceDN/>
              <w:snapToGrid w:val="0"/>
              <w:spacing w:before="0" w:beforeLines="0" w:beforeAutospacing="0" w:after="0" w:afterLines="0" w:afterAutospacing="0" w:line="360" w:lineRule="auto"/>
              <w:ind w:left="0" w:right="0" w:firstLine="480" w:firstLineChars="200"/>
              <w:jc w:val="both"/>
              <w:rPr>
                <w:rFonts w:hint="default" w:ascii="Times New Roman" w:hAnsi="Times New Roman" w:eastAsia="宋体" w:cs="Times New Roman"/>
                <w:color w:val="auto"/>
                <w:kern w:val="2"/>
                <w:sz w:val="24"/>
                <w:szCs w:val="24"/>
              </w:rPr>
            </w:pPr>
            <w:r>
              <w:rPr>
                <w:rFonts w:hint="eastAsia" w:ascii="宋体" w:hAnsi="宋体" w:eastAsia="宋体" w:cs="宋体"/>
                <w:color w:val="auto"/>
                <w:kern w:val="2"/>
                <w:sz w:val="24"/>
                <w:szCs w:val="24"/>
                <w:lang w:val="en-US" w:eastAsia="zh-CN" w:bidi="ar"/>
              </w:rPr>
              <w:t>本项目废水排放量为</w:t>
            </w:r>
            <w:r>
              <w:rPr>
                <w:rFonts w:hint="eastAsia" w:ascii="Times New Roman" w:hAnsi="Times New Roman" w:eastAsia="宋体" w:cs="Times New Roman"/>
                <w:color w:val="auto"/>
                <w:kern w:val="2"/>
                <w:sz w:val="24"/>
                <w:szCs w:val="24"/>
                <w:lang w:val="en-US" w:eastAsia="zh-CN" w:bidi="ar"/>
              </w:rPr>
              <w:t>1.667</w:t>
            </w:r>
            <w:r>
              <w:rPr>
                <w:rFonts w:hint="default" w:ascii="Times New Roman" w:hAnsi="Times New Roman" w:eastAsia="宋体" w:cs="Times New Roman"/>
                <w:color w:val="auto"/>
                <w:kern w:val="2"/>
                <w:sz w:val="24"/>
                <w:szCs w:val="24"/>
                <w:lang w:val="en-US" w:eastAsia="zh-CN" w:bidi="ar"/>
              </w:rPr>
              <w:t>t/d</w:t>
            </w:r>
            <w:r>
              <w:rPr>
                <w:rFonts w:hint="eastAsia" w:ascii="宋体" w:hAnsi="宋体" w:eastAsia="宋体" w:cs="宋体"/>
                <w:color w:val="auto"/>
                <w:kern w:val="2"/>
                <w:sz w:val="24"/>
                <w:szCs w:val="24"/>
                <w:lang w:val="en-US" w:eastAsia="zh-CN" w:bidi="ar"/>
              </w:rPr>
              <w:t>，远小于铁力市城市污水处理厂（铁力市伊吉污水处理厂）剩余处理水量。铁力市城市污水处理厂（铁力市伊吉污水处理厂）运行稳定，不会对其造成冲击。</w:t>
            </w:r>
          </w:p>
          <w:p w14:paraId="12CEF817">
            <w:pPr>
              <w:pStyle w:val="53"/>
              <w:keepNext w:val="0"/>
              <w:keepLines w:val="0"/>
              <w:widowControl w:val="0"/>
              <w:suppressLineNumbers w:val="0"/>
              <w:autoSpaceDE w:val="0"/>
              <w:autoSpaceDN/>
              <w:snapToGrid w:val="0"/>
              <w:spacing w:before="0" w:beforeLines="0" w:beforeAutospacing="0" w:after="0" w:afterLines="0" w:afterAutospacing="0" w:line="360" w:lineRule="auto"/>
              <w:ind w:left="0" w:right="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综上所述，本项目所排污水经铁力市城市污水处理厂（铁力市伊吉污水处理厂）进一步处理的方案是可行的。项目废水主要污染物浓度达到《污水综合排放标准》（GB8978-1996）中三级标准的要求，同时满足污水处理厂接管标准。</w:t>
            </w:r>
          </w:p>
          <w:p w14:paraId="4B132D6A">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highlight w:val="none"/>
                <w:u w:val="none" w:color="auto"/>
                <w:lang w:val="en-US" w:eastAsia="zh-CN"/>
              </w:rPr>
            </w:pPr>
            <w:r>
              <w:rPr>
                <w:rFonts w:hint="eastAsia" w:ascii="Times New Roman" w:hAnsi="Times New Roman" w:eastAsia="宋体" w:cs="Times New Roman"/>
                <w:color w:val="auto"/>
                <w:kern w:val="2"/>
                <w:sz w:val="24"/>
                <w:highlight w:val="none"/>
                <w:u w:val="none" w:color="auto"/>
                <w:lang w:val="en-US" w:eastAsia="zh-CN"/>
              </w:rPr>
              <w:t>（3）环境监测</w:t>
            </w:r>
          </w:p>
          <w:p w14:paraId="27CDED8D">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kern w:val="2"/>
                <w:sz w:val="24"/>
                <w:highlight w:val="none"/>
                <w:u w:val="none" w:color="auto"/>
                <w:lang w:val="en-US" w:eastAsia="zh-CN"/>
              </w:rPr>
            </w:pPr>
            <w:r>
              <w:rPr>
                <w:rFonts w:hint="eastAsia" w:ascii="Times New Roman" w:hAnsi="Times New Roman" w:eastAsia="宋体" w:cs="Times New Roman"/>
                <w:color w:val="auto"/>
                <w:kern w:val="2"/>
                <w:sz w:val="24"/>
                <w:highlight w:val="none"/>
                <w:u w:val="none" w:color="auto"/>
                <w:lang w:val="en-US" w:eastAsia="zh-CN"/>
              </w:rPr>
              <w:t>本项目废水排放口仅为生活污水排放口。由于项目生产废水不外排，</w:t>
            </w:r>
            <w:r>
              <w:rPr>
                <w:rFonts w:hint="eastAsia" w:ascii="Times New Roman" w:hAnsi="Times New Roman" w:cs="Times New Roman"/>
                <w:color w:val="auto"/>
                <w:kern w:val="2"/>
                <w:sz w:val="24"/>
                <w:highlight w:val="none"/>
                <w:u w:val="none" w:color="auto"/>
                <w:lang w:val="en-US" w:eastAsia="zh-CN"/>
              </w:rPr>
              <w:t>根据</w:t>
            </w:r>
            <w:r>
              <w:rPr>
                <w:rFonts w:hint="eastAsia" w:ascii="Times New Roman" w:hAnsi="Times New Roman" w:eastAsia="宋体" w:cs="Times New Roman"/>
                <w:color w:val="auto"/>
                <w:kern w:val="2"/>
                <w:sz w:val="24"/>
                <w:highlight w:val="none"/>
                <w:u w:val="none" w:color="auto"/>
                <w:lang w:val="en-US" w:eastAsia="zh-CN"/>
              </w:rPr>
              <w:t>《排污许可证申请与核发技术规范 金属铸造工业》和《排污单位自行监测技术指南 总则》（HJ819-2017），本项目无需开展废水自行监测。</w:t>
            </w:r>
          </w:p>
          <w:p w14:paraId="667448E4">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highlight w:val="none"/>
                <w:u w:val="none" w:color="auto"/>
                <w:lang w:val="en-US" w:eastAsia="zh-CN"/>
              </w:rPr>
            </w:pPr>
            <w:r>
              <w:rPr>
                <w:rFonts w:hint="default" w:ascii="Times New Roman" w:hAnsi="Times New Roman" w:eastAsia="宋体" w:cs="Times New Roman"/>
                <w:color w:val="auto"/>
                <w:kern w:val="2"/>
                <w:sz w:val="24"/>
                <w:highlight w:val="none"/>
                <w:u w:val="none" w:color="auto"/>
                <w:lang w:val="en-US" w:eastAsia="zh-CN"/>
              </w:rPr>
              <w:t>综上所述，项目采取上述废水污染防治措施后，项目废水排放对周边环境无明显不利影响，环境影响可以接受。</w:t>
            </w:r>
          </w:p>
          <w:p w14:paraId="65BEEBA9">
            <w:pPr>
              <w:keepNext w:val="0"/>
              <w:keepLines w:val="0"/>
              <w:pageBreakBefore w:val="0"/>
              <w:widowControl w:val="0"/>
              <w:suppressLineNumbers w:val="0"/>
              <w:kinsoku/>
              <w:wordWrap w:val="0"/>
              <w:overflowPunct/>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highlight w:val="none"/>
                <w:u w:val="none" w:color="auto"/>
                <w:lang w:val="en-US" w:eastAsia="zh-CN"/>
              </w:rPr>
            </w:pPr>
            <w:r>
              <w:rPr>
                <w:rFonts w:hint="eastAsia" w:ascii="Times New Roman" w:hAnsi="Times New Roman" w:cs="Times New Roman"/>
                <w:color w:val="auto"/>
                <w:kern w:val="2"/>
                <w:sz w:val="24"/>
                <w:highlight w:val="none"/>
                <w:u w:val="none" w:color="auto"/>
                <w:lang w:val="en-US" w:eastAsia="zh-CN"/>
              </w:rPr>
              <w:t>（4）本项目所有生产环节、原辅料库、产品装卸均在封闭厂房内，本项目采取了严格的废气治理措施，因此不存在雨水受污染的环节，同时《排污许可证申请与核发技术规范 金属铸造工业》（HJ1115-2020）未对初期雨水提出管控要求，因此本项目不对初期雨水进行收集。</w:t>
            </w:r>
          </w:p>
          <w:p w14:paraId="66406EC2">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3</w:t>
            </w:r>
            <w:r>
              <w:rPr>
                <w:rFonts w:hint="eastAsia" w:ascii="Times New Roman" w:hAnsi="Times New Roman"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lang w:val="en-US" w:eastAsia="zh-CN"/>
              </w:rPr>
              <w:t>声环境影响分析</w:t>
            </w:r>
          </w:p>
          <w:p w14:paraId="3925E981">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3.1噪声源强分析</w:t>
            </w:r>
          </w:p>
          <w:p w14:paraId="37649F14">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4"/>
                <w:u w:val="none" w:color="auto"/>
              </w:rPr>
              <w:t>项目噪声主要来源于生产设备运行时产生的噪声，</w:t>
            </w:r>
            <w:r>
              <w:rPr>
                <w:rFonts w:hint="default" w:ascii="Times New Roman" w:hAnsi="Times New Roman" w:cs="Times New Roman"/>
                <w:color w:val="auto"/>
                <w:kern w:val="2"/>
                <w:sz w:val="24"/>
                <w:u w:val="none" w:color="auto"/>
                <w:lang w:val="en-US" w:eastAsia="zh-CN"/>
              </w:rPr>
              <w:t>根据《环境噪声与振动控制工程技术导则》（HJ2034-2013）附录A中的资料，同时结合类比调查，确定项目噪声源强</w:t>
            </w:r>
            <w:r>
              <w:rPr>
                <w:rFonts w:hint="eastAsia" w:ascii="Times New Roman" w:hAnsi="Times New Roman" w:cs="Times New Roman"/>
                <w:color w:val="auto"/>
                <w:kern w:val="2"/>
                <w:sz w:val="24"/>
                <w:u w:val="none" w:color="auto"/>
                <w:lang w:val="en-US" w:eastAsia="zh-CN"/>
              </w:rPr>
              <w:t>，</w:t>
            </w:r>
            <w:r>
              <w:rPr>
                <w:rFonts w:hint="default" w:ascii="Times New Roman" w:hAnsi="Times New Roman" w:cs="Times New Roman"/>
                <w:color w:val="auto"/>
                <w:kern w:val="2"/>
                <w:sz w:val="24"/>
                <w:u w:val="none" w:color="auto"/>
              </w:rPr>
              <w:t>其噪声值在</w:t>
            </w:r>
            <w:r>
              <w:rPr>
                <w:rFonts w:hint="eastAsia" w:ascii="Times New Roman" w:hAnsi="Times New Roman" w:cs="Times New Roman"/>
                <w:color w:val="auto"/>
                <w:kern w:val="2"/>
                <w:sz w:val="24"/>
                <w:u w:val="none" w:color="auto"/>
                <w:lang w:val="en-US" w:eastAsia="zh-CN"/>
              </w:rPr>
              <w:t>70</w:t>
            </w:r>
            <w:r>
              <w:rPr>
                <w:rFonts w:hint="default" w:ascii="Times New Roman" w:hAnsi="Times New Roman" w:cs="Times New Roman"/>
                <w:color w:val="auto"/>
                <w:kern w:val="2"/>
                <w:sz w:val="24"/>
                <w:u w:val="none" w:color="auto"/>
              </w:rPr>
              <w:t>~</w:t>
            </w:r>
            <w:r>
              <w:rPr>
                <w:rFonts w:hint="eastAsia" w:ascii="Times New Roman" w:hAnsi="Times New Roman" w:cs="Times New Roman"/>
                <w:color w:val="auto"/>
                <w:kern w:val="2"/>
                <w:sz w:val="24"/>
                <w:u w:val="none" w:color="auto"/>
                <w:lang w:val="en-US" w:eastAsia="zh-CN"/>
              </w:rPr>
              <w:t>9</w:t>
            </w:r>
            <w:r>
              <w:rPr>
                <w:rFonts w:hint="default" w:ascii="Times New Roman" w:hAnsi="Times New Roman" w:eastAsia="宋体" w:cs="Times New Roman"/>
                <w:color w:val="auto"/>
                <w:kern w:val="2"/>
                <w:sz w:val="24"/>
                <w:u w:val="none" w:color="auto"/>
                <w:lang w:val="en-US" w:eastAsia="zh-CN"/>
              </w:rPr>
              <w:t>5</w:t>
            </w:r>
            <w:r>
              <w:rPr>
                <w:rFonts w:hint="default" w:ascii="Times New Roman" w:hAnsi="Times New Roman" w:cs="Times New Roman"/>
                <w:color w:val="auto"/>
                <w:kern w:val="2"/>
                <w:sz w:val="24"/>
                <w:u w:val="none" w:color="auto"/>
              </w:rPr>
              <w:t>dB（A）之间，生产设备均位于室内。各噪声源源强见下表</w:t>
            </w:r>
            <w:r>
              <w:rPr>
                <w:rFonts w:hint="default" w:ascii="Times New Roman" w:hAnsi="Times New Roman" w:cs="Times New Roman"/>
                <w:b/>
                <w:color w:val="auto"/>
                <w:kern w:val="2"/>
                <w:sz w:val="21"/>
                <w:szCs w:val="21"/>
                <w:u w:val="none" w:color="auto"/>
              </w:rPr>
              <w:t>4-</w:t>
            </w:r>
            <w:r>
              <w:rPr>
                <w:rFonts w:hint="default" w:ascii="Times New Roman" w:hAnsi="Times New Roman" w:eastAsia="宋体" w:cs="Times New Roman"/>
                <w:b/>
                <w:color w:val="auto"/>
                <w:kern w:val="2"/>
                <w:sz w:val="21"/>
                <w:szCs w:val="21"/>
                <w:u w:val="none" w:color="auto"/>
                <w:lang w:val="en-US" w:eastAsia="zh-CN"/>
              </w:rPr>
              <w:t>1</w:t>
            </w:r>
            <w:r>
              <w:rPr>
                <w:rFonts w:hint="eastAsia" w:ascii="Times New Roman" w:hAnsi="Times New Roman" w:cs="Times New Roman"/>
                <w:b/>
                <w:color w:val="auto"/>
                <w:kern w:val="2"/>
                <w:sz w:val="21"/>
                <w:szCs w:val="21"/>
                <w:u w:val="none" w:color="auto"/>
                <w:lang w:val="en-US" w:eastAsia="zh-CN"/>
              </w:rPr>
              <w:t>8</w:t>
            </w:r>
            <w:r>
              <w:rPr>
                <w:rFonts w:hint="default" w:ascii="Times New Roman" w:hAnsi="Times New Roman" w:cs="Times New Roman"/>
                <w:color w:val="auto"/>
                <w:kern w:val="2"/>
                <w:sz w:val="24"/>
                <w:u w:val="none" w:color="auto"/>
              </w:rPr>
              <w:t>。</w:t>
            </w:r>
          </w:p>
          <w:p w14:paraId="6B57787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kern w:val="2"/>
                <w:sz w:val="21"/>
                <w:szCs w:val="21"/>
                <w:u w:val="none" w:color="auto"/>
              </w:rPr>
            </w:pPr>
            <w:r>
              <w:rPr>
                <w:rFonts w:hint="default" w:ascii="Times New Roman" w:hAnsi="Times New Roman" w:cs="Times New Roman"/>
                <w:b/>
                <w:color w:val="auto"/>
                <w:kern w:val="2"/>
                <w:sz w:val="21"/>
                <w:szCs w:val="21"/>
                <w:u w:val="none" w:color="auto"/>
              </w:rPr>
              <w:t>表4-</w:t>
            </w:r>
            <w:r>
              <w:rPr>
                <w:rFonts w:hint="default" w:ascii="Times New Roman" w:hAnsi="Times New Roman" w:eastAsia="宋体" w:cs="Times New Roman"/>
                <w:b/>
                <w:color w:val="auto"/>
                <w:kern w:val="2"/>
                <w:sz w:val="21"/>
                <w:szCs w:val="21"/>
                <w:u w:val="none" w:color="auto"/>
                <w:lang w:val="en-US" w:eastAsia="zh-CN"/>
              </w:rPr>
              <w:t>1</w:t>
            </w:r>
            <w:r>
              <w:rPr>
                <w:rFonts w:hint="eastAsia" w:ascii="Times New Roman" w:hAnsi="Times New Roman" w:cs="Times New Roman"/>
                <w:b/>
                <w:color w:val="auto"/>
                <w:kern w:val="2"/>
                <w:sz w:val="21"/>
                <w:szCs w:val="21"/>
                <w:u w:val="none" w:color="auto"/>
                <w:lang w:val="en-US" w:eastAsia="zh-CN"/>
              </w:rPr>
              <w:t>8</w:t>
            </w:r>
            <w:r>
              <w:rPr>
                <w:rFonts w:hint="default" w:ascii="Times New Roman" w:hAnsi="Times New Roman" w:eastAsia="宋体" w:cs="Times New Roman"/>
                <w:b/>
                <w:color w:val="auto"/>
                <w:kern w:val="2"/>
                <w:sz w:val="21"/>
                <w:szCs w:val="21"/>
                <w:u w:val="none" w:color="auto"/>
                <w:lang w:val="en-US" w:eastAsia="zh-CN"/>
              </w:rPr>
              <w:t xml:space="preserve"> </w:t>
            </w:r>
            <w:r>
              <w:rPr>
                <w:rFonts w:hint="default" w:ascii="Times New Roman" w:hAnsi="Times New Roman" w:cs="Times New Roman"/>
                <w:b/>
                <w:color w:val="auto"/>
                <w:kern w:val="2"/>
                <w:sz w:val="21"/>
                <w:szCs w:val="21"/>
                <w:u w:val="none" w:color="auto"/>
              </w:rPr>
              <w:t>本项目主要噪声源排放特征及防治措施一览表</w:t>
            </w:r>
          </w:p>
          <w:tbl>
            <w:tblPr>
              <w:tblStyle w:val="56"/>
              <w:tblW w:w="4975" w:type="pct"/>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380"/>
              <w:gridCol w:w="380"/>
              <w:gridCol w:w="381"/>
              <w:gridCol w:w="579"/>
              <w:gridCol w:w="578"/>
              <w:gridCol w:w="579"/>
              <w:gridCol w:w="379"/>
              <w:gridCol w:w="434"/>
              <w:gridCol w:w="361"/>
              <w:gridCol w:w="416"/>
              <w:gridCol w:w="741"/>
              <w:gridCol w:w="777"/>
              <w:gridCol w:w="331"/>
              <w:gridCol w:w="573"/>
              <w:gridCol w:w="759"/>
              <w:gridCol w:w="593"/>
            </w:tblGrid>
            <w:tr w14:paraId="2644072C">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restart"/>
                  <w:tcBorders>
                    <w:tl2br w:val="nil"/>
                    <w:tr2bl w:val="nil"/>
                  </w:tcBorders>
                  <w:noWrap w:val="0"/>
                  <w:vAlign w:val="center"/>
                </w:tcPr>
                <w:p w14:paraId="1CA81263">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序</w:t>
                  </w:r>
                </w:p>
                <w:p w14:paraId="47BBBA73">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号</w:t>
                  </w:r>
                </w:p>
              </w:tc>
              <w:tc>
                <w:tcPr>
                  <w:tcW w:w="230" w:type="pct"/>
                  <w:vMerge w:val="restart"/>
                  <w:tcBorders>
                    <w:tl2br w:val="nil"/>
                    <w:tr2bl w:val="nil"/>
                  </w:tcBorders>
                  <w:noWrap w:val="0"/>
                  <w:vAlign w:val="center"/>
                </w:tcPr>
                <w:p w14:paraId="75B53854">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建筑物</w:t>
                  </w:r>
                </w:p>
                <w:p w14:paraId="5919068B">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名称</w:t>
                  </w:r>
                </w:p>
              </w:tc>
              <w:tc>
                <w:tcPr>
                  <w:tcW w:w="231" w:type="pct"/>
                  <w:vMerge w:val="restart"/>
                  <w:tcBorders>
                    <w:tl2br w:val="nil"/>
                    <w:tr2bl w:val="nil"/>
                  </w:tcBorders>
                  <w:noWrap w:val="0"/>
                  <w:vAlign w:val="center"/>
                </w:tcPr>
                <w:p w14:paraId="08ADCD21">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声源名</w:t>
                  </w:r>
                </w:p>
                <w:p w14:paraId="69BF53A7">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称</w:t>
                  </w:r>
                </w:p>
              </w:tc>
              <w:tc>
                <w:tcPr>
                  <w:tcW w:w="351" w:type="pct"/>
                  <w:vMerge w:val="restart"/>
                  <w:tcBorders>
                    <w:tl2br w:val="nil"/>
                    <w:tr2bl w:val="nil"/>
                  </w:tcBorders>
                  <w:noWrap w:val="0"/>
                  <w:vAlign w:val="center"/>
                </w:tcPr>
                <w:p w14:paraId="64B8557E">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0"/>
                      <w:sz w:val="21"/>
                      <w:szCs w:val="21"/>
                      <w:u w:val="none" w:color="auto"/>
                      <w:lang w:val="en-US" w:eastAsia="zh-CN" w:bidi="ar"/>
                    </w:rPr>
                  </w:pPr>
                  <w:r>
                    <w:rPr>
                      <w:rFonts w:hint="eastAsia" w:ascii="Times New Roman" w:hAnsi="Times New Roman" w:cs="Times New Roman"/>
                      <w:b/>
                      <w:bCs/>
                      <w:color w:val="auto"/>
                      <w:kern w:val="0"/>
                      <w:sz w:val="21"/>
                      <w:szCs w:val="21"/>
                      <w:u w:val="none" w:color="auto"/>
                      <w:lang w:val="en-US" w:eastAsia="zh-CN" w:bidi="ar"/>
                    </w:rPr>
                    <w:t>设备型号</w:t>
                  </w:r>
                </w:p>
              </w:tc>
              <w:tc>
                <w:tcPr>
                  <w:tcW w:w="350" w:type="pct"/>
                  <w:vMerge w:val="restart"/>
                  <w:tcBorders>
                    <w:tl2br w:val="nil"/>
                    <w:tr2bl w:val="nil"/>
                  </w:tcBorders>
                  <w:noWrap w:val="0"/>
                  <w:vAlign w:val="center"/>
                </w:tcPr>
                <w:p w14:paraId="13A4CEF1">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声功率级</w:t>
                  </w:r>
                </w:p>
                <w:p w14:paraId="18842463">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/dB(A)</w:t>
                  </w:r>
                </w:p>
              </w:tc>
              <w:tc>
                <w:tcPr>
                  <w:tcW w:w="351" w:type="pct"/>
                  <w:vMerge w:val="restart"/>
                  <w:tcBorders>
                    <w:tl2br w:val="nil"/>
                    <w:tr2bl w:val="nil"/>
                  </w:tcBorders>
                  <w:noWrap w:val="0"/>
                  <w:vAlign w:val="center"/>
                </w:tcPr>
                <w:p w14:paraId="4E24A6E6">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声源控</w:t>
                  </w:r>
                </w:p>
                <w:p w14:paraId="41B5D5F4">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cs="Times New Roman"/>
                      <w:b/>
                      <w:bCs/>
                      <w:color w:val="auto"/>
                      <w:kern w:val="0"/>
                      <w:sz w:val="21"/>
                      <w:szCs w:val="21"/>
                      <w:u w:val="none" w:color="auto"/>
                      <w:lang w:bidi="ar"/>
                    </w:rPr>
                    <w:t>制措施</w:t>
                  </w:r>
                </w:p>
              </w:tc>
              <w:tc>
                <w:tcPr>
                  <w:tcW w:w="712" w:type="pct"/>
                  <w:gridSpan w:val="3"/>
                  <w:tcBorders>
                    <w:tl2br w:val="nil"/>
                    <w:tr2bl w:val="nil"/>
                  </w:tcBorders>
                  <w:noWrap w:val="0"/>
                  <w:vAlign w:val="center"/>
                </w:tcPr>
                <w:p w14:paraId="0EF73015">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空间相对位置/m</w:t>
                  </w:r>
                </w:p>
              </w:tc>
              <w:tc>
                <w:tcPr>
                  <w:tcW w:w="701" w:type="pct"/>
                  <w:gridSpan w:val="2"/>
                  <w:vMerge w:val="restart"/>
                  <w:tcBorders>
                    <w:tl2br w:val="nil"/>
                    <w:tr2bl w:val="nil"/>
                  </w:tcBorders>
                  <w:noWrap w:val="0"/>
                  <w:vAlign w:val="center"/>
                </w:tcPr>
                <w:p w14:paraId="6EC2FD6A">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距室内边</w:t>
                  </w:r>
                </w:p>
                <w:p w14:paraId="1CC9F7C2">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界距离/m</w:t>
                  </w:r>
                </w:p>
              </w:tc>
              <w:tc>
                <w:tcPr>
                  <w:tcW w:w="471" w:type="pct"/>
                  <w:vMerge w:val="restart"/>
                  <w:tcBorders>
                    <w:tl2br w:val="nil"/>
                    <w:tr2bl w:val="nil"/>
                  </w:tcBorders>
                  <w:noWrap w:val="0"/>
                  <w:vAlign w:val="center"/>
                </w:tcPr>
                <w:p w14:paraId="0794518E">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室内边界</w:t>
                  </w:r>
                </w:p>
                <w:p w14:paraId="639B7162">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声级</w:t>
                  </w:r>
                </w:p>
                <w:p w14:paraId="41C5CD5E">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/dB(A)</w:t>
                  </w:r>
                </w:p>
              </w:tc>
              <w:tc>
                <w:tcPr>
                  <w:tcW w:w="200" w:type="pct"/>
                  <w:vMerge w:val="restart"/>
                  <w:tcBorders>
                    <w:tl2br w:val="nil"/>
                    <w:tr2bl w:val="nil"/>
                  </w:tcBorders>
                  <w:noWrap w:val="0"/>
                  <w:vAlign w:val="center"/>
                </w:tcPr>
                <w:p w14:paraId="4AFF459E">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运行时</w:t>
                  </w:r>
                </w:p>
                <w:p w14:paraId="18EDC460">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段</w:t>
                  </w:r>
                </w:p>
              </w:tc>
              <w:tc>
                <w:tcPr>
                  <w:tcW w:w="347" w:type="pct"/>
                  <w:vMerge w:val="restart"/>
                  <w:tcBorders>
                    <w:tl2br w:val="nil"/>
                    <w:tr2bl w:val="nil"/>
                  </w:tcBorders>
                  <w:noWrap w:val="0"/>
                  <w:vAlign w:val="center"/>
                </w:tcPr>
                <w:p w14:paraId="418DBEA1">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建筑物插入损</w:t>
                  </w:r>
                </w:p>
                <w:p w14:paraId="2DBC746B">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失/</w:t>
                  </w:r>
                </w:p>
                <w:p w14:paraId="081D5438">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dB(A)</w:t>
                  </w:r>
                </w:p>
              </w:tc>
              <w:tc>
                <w:tcPr>
                  <w:tcW w:w="820" w:type="pct"/>
                  <w:gridSpan w:val="2"/>
                  <w:tcBorders>
                    <w:tl2br w:val="nil"/>
                    <w:tr2bl w:val="nil"/>
                  </w:tcBorders>
                  <w:noWrap w:val="0"/>
                  <w:vAlign w:val="center"/>
                </w:tcPr>
                <w:p w14:paraId="25782FB7">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建筑物外噪声</w:t>
                  </w:r>
                </w:p>
              </w:tc>
            </w:tr>
            <w:tr w14:paraId="2727664C">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54BE3A4F">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u w:val="none" w:color="auto"/>
                      <w:lang w:val="en-US" w:eastAsia="zh-CN" w:bidi="ar-SA"/>
                    </w:rPr>
                  </w:pPr>
                </w:p>
              </w:tc>
              <w:tc>
                <w:tcPr>
                  <w:tcW w:w="230" w:type="pct"/>
                  <w:vMerge w:val="continue"/>
                  <w:tcBorders>
                    <w:tl2br w:val="nil"/>
                    <w:tr2bl w:val="nil"/>
                  </w:tcBorders>
                  <w:noWrap w:val="0"/>
                  <w:vAlign w:val="center"/>
                </w:tcPr>
                <w:p w14:paraId="356C19A2">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u w:val="none" w:color="auto"/>
                      <w:lang w:val="en-US" w:eastAsia="zh-CN" w:bidi="ar-SA"/>
                    </w:rPr>
                  </w:pPr>
                </w:p>
              </w:tc>
              <w:tc>
                <w:tcPr>
                  <w:tcW w:w="231" w:type="pct"/>
                  <w:vMerge w:val="continue"/>
                  <w:tcBorders>
                    <w:tl2br w:val="nil"/>
                    <w:tr2bl w:val="nil"/>
                  </w:tcBorders>
                  <w:noWrap w:val="0"/>
                  <w:vAlign w:val="center"/>
                </w:tcPr>
                <w:p w14:paraId="12700CD5">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u w:val="none" w:color="auto"/>
                      <w:lang w:val="en-US" w:eastAsia="zh-CN" w:bidi="ar-SA"/>
                    </w:rPr>
                  </w:pPr>
                </w:p>
              </w:tc>
              <w:tc>
                <w:tcPr>
                  <w:tcW w:w="351" w:type="pct"/>
                  <w:vMerge w:val="continue"/>
                  <w:tcBorders>
                    <w:tl2br w:val="nil"/>
                    <w:tr2bl w:val="nil"/>
                  </w:tcBorders>
                  <w:noWrap w:val="0"/>
                  <w:vAlign w:val="center"/>
                </w:tcPr>
                <w:p w14:paraId="01EBFD78">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u w:val="none" w:color="auto"/>
                      <w:lang w:val="en-US" w:eastAsia="zh-CN" w:bidi="ar-SA"/>
                    </w:rPr>
                  </w:pPr>
                </w:p>
              </w:tc>
              <w:tc>
                <w:tcPr>
                  <w:tcW w:w="350" w:type="pct"/>
                  <w:vMerge w:val="continue"/>
                  <w:tcBorders>
                    <w:tl2br w:val="nil"/>
                    <w:tr2bl w:val="nil"/>
                  </w:tcBorders>
                  <w:noWrap w:val="0"/>
                  <w:vAlign w:val="center"/>
                </w:tcPr>
                <w:p w14:paraId="3B6BBCA3">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u w:val="none" w:color="auto"/>
                      <w:lang w:val="en-US" w:eastAsia="zh-CN" w:bidi="ar-SA"/>
                    </w:rPr>
                  </w:pPr>
                </w:p>
              </w:tc>
              <w:tc>
                <w:tcPr>
                  <w:tcW w:w="351" w:type="pct"/>
                  <w:vMerge w:val="continue"/>
                  <w:tcBorders>
                    <w:tl2br w:val="nil"/>
                    <w:tr2bl w:val="nil"/>
                  </w:tcBorders>
                  <w:noWrap w:val="0"/>
                  <w:vAlign w:val="center"/>
                </w:tcPr>
                <w:p w14:paraId="68C82B4C">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u w:val="none" w:color="auto"/>
                      <w:lang w:val="en-US" w:eastAsia="zh-CN" w:bidi="ar-SA"/>
                    </w:rPr>
                  </w:pPr>
                </w:p>
              </w:tc>
              <w:tc>
                <w:tcPr>
                  <w:tcW w:w="229" w:type="pct"/>
                  <w:tcBorders>
                    <w:tl2br w:val="nil"/>
                    <w:tr2bl w:val="nil"/>
                  </w:tcBorders>
                  <w:noWrap w:val="0"/>
                  <w:vAlign w:val="center"/>
                </w:tcPr>
                <w:p w14:paraId="34D80195">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b/>
                      <w:bCs/>
                      <w:color w:val="auto"/>
                      <w:kern w:val="2"/>
                      <w:sz w:val="21"/>
                      <w:szCs w:val="21"/>
                      <w:u w:val="none" w:color="auto"/>
                      <w:lang w:val="en-US" w:eastAsia="zh-CN" w:bidi="ar-SA"/>
                    </w:rPr>
                    <w:t>X</w:t>
                  </w:r>
                </w:p>
              </w:tc>
              <w:tc>
                <w:tcPr>
                  <w:tcW w:w="263" w:type="pct"/>
                  <w:tcBorders>
                    <w:tl2br w:val="nil"/>
                    <w:tr2bl w:val="nil"/>
                  </w:tcBorders>
                  <w:noWrap w:val="0"/>
                  <w:vAlign w:val="center"/>
                </w:tcPr>
                <w:p w14:paraId="0512AC39">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b/>
                      <w:bCs/>
                      <w:color w:val="auto"/>
                      <w:kern w:val="2"/>
                      <w:sz w:val="21"/>
                      <w:szCs w:val="21"/>
                      <w:u w:val="none" w:color="auto"/>
                      <w:lang w:val="en-US" w:eastAsia="zh-CN" w:bidi="ar-SA"/>
                    </w:rPr>
                    <w:t>Y</w:t>
                  </w:r>
                </w:p>
              </w:tc>
              <w:tc>
                <w:tcPr>
                  <w:tcW w:w="219" w:type="pct"/>
                  <w:tcBorders>
                    <w:tl2br w:val="nil"/>
                    <w:tr2bl w:val="nil"/>
                  </w:tcBorders>
                  <w:noWrap w:val="0"/>
                  <w:vAlign w:val="center"/>
                </w:tcPr>
                <w:p w14:paraId="199EAEBB">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b/>
                      <w:bCs/>
                      <w:color w:val="auto"/>
                      <w:kern w:val="2"/>
                      <w:sz w:val="21"/>
                      <w:szCs w:val="21"/>
                      <w:u w:val="none" w:color="auto"/>
                      <w:lang w:val="en-US" w:eastAsia="zh-CN" w:bidi="ar-SA"/>
                    </w:rPr>
                    <w:t>Z</w:t>
                  </w:r>
                </w:p>
              </w:tc>
              <w:tc>
                <w:tcPr>
                  <w:tcW w:w="701" w:type="pct"/>
                  <w:gridSpan w:val="2"/>
                  <w:vMerge w:val="continue"/>
                  <w:tcBorders>
                    <w:tl2br w:val="nil"/>
                    <w:tr2bl w:val="nil"/>
                  </w:tcBorders>
                  <w:noWrap w:val="0"/>
                  <w:vAlign w:val="center"/>
                </w:tcPr>
                <w:p w14:paraId="474587CB">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u w:val="none" w:color="auto"/>
                      <w:lang w:val="en-US" w:eastAsia="zh-CN" w:bidi="ar-SA"/>
                    </w:rPr>
                  </w:pPr>
                </w:p>
              </w:tc>
              <w:tc>
                <w:tcPr>
                  <w:tcW w:w="471" w:type="pct"/>
                  <w:vMerge w:val="continue"/>
                  <w:tcBorders>
                    <w:tl2br w:val="nil"/>
                    <w:tr2bl w:val="nil"/>
                  </w:tcBorders>
                  <w:noWrap w:val="0"/>
                  <w:vAlign w:val="center"/>
                </w:tcPr>
                <w:p w14:paraId="357A6D2F">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u w:val="none" w:color="auto"/>
                      <w:lang w:val="en-US" w:eastAsia="zh-CN" w:bidi="ar-SA"/>
                    </w:rPr>
                  </w:pPr>
                </w:p>
              </w:tc>
              <w:tc>
                <w:tcPr>
                  <w:tcW w:w="200" w:type="pct"/>
                  <w:vMerge w:val="continue"/>
                  <w:tcBorders>
                    <w:tl2br w:val="nil"/>
                    <w:tr2bl w:val="nil"/>
                  </w:tcBorders>
                  <w:noWrap w:val="0"/>
                  <w:vAlign w:val="center"/>
                </w:tcPr>
                <w:p w14:paraId="7690EEF9">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u w:val="none" w:color="auto"/>
                      <w:lang w:val="en-US" w:eastAsia="zh-CN" w:bidi="ar-SA"/>
                    </w:rPr>
                  </w:pPr>
                </w:p>
              </w:tc>
              <w:tc>
                <w:tcPr>
                  <w:tcW w:w="347" w:type="pct"/>
                  <w:vMerge w:val="continue"/>
                  <w:tcBorders>
                    <w:tl2br w:val="nil"/>
                    <w:tr2bl w:val="nil"/>
                  </w:tcBorders>
                  <w:noWrap w:val="0"/>
                  <w:vAlign w:val="center"/>
                </w:tcPr>
                <w:p w14:paraId="54457634">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u w:val="none" w:color="auto"/>
                      <w:lang w:val="en-US" w:eastAsia="zh-CN" w:bidi="ar-SA"/>
                    </w:rPr>
                  </w:pPr>
                </w:p>
              </w:tc>
              <w:tc>
                <w:tcPr>
                  <w:tcW w:w="460" w:type="pct"/>
                  <w:tcBorders>
                    <w:tl2br w:val="nil"/>
                    <w:tr2bl w:val="nil"/>
                  </w:tcBorders>
                  <w:noWrap w:val="0"/>
                  <w:vAlign w:val="center"/>
                </w:tcPr>
                <w:p w14:paraId="073599BA">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声压级</w:t>
                  </w:r>
                </w:p>
                <w:p w14:paraId="1EBE5DBD">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/dB(A)</w:t>
                  </w:r>
                </w:p>
              </w:tc>
              <w:tc>
                <w:tcPr>
                  <w:tcW w:w="359" w:type="pct"/>
                  <w:tcBorders>
                    <w:tl2br w:val="nil"/>
                    <w:tr2bl w:val="nil"/>
                  </w:tcBorders>
                  <w:noWrap w:val="0"/>
                  <w:vAlign w:val="center"/>
                </w:tcPr>
                <w:p w14:paraId="0BDB79DE">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建筑物</w:t>
                  </w:r>
                </w:p>
                <w:p w14:paraId="5BFB500A">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0"/>
                      <w:sz w:val="21"/>
                      <w:szCs w:val="21"/>
                      <w:u w:val="none" w:color="auto"/>
                      <w:lang w:bidi="ar"/>
                    </w:rPr>
                    <w:t>外距离</w:t>
                  </w:r>
                </w:p>
              </w:tc>
            </w:tr>
            <w:tr w14:paraId="1CAC0029">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restart"/>
                  <w:tcBorders>
                    <w:tl2br w:val="nil"/>
                    <w:tr2bl w:val="nil"/>
                  </w:tcBorders>
                  <w:noWrap w:val="0"/>
                  <w:vAlign w:val="center"/>
                </w:tcPr>
                <w:p w14:paraId="4EC945B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l</w:t>
                  </w:r>
                </w:p>
              </w:tc>
              <w:tc>
                <w:tcPr>
                  <w:tcW w:w="230" w:type="pct"/>
                  <w:vMerge w:val="restart"/>
                  <w:tcBorders>
                    <w:tl2br w:val="nil"/>
                    <w:tr2bl w:val="nil"/>
                  </w:tcBorders>
                  <w:noWrap w:val="0"/>
                  <w:vAlign w:val="center"/>
                </w:tcPr>
                <w:p w14:paraId="3D094BB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生产车间</w:t>
                  </w:r>
                </w:p>
              </w:tc>
              <w:tc>
                <w:tcPr>
                  <w:tcW w:w="231" w:type="pct"/>
                  <w:vMerge w:val="restart"/>
                  <w:tcBorders>
                    <w:tl2br w:val="nil"/>
                    <w:tr2bl w:val="nil"/>
                  </w:tcBorders>
                  <w:noWrap w:val="0"/>
                  <w:vAlign w:val="center"/>
                </w:tcPr>
                <w:p w14:paraId="71042404">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eastAsia="宋体" w:cs="Times New Roman"/>
                      <w:b w:val="0"/>
                      <w:bCs/>
                      <w:color w:val="auto"/>
                      <w:kern w:val="0"/>
                      <w:sz w:val="21"/>
                      <w:szCs w:val="21"/>
                      <w:u w:val="none" w:color="auto"/>
                      <w:lang w:val="en-US" w:eastAsia="zh-CN" w:bidi="ar-SA"/>
                    </w:rPr>
                    <w:t>1t中频炉</w:t>
                  </w:r>
                </w:p>
              </w:tc>
              <w:tc>
                <w:tcPr>
                  <w:tcW w:w="351" w:type="pct"/>
                  <w:vMerge w:val="restart"/>
                  <w:tcBorders>
                    <w:tl2br w:val="nil"/>
                    <w:tr2bl w:val="nil"/>
                  </w:tcBorders>
                  <w:noWrap w:val="0"/>
                  <w:vAlign w:val="center"/>
                </w:tcPr>
                <w:p w14:paraId="478551D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lang w:val="en-US" w:eastAsia="zh-CN"/>
                    </w:rPr>
                    <w:t>1T(800</w:t>
                  </w:r>
                  <w:r>
                    <w:rPr>
                      <w:rFonts w:hint="eastAsia" w:ascii="Times New Roman" w:hAnsi="Times New Roman" w:cs="Times New Roman"/>
                      <w:color w:val="auto"/>
                      <w:kern w:val="2"/>
                      <w:sz w:val="21"/>
                      <w:szCs w:val="21"/>
                      <w:u w:val="none" w:color="auto"/>
                      <w:lang w:val="en-US" w:eastAsia="zh-CN"/>
                    </w:rPr>
                    <w:t>kW</w:t>
                  </w:r>
                  <w:r>
                    <w:rPr>
                      <w:rFonts w:hint="default" w:ascii="Times New Roman" w:hAnsi="Times New Roman" w:cs="Times New Roman"/>
                      <w:color w:val="auto"/>
                      <w:kern w:val="2"/>
                      <w:sz w:val="21"/>
                      <w:szCs w:val="21"/>
                      <w:u w:val="none" w:color="auto"/>
                      <w:lang w:val="en-US" w:eastAsia="zh-CN"/>
                    </w:rPr>
                    <w:t>)</w:t>
                  </w:r>
                </w:p>
              </w:tc>
              <w:tc>
                <w:tcPr>
                  <w:tcW w:w="350" w:type="pct"/>
                  <w:vMerge w:val="restart"/>
                  <w:tcBorders>
                    <w:tl2br w:val="nil"/>
                    <w:tr2bl w:val="nil"/>
                  </w:tcBorders>
                  <w:noWrap w:val="0"/>
                  <w:vAlign w:val="center"/>
                </w:tcPr>
                <w:p w14:paraId="63E1746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70</w:t>
                  </w:r>
                </w:p>
              </w:tc>
              <w:tc>
                <w:tcPr>
                  <w:tcW w:w="351" w:type="pct"/>
                  <w:vMerge w:val="restart"/>
                  <w:tcBorders>
                    <w:tl2br w:val="nil"/>
                    <w:tr2bl w:val="nil"/>
                  </w:tcBorders>
                  <w:noWrap w:val="0"/>
                  <w:vAlign w:val="center"/>
                </w:tcPr>
                <w:p w14:paraId="71F9E44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合理布置、基础减震、隔声处理，加强管理和设备的保养，防止异常噪</w:t>
                  </w:r>
                </w:p>
              </w:tc>
              <w:tc>
                <w:tcPr>
                  <w:tcW w:w="229" w:type="pct"/>
                  <w:vMerge w:val="restart"/>
                  <w:tcBorders>
                    <w:tl2br w:val="nil"/>
                    <w:tr2bl w:val="nil"/>
                  </w:tcBorders>
                  <w:noWrap w:val="0"/>
                  <w:vAlign w:val="center"/>
                </w:tcPr>
                <w:p w14:paraId="36C9BDB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74.1</w:t>
                  </w:r>
                </w:p>
              </w:tc>
              <w:tc>
                <w:tcPr>
                  <w:tcW w:w="263" w:type="pct"/>
                  <w:vMerge w:val="restart"/>
                  <w:tcBorders>
                    <w:tl2br w:val="nil"/>
                    <w:tr2bl w:val="nil"/>
                  </w:tcBorders>
                  <w:noWrap w:val="0"/>
                  <w:vAlign w:val="center"/>
                </w:tcPr>
                <w:p w14:paraId="7394000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285.4</w:t>
                  </w:r>
                </w:p>
              </w:tc>
              <w:tc>
                <w:tcPr>
                  <w:tcW w:w="219" w:type="pct"/>
                  <w:vMerge w:val="restart"/>
                  <w:tcBorders>
                    <w:tl2br w:val="nil"/>
                    <w:tr2bl w:val="nil"/>
                  </w:tcBorders>
                  <w:noWrap w:val="0"/>
                  <w:vAlign w:val="center"/>
                </w:tcPr>
                <w:p w14:paraId="1EF5402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0.5</w:t>
                  </w:r>
                </w:p>
              </w:tc>
              <w:tc>
                <w:tcPr>
                  <w:tcW w:w="252" w:type="pct"/>
                  <w:tcBorders>
                    <w:tl2br w:val="nil"/>
                    <w:tr2bl w:val="nil"/>
                  </w:tcBorders>
                  <w:noWrap w:val="0"/>
                  <w:vAlign w:val="center"/>
                </w:tcPr>
                <w:p w14:paraId="5597A8B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东</w:t>
                  </w:r>
                </w:p>
              </w:tc>
              <w:tc>
                <w:tcPr>
                  <w:tcW w:w="449" w:type="pct"/>
                  <w:tcBorders>
                    <w:tl2br w:val="nil"/>
                    <w:tr2bl w:val="nil"/>
                  </w:tcBorders>
                  <w:noWrap w:val="0"/>
                  <w:vAlign w:val="center"/>
                </w:tcPr>
                <w:p w14:paraId="6A106E5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90.59</w:t>
                  </w:r>
                </w:p>
              </w:tc>
              <w:tc>
                <w:tcPr>
                  <w:tcW w:w="471" w:type="pct"/>
                  <w:tcBorders>
                    <w:tl2br w:val="nil"/>
                    <w:tr2bl w:val="nil"/>
                  </w:tcBorders>
                  <w:noWrap w:val="0"/>
                  <w:vAlign w:val="center"/>
                </w:tcPr>
                <w:p w14:paraId="154A5AD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43.16</w:t>
                  </w:r>
                </w:p>
              </w:tc>
              <w:tc>
                <w:tcPr>
                  <w:tcW w:w="200" w:type="pct"/>
                  <w:vMerge w:val="restart"/>
                  <w:tcBorders>
                    <w:tl2br w:val="nil"/>
                    <w:tr2bl w:val="nil"/>
                  </w:tcBorders>
                  <w:noWrap w:val="0"/>
                  <w:vAlign w:val="center"/>
                </w:tcPr>
                <w:p w14:paraId="4F53EB6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rPr>
                  </w:pPr>
                  <w:r>
                    <w:rPr>
                      <w:rFonts w:hint="eastAsia" w:ascii="Times New Roman" w:hAnsi="Times New Roman" w:cs="Times New Roman"/>
                      <w:color w:val="auto"/>
                      <w:kern w:val="2"/>
                      <w:sz w:val="21"/>
                      <w:szCs w:val="21"/>
                      <w:u w:val="none" w:color="auto"/>
                      <w:lang w:val="en-US" w:eastAsia="zh-CN"/>
                    </w:rPr>
                    <w:t>8:00~2424:00</w:t>
                  </w:r>
                </w:p>
              </w:tc>
              <w:tc>
                <w:tcPr>
                  <w:tcW w:w="347" w:type="pct"/>
                  <w:vMerge w:val="restart"/>
                  <w:tcBorders>
                    <w:tl2br w:val="nil"/>
                    <w:tr2bl w:val="nil"/>
                  </w:tcBorders>
                  <w:noWrap w:val="0"/>
                  <w:vAlign w:val="center"/>
                </w:tcPr>
                <w:p w14:paraId="71767F7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20</w:t>
                  </w:r>
                </w:p>
              </w:tc>
              <w:tc>
                <w:tcPr>
                  <w:tcW w:w="460" w:type="pct"/>
                  <w:tcBorders>
                    <w:tl2br w:val="nil"/>
                    <w:tr2bl w:val="nil"/>
                  </w:tcBorders>
                  <w:shd w:val="clear" w:color="auto" w:fill="auto"/>
                  <w:noWrap w:val="0"/>
                  <w:vAlign w:val="center"/>
                </w:tcPr>
                <w:p w14:paraId="5A0E3A3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38.6</w:t>
                  </w:r>
                </w:p>
              </w:tc>
              <w:tc>
                <w:tcPr>
                  <w:tcW w:w="359" w:type="pct"/>
                  <w:tcBorders>
                    <w:tl2br w:val="nil"/>
                    <w:tr2bl w:val="nil"/>
                  </w:tcBorders>
                  <w:noWrap w:val="0"/>
                  <w:vAlign w:val="center"/>
                </w:tcPr>
                <w:p w14:paraId="61B777C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3574B804">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4072414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5F9267F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5965C1C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4FC3FD6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68AEC1C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0CF4646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6FA6E8B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3B0C573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6962FA4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3AA1C4C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南</w:t>
                  </w:r>
                </w:p>
              </w:tc>
              <w:tc>
                <w:tcPr>
                  <w:tcW w:w="449" w:type="pct"/>
                  <w:tcBorders>
                    <w:tl2br w:val="nil"/>
                    <w:tr2bl w:val="nil"/>
                  </w:tcBorders>
                  <w:noWrap w:val="0"/>
                  <w:vAlign w:val="center"/>
                </w:tcPr>
                <w:p w14:paraId="0F389F0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85.94</w:t>
                  </w:r>
                </w:p>
              </w:tc>
              <w:tc>
                <w:tcPr>
                  <w:tcW w:w="471" w:type="pct"/>
                  <w:tcBorders>
                    <w:tl2br w:val="nil"/>
                    <w:tr2bl w:val="nil"/>
                  </w:tcBorders>
                  <w:noWrap w:val="0"/>
                  <w:vAlign w:val="center"/>
                </w:tcPr>
                <w:p w14:paraId="3829C7F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43.16</w:t>
                  </w:r>
                </w:p>
              </w:tc>
              <w:tc>
                <w:tcPr>
                  <w:tcW w:w="200" w:type="pct"/>
                  <w:vMerge w:val="continue"/>
                  <w:tcBorders>
                    <w:tl2br w:val="nil"/>
                    <w:tr2bl w:val="nil"/>
                  </w:tcBorders>
                  <w:noWrap w:val="0"/>
                  <w:vAlign w:val="center"/>
                </w:tcPr>
                <w:p w14:paraId="2089885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7D52009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4990A49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39.59</w:t>
                  </w:r>
                </w:p>
              </w:tc>
              <w:tc>
                <w:tcPr>
                  <w:tcW w:w="359" w:type="pct"/>
                  <w:tcBorders>
                    <w:tl2br w:val="nil"/>
                    <w:tr2bl w:val="nil"/>
                  </w:tcBorders>
                  <w:noWrap w:val="0"/>
                  <w:vAlign w:val="center"/>
                </w:tcPr>
                <w:p w14:paraId="5337FF2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4CCE7E40">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6491566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525E938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2D2305A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774EC25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4B15E14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32DD366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3DA283F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3EBFADD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7AA6830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34D3333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西</w:t>
                  </w:r>
                </w:p>
              </w:tc>
              <w:tc>
                <w:tcPr>
                  <w:tcW w:w="449" w:type="pct"/>
                  <w:tcBorders>
                    <w:tl2br w:val="nil"/>
                    <w:tr2bl w:val="nil"/>
                  </w:tcBorders>
                  <w:noWrap w:val="0"/>
                  <w:vAlign w:val="center"/>
                </w:tcPr>
                <w:p w14:paraId="28332BB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51.69</w:t>
                  </w:r>
                </w:p>
              </w:tc>
              <w:tc>
                <w:tcPr>
                  <w:tcW w:w="471" w:type="pct"/>
                  <w:tcBorders>
                    <w:tl2br w:val="nil"/>
                    <w:tr2bl w:val="nil"/>
                  </w:tcBorders>
                  <w:noWrap w:val="0"/>
                  <w:vAlign w:val="center"/>
                </w:tcPr>
                <w:p w14:paraId="5428043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43.2</w:t>
                  </w:r>
                </w:p>
              </w:tc>
              <w:tc>
                <w:tcPr>
                  <w:tcW w:w="200" w:type="pct"/>
                  <w:vMerge w:val="continue"/>
                  <w:tcBorders>
                    <w:tl2br w:val="nil"/>
                    <w:tr2bl w:val="nil"/>
                  </w:tcBorders>
                  <w:noWrap w:val="0"/>
                  <w:vAlign w:val="center"/>
                </w:tcPr>
                <w:p w14:paraId="13DF06D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0CE69C2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2376338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38.64</w:t>
                  </w:r>
                </w:p>
              </w:tc>
              <w:tc>
                <w:tcPr>
                  <w:tcW w:w="359" w:type="pct"/>
                  <w:tcBorders>
                    <w:tl2br w:val="nil"/>
                    <w:tr2bl w:val="nil"/>
                  </w:tcBorders>
                  <w:noWrap w:val="0"/>
                  <w:vAlign w:val="center"/>
                </w:tcPr>
                <w:p w14:paraId="63DADAB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2A84DD3C">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1B54202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1DB3583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406D916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0D27461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7991A9C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5D77717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582E0D8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24B77B8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172265A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0AD83FE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北</w:t>
                  </w:r>
                </w:p>
              </w:tc>
              <w:tc>
                <w:tcPr>
                  <w:tcW w:w="449" w:type="pct"/>
                  <w:tcBorders>
                    <w:tl2br w:val="nil"/>
                    <w:tr2bl w:val="nil"/>
                  </w:tcBorders>
                  <w:noWrap w:val="0"/>
                  <w:vAlign w:val="center"/>
                </w:tcPr>
                <w:p w14:paraId="5DFE639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29.32</w:t>
                  </w:r>
                </w:p>
              </w:tc>
              <w:tc>
                <w:tcPr>
                  <w:tcW w:w="471" w:type="pct"/>
                  <w:tcBorders>
                    <w:tl2br w:val="nil"/>
                    <w:tr2bl w:val="nil"/>
                  </w:tcBorders>
                  <w:noWrap w:val="0"/>
                  <w:vAlign w:val="center"/>
                </w:tcPr>
                <w:p w14:paraId="1B19741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43.33</w:t>
                  </w:r>
                </w:p>
              </w:tc>
              <w:tc>
                <w:tcPr>
                  <w:tcW w:w="200" w:type="pct"/>
                  <w:vMerge w:val="continue"/>
                  <w:tcBorders>
                    <w:tl2br w:val="nil"/>
                    <w:tr2bl w:val="nil"/>
                  </w:tcBorders>
                  <w:noWrap w:val="0"/>
                  <w:vAlign w:val="center"/>
                </w:tcPr>
                <w:p w14:paraId="651D843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56C9BD2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26C35AD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39.76</w:t>
                  </w:r>
                </w:p>
              </w:tc>
              <w:tc>
                <w:tcPr>
                  <w:tcW w:w="359" w:type="pct"/>
                  <w:tcBorders>
                    <w:tl2br w:val="nil"/>
                    <w:tr2bl w:val="nil"/>
                  </w:tcBorders>
                  <w:noWrap w:val="0"/>
                  <w:vAlign w:val="center"/>
                </w:tcPr>
                <w:p w14:paraId="72EED52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rPr>
                  </w:pPr>
                  <w:r>
                    <w:rPr>
                      <w:rFonts w:hint="default" w:ascii="Times New Roman" w:hAnsi="Times New Roman" w:eastAsia="宋体" w:cs="Times New Roman"/>
                      <w:color w:val="auto"/>
                      <w:kern w:val="2"/>
                      <w:sz w:val="21"/>
                      <w:szCs w:val="21"/>
                      <w:u w:val="none" w:color="auto"/>
                    </w:rPr>
                    <w:t>1</w:t>
                  </w:r>
                </w:p>
              </w:tc>
            </w:tr>
            <w:tr w14:paraId="1F040E05">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restart"/>
                  <w:tcBorders>
                    <w:tl2br w:val="nil"/>
                    <w:tr2bl w:val="nil"/>
                  </w:tcBorders>
                  <w:noWrap w:val="0"/>
                  <w:vAlign w:val="center"/>
                </w:tcPr>
                <w:p w14:paraId="6D9F5733">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2</w:t>
                  </w:r>
                </w:p>
              </w:tc>
              <w:tc>
                <w:tcPr>
                  <w:tcW w:w="230" w:type="pct"/>
                  <w:vMerge w:val="continue"/>
                  <w:tcBorders>
                    <w:tl2br w:val="nil"/>
                    <w:tr2bl w:val="nil"/>
                  </w:tcBorders>
                  <w:noWrap w:val="0"/>
                  <w:vAlign w:val="center"/>
                </w:tcPr>
                <w:p w14:paraId="08324C9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restart"/>
                  <w:tcBorders>
                    <w:tl2br w:val="nil"/>
                    <w:tr2bl w:val="nil"/>
                  </w:tcBorders>
                  <w:shd w:val="clear" w:color="auto" w:fill="auto"/>
                  <w:noWrap w:val="0"/>
                  <w:vAlign w:val="center"/>
                </w:tcPr>
                <w:p w14:paraId="415C9BA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b w:val="0"/>
                      <w:bCs/>
                      <w:color w:val="auto"/>
                      <w:kern w:val="0"/>
                      <w:sz w:val="21"/>
                      <w:szCs w:val="21"/>
                      <w:u w:val="none" w:color="auto"/>
                      <w:lang w:val="en-US" w:eastAsia="zh-CN" w:bidi="ar-SA"/>
                    </w:rPr>
                    <w:t>1t中频炉</w:t>
                  </w:r>
                </w:p>
              </w:tc>
              <w:tc>
                <w:tcPr>
                  <w:tcW w:w="351" w:type="pct"/>
                  <w:vMerge w:val="restart"/>
                  <w:tcBorders>
                    <w:tl2br w:val="nil"/>
                    <w:tr2bl w:val="nil"/>
                  </w:tcBorders>
                  <w:shd w:val="clear" w:color="auto" w:fill="auto"/>
                  <w:noWrap w:val="0"/>
                  <w:vAlign w:val="center"/>
                </w:tcPr>
                <w:p w14:paraId="28CAF198">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lang w:val="en-US" w:eastAsia="zh-CN"/>
                    </w:rPr>
                    <w:t>1T(800</w:t>
                  </w:r>
                  <w:r>
                    <w:rPr>
                      <w:rFonts w:hint="eastAsia" w:ascii="Times New Roman" w:hAnsi="Times New Roman" w:cs="Times New Roman"/>
                      <w:color w:val="auto"/>
                      <w:kern w:val="2"/>
                      <w:sz w:val="21"/>
                      <w:szCs w:val="21"/>
                      <w:u w:val="none" w:color="auto"/>
                      <w:lang w:val="en-US" w:eastAsia="zh-CN"/>
                    </w:rPr>
                    <w:t>kW</w:t>
                  </w:r>
                  <w:r>
                    <w:rPr>
                      <w:rFonts w:hint="default" w:ascii="Times New Roman" w:hAnsi="Times New Roman" w:cs="Times New Roman"/>
                      <w:color w:val="auto"/>
                      <w:kern w:val="2"/>
                      <w:sz w:val="21"/>
                      <w:szCs w:val="21"/>
                      <w:u w:val="none" w:color="auto"/>
                      <w:lang w:val="en-US" w:eastAsia="zh-CN"/>
                    </w:rPr>
                    <w:t>)</w:t>
                  </w:r>
                </w:p>
              </w:tc>
              <w:tc>
                <w:tcPr>
                  <w:tcW w:w="350" w:type="pct"/>
                  <w:vMerge w:val="restart"/>
                  <w:tcBorders>
                    <w:tl2br w:val="nil"/>
                    <w:tr2bl w:val="nil"/>
                  </w:tcBorders>
                  <w:shd w:val="clear" w:color="auto" w:fill="auto"/>
                  <w:noWrap w:val="0"/>
                  <w:vAlign w:val="center"/>
                </w:tcPr>
                <w:p w14:paraId="2A5EAA1E">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70</w:t>
                  </w:r>
                </w:p>
              </w:tc>
              <w:tc>
                <w:tcPr>
                  <w:tcW w:w="351" w:type="pct"/>
                  <w:vMerge w:val="continue"/>
                  <w:tcBorders>
                    <w:tl2br w:val="nil"/>
                    <w:tr2bl w:val="nil"/>
                  </w:tcBorders>
                  <w:noWrap w:val="0"/>
                  <w:vAlign w:val="center"/>
                </w:tcPr>
                <w:p w14:paraId="4524D1B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restart"/>
                  <w:tcBorders>
                    <w:tl2br w:val="nil"/>
                    <w:tr2bl w:val="nil"/>
                  </w:tcBorders>
                  <w:shd w:val="clear" w:color="auto" w:fill="auto"/>
                  <w:noWrap w:val="0"/>
                  <w:vAlign w:val="center"/>
                </w:tcPr>
                <w:p w14:paraId="595C7B0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81.1</w:t>
                  </w:r>
                </w:p>
              </w:tc>
              <w:tc>
                <w:tcPr>
                  <w:tcW w:w="263" w:type="pct"/>
                  <w:vMerge w:val="restart"/>
                  <w:tcBorders>
                    <w:tl2br w:val="nil"/>
                    <w:tr2bl w:val="nil"/>
                  </w:tcBorders>
                  <w:shd w:val="clear" w:color="auto" w:fill="auto"/>
                  <w:noWrap w:val="0"/>
                  <w:vAlign w:val="center"/>
                </w:tcPr>
                <w:p w14:paraId="3685D81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278.8</w:t>
                  </w:r>
                </w:p>
              </w:tc>
              <w:tc>
                <w:tcPr>
                  <w:tcW w:w="219" w:type="pct"/>
                  <w:vMerge w:val="restart"/>
                  <w:tcBorders>
                    <w:tl2br w:val="nil"/>
                    <w:tr2bl w:val="nil"/>
                  </w:tcBorders>
                  <w:shd w:val="clear" w:color="auto" w:fill="auto"/>
                  <w:noWrap w:val="0"/>
                  <w:vAlign w:val="center"/>
                </w:tcPr>
                <w:p w14:paraId="57FE5DF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0.5</w:t>
                  </w:r>
                </w:p>
              </w:tc>
              <w:tc>
                <w:tcPr>
                  <w:tcW w:w="252" w:type="pct"/>
                  <w:tcBorders>
                    <w:tl2br w:val="nil"/>
                    <w:tr2bl w:val="nil"/>
                  </w:tcBorders>
                  <w:shd w:val="clear" w:color="auto" w:fill="auto"/>
                  <w:noWrap w:val="0"/>
                  <w:vAlign w:val="center"/>
                </w:tcPr>
                <w:p w14:paraId="1AD9C182">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东</w:t>
                  </w:r>
                </w:p>
              </w:tc>
              <w:tc>
                <w:tcPr>
                  <w:tcW w:w="449" w:type="pct"/>
                  <w:tcBorders>
                    <w:tl2br w:val="nil"/>
                    <w:tr2bl w:val="nil"/>
                  </w:tcBorders>
                  <w:shd w:val="clear" w:color="auto" w:fill="auto"/>
                  <w:noWrap w:val="0"/>
                  <w:vAlign w:val="center"/>
                </w:tcPr>
                <w:p w14:paraId="1591349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90.35</w:t>
                  </w:r>
                </w:p>
              </w:tc>
              <w:tc>
                <w:tcPr>
                  <w:tcW w:w="471" w:type="pct"/>
                  <w:tcBorders>
                    <w:tl2br w:val="nil"/>
                    <w:tr2bl w:val="nil"/>
                  </w:tcBorders>
                  <w:shd w:val="clear" w:color="auto" w:fill="auto"/>
                  <w:noWrap w:val="0"/>
                  <w:vAlign w:val="center"/>
                </w:tcPr>
                <w:p w14:paraId="76CE585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43.16</w:t>
                  </w:r>
                </w:p>
              </w:tc>
              <w:tc>
                <w:tcPr>
                  <w:tcW w:w="200" w:type="pct"/>
                  <w:vMerge w:val="continue"/>
                  <w:tcBorders>
                    <w:tl2br w:val="nil"/>
                    <w:tr2bl w:val="nil"/>
                  </w:tcBorders>
                  <w:noWrap w:val="0"/>
                  <w:vAlign w:val="center"/>
                </w:tcPr>
                <w:p w14:paraId="152FF63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6275192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0A0D399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38.6</w:t>
                  </w:r>
                </w:p>
              </w:tc>
              <w:tc>
                <w:tcPr>
                  <w:tcW w:w="359" w:type="pct"/>
                  <w:tcBorders>
                    <w:tl2br w:val="nil"/>
                    <w:tr2bl w:val="nil"/>
                  </w:tcBorders>
                  <w:shd w:val="clear" w:color="auto" w:fill="auto"/>
                  <w:noWrap w:val="0"/>
                  <w:vAlign w:val="center"/>
                </w:tcPr>
                <w:p w14:paraId="019C0E42">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05A1B6F1">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43B1DEB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2D64D55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25DA6F5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5964CCD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63263C7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76C1156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1D9E82F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2E1256D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777DB9E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shd w:val="clear" w:color="auto" w:fill="auto"/>
                  <w:noWrap w:val="0"/>
                  <w:vAlign w:val="center"/>
                </w:tcPr>
                <w:p w14:paraId="07CD4DF7">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南</w:t>
                  </w:r>
                </w:p>
              </w:tc>
              <w:tc>
                <w:tcPr>
                  <w:tcW w:w="449" w:type="pct"/>
                  <w:tcBorders>
                    <w:tl2br w:val="nil"/>
                    <w:tr2bl w:val="nil"/>
                  </w:tcBorders>
                  <w:shd w:val="clear" w:color="auto" w:fill="auto"/>
                  <w:noWrap w:val="0"/>
                  <w:vAlign w:val="center"/>
                </w:tcPr>
                <w:p w14:paraId="5893431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76.32</w:t>
                  </w:r>
                </w:p>
              </w:tc>
              <w:tc>
                <w:tcPr>
                  <w:tcW w:w="471" w:type="pct"/>
                  <w:tcBorders>
                    <w:tl2br w:val="nil"/>
                    <w:tr2bl w:val="nil"/>
                  </w:tcBorders>
                  <w:shd w:val="clear" w:color="auto" w:fill="auto"/>
                  <w:noWrap w:val="0"/>
                  <w:vAlign w:val="center"/>
                </w:tcPr>
                <w:p w14:paraId="726801F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43.16</w:t>
                  </w:r>
                </w:p>
              </w:tc>
              <w:tc>
                <w:tcPr>
                  <w:tcW w:w="200" w:type="pct"/>
                  <w:vMerge w:val="continue"/>
                  <w:tcBorders>
                    <w:tl2br w:val="nil"/>
                    <w:tr2bl w:val="nil"/>
                  </w:tcBorders>
                  <w:noWrap w:val="0"/>
                  <w:vAlign w:val="center"/>
                </w:tcPr>
                <w:p w14:paraId="2327AC2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76AD000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4C19F9B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39.59</w:t>
                  </w:r>
                </w:p>
              </w:tc>
              <w:tc>
                <w:tcPr>
                  <w:tcW w:w="359" w:type="pct"/>
                  <w:tcBorders>
                    <w:tl2br w:val="nil"/>
                    <w:tr2bl w:val="nil"/>
                  </w:tcBorders>
                  <w:shd w:val="clear" w:color="auto" w:fill="auto"/>
                  <w:noWrap w:val="0"/>
                  <w:vAlign w:val="center"/>
                </w:tcPr>
                <w:p w14:paraId="58AB2C3F">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1A4120EE">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1FFE07A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33466EF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57B99A2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4DEB1BB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5BC603D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32C269D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454CBBC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553AB1F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17813AA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shd w:val="clear" w:color="auto" w:fill="auto"/>
                  <w:noWrap w:val="0"/>
                  <w:vAlign w:val="center"/>
                </w:tcPr>
                <w:p w14:paraId="3BC0409F">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西</w:t>
                  </w:r>
                </w:p>
              </w:tc>
              <w:tc>
                <w:tcPr>
                  <w:tcW w:w="449" w:type="pct"/>
                  <w:tcBorders>
                    <w:tl2br w:val="nil"/>
                    <w:tr2bl w:val="nil"/>
                  </w:tcBorders>
                  <w:shd w:val="clear" w:color="auto" w:fill="auto"/>
                  <w:noWrap w:val="0"/>
                  <w:vAlign w:val="center"/>
                </w:tcPr>
                <w:p w14:paraId="04013E2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51.92</w:t>
                  </w:r>
                </w:p>
              </w:tc>
              <w:tc>
                <w:tcPr>
                  <w:tcW w:w="471" w:type="pct"/>
                  <w:tcBorders>
                    <w:tl2br w:val="nil"/>
                    <w:tr2bl w:val="nil"/>
                  </w:tcBorders>
                  <w:shd w:val="clear" w:color="auto" w:fill="auto"/>
                  <w:noWrap w:val="0"/>
                  <w:vAlign w:val="center"/>
                </w:tcPr>
                <w:p w14:paraId="1229E2F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43.2</w:t>
                  </w:r>
                </w:p>
              </w:tc>
              <w:tc>
                <w:tcPr>
                  <w:tcW w:w="200" w:type="pct"/>
                  <w:vMerge w:val="continue"/>
                  <w:tcBorders>
                    <w:tl2br w:val="nil"/>
                    <w:tr2bl w:val="nil"/>
                  </w:tcBorders>
                  <w:noWrap w:val="0"/>
                  <w:vAlign w:val="center"/>
                </w:tcPr>
                <w:p w14:paraId="2B38183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7F18935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1E12760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38.64</w:t>
                  </w:r>
                </w:p>
              </w:tc>
              <w:tc>
                <w:tcPr>
                  <w:tcW w:w="359" w:type="pct"/>
                  <w:tcBorders>
                    <w:tl2br w:val="nil"/>
                    <w:tr2bl w:val="nil"/>
                  </w:tcBorders>
                  <w:shd w:val="clear" w:color="auto" w:fill="auto"/>
                  <w:noWrap w:val="0"/>
                  <w:vAlign w:val="center"/>
                </w:tcPr>
                <w:p w14:paraId="3AAD78C2">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450C7010">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031A787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3BA0585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0312B32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4C66A61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0067D55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06BB3F3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2A2A35A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036551F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3FD08B1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shd w:val="clear" w:color="auto" w:fill="auto"/>
                  <w:noWrap w:val="0"/>
                  <w:vAlign w:val="center"/>
                </w:tcPr>
                <w:p w14:paraId="0FE4F33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北</w:t>
                  </w:r>
                </w:p>
              </w:tc>
              <w:tc>
                <w:tcPr>
                  <w:tcW w:w="449" w:type="pct"/>
                  <w:tcBorders>
                    <w:tl2br w:val="nil"/>
                    <w:tr2bl w:val="nil"/>
                  </w:tcBorders>
                  <w:shd w:val="clear" w:color="auto" w:fill="auto"/>
                  <w:noWrap w:val="0"/>
                  <w:vAlign w:val="center"/>
                </w:tcPr>
                <w:p w14:paraId="6FC5D18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38.94</w:t>
                  </w:r>
                </w:p>
              </w:tc>
              <w:tc>
                <w:tcPr>
                  <w:tcW w:w="471" w:type="pct"/>
                  <w:tcBorders>
                    <w:tl2br w:val="nil"/>
                    <w:tr2bl w:val="nil"/>
                  </w:tcBorders>
                  <w:shd w:val="clear" w:color="auto" w:fill="auto"/>
                  <w:noWrap w:val="0"/>
                  <w:vAlign w:val="center"/>
                </w:tcPr>
                <w:p w14:paraId="659E107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43.25</w:t>
                  </w:r>
                </w:p>
              </w:tc>
              <w:tc>
                <w:tcPr>
                  <w:tcW w:w="200" w:type="pct"/>
                  <w:vMerge w:val="continue"/>
                  <w:tcBorders>
                    <w:tl2br w:val="nil"/>
                    <w:tr2bl w:val="nil"/>
                  </w:tcBorders>
                  <w:noWrap w:val="0"/>
                  <w:vAlign w:val="center"/>
                </w:tcPr>
                <w:p w14:paraId="3528880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7FB9331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77AE01C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39.67</w:t>
                  </w:r>
                </w:p>
              </w:tc>
              <w:tc>
                <w:tcPr>
                  <w:tcW w:w="359" w:type="pct"/>
                  <w:tcBorders>
                    <w:tl2br w:val="nil"/>
                    <w:tr2bl w:val="nil"/>
                  </w:tcBorders>
                  <w:shd w:val="clear" w:color="auto" w:fill="auto"/>
                  <w:noWrap w:val="0"/>
                  <w:vAlign w:val="center"/>
                </w:tcPr>
                <w:p w14:paraId="3F20252D">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rPr>
                    <w:t>1</w:t>
                  </w:r>
                </w:p>
              </w:tc>
            </w:tr>
            <w:tr w14:paraId="250C9BFF">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restart"/>
                  <w:tcBorders>
                    <w:tl2br w:val="nil"/>
                    <w:tr2bl w:val="nil"/>
                  </w:tcBorders>
                  <w:noWrap w:val="0"/>
                  <w:vAlign w:val="center"/>
                </w:tcPr>
                <w:p w14:paraId="30E087A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3</w:t>
                  </w:r>
                </w:p>
              </w:tc>
              <w:tc>
                <w:tcPr>
                  <w:tcW w:w="230" w:type="pct"/>
                  <w:vMerge w:val="continue"/>
                  <w:tcBorders>
                    <w:tl2br w:val="nil"/>
                    <w:tr2bl w:val="nil"/>
                  </w:tcBorders>
                  <w:noWrap w:val="0"/>
                  <w:vAlign w:val="center"/>
                </w:tcPr>
                <w:p w14:paraId="4CEB8A6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restart"/>
                  <w:tcBorders>
                    <w:tl2br w:val="nil"/>
                    <w:tr2bl w:val="nil"/>
                  </w:tcBorders>
                  <w:noWrap w:val="0"/>
                  <w:vAlign w:val="center"/>
                </w:tcPr>
                <w:p w14:paraId="4E864324">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default" w:ascii="Times New Roman" w:hAnsi="Times New Roman" w:eastAsia="宋体" w:cs="Times New Roman"/>
                      <w:b w:val="0"/>
                      <w:bCs/>
                      <w:color w:val="auto"/>
                      <w:kern w:val="0"/>
                      <w:sz w:val="21"/>
                      <w:szCs w:val="21"/>
                      <w:u w:val="none" w:color="auto"/>
                      <w:lang w:val="en-US" w:eastAsia="zh-CN" w:bidi="ar-SA"/>
                    </w:rPr>
                    <w:t>行车</w:t>
                  </w:r>
                </w:p>
              </w:tc>
              <w:tc>
                <w:tcPr>
                  <w:tcW w:w="351" w:type="pct"/>
                  <w:vMerge w:val="restart"/>
                  <w:tcBorders>
                    <w:tl2br w:val="nil"/>
                    <w:tr2bl w:val="nil"/>
                  </w:tcBorders>
                  <w:noWrap w:val="0"/>
                  <w:vAlign w:val="center"/>
                </w:tcPr>
                <w:p w14:paraId="64D7AE9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w:t>
                  </w:r>
                </w:p>
              </w:tc>
              <w:tc>
                <w:tcPr>
                  <w:tcW w:w="350" w:type="pct"/>
                  <w:vMerge w:val="restart"/>
                  <w:tcBorders>
                    <w:tl2br w:val="nil"/>
                    <w:tr2bl w:val="nil"/>
                  </w:tcBorders>
                  <w:noWrap w:val="0"/>
                  <w:vAlign w:val="center"/>
                </w:tcPr>
                <w:p w14:paraId="66B331D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default" w:ascii="Times New Roman" w:hAnsi="Times New Roman" w:eastAsia="宋体" w:cs="Times New Roman"/>
                      <w:color w:val="auto"/>
                      <w:kern w:val="2"/>
                      <w:sz w:val="21"/>
                      <w:szCs w:val="21"/>
                      <w:u w:val="none" w:color="auto"/>
                      <w:lang w:val="en-US" w:eastAsia="zh-CN"/>
                    </w:rPr>
                    <w:t>70</w:t>
                  </w:r>
                </w:p>
              </w:tc>
              <w:tc>
                <w:tcPr>
                  <w:tcW w:w="351" w:type="pct"/>
                  <w:vMerge w:val="continue"/>
                  <w:tcBorders>
                    <w:tl2br w:val="nil"/>
                    <w:tr2bl w:val="nil"/>
                  </w:tcBorders>
                  <w:noWrap w:val="0"/>
                  <w:vAlign w:val="center"/>
                </w:tcPr>
                <w:p w14:paraId="5A83043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restart"/>
                  <w:tcBorders>
                    <w:tl2br w:val="nil"/>
                    <w:tr2bl w:val="nil"/>
                  </w:tcBorders>
                  <w:noWrap w:val="0"/>
                  <w:vAlign w:val="center"/>
                </w:tcPr>
                <w:p w14:paraId="7DB0E40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68.4</w:t>
                  </w:r>
                </w:p>
              </w:tc>
              <w:tc>
                <w:tcPr>
                  <w:tcW w:w="263" w:type="pct"/>
                  <w:vMerge w:val="restart"/>
                  <w:tcBorders>
                    <w:tl2br w:val="nil"/>
                    <w:tr2bl w:val="nil"/>
                  </w:tcBorders>
                  <w:noWrap w:val="0"/>
                  <w:vAlign w:val="center"/>
                </w:tcPr>
                <w:p w14:paraId="37BEE84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292</w:t>
                  </w:r>
                </w:p>
              </w:tc>
              <w:tc>
                <w:tcPr>
                  <w:tcW w:w="219" w:type="pct"/>
                  <w:vMerge w:val="restart"/>
                  <w:tcBorders>
                    <w:tl2br w:val="nil"/>
                    <w:tr2bl w:val="nil"/>
                  </w:tcBorders>
                  <w:noWrap w:val="0"/>
                  <w:vAlign w:val="center"/>
                </w:tcPr>
                <w:p w14:paraId="2BD3E3A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w:t>
                  </w:r>
                </w:p>
              </w:tc>
              <w:tc>
                <w:tcPr>
                  <w:tcW w:w="252" w:type="pct"/>
                  <w:tcBorders>
                    <w:tl2br w:val="nil"/>
                    <w:tr2bl w:val="nil"/>
                  </w:tcBorders>
                  <w:noWrap w:val="0"/>
                  <w:vAlign w:val="center"/>
                </w:tcPr>
                <w:p w14:paraId="7013AF2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东</w:t>
                  </w:r>
                </w:p>
              </w:tc>
              <w:tc>
                <w:tcPr>
                  <w:tcW w:w="449" w:type="pct"/>
                  <w:tcBorders>
                    <w:tl2br w:val="nil"/>
                    <w:tr2bl w:val="nil"/>
                  </w:tcBorders>
                  <w:noWrap w:val="0"/>
                  <w:vAlign w:val="center"/>
                </w:tcPr>
                <w:p w14:paraId="354637F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89.91</w:t>
                  </w:r>
                </w:p>
              </w:tc>
              <w:tc>
                <w:tcPr>
                  <w:tcW w:w="471" w:type="pct"/>
                  <w:tcBorders>
                    <w:tl2br w:val="nil"/>
                    <w:tr2bl w:val="nil"/>
                  </w:tcBorders>
                  <w:noWrap w:val="0"/>
                  <w:vAlign w:val="center"/>
                </w:tcPr>
                <w:p w14:paraId="3E1D7FB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43.16</w:t>
                  </w:r>
                </w:p>
              </w:tc>
              <w:tc>
                <w:tcPr>
                  <w:tcW w:w="200" w:type="pct"/>
                  <w:vMerge w:val="continue"/>
                  <w:tcBorders>
                    <w:tl2br w:val="nil"/>
                    <w:tr2bl w:val="nil"/>
                  </w:tcBorders>
                  <w:noWrap w:val="0"/>
                  <w:vAlign w:val="center"/>
                </w:tcPr>
                <w:p w14:paraId="45B991C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63920E9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39A1906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38.6</w:t>
                  </w:r>
                </w:p>
              </w:tc>
              <w:tc>
                <w:tcPr>
                  <w:tcW w:w="359" w:type="pct"/>
                  <w:tcBorders>
                    <w:tl2br w:val="nil"/>
                    <w:tr2bl w:val="nil"/>
                  </w:tcBorders>
                  <w:noWrap w:val="0"/>
                  <w:vAlign w:val="center"/>
                </w:tcPr>
                <w:p w14:paraId="2523F45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rPr>
                  </w:pPr>
                  <w:r>
                    <w:rPr>
                      <w:rFonts w:hint="default" w:ascii="Times New Roman" w:hAnsi="Times New Roman" w:eastAsia="宋体" w:cs="Times New Roman"/>
                      <w:color w:val="auto"/>
                      <w:kern w:val="2"/>
                      <w:sz w:val="21"/>
                      <w:szCs w:val="21"/>
                      <w:u w:val="none" w:color="auto"/>
                    </w:rPr>
                    <w:t>1</w:t>
                  </w:r>
                </w:p>
              </w:tc>
            </w:tr>
            <w:tr w14:paraId="60E322E8">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787D4F8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3739017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0A4A5E3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22A3ADD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32A5D42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0109BCB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279628A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4CDA942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634F015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3376619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南</w:t>
                  </w:r>
                </w:p>
              </w:tc>
              <w:tc>
                <w:tcPr>
                  <w:tcW w:w="449" w:type="pct"/>
                  <w:tcBorders>
                    <w:tl2br w:val="nil"/>
                    <w:tr2bl w:val="nil"/>
                  </w:tcBorders>
                  <w:noWrap w:val="0"/>
                  <w:vAlign w:val="center"/>
                </w:tcPr>
                <w:p w14:paraId="2AB82FE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94.64</w:t>
                  </w:r>
                </w:p>
              </w:tc>
              <w:tc>
                <w:tcPr>
                  <w:tcW w:w="471" w:type="pct"/>
                  <w:tcBorders>
                    <w:tl2br w:val="nil"/>
                    <w:tr2bl w:val="nil"/>
                  </w:tcBorders>
                  <w:noWrap w:val="0"/>
                  <w:vAlign w:val="center"/>
                </w:tcPr>
                <w:p w14:paraId="66D080E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43.15</w:t>
                  </w:r>
                </w:p>
              </w:tc>
              <w:tc>
                <w:tcPr>
                  <w:tcW w:w="200" w:type="pct"/>
                  <w:vMerge w:val="continue"/>
                  <w:tcBorders>
                    <w:tl2br w:val="nil"/>
                    <w:tr2bl w:val="nil"/>
                  </w:tcBorders>
                  <w:noWrap w:val="0"/>
                  <w:vAlign w:val="center"/>
                </w:tcPr>
                <w:p w14:paraId="3131207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0060869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24A7450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39.58</w:t>
                  </w:r>
                </w:p>
              </w:tc>
              <w:tc>
                <w:tcPr>
                  <w:tcW w:w="359" w:type="pct"/>
                  <w:tcBorders>
                    <w:tl2br w:val="nil"/>
                    <w:tr2bl w:val="nil"/>
                  </w:tcBorders>
                  <w:noWrap w:val="0"/>
                  <w:vAlign w:val="center"/>
                </w:tcPr>
                <w:p w14:paraId="3524D7B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rPr>
                  </w:pPr>
                  <w:r>
                    <w:rPr>
                      <w:rFonts w:hint="default" w:ascii="Times New Roman" w:hAnsi="Times New Roman" w:eastAsia="宋体" w:cs="Times New Roman"/>
                      <w:color w:val="auto"/>
                      <w:kern w:val="2"/>
                      <w:sz w:val="21"/>
                      <w:szCs w:val="21"/>
                      <w:u w:val="none" w:color="auto"/>
                    </w:rPr>
                    <w:t>1</w:t>
                  </w:r>
                </w:p>
              </w:tc>
            </w:tr>
            <w:tr w14:paraId="4D60DAB3">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58ABF2B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273BAF5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7384F96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1C4AD70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538166C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4D6435B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6C7FABB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2079538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5A5D389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02E2B1F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西</w:t>
                  </w:r>
                </w:p>
              </w:tc>
              <w:tc>
                <w:tcPr>
                  <w:tcW w:w="449" w:type="pct"/>
                  <w:tcBorders>
                    <w:tl2br w:val="nil"/>
                    <w:tr2bl w:val="nil"/>
                  </w:tcBorders>
                  <w:noWrap w:val="0"/>
                  <w:vAlign w:val="center"/>
                </w:tcPr>
                <w:p w14:paraId="0388850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52.37</w:t>
                  </w:r>
                </w:p>
              </w:tc>
              <w:tc>
                <w:tcPr>
                  <w:tcW w:w="471" w:type="pct"/>
                  <w:tcBorders>
                    <w:tl2br w:val="nil"/>
                    <w:tr2bl w:val="nil"/>
                  </w:tcBorders>
                  <w:noWrap w:val="0"/>
                  <w:vAlign w:val="center"/>
                </w:tcPr>
                <w:p w14:paraId="451DC16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43.2</w:t>
                  </w:r>
                </w:p>
              </w:tc>
              <w:tc>
                <w:tcPr>
                  <w:tcW w:w="200" w:type="pct"/>
                  <w:vMerge w:val="continue"/>
                  <w:tcBorders>
                    <w:tl2br w:val="nil"/>
                    <w:tr2bl w:val="nil"/>
                  </w:tcBorders>
                  <w:noWrap w:val="0"/>
                  <w:vAlign w:val="center"/>
                </w:tcPr>
                <w:p w14:paraId="73CA68B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68AD8C2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621B7DD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38.64</w:t>
                  </w:r>
                </w:p>
              </w:tc>
              <w:tc>
                <w:tcPr>
                  <w:tcW w:w="359" w:type="pct"/>
                  <w:tcBorders>
                    <w:tl2br w:val="nil"/>
                    <w:tr2bl w:val="nil"/>
                  </w:tcBorders>
                  <w:noWrap w:val="0"/>
                  <w:vAlign w:val="center"/>
                </w:tcPr>
                <w:p w14:paraId="2FE34E4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rPr>
                  </w:pPr>
                  <w:r>
                    <w:rPr>
                      <w:rFonts w:hint="default" w:ascii="Times New Roman" w:hAnsi="Times New Roman" w:eastAsia="宋体" w:cs="Times New Roman"/>
                      <w:color w:val="auto"/>
                      <w:kern w:val="2"/>
                      <w:sz w:val="21"/>
                      <w:szCs w:val="21"/>
                      <w:u w:val="none" w:color="auto"/>
                    </w:rPr>
                    <w:t>1</w:t>
                  </w:r>
                </w:p>
              </w:tc>
            </w:tr>
            <w:tr w14:paraId="35CF8575">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7A223DE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23BADF6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3AAD06C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6708E9B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3132A11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2D34EBD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7850F7B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5BA2446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0051E28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7103681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北</w:t>
                  </w:r>
                </w:p>
              </w:tc>
              <w:tc>
                <w:tcPr>
                  <w:tcW w:w="449" w:type="pct"/>
                  <w:tcBorders>
                    <w:tl2br w:val="nil"/>
                    <w:tr2bl w:val="nil"/>
                  </w:tcBorders>
                  <w:noWrap w:val="0"/>
                  <w:vAlign w:val="center"/>
                </w:tcPr>
                <w:p w14:paraId="75BCB40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20.63</w:t>
                  </w:r>
                </w:p>
              </w:tc>
              <w:tc>
                <w:tcPr>
                  <w:tcW w:w="471" w:type="pct"/>
                  <w:tcBorders>
                    <w:tl2br w:val="nil"/>
                    <w:tr2bl w:val="nil"/>
                  </w:tcBorders>
                  <w:noWrap w:val="0"/>
                  <w:vAlign w:val="center"/>
                </w:tcPr>
                <w:p w14:paraId="3838B5B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43.51</w:t>
                  </w:r>
                </w:p>
              </w:tc>
              <w:tc>
                <w:tcPr>
                  <w:tcW w:w="200" w:type="pct"/>
                  <w:vMerge w:val="continue"/>
                  <w:tcBorders>
                    <w:tl2br w:val="nil"/>
                    <w:tr2bl w:val="nil"/>
                  </w:tcBorders>
                  <w:noWrap w:val="0"/>
                  <w:vAlign w:val="center"/>
                </w:tcPr>
                <w:p w14:paraId="14B19B2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775CC0D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740C0C2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39.94</w:t>
                  </w:r>
                </w:p>
              </w:tc>
              <w:tc>
                <w:tcPr>
                  <w:tcW w:w="359" w:type="pct"/>
                  <w:tcBorders>
                    <w:tl2br w:val="nil"/>
                    <w:tr2bl w:val="nil"/>
                  </w:tcBorders>
                  <w:noWrap w:val="0"/>
                  <w:vAlign w:val="center"/>
                </w:tcPr>
                <w:p w14:paraId="71D0F90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rPr>
                  </w:pPr>
                  <w:r>
                    <w:rPr>
                      <w:rFonts w:hint="default" w:ascii="Times New Roman" w:hAnsi="Times New Roman" w:eastAsia="宋体" w:cs="Times New Roman"/>
                      <w:color w:val="auto"/>
                      <w:kern w:val="2"/>
                      <w:sz w:val="21"/>
                      <w:szCs w:val="21"/>
                      <w:u w:val="none" w:color="auto"/>
                    </w:rPr>
                    <w:t>1</w:t>
                  </w:r>
                </w:p>
              </w:tc>
            </w:tr>
            <w:tr w14:paraId="5D60157D">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restart"/>
                  <w:tcBorders>
                    <w:tl2br w:val="nil"/>
                    <w:tr2bl w:val="nil"/>
                  </w:tcBorders>
                  <w:noWrap w:val="0"/>
                  <w:vAlign w:val="center"/>
                </w:tcPr>
                <w:p w14:paraId="21E0EB3A">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4</w:t>
                  </w:r>
                </w:p>
              </w:tc>
              <w:tc>
                <w:tcPr>
                  <w:tcW w:w="230" w:type="pct"/>
                  <w:vMerge w:val="continue"/>
                  <w:tcBorders>
                    <w:tl2br w:val="nil"/>
                    <w:tr2bl w:val="nil"/>
                  </w:tcBorders>
                  <w:noWrap w:val="0"/>
                  <w:vAlign w:val="center"/>
                </w:tcPr>
                <w:p w14:paraId="7664A8F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restart"/>
                  <w:tcBorders>
                    <w:tl2br w:val="nil"/>
                    <w:tr2bl w:val="nil"/>
                  </w:tcBorders>
                  <w:noWrap w:val="0"/>
                  <w:vAlign w:val="center"/>
                </w:tcPr>
                <w:p w14:paraId="6ACEF1C5">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eastAsia="宋体" w:cs="Times New Roman"/>
                      <w:b w:val="0"/>
                      <w:bCs/>
                      <w:color w:val="auto"/>
                      <w:kern w:val="0"/>
                      <w:sz w:val="21"/>
                      <w:szCs w:val="21"/>
                      <w:u w:val="none" w:color="auto"/>
                      <w:lang w:val="en-US" w:eastAsia="zh-CN" w:bidi="ar-SA"/>
                    </w:rPr>
                    <w:t>行车</w:t>
                  </w:r>
                </w:p>
              </w:tc>
              <w:tc>
                <w:tcPr>
                  <w:tcW w:w="351" w:type="pct"/>
                  <w:vMerge w:val="restart"/>
                  <w:tcBorders>
                    <w:tl2br w:val="nil"/>
                    <w:tr2bl w:val="nil"/>
                  </w:tcBorders>
                  <w:noWrap w:val="0"/>
                  <w:vAlign w:val="center"/>
                </w:tcPr>
                <w:p w14:paraId="1D3A034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w:t>
                  </w:r>
                </w:p>
              </w:tc>
              <w:tc>
                <w:tcPr>
                  <w:tcW w:w="350" w:type="pct"/>
                  <w:vMerge w:val="restart"/>
                  <w:tcBorders>
                    <w:tl2br w:val="nil"/>
                    <w:tr2bl w:val="nil"/>
                  </w:tcBorders>
                  <w:noWrap w:val="0"/>
                  <w:vAlign w:val="center"/>
                </w:tcPr>
                <w:p w14:paraId="04A6A84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eastAsia="宋体" w:cs="Times New Roman"/>
                      <w:color w:val="auto"/>
                      <w:kern w:val="2"/>
                      <w:sz w:val="21"/>
                      <w:szCs w:val="21"/>
                      <w:u w:val="none" w:color="auto"/>
                      <w:lang w:val="en-US" w:eastAsia="zh-CN"/>
                    </w:rPr>
                    <w:t>70</w:t>
                  </w:r>
                </w:p>
              </w:tc>
              <w:tc>
                <w:tcPr>
                  <w:tcW w:w="351" w:type="pct"/>
                  <w:vMerge w:val="continue"/>
                  <w:tcBorders>
                    <w:tl2br w:val="nil"/>
                    <w:tr2bl w:val="nil"/>
                  </w:tcBorders>
                  <w:noWrap w:val="0"/>
                  <w:vAlign w:val="center"/>
                </w:tcPr>
                <w:p w14:paraId="5D035F9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restart"/>
                  <w:tcBorders>
                    <w:tl2br w:val="nil"/>
                    <w:tr2bl w:val="nil"/>
                  </w:tcBorders>
                  <w:noWrap w:val="0"/>
                  <w:vAlign w:val="center"/>
                </w:tcPr>
                <w:p w14:paraId="42594BF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93.4</w:t>
                  </w:r>
                </w:p>
              </w:tc>
              <w:tc>
                <w:tcPr>
                  <w:tcW w:w="263" w:type="pct"/>
                  <w:vMerge w:val="restart"/>
                  <w:tcBorders>
                    <w:tl2br w:val="nil"/>
                    <w:tr2bl w:val="nil"/>
                  </w:tcBorders>
                  <w:noWrap w:val="0"/>
                  <w:vAlign w:val="center"/>
                </w:tcPr>
                <w:p w14:paraId="06BB563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266.5</w:t>
                  </w:r>
                </w:p>
              </w:tc>
              <w:tc>
                <w:tcPr>
                  <w:tcW w:w="219" w:type="pct"/>
                  <w:vMerge w:val="restart"/>
                  <w:tcBorders>
                    <w:tl2br w:val="nil"/>
                    <w:tr2bl w:val="nil"/>
                  </w:tcBorders>
                  <w:noWrap w:val="0"/>
                  <w:vAlign w:val="center"/>
                </w:tcPr>
                <w:p w14:paraId="4E52A0B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w:t>
                  </w:r>
                </w:p>
              </w:tc>
              <w:tc>
                <w:tcPr>
                  <w:tcW w:w="252" w:type="pct"/>
                  <w:tcBorders>
                    <w:tl2br w:val="nil"/>
                    <w:tr2bl w:val="nil"/>
                  </w:tcBorders>
                  <w:noWrap w:val="0"/>
                  <w:vAlign w:val="center"/>
                </w:tcPr>
                <w:p w14:paraId="229FE11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东</w:t>
                  </w:r>
                </w:p>
              </w:tc>
              <w:tc>
                <w:tcPr>
                  <w:tcW w:w="449" w:type="pct"/>
                  <w:tcBorders>
                    <w:tl2br w:val="nil"/>
                    <w:tr2bl w:val="nil"/>
                  </w:tcBorders>
                  <w:noWrap w:val="0"/>
                  <w:vAlign w:val="center"/>
                </w:tcPr>
                <w:p w14:paraId="2FF0FE0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90.43</w:t>
                  </w:r>
                </w:p>
              </w:tc>
              <w:tc>
                <w:tcPr>
                  <w:tcW w:w="471" w:type="pct"/>
                  <w:tcBorders>
                    <w:tl2br w:val="nil"/>
                    <w:tr2bl w:val="nil"/>
                  </w:tcBorders>
                  <w:noWrap w:val="0"/>
                  <w:vAlign w:val="center"/>
                </w:tcPr>
                <w:p w14:paraId="2B5C1F3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43.16</w:t>
                  </w:r>
                </w:p>
              </w:tc>
              <w:tc>
                <w:tcPr>
                  <w:tcW w:w="200" w:type="pct"/>
                  <w:vMerge w:val="continue"/>
                  <w:tcBorders>
                    <w:tl2br w:val="nil"/>
                    <w:tr2bl w:val="nil"/>
                  </w:tcBorders>
                  <w:noWrap w:val="0"/>
                  <w:vAlign w:val="center"/>
                </w:tcPr>
                <w:p w14:paraId="238A342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7213292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5D375EA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38.6</w:t>
                  </w:r>
                </w:p>
              </w:tc>
              <w:tc>
                <w:tcPr>
                  <w:tcW w:w="359" w:type="pct"/>
                  <w:tcBorders>
                    <w:tl2br w:val="nil"/>
                    <w:tr2bl w:val="nil"/>
                  </w:tcBorders>
                  <w:noWrap w:val="0"/>
                  <w:vAlign w:val="center"/>
                </w:tcPr>
                <w:p w14:paraId="35CAAB3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01159BF4">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6862A41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2B6B32E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627E45C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0D4918A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4CEBB31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08570D6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0523F01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4191C89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4B3CE80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4B40EE6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南</w:t>
                  </w:r>
                </w:p>
              </w:tc>
              <w:tc>
                <w:tcPr>
                  <w:tcW w:w="449" w:type="pct"/>
                  <w:tcBorders>
                    <w:tl2br w:val="nil"/>
                    <w:tr2bl w:val="nil"/>
                  </w:tcBorders>
                  <w:noWrap w:val="0"/>
                  <w:vAlign w:val="center"/>
                </w:tcPr>
                <w:p w14:paraId="0648C88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58.93</w:t>
                  </w:r>
                </w:p>
              </w:tc>
              <w:tc>
                <w:tcPr>
                  <w:tcW w:w="471" w:type="pct"/>
                  <w:tcBorders>
                    <w:tl2br w:val="nil"/>
                    <w:tr2bl w:val="nil"/>
                  </w:tcBorders>
                  <w:noWrap w:val="0"/>
                  <w:vAlign w:val="center"/>
                </w:tcPr>
                <w:p w14:paraId="2AC6612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43.18</w:t>
                  </w:r>
                </w:p>
              </w:tc>
              <w:tc>
                <w:tcPr>
                  <w:tcW w:w="200" w:type="pct"/>
                  <w:vMerge w:val="continue"/>
                  <w:tcBorders>
                    <w:tl2br w:val="nil"/>
                    <w:tr2bl w:val="nil"/>
                  </w:tcBorders>
                  <w:noWrap w:val="0"/>
                  <w:vAlign w:val="center"/>
                </w:tcPr>
                <w:p w14:paraId="7D0FB22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50572D9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467A75D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39.61</w:t>
                  </w:r>
                </w:p>
              </w:tc>
              <w:tc>
                <w:tcPr>
                  <w:tcW w:w="359" w:type="pct"/>
                  <w:tcBorders>
                    <w:tl2br w:val="nil"/>
                    <w:tr2bl w:val="nil"/>
                  </w:tcBorders>
                  <w:noWrap w:val="0"/>
                  <w:vAlign w:val="center"/>
                </w:tcPr>
                <w:p w14:paraId="1A6A0A1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3B955201">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28F1112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302CD3C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410894B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7E813A8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78C4F36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7AADF55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54217A6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565F227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6CDA100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2CCE0D8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西</w:t>
                  </w:r>
                </w:p>
              </w:tc>
              <w:tc>
                <w:tcPr>
                  <w:tcW w:w="449" w:type="pct"/>
                  <w:tcBorders>
                    <w:tl2br w:val="nil"/>
                    <w:tr2bl w:val="nil"/>
                  </w:tcBorders>
                  <w:noWrap w:val="0"/>
                  <w:vAlign w:val="center"/>
                </w:tcPr>
                <w:p w14:paraId="6DD4FD0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51.84</w:t>
                  </w:r>
                </w:p>
              </w:tc>
              <w:tc>
                <w:tcPr>
                  <w:tcW w:w="471" w:type="pct"/>
                  <w:tcBorders>
                    <w:tl2br w:val="nil"/>
                    <w:tr2bl w:val="nil"/>
                  </w:tcBorders>
                  <w:noWrap w:val="0"/>
                  <w:vAlign w:val="center"/>
                </w:tcPr>
                <w:p w14:paraId="032CFBA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43.2</w:t>
                  </w:r>
                </w:p>
              </w:tc>
              <w:tc>
                <w:tcPr>
                  <w:tcW w:w="200" w:type="pct"/>
                  <w:vMerge w:val="continue"/>
                  <w:tcBorders>
                    <w:tl2br w:val="nil"/>
                    <w:tr2bl w:val="nil"/>
                  </w:tcBorders>
                  <w:noWrap w:val="0"/>
                  <w:vAlign w:val="center"/>
                </w:tcPr>
                <w:p w14:paraId="442008B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5E2BD76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5158FA3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38.64</w:t>
                  </w:r>
                </w:p>
              </w:tc>
              <w:tc>
                <w:tcPr>
                  <w:tcW w:w="359" w:type="pct"/>
                  <w:tcBorders>
                    <w:tl2br w:val="nil"/>
                    <w:tr2bl w:val="nil"/>
                  </w:tcBorders>
                  <w:noWrap w:val="0"/>
                  <w:vAlign w:val="center"/>
                </w:tcPr>
                <w:p w14:paraId="3F8A56D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18A24D08">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7759B5E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75064FD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209361A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3BFC64E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619F93F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36EFCA2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59685A2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17C9DFE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737A078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1EB54CE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北</w:t>
                  </w:r>
                </w:p>
              </w:tc>
              <w:tc>
                <w:tcPr>
                  <w:tcW w:w="449" w:type="pct"/>
                  <w:tcBorders>
                    <w:tl2br w:val="nil"/>
                    <w:tr2bl w:val="nil"/>
                  </w:tcBorders>
                  <w:noWrap w:val="0"/>
                  <w:vAlign w:val="center"/>
                </w:tcPr>
                <w:p w14:paraId="33185DA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56.33</w:t>
                  </w:r>
                </w:p>
              </w:tc>
              <w:tc>
                <w:tcPr>
                  <w:tcW w:w="471" w:type="pct"/>
                  <w:tcBorders>
                    <w:tl2br w:val="nil"/>
                    <w:tr2bl w:val="nil"/>
                  </w:tcBorders>
                  <w:noWrap w:val="0"/>
                  <w:vAlign w:val="center"/>
                </w:tcPr>
                <w:p w14:paraId="5334A50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43.19</w:t>
                  </w:r>
                </w:p>
              </w:tc>
              <w:tc>
                <w:tcPr>
                  <w:tcW w:w="200" w:type="pct"/>
                  <w:vMerge w:val="continue"/>
                  <w:tcBorders>
                    <w:tl2br w:val="nil"/>
                    <w:tr2bl w:val="nil"/>
                  </w:tcBorders>
                  <w:noWrap w:val="0"/>
                  <w:vAlign w:val="center"/>
                </w:tcPr>
                <w:p w14:paraId="3719124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39F2D77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5980964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39.62</w:t>
                  </w:r>
                </w:p>
              </w:tc>
              <w:tc>
                <w:tcPr>
                  <w:tcW w:w="359" w:type="pct"/>
                  <w:tcBorders>
                    <w:tl2br w:val="nil"/>
                    <w:tr2bl w:val="nil"/>
                  </w:tcBorders>
                  <w:noWrap w:val="0"/>
                  <w:vAlign w:val="center"/>
                </w:tcPr>
                <w:p w14:paraId="2ED27C6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7D9138F7">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restart"/>
                  <w:tcBorders>
                    <w:tl2br w:val="nil"/>
                    <w:tr2bl w:val="nil"/>
                  </w:tcBorders>
                  <w:noWrap w:val="0"/>
                  <w:vAlign w:val="center"/>
                </w:tcPr>
                <w:p w14:paraId="7972FB79">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5</w:t>
                  </w:r>
                </w:p>
              </w:tc>
              <w:tc>
                <w:tcPr>
                  <w:tcW w:w="230" w:type="pct"/>
                  <w:vMerge w:val="continue"/>
                  <w:tcBorders>
                    <w:tl2br w:val="nil"/>
                    <w:tr2bl w:val="nil"/>
                  </w:tcBorders>
                  <w:noWrap w:val="0"/>
                  <w:vAlign w:val="center"/>
                </w:tcPr>
                <w:p w14:paraId="295C7E7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restart"/>
                  <w:tcBorders>
                    <w:tl2br w:val="nil"/>
                    <w:tr2bl w:val="nil"/>
                  </w:tcBorders>
                  <w:noWrap w:val="0"/>
                  <w:vAlign w:val="center"/>
                </w:tcPr>
                <w:p w14:paraId="46D073A4">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eastAsia="宋体" w:cs="Times New Roman"/>
                      <w:b w:val="0"/>
                      <w:bCs/>
                      <w:color w:val="auto"/>
                      <w:kern w:val="0"/>
                      <w:sz w:val="21"/>
                      <w:szCs w:val="21"/>
                      <w:u w:val="none" w:color="auto"/>
                      <w:lang w:val="en-US" w:eastAsia="zh-CN" w:bidi="ar-SA"/>
                    </w:rPr>
                    <w:t>行车</w:t>
                  </w:r>
                </w:p>
              </w:tc>
              <w:tc>
                <w:tcPr>
                  <w:tcW w:w="351" w:type="pct"/>
                  <w:vMerge w:val="restart"/>
                  <w:tcBorders>
                    <w:tl2br w:val="nil"/>
                    <w:tr2bl w:val="nil"/>
                  </w:tcBorders>
                  <w:noWrap w:val="0"/>
                  <w:vAlign w:val="center"/>
                </w:tcPr>
                <w:p w14:paraId="4B0B6FC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w:t>
                  </w:r>
                </w:p>
              </w:tc>
              <w:tc>
                <w:tcPr>
                  <w:tcW w:w="350" w:type="pct"/>
                  <w:vMerge w:val="restart"/>
                  <w:tcBorders>
                    <w:tl2br w:val="nil"/>
                    <w:tr2bl w:val="nil"/>
                  </w:tcBorders>
                  <w:noWrap w:val="0"/>
                  <w:vAlign w:val="center"/>
                </w:tcPr>
                <w:p w14:paraId="5A106DB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eastAsia="宋体" w:cs="Times New Roman"/>
                      <w:color w:val="auto"/>
                      <w:kern w:val="2"/>
                      <w:sz w:val="21"/>
                      <w:szCs w:val="21"/>
                      <w:u w:val="none" w:color="auto"/>
                      <w:lang w:val="en-US" w:eastAsia="zh-CN"/>
                    </w:rPr>
                    <w:t>70</w:t>
                  </w:r>
                </w:p>
              </w:tc>
              <w:tc>
                <w:tcPr>
                  <w:tcW w:w="351" w:type="pct"/>
                  <w:vMerge w:val="continue"/>
                  <w:tcBorders>
                    <w:tl2br w:val="nil"/>
                    <w:tr2bl w:val="nil"/>
                  </w:tcBorders>
                  <w:noWrap w:val="0"/>
                  <w:vAlign w:val="center"/>
                </w:tcPr>
                <w:p w14:paraId="6C89A37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restart"/>
                  <w:tcBorders>
                    <w:tl2br w:val="nil"/>
                    <w:tr2bl w:val="nil"/>
                  </w:tcBorders>
                  <w:noWrap w:val="0"/>
                  <w:vAlign w:val="center"/>
                </w:tcPr>
                <w:p w14:paraId="51768E5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106.2</w:t>
                  </w:r>
                </w:p>
              </w:tc>
              <w:tc>
                <w:tcPr>
                  <w:tcW w:w="263" w:type="pct"/>
                  <w:vMerge w:val="restart"/>
                  <w:tcBorders>
                    <w:tl2br w:val="nil"/>
                    <w:tr2bl w:val="nil"/>
                  </w:tcBorders>
                  <w:noWrap w:val="0"/>
                  <w:vAlign w:val="center"/>
                </w:tcPr>
                <w:p w14:paraId="611ECE4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240.5</w:t>
                  </w:r>
                </w:p>
              </w:tc>
              <w:tc>
                <w:tcPr>
                  <w:tcW w:w="219" w:type="pct"/>
                  <w:vMerge w:val="restart"/>
                  <w:tcBorders>
                    <w:tl2br w:val="nil"/>
                    <w:tr2bl w:val="nil"/>
                  </w:tcBorders>
                  <w:noWrap w:val="0"/>
                  <w:vAlign w:val="center"/>
                </w:tcPr>
                <w:p w14:paraId="340FD9C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w:t>
                  </w:r>
                </w:p>
              </w:tc>
              <w:tc>
                <w:tcPr>
                  <w:tcW w:w="252" w:type="pct"/>
                  <w:tcBorders>
                    <w:tl2br w:val="nil"/>
                    <w:tr2bl w:val="nil"/>
                  </w:tcBorders>
                  <w:noWrap w:val="0"/>
                  <w:vAlign w:val="center"/>
                </w:tcPr>
                <w:p w14:paraId="3B197C3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东</w:t>
                  </w:r>
                </w:p>
              </w:tc>
              <w:tc>
                <w:tcPr>
                  <w:tcW w:w="449" w:type="pct"/>
                  <w:tcBorders>
                    <w:tl2br w:val="nil"/>
                    <w:tr2bl w:val="nil"/>
                  </w:tcBorders>
                  <w:noWrap w:val="0"/>
                  <w:vAlign w:val="center"/>
                </w:tcPr>
                <w:p w14:paraId="73305AF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99.9</w:t>
                  </w:r>
                </w:p>
              </w:tc>
              <w:tc>
                <w:tcPr>
                  <w:tcW w:w="471" w:type="pct"/>
                  <w:tcBorders>
                    <w:tl2br w:val="nil"/>
                    <w:tr2bl w:val="nil"/>
                  </w:tcBorders>
                  <w:noWrap w:val="0"/>
                  <w:vAlign w:val="center"/>
                </w:tcPr>
                <w:p w14:paraId="6D882FA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43.15</w:t>
                  </w:r>
                </w:p>
              </w:tc>
              <w:tc>
                <w:tcPr>
                  <w:tcW w:w="200" w:type="pct"/>
                  <w:vMerge w:val="continue"/>
                  <w:tcBorders>
                    <w:tl2br w:val="nil"/>
                    <w:tr2bl w:val="nil"/>
                  </w:tcBorders>
                  <w:noWrap w:val="0"/>
                  <w:vAlign w:val="center"/>
                </w:tcPr>
                <w:p w14:paraId="52DEEC7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7BC7948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6B3CD8B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38.6</w:t>
                  </w:r>
                </w:p>
              </w:tc>
              <w:tc>
                <w:tcPr>
                  <w:tcW w:w="359" w:type="pct"/>
                  <w:tcBorders>
                    <w:tl2br w:val="nil"/>
                    <w:tr2bl w:val="nil"/>
                  </w:tcBorders>
                  <w:noWrap w:val="0"/>
                  <w:vAlign w:val="center"/>
                </w:tcPr>
                <w:p w14:paraId="6BEFFEC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2A753433">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64E667D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34601A9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3FFC2BC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4AD8E1E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46F875A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2A011CD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6A58A6E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7C8686F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7F9611A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4448A37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南</w:t>
                  </w:r>
                </w:p>
              </w:tc>
              <w:tc>
                <w:tcPr>
                  <w:tcW w:w="449" w:type="pct"/>
                  <w:tcBorders>
                    <w:tl2br w:val="nil"/>
                    <w:tr2bl w:val="nil"/>
                  </w:tcBorders>
                  <w:noWrap w:val="0"/>
                  <w:vAlign w:val="center"/>
                </w:tcPr>
                <w:p w14:paraId="60D3591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31.54</w:t>
                  </w:r>
                </w:p>
              </w:tc>
              <w:tc>
                <w:tcPr>
                  <w:tcW w:w="471" w:type="pct"/>
                  <w:tcBorders>
                    <w:tl2br w:val="nil"/>
                    <w:tr2bl w:val="nil"/>
                  </w:tcBorders>
                  <w:noWrap w:val="0"/>
                  <w:vAlign w:val="center"/>
                </w:tcPr>
                <w:p w14:paraId="069CB15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43.3</w:t>
                  </w:r>
                </w:p>
              </w:tc>
              <w:tc>
                <w:tcPr>
                  <w:tcW w:w="200" w:type="pct"/>
                  <w:vMerge w:val="continue"/>
                  <w:tcBorders>
                    <w:tl2br w:val="nil"/>
                    <w:tr2bl w:val="nil"/>
                  </w:tcBorders>
                  <w:noWrap w:val="0"/>
                  <w:vAlign w:val="center"/>
                </w:tcPr>
                <w:p w14:paraId="6A582F7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3EC1756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0D7AAC2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39.73</w:t>
                  </w:r>
                </w:p>
              </w:tc>
              <w:tc>
                <w:tcPr>
                  <w:tcW w:w="359" w:type="pct"/>
                  <w:tcBorders>
                    <w:tl2br w:val="nil"/>
                    <w:tr2bl w:val="nil"/>
                  </w:tcBorders>
                  <w:noWrap w:val="0"/>
                  <w:vAlign w:val="center"/>
                </w:tcPr>
                <w:p w14:paraId="4CDD170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79EBF079">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1E24BF4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3BC4C99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60122EB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53B53DD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389588F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2ACB265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7BA5283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6ECC054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7A881A3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030BDA6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西</w:t>
                  </w:r>
                </w:p>
              </w:tc>
              <w:tc>
                <w:tcPr>
                  <w:tcW w:w="449" w:type="pct"/>
                  <w:tcBorders>
                    <w:tl2br w:val="nil"/>
                    <w:tr2bl w:val="nil"/>
                  </w:tcBorders>
                  <w:noWrap w:val="0"/>
                  <w:vAlign w:val="center"/>
                </w:tcPr>
                <w:p w14:paraId="67BC2F3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42.37</w:t>
                  </w:r>
                </w:p>
              </w:tc>
              <w:tc>
                <w:tcPr>
                  <w:tcW w:w="471" w:type="pct"/>
                  <w:tcBorders>
                    <w:tl2br w:val="nil"/>
                    <w:tr2bl w:val="nil"/>
                  </w:tcBorders>
                  <w:noWrap w:val="0"/>
                  <w:vAlign w:val="center"/>
                </w:tcPr>
                <w:p w14:paraId="446EF3E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43.23</w:t>
                  </w:r>
                </w:p>
              </w:tc>
              <w:tc>
                <w:tcPr>
                  <w:tcW w:w="200" w:type="pct"/>
                  <w:vMerge w:val="continue"/>
                  <w:tcBorders>
                    <w:tl2br w:val="nil"/>
                    <w:tr2bl w:val="nil"/>
                  </w:tcBorders>
                  <w:noWrap w:val="0"/>
                  <w:vAlign w:val="center"/>
                </w:tcPr>
                <w:p w14:paraId="0128F48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332C0C0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3FE6FE4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38.67</w:t>
                  </w:r>
                </w:p>
              </w:tc>
              <w:tc>
                <w:tcPr>
                  <w:tcW w:w="359" w:type="pct"/>
                  <w:tcBorders>
                    <w:tl2br w:val="nil"/>
                    <w:tr2bl w:val="nil"/>
                  </w:tcBorders>
                  <w:noWrap w:val="0"/>
                  <w:vAlign w:val="center"/>
                </w:tcPr>
                <w:p w14:paraId="052129E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67517F36">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47562F7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36B6834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4D5D05D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4C4AF95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1096023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30764EE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5A87ED6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2A06D08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639208D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55A2F0A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北</w:t>
                  </w:r>
                </w:p>
              </w:tc>
              <w:tc>
                <w:tcPr>
                  <w:tcW w:w="449" w:type="pct"/>
                  <w:tcBorders>
                    <w:tl2br w:val="nil"/>
                    <w:tr2bl w:val="nil"/>
                  </w:tcBorders>
                  <w:noWrap w:val="0"/>
                  <w:vAlign w:val="center"/>
                </w:tcPr>
                <w:p w14:paraId="45FCB2F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83.72</w:t>
                  </w:r>
                </w:p>
              </w:tc>
              <w:tc>
                <w:tcPr>
                  <w:tcW w:w="471" w:type="pct"/>
                  <w:tcBorders>
                    <w:tl2br w:val="nil"/>
                    <w:tr2bl w:val="nil"/>
                  </w:tcBorders>
                  <w:noWrap w:val="0"/>
                  <w:vAlign w:val="center"/>
                </w:tcPr>
                <w:p w14:paraId="45DF2CB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43.16</w:t>
                  </w:r>
                </w:p>
              </w:tc>
              <w:tc>
                <w:tcPr>
                  <w:tcW w:w="200" w:type="pct"/>
                  <w:vMerge w:val="continue"/>
                  <w:tcBorders>
                    <w:tl2br w:val="nil"/>
                    <w:tr2bl w:val="nil"/>
                  </w:tcBorders>
                  <w:noWrap w:val="0"/>
                  <w:vAlign w:val="center"/>
                </w:tcPr>
                <w:p w14:paraId="631AAA3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6F13304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50F3CCB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39.59</w:t>
                  </w:r>
                </w:p>
              </w:tc>
              <w:tc>
                <w:tcPr>
                  <w:tcW w:w="359" w:type="pct"/>
                  <w:tcBorders>
                    <w:tl2br w:val="nil"/>
                    <w:tr2bl w:val="nil"/>
                  </w:tcBorders>
                  <w:noWrap w:val="0"/>
                  <w:vAlign w:val="center"/>
                </w:tcPr>
                <w:p w14:paraId="0A09F0E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5D34BBBF">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restart"/>
                  <w:tcBorders>
                    <w:tl2br w:val="nil"/>
                    <w:tr2bl w:val="nil"/>
                  </w:tcBorders>
                  <w:noWrap w:val="0"/>
                  <w:vAlign w:val="center"/>
                </w:tcPr>
                <w:p w14:paraId="5ECCF77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7</w:t>
                  </w:r>
                </w:p>
              </w:tc>
              <w:tc>
                <w:tcPr>
                  <w:tcW w:w="230" w:type="pct"/>
                  <w:vMerge w:val="continue"/>
                  <w:tcBorders>
                    <w:tl2br w:val="nil"/>
                    <w:tr2bl w:val="nil"/>
                  </w:tcBorders>
                  <w:noWrap w:val="0"/>
                  <w:vAlign w:val="center"/>
                </w:tcPr>
                <w:p w14:paraId="3539155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restart"/>
                  <w:tcBorders>
                    <w:tl2br w:val="nil"/>
                    <w:tr2bl w:val="nil"/>
                  </w:tcBorders>
                  <w:noWrap w:val="0"/>
                  <w:vAlign w:val="center"/>
                </w:tcPr>
                <w:p w14:paraId="7AE9E99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lang w:val="en-US" w:eastAsia="zh-CN"/>
                    </w:rPr>
                    <w:t>真空泵</w:t>
                  </w:r>
                </w:p>
              </w:tc>
              <w:tc>
                <w:tcPr>
                  <w:tcW w:w="351" w:type="pct"/>
                  <w:vMerge w:val="restart"/>
                  <w:tcBorders>
                    <w:tl2br w:val="nil"/>
                    <w:tr2bl w:val="nil"/>
                  </w:tcBorders>
                  <w:noWrap w:val="0"/>
                  <w:vAlign w:val="center"/>
                </w:tcPr>
                <w:p w14:paraId="1E3DDD5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w:t>
                  </w:r>
                </w:p>
              </w:tc>
              <w:tc>
                <w:tcPr>
                  <w:tcW w:w="350" w:type="pct"/>
                  <w:vMerge w:val="restart"/>
                  <w:tcBorders>
                    <w:tl2br w:val="nil"/>
                    <w:tr2bl w:val="nil"/>
                  </w:tcBorders>
                  <w:noWrap w:val="0"/>
                  <w:vAlign w:val="center"/>
                </w:tcPr>
                <w:p w14:paraId="53B32B5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75</w:t>
                  </w:r>
                </w:p>
              </w:tc>
              <w:tc>
                <w:tcPr>
                  <w:tcW w:w="351" w:type="pct"/>
                  <w:vMerge w:val="continue"/>
                  <w:tcBorders>
                    <w:tl2br w:val="nil"/>
                    <w:tr2bl w:val="nil"/>
                  </w:tcBorders>
                  <w:noWrap w:val="0"/>
                  <w:vAlign w:val="center"/>
                </w:tcPr>
                <w:p w14:paraId="2E0A822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restart"/>
                  <w:tcBorders>
                    <w:tl2br w:val="nil"/>
                    <w:tr2bl w:val="nil"/>
                  </w:tcBorders>
                  <w:noWrap w:val="0"/>
                  <w:vAlign w:val="center"/>
                </w:tcPr>
                <w:p w14:paraId="48628D2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106.7</w:t>
                  </w:r>
                </w:p>
              </w:tc>
              <w:tc>
                <w:tcPr>
                  <w:tcW w:w="263" w:type="pct"/>
                  <w:vMerge w:val="restart"/>
                  <w:tcBorders>
                    <w:tl2br w:val="nil"/>
                    <w:tr2bl w:val="nil"/>
                  </w:tcBorders>
                  <w:noWrap w:val="0"/>
                  <w:vAlign w:val="center"/>
                </w:tcPr>
                <w:p w14:paraId="723FEC4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291.5</w:t>
                  </w:r>
                </w:p>
              </w:tc>
              <w:tc>
                <w:tcPr>
                  <w:tcW w:w="219" w:type="pct"/>
                  <w:vMerge w:val="restart"/>
                  <w:tcBorders>
                    <w:tl2br w:val="nil"/>
                    <w:tr2bl w:val="nil"/>
                  </w:tcBorders>
                  <w:noWrap w:val="0"/>
                  <w:vAlign w:val="center"/>
                </w:tcPr>
                <w:p w14:paraId="376C236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0.2</w:t>
                  </w:r>
                </w:p>
              </w:tc>
              <w:tc>
                <w:tcPr>
                  <w:tcW w:w="252" w:type="pct"/>
                  <w:tcBorders>
                    <w:tl2br w:val="nil"/>
                    <w:tr2bl w:val="nil"/>
                  </w:tcBorders>
                  <w:noWrap w:val="0"/>
                  <w:vAlign w:val="center"/>
                </w:tcPr>
                <w:p w14:paraId="76D5977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东</w:t>
                  </w:r>
                </w:p>
              </w:tc>
              <w:tc>
                <w:tcPr>
                  <w:tcW w:w="449" w:type="pct"/>
                  <w:tcBorders>
                    <w:tl2br w:val="nil"/>
                    <w:tr2bl w:val="nil"/>
                  </w:tcBorders>
                  <w:noWrap w:val="0"/>
                  <w:vAlign w:val="center"/>
                </w:tcPr>
                <w:p w14:paraId="3085893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63.31</w:t>
                  </w:r>
                </w:p>
              </w:tc>
              <w:tc>
                <w:tcPr>
                  <w:tcW w:w="471" w:type="pct"/>
                  <w:tcBorders>
                    <w:tl2br w:val="nil"/>
                    <w:tr2bl w:val="nil"/>
                  </w:tcBorders>
                  <w:noWrap w:val="0"/>
                  <w:vAlign w:val="center"/>
                </w:tcPr>
                <w:p w14:paraId="65CACE6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48.18</w:t>
                  </w:r>
                </w:p>
              </w:tc>
              <w:tc>
                <w:tcPr>
                  <w:tcW w:w="200" w:type="pct"/>
                  <w:vMerge w:val="continue"/>
                  <w:tcBorders>
                    <w:tl2br w:val="nil"/>
                    <w:tr2bl w:val="nil"/>
                  </w:tcBorders>
                  <w:noWrap w:val="0"/>
                  <w:vAlign w:val="center"/>
                </w:tcPr>
                <w:p w14:paraId="3B15BC5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6254206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03C5597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43.62</w:t>
                  </w:r>
                </w:p>
              </w:tc>
              <w:tc>
                <w:tcPr>
                  <w:tcW w:w="359" w:type="pct"/>
                  <w:tcBorders>
                    <w:tl2br w:val="nil"/>
                    <w:tr2bl w:val="nil"/>
                  </w:tcBorders>
                  <w:noWrap w:val="0"/>
                  <w:vAlign w:val="center"/>
                </w:tcPr>
                <w:p w14:paraId="48A8887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30336D1F">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10DF575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715D4E2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1B4AB2C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531F5BF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0C78E48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07D48A9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25A9FE3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45DA536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5EEC194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746610C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南</w:t>
                  </w:r>
                </w:p>
              </w:tc>
              <w:tc>
                <w:tcPr>
                  <w:tcW w:w="449" w:type="pct"/>
                  <w:tcBorders>
                    <w:tl2br w:val="nil"/>
                    <w:tr2bl w:val="nil"/>
                  </w:tcBorders>
                  <w:noWrap w:val="0"/>
                  <w:vAlign w:val="center"/>
                </w:tcPr>
                <w:p w14:paraId="33CBD49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67.07</w:t>
                  </w:r>
                </w:p>
              </w:tc>
              <w:tc>
                <w:tcPr>
                  <w:tcW w:w="471" w:type="pct"/>
                  <w:tcBorders>
                    <w:tl2br w:val="nil"/>
                    <w:tr2bl w:val="nil"/>
                  </w:tcBorders>
                  <w:noWrap w:val="0"/>
                  <w:vAlign w:val="center"/>
                </w:tcPr>
                <w:p w14:paraId="76D6A61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48.17</w:t>
                  </w:r>
                </w:p>
              </w:tc>
              <w:tc>
                <w:tcPr>
                  <w:tcW w:w="200" w:type="pct"/>
                  <w:vMerge w:val="continue"/>
                  <w:tcBorders>
                    <w:tl2br w:val="nil"/>
                    <w:tr2bl w:val="nil"/>
                  </w:tcBorders>
                  <w:noWrap w:val="0"/>
                  <w:vAlign w:val="center"/>
                </w:tcPr>
                <w:p w14:paraId="03A9824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00583EE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30D5325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44.6</w:t>
                  </w:r>
                </w:p>
              </w:tc>
              <w:tc>
                <w:tcPr>
                  <w:tcW w:w="359" w:type="pct"/>
                  <w:tcBorders>
                    <w:tl2br w:val="nil"/>
                    <w:tr2bl w:val="nil"/>
                  </w:tcBorders>
                  <w:noWrap w:val="0"/>
                  <w:vAlign w:val="center"/>
                </w:tcPr>
                <w:p w14:paraId="7717223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57F88A5D">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5FD6531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18A6A7D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1DBF1F0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33F87ED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47C0E99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48EEB6A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1141358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2143BFD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0619A85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53C29A1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西</w:t>
                  </w:r>
                </w:p>
              </w:tc>
              <w:tc>
                <w:tcPr>
                  <w:tcW w:w="449" w:type="pct"/>
                  <w:tcBorders>
                    <w:tl2br w:val="nil"/>
                    <w:tr2bl w:val="nil"/>
                  </w:tcBorders>
                  <w:noWrap w:val="0"/>
                  <w:vAlign w:val="center"/>
                </w:tcPr>
                <w:p w14:paraId="1524E27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78.96</w:t>
                  </w:r>
                </w:p>
              </w:tc>
              <w:tc>
                <w:tcPr>
                  <w:tcW w:w="471" w:type="pct"/>
                  <w:tcBorders>
                    <w:tl2br w:val="nil"/>
                    <w:tr2bl w:val="nil"/>
                  </w:tcBorders>
                  <w:noWrap w:val="0"/>
                  <w:vAlign w:val="center"/>
                </w:tcPr>
                <w:p w14:paraId="6DE4CE4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48.16</w:t>
                  </w:r>
                </w:p>
              </w:tc>
              <w:tc>
                <w:tcPr>
                  <w:tcW w:w="200" w:type="pct"/>
                  <w:vMerge w:val="continue"/>
                  <w:tcBorders>
                    <w:tl2br w:val="nil"/>
                    <w:tr2bl w:val="nil"/>
                  </w:tcBorders>
                  <w:noWrap w:val="0"/>
                  <w:vAlign w:val="center"/>
                </w:tcPr>
                <w:p w14:paraId="7125858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53CEC90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23B552A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43.61</w:t>
                  </w:r>
                </w:p>
              </w:tc>
              <w:tc>
                <w:tcPr>
                  <w:tcW w:w="359" w:type="pct"/>
                  <w:tcBorders>
                    <w:tl2br w:val="nil"/>
                    <w:tr2bl w:val="nil"/>
                  </w:tcBorders>
                  <w:noWrap w:val="0"/>
                  <w:vAlign w:val="center"/>
                </w:tcPr>
                <w:p w14:paraId="316E2DD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1CF00C85">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0A9ACAA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6DE869F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54C552D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52328D5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6261A51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09BB1EB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2E819E2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6871F56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69464CD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042F005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北</w:t>
                  </w:r>
                </w:p>
              </w:tc>
              <w:tc>
                <w:tcPr>
                  <w:tcW w:w="449" w:type="pct"/>
                  <w:tcBorders>
                    <w:tl2br w:val="nil"/>
                    <w:tr2bl w:val="nil"/>
                  </w:tcBorders>
                  <w:noWrap w:val="0"/>
                  <w:vAlign w:val="center"/>
                </w:tcPr>
                <w:p w14:paraId="48DAA79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48.19</w:t>
                  </w:r>
                </w:p>
              </w:tc>
              <w:tc>
                <w:tcPr>
                  <w:tcW w:w="471" w:type="pct"/>
                  <w:tcBorders>
                    <w:tl2br w:val="nil"/>
                    <w:tr2bl w:val="nil"/>
                  </w:tcBorders>
                  <w:noWrap w:val="0"/>
                  <w:vAlign w:val="center"/>
                </w:tcPr>
                <w:p w14:paraId="58E3B0F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48.21</w:t>
                  </w:r>
                </w:p>
              </w:tc>
              <w:tc>
                <w:tcPr>
                  <w:tcW w:w="200" w:type="pct"/>
                  <w:vMerge w:val="continue"/>
                  <w:tcBorders>
                    <w:tl2br w:val="nil"/>
                    <w:tr2bl w:val="nil"/>
                  </w:tcBorders>
                  <w:noWrap w:val="0"/>
                  <w:vAlign w:val="center"/>
                </w:tcPr>
                <w:p w14:paraId="150E953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226C02F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5454D8D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44.64</w:t>
                  </w:r>
                </w:p>
              </w:tc>
              <w:tc>
                <w:tcPr>
                  <w:tcW w:w="359" w:type="pct"/>
                  <w:tcBorders>
                    <w:tl2br w:val="nil"/>
                    <w:tr2bl w:val="nil"/>
                  </w:tcBorders>
                  <w:noWrap w:val="0"/>
                  <w:vAlign w:val="center"/>
                </w:tcPr>
                <w:p w14:paraId="730B812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16571440">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18" w:hRule="atLeast"/>
                <w:jc w:val="center"/>
              </w:trPr>
              <w:tc>
                <w:tcPr>
                  <w:tcW w:w="230" w:type="pct"/>
                  <w:vMerge w:val="restart"/>
                  <w:tcBorders>
                    <w:tl2br w:val="nil"/>
                    <w:tr2bl w:val="nil"/>
                  </w:tcBorders>
                  <w:noWrap w:val="0"/>
                  <w:vAlign w:val="center"/>
                </w:tcPr>
                <w:p w14:paraId="50089C8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8</w:t>
                  </w:r>
                </w:p>
              </w:tc>
              <w:tc>
                <w:tcPr>
                  <w:tcW w:w="230" w:type="pct"/>
                  <w:vMerge w:val="continue"/>
                  <w:tcBorders>
                    <w:tl2br w:val="nil"/>
                    <w:tr2bl w:val="nil"/>
                  </w:tcBorders>
                  <w:noWrap w:val="0"/>
                  <w:vAlign w:val="center"/>
                </w:tcPr>
                <w:p w14:paraId="71FC40F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restart"/>
                  <w:tcBorders>
                    <w:tl2br w:val="nil"/>
                    <w:tr2bl w:val="nil"/>
                  </w:tcBorders>
                  <w:shd w:val="clear" w:color="auto" w:fill="auto"/>
                  <w:noWrap w:val="0"/>
                  <w:vAlign w:val="center"/>
                </w:tcPr>
                <w:p w14:paraId="01A11E31">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lang w:val="en-US" w:eastAsia="zh-CN"/>
                    </w:rPr>
                    <w:t>真空泵</w:t>
                  </w:r>
                </w:p>
              </w:tc>
              <w:tc>
                <w:tcPr>
                  <w:tcW w:w="351" w:type="pct"/>
                  <w:vMerge w:val="restart"/>
                  <w:tcBorders>
                    <w:tl2br w:val="nil"/>
                    <w:tr2bl w:val="nil"/>
                  </w:tcBorders>
                  <w:shd w:val="clear" w:color="auto" w:fill="auto"/>
                  <w:noWrap w:val="0"/>
                  <w:vAlign w:val="center"/>
                </w:tcPr>
                <w:p w14:paraId="5BCA931C">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w:t>
                  </w:r>
                </w:p>
              </w:tc>
              <w:tc>
                <w:tcPr>
                  <w:tcW w:w="350" w:type="pct"/>
                  <w:vMerge w:val="restart"/>
                  <w:tcBorders>
                    <w:tl2br w:val="nil"/>
                    <w:tr2bl w:val="nil"/>
                  </w:tcBorders>
                  <w:shd w:val="clear" w:color="auto" w:fill="auto"/>
                  <w:noWrap w:val="0"/>
                  <w:vAlign w:val="center"/>
                </w:tcPr>
                <w:p w14:paraId="5E8AF5C1">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75</w:t>
                  </w:r>
                </w:p>
              </w:tc>
              <w:tc>
                <w:tcPr>
                  <w:tcW w:w="351" w:type="pct"/>
                  <w:vMerge w:val="continue"/>
                  <w:tcBorders>
                    <w:tl2br w:val="nil"/>
                    <w:tr2bl w:val="nil"/>
                  </w:tcBorders>
                  <w:shd w:val="clear" w:color="auto" w:fill="auto"/>
                  <w:noWrap w:val="0"/>
                  <w:vAlign w:val="center"/>
                </w:tcPr>
                <w:p w14:paraId="6BB7E7E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restart"/>
                  <w:tcBorders>
                    <w:tl2br w:val="nil"/>
                    <w:tr2bl w:val="nil"/>
                  </w:tcBorders>
                  <w:shd w:val="clear" w:color="auto" w:fill="auto"/>
                  <w:noWrap w:val="0"/>
                  <w:vAlign w:val="center"/>
                </w:tcPr>
                <w:p w14:paraId="15FA958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113.7</w:t>
                  </w:r>
                </w:p>
              </w:tc>
              <w:tc>
                <w:tcPr>
                  <w:tcW w:w="263" w:type="pct"/>
                  <w:vMerge w:val="restart"/>
                  <w:tcBorders>
                    <w:tl2br w:val="nil"/>
                    <w:tr2bl w:val="nil"/>
                  </w:tcBorders>
                  <w:shd w:val="clear" w:color="auto" w:fill="auto"/>
                  <w:noWrap w:val="0"/>
                  <w:vAlign w:val="center"/>
                </w:tcPr>
                <w:p w14:paraId="50442C9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285.8</w:t>
                  </w:r>
                </w:p>
              </w:tc>
              <w:tc>
                <w:tcPr>
                  <w:tcW w:w="219" w:type="pct"/>
                  <w:vMerge w:val="restart"/>
                  <w:tcBorders>
                    <w:tl2br w:val="nil"/>
                    <w:tr2bl w:val="nil"/>
                  </w:tcBorders>
                  <w:shd w:val="clear" w:color="auto" w:fill="auto"/>
                  <w:noWrap w:val="0"/>
                  <w:vAlign w:val="center"/>
                </w:tcPr>
                <w:p w14:paraId="1A4519E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0.2</w:t>
                  </w:r>
                </w:p>
              </w:tc>
              <w:tc>
                <w:tcPr>
                  <w:tcW w:w="252" w:type="pct"/>
                  <w:tcBorders>
                    <w:tl2br w:val="nil"/>
                    <w:tr2bl w:val="nil"/>
                  </w:tcBorders>
                  <w:shd w:val="clear" w:color="auto" w:fill="auto"/>
                  <w:noWrap w:val="0"/>
                  <w:vAlign w:val="center"/>
                </w:tcPr>
                <w:p w14:paraId="55C6992C">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东</w:t>
                  </w:r>
                </w:p>
              </w:tc>
              <w:tc>
                <w:tcPr>
                  <w:tcW w:w="449" w:type="pct"/>
                  <w:tcBorders>
                    <w:tl2br w:val="nil"/>
                    <w:tr2bl w:val="nil"/>
                  </w:tcBorders>
                  <w:shd w:val="clear" w:color="auto" w:fill="auto"/>
                  <w:noWrap w:val="0"/>
                  <w:vAlign w:val="center"/>
                </w:tcPr>
                <w:p w14:paraId="1F30DA8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62.44</w:t>
                  </w:r>
                </w:p>
              </w:tc>
              <w:tc>
                <w:tcPr>
                  <w:tcW w:w="471" w:type="pct"/>
                  <w:tcBorders>
                    <w:tl2br w:val="nil"/>
                    <w:tr2bl w:val="nil"/>
                  </w:tcBorders>
                  <w:shd w:val="clear" w:color="auto" w:fill="auto"/>
                  <w:noWrap w:val="0"/>
                  <w:vAlign w:val="center"/>
                </w:tcPr>
                <w:p w14:paraId="7AAECD9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48.18</w:t>
                  </w:r>
                </w:p>
              </w:tc>
              <w:tc>
                <w:tcPr>
                  <w:tcW w:w="200" w:type="pct"/>
                  <w:vMerge w:val="continue"/>
                  <w:tcBorders>
                    <w:tl2br w:val="nil"/>
                    <w:tr2bl w:val="nil"/>
                  </w:tcBorders>
                  <w:shd w:val="clear" w:color="auto" w:fill="auto"/>
                  <w:noWrap w:val="0"/>
                  <w:vAlign w:val="center"/>
                </w:tcPr>
                <w:p w14:paraId="2AFE113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shd w:val="clear" w:color="auto" w:fill="auto"/>
                  <w:noWrap w:val="0"/>
                  <w:vAlign w:val="center"/>
                </w:tcPr>
                <w:p w14:paraId="59B0DF3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645D97A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43.62</w:t>
                  </w:r>
                </w:p>
              </w:tc>
              <w:tc>
                <w:tcPr>
                  <w:tcW w:w="359" w:type="pct"/>
                  <w:tcBorders>
                    <w:tl2br w:val="nil"/>
                    <w:tr2bl w:val="nil"/>
                  </w:tcBorders>
                  <w:shd w:val="clear" w:color="auto" w:fill="auto"/>
                  <w:noWrap w:val="0"/>
                  <w:vAlign w:val="center"/>
                </w:tcPr>
                <w:p w14:paraId="3DEA90BA">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72C1A3A6">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19F9591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3DE11D6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3F336FB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3CD6F70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1EBD200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5AEE3CE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562B362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4CFB4B4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347994C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shd w:val="clear" w:color="auto" w:fill="auto"/>
                  <w:noWrap w:val="0"/>
                  <w:vAlign w:val="center"/>
                </w:tcPr>
                <w:p w14:paraId="26623B59">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南</w:t>
                  </w:r>
                </w:p>
              </w:tc>
              <w:tc>
                <w:tcPr>
                  <w:tcW w:w="449" w:type="pct"/>
                  <w:tcBorders>
                    <w:tl2br w:val="nil"/>
                    <w:tr2bl w:val="nil"/>
                  </w:tcBorders>
                  <w:shd w:val="clear" w:color="auto" w:fill="auto"/>
                  <w:noWrap w:val="0"/>
                  <w:vAlign w:val="center"/>
                </w:tcPr>
                <w:p w14:paraId="66B9300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58.08</w:t>
                  </w:r>
                </w:p>
              </w:tc>
              <w:tc>
                <w:tcPr>
                  <w:tcW w:w="471" w:type="pct"/>
                  <w:tcBorders>
                    <w:tl2br w:val="nil"/>
                    <w:tr2bl w:val="nil"/>
                  </w:tcBorders>
                  <w:shd w:val="clear" w:color="auto" w:fill="auto"/>
                  <w:noWrap w:val="0"/>
                  <w:vAlign w:val="center"/>
                </w:tcPr>
                <w:p w14:paraId="0217515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48.19</w:t>
                  </w:r>
                </w:p>
              </w:tc>
              <w:tc>
                <w:tcPr>
                  <w:tcW w:w="200" w:type="pct"/>
                  <w:vMerge w:val="continue"/>
                  <w:tcBorders>
                    <w:tl2br w:val="nil"/>
                    <w:tr2bl w:val="nil"/>
                  </w:tcBorders>
                  <w:noWrap w:val="0"/>
                  <w:vAlign w:val="center"/>
                </w:tcPr>
                <w:p w14:paraId="3FD9FE2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6239442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6C3ED08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44.62</w:t>
                  </w:r>
                </w:p>
              </w:tc>
              <w:tc>
                <w:tcPr>
                  <w:tcW w:w="359" w:type="pct"/>
                  <w:tcBorders>
                    <w:tl2br w:val="nil"/>
                    <w:tr2bl w:val="nil"/>
                  </w:tcBorders>
                  <w:shd w:val="clear" w:color="auto" w:fill="auto"/>
                  <w:noWrap w:val="0"/>
                  <w:vAlign w:val="center"/>
                </w:tcPr>
                <w:p w14:paraId="4153D5AF">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09E61D91">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166CC41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357323A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3E37188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1871DA1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1BE2B95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0C44567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71175BB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34B531D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5BF41C9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shd w:val="clear" w:color="auto" w:fill="auto"/>
                  <w:noWrap w:val="0"/>
                  <w:vAlign w:val="center"/>
                </w:tcPr>
                <w:p w14:paraId="33FFF5DD">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西</w:t>
                  </w:r>
                </w:p>
              </w:tc>
              <w:tc>
                <w:tcPr>
                  <w:tcW w:w="449" w:type="pct"/>
                  <w:tcBorders>
                    <w:tl2br w:val="nil"/>
                    <w:tr2bl w:val="nil"/>
                  </w:tcBorders>
                  <w:shd w:val="clear" w:color="auto" w:fill="auto"/>
                  <w:noWrap w:val="0"/>
                  <w:vAlign w:val="center"/>
                </w:tcPr>
                <w:p w14:paraId="180B1AF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79.84</w:t>
                  </w:r>
                </w:p>
              </w:tc>
              <w:tc>
                <w:tcPr>
                  <w:tcW w:w="471" w:type="pct"/>
                  <w:tcBorders>
                    <w:tl2br w:val="nil"/>
                    <w:tr2bl w:val="nil"/>
                  </w:tcBorders>
                  <w:shd w:val="clear" w:color="auto" w:fill="auto"/>
                  <w:noWrap w:val="0"/>
                  <w:vAlign w:val="center"/>
                </w:tcPr>
                <w:p w14:paraId="74C311F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48.16</w:t>
                  </w:r>
                </w:p>
              </w:tc>
              <w:tc>
                <w:tcPr>
                  <w:tcW w:w="200" w:type="pct"/>
                  <w:vMerge w:val="continue"/>
                  <w:tcBorders>
                    <w:tl2br w:val="nil"/>
                    <w:tr2bl w:val="nil"/>
                  </w:tcBorders>
                  <w:noWrap w:val="0"/>
                  <w:vAlign w:val="center"/>
                </w:tcPr>
                <w:p w14:paraId="06825EC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4AC25B3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0E058D4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43.61</w:t>
                  </w:r>
                </w:p>
              </w:tc>
              <w:tc>
                <w:tcPr>
                  <w:tcW w:w="359" w:type="pct"/>
                  <w:tcBorders>
                    <w:tl2br w:val="nil"/>
                    <w:tr2bl w:val="nil"/>
                  </w:tcBorders>
                  <w:shd w:val="clear" w:color="auto" w:fill="auto"/>
                  <w:noWrap w:val="0"/>
                  <w:vAlign w:val="center"/>
                </w:tcPr>
                <w:p w14:paraId="3C7601D9">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44CDB2F7">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2B29848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4B904CC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5FF26FE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0EA5FD5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0E99ACC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3CC1D5C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6481FC9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0094B06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029D180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shd w:val="clear" w:color="auto" w:fill="auto"/>
                  <w:noWrap w:val="0"/>
                  <w:vAlign w:val="center"/>
                </w:tcPr>
                <w:p w14:paraId="435359A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北</w:t>
                  </w:r>
                </w:p>
              </w:tc>
              <w:tc>
                <w:tcPr>
                  <w:tcW w:w="449" w:type="pct"/>
                  <w:tcBorders>
                    <w:tl2br w:val="nil"/>
                    <w:tr2bl w:val="nil"/>
                  </w:tcBorders>
                  <w:shd w:val="clear" w:color="auto" w:fill="auto"/>
                  <w:noWrap w:val="0"/>
                  <w:vAlign w:val="center"/>
                </w:tcPr>
                <w:p w14:paraId="163035C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57.18</w:t>
                  </w:r>
                </w:p>
              </w:tc>
              <w:tc>
                <w:tcPr>
                  <w:tcW w:w="471" w:type="pct"/>
                  <w:tcBorders>
                    <w:tl2br w:val="nil"/>
                    <w:tr2bl w:val="nil"/>
                  </w:tcBorders>
                  <w:shd w:val="clear" w:color="auto" w:fill="auto"/>
                  <w:noWrap w:val="0"/>
                  <w:vAlign w:val="center"/>
                </w:tcPr>
                <w:p w14:paraId="754AD26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48.19</w:t>
                  </w:r>
                </w:p>
              </w:tc>
              <w:tc>
                <w:tcPr>
                  <w:tcW w:w="200" w:type="pct"/>
                  <w:vMerge w:val="continue"/>
                  <w:tcBorders>
                    <w:tl2br w:val="nil"/>
                    <w:tr2bl w:val="nil"/>
                  </w:tcBorders>
                  <w:noWrap w:val="0"/>
                  <w:vAlign w:val="center"/>
                </w:tcPr>
                <w:p w14:paraId="561D653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7A985B5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53AF869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44.62</w:t>
                  </w:r>
                </w:p>
              </w:tc>
              <w:tc>
                <w:tcPr>
                  <w:tcW w:w="359" w:type="pct"/>
                  <w:tcBorders>
                    <w:tl2br w:val="nil"/>
                    <w:tr2bl w:val="nil"/>
                  </w:tcBorders>
                  <w:shd w:val="clear" w:color="auto" w:fill="auto"/>
                  <w:noWrap w:val="0"/>
                  <w:vAlign w:val="center"/>
                </w:tcPr>
                <w:p w14:paraId="46D07965">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401CF1C3">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restart"/>
                  <w:tcBorders>
                    <w:tl2br w:val="nil"/>
                    <w:tr2bl w:val="nil"/>
                  </w:tcBorders>
                  <w:noWrap w:val="0"/>
                  <w:vAlign w:val="center"/>
                </w:tcPr>
                <w:p w14:paraId="36F8911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9</w:t>
                  </w:r>
                </w:p>
              </w:tc>
              <w:tc>
                <w:tcPr>
                  <w:tcW w:w="230" w:type="pct"/>
                  <w:vMerge w:val="continue"/>
                  <w:tcBorders>
                    <w:tl2br w:val="nil"/>
                    <w:tr2bl w:val="nil"/>
                  </w:tcBorders>
                  <w:noWrap w:val="0"/>
                  <w:vAlign w:val="center"/>
                </w:tcPr>
                <w:p w14:paraId="208B8BC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restart"/>
                  <w:tcBorders>
                    <w:tl2br w:val="nil"/>
                    <w:tr2bl w:val="nil"/>
                  </w:tcBorders>
                  <w:noWrap w:val="0"/>
                  <w:vAlign w:val="center"/>
                </w:tcPr>
                <w:p w14:paraId="5339519D">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lang w:val="en-US" w:eastAsia="zh-CN"/>
                    </w:rPr>
                    <w:t>滚筒式滚球机</w:t>
                  </w:r>
                </w:p>
              </w:tc>
              <w:tc>
                <w:tcPr>
                  <w:tcW w:w="351" w:type="pct"/>
                  <w:vMerge w:val="restart"/>
                  <w:tcBorders>
                    <w:tl2br w:val="nil"/>
                    <w:tr2bl w:val="nil"/>
                  </w:tcBorders>
                  <w:noWrap w:val="0"/>
                  <w:vAlign w:val="center"/>
                </w:tcPr>
                <w:p w14:paraId="601D945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default" w:ascii="Times New Roman" w:hAnsi="Times New Roman" w:eastAsia="宋体" w:cs="Times New Roman"/>
                      <w:color w:val="auto"/>
                      <w:kern w:val="2"/>
                      <w:sz w:val="21"/>
                      <w:szCs w:val="21"/>
                      <w:u w:val="none" w:color="auto"/>
                      <w:lang w:val="en-US" w:eastAsia="zh-CN"/>
                    </w:rPr>
                    <w:t>18.5kW</w:t>
                  </w:r>
                </w:p>
              </w:tc>
              <w:tc>
                <w:tcPr>
                  <w:tcW w:w="350" w:type="pct"/>
                  <w:vMerge w:val="restart"/>
                  <w:tcBorders>
                    <w:tl2br w:val="nil"/>
                    <w:tr2bl w:val="nil"/>
                  </w:tcBorders>
                  <w:noWrap w:val="0"/>
                  <w:vAlign w:val="center"/>
                </w:tcPr>
                <w:p w14:paraId="63128B2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rPr>
                  </w:pPr>
                  <w:r>
                    <w:rPr>
                      <w:rFonts w:hint="default" w:ascii="Times New Roman" w:hAnsi="Times New Roman" w:eastAsia="宋体" w:cs="Times New Roman"/>
                      <w:color w:val="auto"/>
                      <w:kern w:val="2"/>
                      <w:sz w:val="21"/>
                      <w:szCs w:val="21"/>
                      <w:u w:val="none" w:color="auto"/>
                      <w:lang w:val="en-US" w:eastAsia="zh-CN"/>
                    </w:rPr>
                    <w:t>8</w:t>
                  </w:r>
                  <w:r>
                    <w:rPr>
                      <w:rFonts w:hint="eastAsia" w:ascii="Times New Roman" w:hAnsi="Times New Roman" w:cs="Times New Roman"/>
                      <w:color w:val="auto"/>
                      <w:kern w:val="2"/>
                      <w:sz w:val="21"/>
                      <w:szCs w:val="21"/>
                      <w:u w:val="none" w:color="auto"/>
                      <w:lang w:val="en-US" w:eastAsia="zh-CN"/>
                    </w:rPr>
                    <w:t>5</w:t>
                  </w:r>
                </w:p>
              </w:tc>
              <w:tc>
                <w:tcPr>
                  <w:tcW w:w="351" w:type="pct"/>
                  <w:vMerge w:val="continue"/>
                  <w:tcBorders>
                    <w:tl2br w:val="nil"/>
                    <w:tr2bl w:val="nil"/>
                  </w:tcBorders>
                  <w:noWrap w:val="0"/>
                  <w:vAlign w:val="center"/>
                </w:tcPr>
                <w:p w14:paraId="25775A6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restart"/>
                  <w:tcBorders>
                    <w:tl2br w:val="nil"/>
                    <w:tr2bl w:val="nil"/>
                  </w:tcBorders>
                  <w:noWrap w:val="0"/>
                  <w:vAlign w:val="center"/>
                </w:tcPr>
                <w:p w14:paraId="7465BC7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67.5</w:t>
                  </w:r>
                </w:p>
              </w:tc>
              <w:tc>
                <w:tcPr>
                  <w:tcW w:w="263" w:type="pct"/>
                  <w:vMerge w:val="restart"/>
                  <w:tcBorders>
                    <w:tl2br w:val="nil"/>
                    <w:tr2bl w:val="nil"/>
                  </w:tcBorders>
                  <w:noWrap w:val="0"/>
                  <w:vAlign w:val="center"/>
                </w:tcPr>
                <w:p w14:paraId="4AD4392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279.7</w:t>
                  </w:r>
                </w:p>
              </w:tc>
              <w:tc>
                <w:tcPr>
                  <w:tcW w:w="219" w:type="pct"/>
                  <w:vMerge w:val="restart"/>
                  <w:tcBorders>
                    <w:tl2br w:val="nil"/>
                    <w:tr2bl w:val="nil"/>
                  </w:tcBorders>
                  <w:noWrap w:val="0"/>
                  <w:vAlign w:val="center"/>
                </w:tcPr>
                <w:p w14:paraId="5B35DA1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1</w:t>
                  </w:r>
                </w:p>
              </w:tc>
              <w:tc>
                <w:tcPr>
                  <w:tcW w:w="252" w:type="pct"/>
                  <w:tcBorders>
                    <w:tl2br w:val="nil"/>
                    <w:tr2bl w:val="nil"/>
                  </w:tcBorders>
                  <w:noWrap w:val="0"/>
                  <w:vAlign w:val="center"/>
                </w:tcPr>
                <w:p w14:paraId="1B645DC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东</w:t>
                  </w:r>
                </w:p>
              </w:tc>
              <w:tc>
                <w:tcPr>
                  <w:tcW w:w="449" w:type="pct"/>
                  <w:tcBorders>
                    <w:tl2br w:val="nil"/>
                    <w:tr2bl w:val="nil"/>
                  </w:tcBorders>
                  <w:noWrap w:val="0"/>
                  <w:vAlign w:val="center"/>
                </w:tcPr>
                <w:p w14:paraId="77B0013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99.28</w:t>
                  </w:r>
                </w:p>
              </w:tc>
              <w:tc>
                <w:tcPr>
                  <w:tcW w:w="471" w:type="pct"/>
                  <w:tcBorders>
                    <w:tl2br w:val="nil"/>
                    <w:tr2bl w:val="nil"/>
                  </w:tcBorders>
                  <w:noWrap w:val="0"/>
                  <w:vAlign w:val="center"/>
                </w:tcPr>
                <w:p w14:paraId="3AE290F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58.15</w:t>
                  </w:r>
                </w:p>
              </w:tc>
              <w:tc>
                <w:tcPr>
                  <w:tcW w:w="200" w:type="pct"/>
                  <w:vMerge w:val="continue"/>
                  <w:tcBorders>
                    <w:tl2br w:val="nil"/>
                    <w:tr2bl w:val="nil"/>
                  </w:tcBorders>
                  <w:noWrap w:val="0"/>
                  <w:vAlign w:val="center"/>
                </w:tcPr>
                <w:p w14:paraId="670BBAD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6F7FB8D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39E35F5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53.6</w:t>
                  </w:r>
                </w:p>
              </w:tc>
              <w:tc>
                <w:tcPr>
                  <w:tcW w:w="359" w:type="pct"/>
                  <w:tcBorders>
                    <w:tl2br w:val="nil"/>
                    <w:tr2bl w:val="nil"/>
                  </w:tcBorders>
                  <w:noWrap w:val="0"/>
                  <w:vAlign w:val="center"/>
                </w:tcPr>
                <w:p w14:paraId="7AC15ED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4563FC3B">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101D148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4C1CDCE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67EF53F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6269A89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2BF33EA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220554A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3F360E4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29493E0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600E56D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3C62841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南</w:t>
                  </w:r>
                </w:p>
              </w:tc>
              <w:tc>
                <w:tcPr>
                  <w:tcW w:w="449" w:type="pct"/>
                  <w:tcBorders>
                    <w:tl2br w:val="nil"/>
                    <w:tr2bl w:val="nil"/>
                  </w:tcBorders>
                  <w:noWrap w:val="0"/>
                  <w:vAlign w:val="center"/>
                </w:tcPr>
                <w:p w14:paraId="5819785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86.62</w:t>
                  </w:r>
                </w:p>
              </w:tc>
              <w:tc>
                <w:tcPr>
                  <w:tcW w:w="471" w:type="pct"/>
                  <w:tcBorders>
                    <w:tl2br w:val="nil"/>
                    <w:tr2bl w:val="nil"/>
                  </w:tcBorders>
                  <w:noWrap w:val="0"/>
                  <w:vAlign w:val="center"/>
                </w:tcPr>
                <w:p w14:paraId="0B5A211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58.16</w:t>
                  </w:r>
                </w:p>
              </w:tc>
              <w:tc>
                <w:tcPr>
                  <w:tcW w:w="200" w:type="pct"/>
                  <w:vMerge w:val="continue"/>
                  <w:tcBorders>
                    <w:tl2br w:val="nil"/>
                    <w:tr2bl w:val="nil"/>
                  </w:tcBorders>
                  <w:noWrap w:val="0"/>
                  <w:vAlign w:val="center"/>
                </w:tcPr>
                <w:p w14:paraId="67C2DB1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7481E0D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245D83B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54.59</w:t>
                  </w:r>
                </w:p>
              </w:tc>
              <w:tc>
                <w:tcPr>
                  <w:tcW w:w="359" w:type="pct"/>
                  <w:tcBorders>
                    <w:tl2br w:val="nil"/>
                    <w:tr2bl w:val="nil"/>
                  </w:tcBorders>
                  <w:noWrap w:val="0"/>
                  <w:vAlign w:val="center"/>
                </w:tcPr>
                <w:p w14:paraId="6F12763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6D5DF0EB">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02EEFAD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4225081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4A8494A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5126D58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59C7119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6DD9EFF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335AD2D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48D75BE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6432651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642FA06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西</w:t>
                  </w:r>
                </w:p>
              </w:tc>
              <w:tc>
                <w:tcPr>
                  <w:tcW w:w="449" w:type="pct"/>
                  <w:tcBorders>
                    <w:tl2br w:val="nil"/>
                    <w:tr2bl w:val="nil"/>
                  </w:tcBorders>
                  <w:noWrap w:val="0"/>
                  <w:vAlign w:val="center"/>
                </w:tcPr>
                <w:p w14:paraId="0C78067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42.99</w:t>
                  </w:r>
                </w:p>
              </w:tc>
              <w:tc>
                <w:tcPr>
                  <w:tcW w:w="471" w:type="pct"/>
                  <w:tcBorders>
                    <w:tl2br w:val="nil"/>
                    <w:tr2bl w:val="nil"/>
                  </w:tcBorders>
                  <w:noWrap w:val="0"/>
                  <w:vAlign w:val="center"/>
                </w:tcPr>
                <w:p w14:paraId="5AA36D3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58.23</w:t>
                  </w:r>
                </w:p>
              </w:tc>
              <w:tc>
                <w:tcPr>
                  <w:tcW w:w="200" w:type="pct"/>
                  <w:vMerge w:val="continue"/>
                  <w:tcBorders>
                    <w:tl2br w:val="nil"/>
                    <w:tr2bl w:val="nil"/>
                  </w:tcBorders>
                  <w:noWrap w:val="0"/>
                  <w:vAlign w:val="center"/>
                </w:tcPr>
                <w:p w14:paraId="4E6470C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480B934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6D237E1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53.67</w:t>
                  </w:r>
                </w:p>
              </w:tc>
              <w:tc>
                <w:tcPr>
                  <w:tcW w:w="359" w:type="pct"/>
                  <w:tcBorders>
                    <w:tl2br w:val="nil"/>
                    <w:tr2bl w:val="nil"/>
                  </w:tcBorders>
                  <w:noWrap w:val="0"/>
                  <w:vAlign w:val="center"/>
                </w:tcPr>
                <w:p w14:paraId="5BFF5AB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37FCD0BD">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1243F96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1E10C61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1F3CAC6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12E99E2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0C0693A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3936B14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0A8D131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52039B9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786E880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4CC8730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北</w:t>
                  </w:r>
                </w:p>
              </w:tc>
              <w:tc>
                <w:tcPr>
                  <w:tcW w:w="449" w:type="pct"/>
                  <w:tcBorders>
                    <w:tl2br w:val="nil"/>
                    <w:tr2bl w:val="nil"/>
                  </w:tcBorders>
                  <w:noWrap w:val="0"/>
                  <w:vAlign w:val="center"/>
                </w:tcPr>
                <w:p w14:paraId="2309D4D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28.64</w:t>
                  </w:r>
                </w:p>
              </w:tc>
              <w:tc>
                <w:tcPr>
                  <w:tcW w:w="471" w:type="pct"/>
                  <w:tcBorders>
                    <w:tl2br w:val="nil"/>
                    <w:tr2bl w:val="nil"/>
                  </w:tcBorders>
                  <w:noWrap w:val="0"/>
                  <w:vAlign w:val="center"/>
                </w:tcPr>
                <w:p w14:paraId="6AAA1EE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58.34</w:t>
                  </w:r>
                </w:p>
              </w:tc>
              <w:tc>
                <w:tcPr>
                  <w:tcW w:w="200" w:type="pct"/>
                  <w:vMerge w:val="continue"/>
                  <w:tcBorders>
                    <w:tl2br w:val="nil"/>
                    <w:tr2bl w:val="nil"/>
                  </w:tcBorders>
                  <w:noWrap w:val="0"/>
                  <w:vAlign w:val="center"/>
                </w:tcPr>
                <w:p w14:paraId="6636CFC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321F220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5187317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54.77</w:t>
                  </w:r>
                </w:p>
              </w:tc>
              <w:tc>
                <w:tcPr>
                  <w:tcW w:w="359" w:type="pct"/>
                  <w:tcBorders>
                    <w:tl2br w:val="nil"/>
                    <w:tr2bl w:val="nil"/>
                  </w:tcBorders>
                  <w:noWrap w:val="0"/>
                  <w:vAlign w:val="center"/>
                </w:tcPr>
                <w:p w14:paraId="0B245F0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0D7DB9CE">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restart"/>
                  <w:tcBorders>
                    <w:tl2br w:val="nil"/>
                    <w:tr2bl w:val="nil"/>
                  </w:tcBorders>
                  <w:noWrap w:val="0"/>
                  <w:vAlign w:val="center"/>
                </w:tcPr>
                <w:p w14:paraId="0097631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10</w:t>
                  </w:r>
                </w:p>
              </w:tc>
              <w:tc>
                <w:tcPr>
                  <w:tcW w:w="230" w:type="pct"/>
                  <w:vMerge w:val="continue"/>
                  <w:tcBorders>
                    <w:tl2br w:val="nil"/>
                    <w:tr2bl w:val="nil"/>
                  </w:tcBorders>
                  <w:noWrap w:val="0"/>
                  <w:vAlign w:val="center"/>
                </w:tcPr>
                <w:p w14:paraId="7B039F2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restart"/>
                  <w:tcBorders>
                    <w:tl2br w:val="nil"/>
                    <w:tr2bl w:val="nil"/>
                  </w:tcBorders>
                  <w:noWrap w:val="0"/>
                  <w:vAlign w:val="center"/>
                </w:tcPr>
                <w:p w14:paraId="66E318F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lang w:val="en-US" w:eastAsia="zh-CN"/>
                    </w:rPr>
                    <w:t>射芯机</w:t>
                  </w:r>
                </w:p>
              </w:tc>
              <w:tc>
                <w:tcPr>
                  <w:tcW w:w="351" w:type="pct"/>
                  <w:vMerge w:val="restart"/>
                  <w:tcBorders>
                    <w:tl2br w:val="nil"/>
                    <w:tr2bl w:val="nil"/>
                  </w:tcBorders>
                  <w:noWrap w:val="0"/>
                  <w:vAlign w:val="center"/>
                </w:tcPr>
                <w:p w14:paraId="5C2EA3B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default" w:ascii="Times New Roman" w:hAnsi="Times New Roman" w:eastAsia="宋体" w:cs="Times New Roman"/>
                      <w:color w:val="auto"/>
                      <w:kern w:val="2"/>
                      <w:sz w:val="21"/>
                      <w:szCs w:val="21"/>
                      <w:u w:val="none" w:color="auto"/>
                      <w:lang w:val="en-US" w:eastAsia="zh-CN"/>
                    </w:rPr>
                    <w:t>30kW</w:t>
                  </w:r>
                </w:p>
              </w:tc>
              <w:tc>
                <w:tcPr>
                  <w:tcW w:w="350" w:type="pct"/>
                  <w:vMerge w:val="restart"/>
                  <w:tcBorders>
                    <w:tl2br w:val="nil"/>
                    <w:tr2bl w:val="nil"/>
                  </w:tcBorders>
                  <w:noWrap w:val="0"/>
                  <w:vAlign w:val="center"/>
                </w:tcPr>
                <w:p w14:paraId="0A7840F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default" w:ascii="Times New Roman" w:hAnsi="Times New Roman" w:eastAsia="宋体" w:cs="Times New Roman"/>
                      <w:color w:val="auto"/>
                      <w:kern w:val="2"/>
                      <w:sz w:val="21"/>
                      <w:szCs w:val="21"/>
                      <w:u w:val="none" w:color="auto"/>
                      <w:lang w:val="en-US" w:eastAsia="zh-CN"/>
                    </w:rPr>
                    <w:t>7</w:t>
                  </w:r>
                  <w:r>
                    <w:rPr>
                      <w:rFonts w:hint="eastAsia" w:ascii="Times New Roman" w:hAnsi="Times New Roman" w:cs="Times New Roman"/>
                      <w:color w:val="auto"/>
                      <w:kern w:val="2"/>
                      <w:sz w:val="21"/>
                      <w:szCs w:val="21"/>
                      <w:u w:val="none" w:color="auto"/>
                      <w:lang w:val="en-US" w:eastAsia="zh-CN"/>
                    </w:rPr>
                    <w:t>5</w:t>
                  </w:r>
                </w:p>
              </w:tc>
              <w:tc>
                <w:tcPr>
                  <w:tcW w:w="351" w:type="pct"/>
                  <w:vMerge w:val="continue"/>
                  <w:tcBorders>
                    <w:tl2br w:val="nil"/>
                    <w:tr2bl w:val="nil"/>
                  </w:tcBorders>
                  <w:noWrap w:val="0"/>
                  <w:vAlign w:val="center"/>
                </w:tcPr>
                <w:p w14:paraId="1559012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restart"/>
                  <w:tcBorders>
                    <w:tl2br w:val="nil"/>
                    <w:tr2bl w:val="nil"/>
                  </w:tcBorders>
                  <w:noWrap w:val="0"/>
                  <w:vAlign w:val="center"/>
                </w:tcPr>
                <w:p w14:paraId="41A775D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92.5</w:t>
                  </w:r>
                </w:p>
              </w:tc>
              <w:tc>
                <w:tcPr>
                  <w:tcW w:w="263" w:type="pct"/>
                  <w:vMerge w:val="restart"/>
                  <w:tcBorders>
                    <w:tl2br w:val="nil"/>
                    <w:tr2bl w:val="nil"/>
                  </w:tcBorders>
                  <w:noWrap w:val="0"/>
                  <w:vAlign w:val="center"/>
                </w:tcPr>
                <w:p w14:paraId="7A3A627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292.9</w:t>
                  </w:r>
                </w:p>
              </w:tc>
              <w:tc>
                <w:tcPr>
                  <w:tcW w:w="219" w:type="pct"/>
                  <w:vMerge w:val="restart"/>
                  <w:tcBorders>
                    <w:tl2br w:val="nil"/>
                    <w:tr2bl w:val="nil"/>
                  </w:tcBorders>
                  <w:noWrap w:val="0"/>
                  <w:vAlign w:val="center"/>
                </w:tcPr>
                <w:p w14:paraId="5BEBC86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0.5</w:t>
                  </w:r>
                </w:p>
              </w:tc>
              <w:tc>
                <w:tcPr>
                  <w:tcW w:w="252" w:type="pct"/>
                  <w:tcBorders>
                    <w:tl2br w:val="nil"/>
                    <w:tr2bl w:val="nil"/>
                  </w:tcBorders>
                  <w:noWrap w:val="0"/>
                  <w:vAlign w:val="center"/>
                </w:tcPr>
                <w:p w14:paraId="7CE7286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东</w:t>
                  </w:r>
                </w:p>
              </w:tc>
              <w:tc>
                <w:tcPr>
                  <w:tcW w:w="449" w:type="pct"/>
                  <w:tcBorders>
                    <w:tl2br w:val="nil"/>
                    <w:tr2bl w:val="nil"/>
                  </w:tcBorders>
                  <w:noWrap w:val="0"/>
                  <w:vAlign w:val="center"/>
                </w:tcPr>
                <w:p w14:paraId="390187F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72.31</w:t>
                  </w:r>
                </w:p>
              </w:tc>
              <w:tc>
                <w:tcPr>
                  <w:tcW w:w="471" w:type="pct"/>
                  <w:tcBorders>
                    <w:tl2br w:val="nil"/>
                    <w:tr2bl w:val="nil"/>
                  </w:tcBorders>
                  <w:noWrap w:val="0"/>
                  <w:vAlign w:val="center"/>
                </w:tcPr>
                <w:p w14:paraId="01300C9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48.17</w:t>
                  </w:r>
                </w:p>
              </w:tc>
              <w:tc>
                <w:tcPr>
                  <w:tcW w:w="200" w:type="pct"/>
                  <w:vMerge w:val="continue"/>
                  <w:tcBorders>
                    <w:tl2br w:val="nil"/>
                    <w:tr2bl w:val="nil"/>
                  </w:tcBorders>
                  <w:noWrap w:val="0"/>
                  <w:vAlign w:val="center"/>
                </w:tcPr>
                <w:p w14:paraId="3C7EEA8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30630CD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604CF51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43.61</w:t>
                  </w:r>
                </w:p>
              </w:tc>
              <w:tc>
                <w:tcPr>
                  <w:tcW w:w="359" w:type="pct"/>
                  <w:tcBorders>
                    <w:tl2br w:val="nil"/>
                    <w:tr2bl w:val="nil"/>
                  </w:tcBorders>
                  <w:noWrap w:val="0"/>
                  <w:vAlign w:val="center"/>
                </w:tcPr>
                <w:p w14:paraId="18BF7BB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5906B324">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293CA32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12C5753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0A7F828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烘干机</w:t>
                  </w:r>
                </w:p>
                <w:p w14:paraId="5683141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扰流风机</w:t>
                  </w:r>
                </w:p>
                <w:p w14:paraId="3DCBC03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排风扇</w:t>
                  </w:r>
                </w:p>
              </w:tc>
              <w:tc>
                <w:tcPr>
                  <w:tcW w:w="351" w:type="pct"/>
                  <w:vMerge w:val="continue"/>
                  <w:tcBorders>
                    <w:tl2br w:val="nil"/>
                    <w:tr2bl w:val="nil"/>
                  </w:tcBorders>
                  <w:noWrap w:val="0"/>
                  <w:vAlign w:val="center"/>
                </w:tcPr>
                <w:p w14:paraId="49E65ED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6D61D3C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1E59A3C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1B11DF7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7EAB837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15BABD7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3D84D2A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南</w:t>
                  </w:r>
                </w:p>
              </w:tc>
              <w:tc>
                <w:tcPr>
                  <w:tcW w:w="449" w:type="pct"/>
                  <w:tcBorders>
                    <w:tl2br w:val="nil"/>
                    <w:tr2bl w:val="nil"/>
                  </w:tcBorders>
                  <w:noWrap w:val="0"/>
                  <w:vAlign w:val="center"/>
                </w:tcPr>
                <w:p w14:paraId="33779A9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78.14</w:t>
                  </w:r>
                </w:p>
              </w:tc>
              <w:tc>
                <w:tcPr>
                  <w:tcW w:w="471" w:type="pct"/>
                  <w:tcBorders>
                    <w:tl2br w:val="nil"/>
                    <w:tr2bl w:val="nil"/>
                  </w:tcBorders>
                  <w:noWrap w:val="0"/>
                  <w:vAlign w:val="center"/>
                </w:tcPr>
                <w:p w14:paraId="34F970A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48.16</w:t>
                  </w:r>
                </w:p>
              </w:tc>
              <w:tc>
                <w:tcPr>
                  <w:tcW w:w="200" w:type="pct"/>
                  <w:vMerge w:val="continue"/>
                  <w:tcBorders>
                    <w:tl2br w:val="nil"/>
                    <w:tr2bl w:val="nil"/>
                  </w:tcBorders>
                  <w:noWrap w:val="0"/>
                  <w:vAlign w:val="center"/>
                </w:tcPr>
                <w:p w14:paraId="5416B05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6BBE2DC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2C51F07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44.59</w:t>
                  </w:r>
                </w:p>
              </w:tc>
              <w:tc>
                <w:tcPr>
                  <w:tcW w:w="359" w:type="pct"/>
                  <w:tcBorders>
                    <w:tl2br w:val="nil"/>
                    <w:tr2bl w:val="nil"/>
                  </w:tcBorders>
                  <w:noWrap w:val="0"/>
                  <w:vAlign w:val="center"/>
                </w:tcPr>
                <w:p w14:paraId="03B3101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36E5FCFF">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1AD2E32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6884487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4234B4D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烘干机</w:t>
                  </w:r>
                </w:p>
                <w:p w14:paraId="7054E04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扰流风机</w:t>
                  </w:r>
                </w:p>
                <w:p w14:paraId="55D3F3E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排风扇</w:t>
                  </w:r>
                </w:p>
              </w:tc>
              <w:tc>
                <w:tcPr>
                  <w:tcW w:w="351" w:type="pct"/>
                  <w:vMerge w:val="continue"/>
                  <w:tcBorders>
                    <w:tl2br w:val="nil"/>
                    <w:tr2bl w:val="nil"/>
                  </w:tcBorders>
                  <w:noWrap w:val="0"/>
                  <w:vAlign w:val="center"/>
                </w:tcPr>
                <w:p w14:paraId="181079D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3A68DAA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57C5371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0DB0E16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07442C1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78D5723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4B0FB65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西</w:t>
                  </w:r>
                </w:p>
              </w:tc>
              <w:tc>
                <w:tcPr>
                  <w:tcW w:w="449" w:type="pct"/>
                  <w:tcBorders>
                    <w:tl2br w:val="nil"/>
                    <w:tr2bl w:val="nil"/>
                  </w:tcBorders>
                  <w:noWrap w:val="0"/>
                  <w:vAlign w:val="center"/>
                </w:tcPr>
                <w:p w14:paraId="50F67A7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69.96</w:t>
                  </w:r>
                </w:p>
              </w:tc>
              <w:tc>
                <w:tcPr>
                  <w:tcW w:w="471" w:type="pct"/>
                  <w:tcBorders>
                    <w:tl2br w:val="nil"/>
                    <w:tr2bl w:val="nil"/>
                  </w:tcBorders>
                  <w:noWrap w:val="0"/>
                  <w:vAlign w:val="center"/>
                </w:tcPr>
                <w:p w14:paraId="4056D78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48.17</w:t>
                  </w:r>
                </w:p>
              </w:tc>
              <w:tc>
                <w:tcPr>
                  <w:tcW w:w="200" w:type="pct"/>
                  <w:vMerge w:val="continue"/>
                  <w:tcBorders>
                    <w:tl2br w:val="nil"/>
                    <w:tr2bl w:val="nil"/>
                  </w:tcBorders>
                  <w:noWrap w:val="0"/>
                  <w:vAlign w:val="center"/>
                </w:tcPr>
                <w:p w14:paraId="49A9B5F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2E90980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24BD6A7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43.61</w:t>
                  </w:r>
                </w:p>
              </w:tc>
              <w:tc>
                <w:tcPr>
                  <w:tcW w:w="359" w:type="pct"/>
                  <w:tcBorders>
                    <w:tl2br w:val="nil"/>
                    <w:tr2bl w:val="nil"/>
                  </w:tcBorders>
                  <w:noWrap w:val="0"/>
                  <w:vAlign w:val="center"/>
                </w:tcPr>
                <w:p w14:paraId="3BCC10B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459D1DF9">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501AAF3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26BBFA4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20EA7BB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烘干机</w:t>
                  </w:r>
                </w:p>
                <w:p w14:paraId="0616B9F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扰流风机</w:t>
                  </w:r>
                </w:p>
                <w:p w14:paraId="655BC8B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排风扇</w:t>
                  </w:r>
                </w:p>
              </w:tc>
              <w:tc>
                <w:tcPr>
                  <w:tcW w:w="351" w:type="pct"/>
                  <w:vMerge w:val="continue"/>
                  <w:tcBorders>
                    <w:tl2br w:val="nil"/>
                    <w:tr2bl w:val="nil"/>
                  </w:tcBorders>
                  <w:noWrap w:val="0"/>
                  <w:vAlign w:val="center"/>
                </w:tcPr>
                <w:p w14:paraId="3EE317E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249E3B1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5219BF4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146CA5B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7DCF868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327BF3F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78F2CAF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北</w:t>
                  </w:r>
                </w:p>
              </w:tc>
              <w:tc>
                <w:tcPr>
                  <w:tcW w:w="449" w:type="pct"/>
                  <w:tcBorders>
                    <w:tl2br w:val="nil"/>
                    <w:tr2bl w:val="nil"/>
                  </w:tcBorders>
                  <w:noWrap w:val="0"/>
                  <w:vAlign w:val="center"/>
                </w:tcPr>
                <w:p w14:paraId="3E4B8DD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37.12</w:t>
                  </w:r>
                </w:p>
              </w:tc>
              <w:tc>
                <w:tcPr>
                  <w:tcW w:w="471" w:type="pct"/>
                  <w:tcBorders>
                    <w:tl2br w:val="nil"/>
                    <w:tr2bl w:val="nil"/>
                  </w:tcBorders>
                  <w:noWrap w:val="0"/>
                  <w:vAlign w:val="center"/>
                </w:tcPr>
                <w:p w14:paraId="358C41A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48.26</w:t>
                  </w:r>
                </w:p>
              </w:tc>
              <w:tc>
                <w:tcPr>
                  <w:tcW w:w="200" w:type="pct"/>
                  <w:vMerge w:val="continue"/>
                  <w:tcBorders>
                    <w:tl2br w:val="nil"/>
                    <w:tr2bl w:val="nil"/>
                  </w:tcBorders>
                  <w:noWrap w:val="0"/>
                  <w:vAlign w:val="center"/>
                </w:tcPr>
                <w:p w14:paraId="4173F5C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6C0B12E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28652EC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44.69</w:t>
                  </w:r>
                </w:p>
              </w:tc>
              <w:tc>
                <w:tcPr>
                  <w:tcW w:w="359" w:type="pct"/>
                  <w:tcBorders>
                    <w:tl2br w:val="nil"/>
                    <w:tr2bl w:val="nil"/>
                  </w:tcBorders>
                  <w:noWrap w:val="0"/>
                  <w:vAlign w:val="center"/>
                </w:tcPr>
                <w:p w14:paraId="3AD1EAC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281DB083">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restart"/>
                  <w:tcBorders>
                    <w:tl2br w:val="nil"/>
                    <w:tr2bl w:val="nil"/>
                  </w:tcBorders>
                  <w:noWrap w:val="0"/>
                  <w:vAlign w:val="center"/>
                </w:tcPr>
                <w:p w14:paraId="1A54C52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11</w:t>
                  </w:r>
                </w:p>
              </w:tc>
              <w:tc>
                <w:tcPr>
                  <w:tcW w:w="230" w:type="pct"/>
                  <w:vMerge w:val="continue"/>
                  <w:tcBorders>
                    <w:tl2br w:val="nil"/>
                    <w:tr2bl w:val="nil"/>
                  </w:tcBorders>
                  <w:noWrap w:val="0"/>
                  <w:vAlign w:val="center"/>
                </w:tcPr>
                <w:p w14:paraId="0AC5AED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restart"/>
                  <w:tcBorders>
                    <w:tl2br w:val="nil"/>
                    <w:tr2bl w:val="nil"/>
                  </w:tcBorders>
                  <w:noWrap w:val="0"/>
                  <w:vAlign w:val="center"/>
                </w:tcPr>
                <w:p w14:paraId="15ECF19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lang w:val="en-US" w:eastAsia="zh-CN"/>
                    </w:rPr>
                    <w:t>碾砂一体机</w:t>
                  </w:r>
                </w:p>
              </w:tc>
              <w:tc>
                <w:tcPr>
                  <w:tcW w:w="351" w:type="pct"/>
                  <w:vMerge w:val="restart"/>
                  <w:tcBorders>
                    <w:tl2br w:val="nil"/>
                    <w:tr2bl w:val="nil"/>
                  </w:tcBorders>
                  <w:noWrap w:val="0"/>
                  <w:vAlign w:val="center"/>
                </w:tcPr>
                <w:p w14:paraId="69C267A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default" w:ascii="Times New Roman" w:hAnsi="Times New Roman" w:eastAsia="宋体" w:cs="Times New Roman"/>
                      <w:color w:val="auto"/>
                      <w:kern w:val="2"/>
                      <w:sz w:val="21"/>
                      <w:szCs w:val="21"/>
                      <w:u w:val="none" w:color="auto"/>
                      <w:lang w:val="en-US" w:eastAsia="zh-CN"/>
                    </w:rPr>
                    <w:t>5.5kW</w:t>
                  </w:r>
                </w:p>
              </w:tc>
              <w:tc>
                <w:tcPr>
                  <w:tcW w:w="350" w:type="pct"/>
                  <w:vMerge w:val="restart"/>
                  <w:tcBorders>
                    <w:tl2br w:val="nil"/>
                    <w:tr2bl w:val="nil"/>
                  </w:tcBorders>
                  <w:noWrap w:val="0"/>
                  <w:vAlign w:val="center"/>
                </w:tcPr>
                <w:p w14:paraId="3CE30FA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default" w:ascii="Times New Roman" w:hAnsi="Times New Roman" w:eastAsia="宋体" w:cs="Times New Roman"/>
                      <w:color w:val="auto"/>
                      <w:kern w:val="2"/>
                      <w:sz w:val="21"/>
                      <w:szCs w:val="21"/>
                      <w:u w:val="none" w:color="auto"/>
                      <w:lang w:val="en-US" w:eastAsia="zh-CN"/>
                    </w:rPr>
                    <w:t>80</w:t>
                  </w:r>
                </w:p>
              </w:tc>
              <w:tc>
                <w:tcPr>
                  <w:tcW w:w="351" w:type="pct"/>
                  <w:vMerge w:val="continue"/>
                  <w:tcBorders>
                    <w:tl2br w:val="nil"/>
                    <w:tr2bl w:val="nil"/>
                  </w:tcBorders>
                  <w:noWrap w:val="0"/>
                  <w:vAlign w:val="center"/>
                </w:tcPr>
                <w:p w14:paraId="0F35307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restart"/>
                  <w:tcBorders>
                    <w:tl2br w:val="nil"/>
                    <w:tr2bl w:val="nil"/>
                  </w:tcBorders>
                  <w:noWrap w:val="0"/>
                  <w:vAlign w:val="center"/>
                </w:tcPr>
                <w:p w14:paraId="0C260F8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84.9</w:t>
                  </w:r>
                </w:p>
              </w:tc>
              <w:tc>
                <w:tcPr>
                  <w:tcW w:w="263" w:type="pct"/>
                  <w:vMerge w:val="restart"/>
                  <w:tcBorders>
                    <w:tl2br w:val="nil"/>
                    <w:tr2bl w:val="nil"/>
                  </w:tcBorders>
                  <w:noWrap w:val="0"/>
                  <w:vAlign w:val="center"/>
                </w:tcPr>
                <w:p w14:paraId="20E6864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303.8</w:t>
                  </w:r>
                </w:p>
              </w:tc>
              <w:tc>
                <w:tcPr>
                  <w:tcW w:w="219" w:type="pct"/>
                  <w:vMerge w:val="restart"/>
                  <w:tcBorders>
                    <w:tl2br w:val="nil"/>
                    <w:tr2bl w:val="nil"/>
                  </w:tcBorders>
                  <w:noWrap w:val="0"/>
                  <w:vAlign w:val="center"/>
                </w:tcPr>
                <w:p w14:paraId="6484AE3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0.5</w:t>
                  </w:r>
                </w:p>
              </w:tc>
              <w:tc>
                <w:tcPr>
                  <w:tcW w:w="252" w:type="pct"/>
                  <w:tcBorders>
                    <w:tl2br w:val="nil"/>
                    <w:tr2bl w:val="nil"/>
                  </w:tcBorders>
                  <w:noWrap w:val="0"/>
                  <w:vAlign w:val="center"/>
                </w:tcPr>
                <w:p w14:paraId="6C2043D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东</w:t>
                  </w:r>
                </w:p>
              </w:tc>
              <w:tc>
                <w:tcPr>
                  <w:tcW w:w="449" w:type="pct"/>
                  <w:tcBorders>
                    <w:tl2br w:val="nil"/>
                    <w:tr2bl w:val="nil"/>
                  </w:tcBorders>
                  <w:noWrap w:val="0"/>
                  <w:vAlign w:val="center"/>
                </w:tcPr>
                <w:p w14:paraId="7B148D7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69.91</w:t>
                  </w:r>
                </w:p>
              </w:tc>
              <w:tc>
                <w:tcPr>
                  <w:tcW w:w="471" w:type="pct"/>
                  <w:tcBorders>
                    <w:tl2br w:val="nil"/>
                    <w:tr2bl w:val="nil"/>
                  </w:tcBorders>
                  <w:noWrap w:val="0"/>
                  <w:vAlign w:val="center"/>
                </w:tcPr>
                <w:p w14:paraId="78D4C3E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53.17</w:t>
                  </w:r>
                </w:p>
              </w:tc>
              <w:tc>
                <w:tcPr>
                  <w:tcW w:w="200" w:type="pct"/>
                  <w:vMerge w:val="continue"/>
                  <w:tcBorders>
                    <w:tl2br w:val="nil"/>
                    <w:tr2bl w:val="nil"/>
                  </w:tcBorders>
                  <w:noWrap w:val="0"/>
                  <w:vAlign w:val="center"/>
                </w:tcPr>
                <w:p w14:paraId="7346F0F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3BC0F14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307C523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48.61</w:t>
                  </w:r>
                </w:p>
              </w:tc>
              <w:tc>
                <w:tcPr>
                  <w:tcW w:w="359" w:type="pct"/>
                  <w:tcBorders>
                    <w:tl2br w:val="nil"/>
                    <w:tr2bl w:val="nil"/>
                  </w:tcBorders>
                  <w:noWrap w:val="0"/>
                  <w:vAlign w:val="center"/>
                </w:tcPr>
                <w:p w14:paraId="5B00090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20CA67AB">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49CB31D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6DCDC63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1E843DD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烘干机</w:t>
                  </w:r>
                </w:p>
                <w:p w14:paraId="6EF9982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扰流风机</w:t>
                  </w:r>
                </w:p>
                <w:p w14:paraId="4DD349E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排风扇</w:t>
                  </w:r>
                </w:p>
              </w:tc>
              <w:tc>
                <w:tcPr>
                  <w:tcW w:w="351" w:type="pct"/>
                  <w:vMerge w:val="continue"/>
                  <w:tcBorders>
                    <w:tl2br w:val="nil"/>
                    <w:tr2bl w:val="nil"/>
                  </w:tcBorders>
                  <w:noWrap w:val="0"/>
                  <w:vAlign w:val="center"/>
                </w:tcPr>
                <w:p w14:paraId="1350801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4F111F8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6EA065C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1F6A667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456AF1C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6975F9B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68C6CEE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南</w:t>
                  </w:r>
                </w:p>
              </w:tc>
              <w:tc>
                <w:tcPr>
                  <w:tcW w:w="449" w:type="pct"/>
                  <w:tcBorders>
                    <w:tl2br w:val="nil"/>
                    <w:tr2bl w:val="nil"/>
                  </w:tcBorders>
                  <w:noWrap w:val="0"/>
                  <w:vAlign w:val="center"/>
                </w:tcPr>
                <w:p w14:paraId="4FC0790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91.21</w:t>
                  </w:r>
                </w:p>
              </w:tc>
              <w:tc>
                <w:tcPr>
                  <w:tcW w:w="471" w:type="pct"/>
                  <w:tcBorders>
                    <w:tl2br w:val="nil"/>
                    <w:tr2bl w:val="nil"/>
                  </w:tcBorders>
                  <w:noWrap w:val="0"/>
                  <w:vAlign w:val="center"/>
                </w:tcPr>
                <w:p w14:paraId="095B151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53.16</w:t>
                  </w:r>
                </w:p>
              </w:tc>
              <w:tc>
                <w:tcPr>
                  <w:tcW w:w="200" w:type="pct"/>
                  <w:vMerge w:val="continue"/>
                  <w:tcBorders>
                    <w:tl2br w:val="nil"/>
                    <w:tr2bl w:val="nil"/>
                  </w:tcBorders>
                  <w:noWrap w:val="0"/>
                  <w:vAlign w:val="center"/>
                </w:tcPr>
                <w:p w14:paraId="327D001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3226CFB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6F76BB0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49.59</w:t>
                  </w:r>
                </w:p>
              </w:tc>
              <w:tc>
                <w:tcPr>
                  <w:tcW w:w="359" w:type="pct"/>
                  <w:tcBorders>
                    <w:tl2br w:val="nil"/>
                    <w:tr2bl w:val="nil"/>
                  </w:tcBorders>
                  <w:noWrap w:val="0"/>
                  <w:vAlign w:val="center"/>
                </w:tcPr>
                <w:p w14:paraId="64C5625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7E460A9D">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251F6CB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3EE61BE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57FA7C6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烘干机</w:t>
                  </w:r>
                </w:p>
                <w:p w14:paraId="0A9A689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扰流风机</w:t>
                  </w:r>
                </w:p>
                <w:p w14:paraId="2AB7165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排风扇</w:t>
                  </w:r>
                </w:p>
              </w:tc>
              <w:tc>
                <w:tcPr>
                  <w:tcW w:w="351" w:type="pct"/>
                  <w:vMerge w:val="continue"/>
                  <w:tcBorders>
                    <w:tl2br w:val="nil"/>
                    <w:tr2bl w:val="nil"/>
                  </w:tcBorders>
                  <w:noWrap w:val="0"/>
                  <w:vAlign w:val="center"/>
                </w:tcPr>
                <w:p w14:paraId="143947A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70D93C5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4FDE3E3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648D896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05BB28E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1F40A1A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669BAF1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西</w:t>
                  </w:r>
                </w:p>
              </w:tc>
              <w:tc>
                <w:tcPr>
                  <w:tcW w:w="449" w:type="pct"/>
                  <w:tcBorders>
                    <w:tl2br w:val="nil"/>
                    <w:tr2bl w:val="nil"/>
                  </w:tcBorders>
                  <w:noWrap w:val="0"/>
                  <w:vAlign w:val="center"/>
                </w:tcPr>
                <w:p w14:paraId="391550B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72.36</w:t>
                  </w:r>
                </w:p>
              </w:tc>
              <w:tc>
                <w:tcPr>
                  <w:tcW w:w="471" w:type="pct"/>
                  <w:tcBorders>
                    <w:tl2br w:val="nil"/>
                    <w:tr2bl w:val="nil"/>
                  </w:tcBorders>
                  <w:noWrap w:val="0"/>
                  <w:vAlign w:val="center"/>
                </w:tcPr>
                <w:p w14:paraId="624ED1F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53.17</w:t>
                  </w:r>
                </w:p>
              </w:tc>
              <w:tc>
                <w:tcPr>
                  <w:tcW w:w="200" w:type="pct"/>
                  <w:vMerge w:val="continue"/>
                  <w:tcBorders>
                    <w:tl2br w:val="nil"/>
                    <w:tr2bl w:val="nil"/>
                  </w:tcBorders>
                  <w:noWrap w:val="0"/>
                  <w:vAlign w:val="center"/>
                </w:tcPr>
                <w:p w14:paraId="6B0D21A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4211333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3A06CDB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48.61</w:t>
                  </w:r>
                </w:p>
              </w:tc>
              <w:tc>
                <w:tcPr>
                  <w:tcW w:w="359" w:type="pct"/>
                  <w:tcBorders>
                    <w:tl2br w:val="nil"/>
                    <w:tr2bl w:val="nil"/>
                  </w:tcBorders>
                  <w:noWrap w:val="0"/>
                  <w:vAlign w:val="center"/>
                </w:tcPr>
                <w:p w14:paraId="1E5AD20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45829C68">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23F0466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1ED0611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3B4EC53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烘干机</w:t>
                  </w:r>
                </w:p>
                <w:p w14:paraId="4F717B4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扰流风机</w:t>
                  </w:r>
                </w:p>
                <w:p w14:paraId="197E646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排风扇</w:t>
                  </w:r>
                </w:p>
              </w:tc>
              <w:tc>
                <w:tcPr>
                  <w:tcW w:w="351" w:type="pct"/>
                  <w:vMerge w:val="continue"/>
                  <w:tcBorders>
                    <w:tl2br w:val="nil"/>
                    <w:tr2bl w:val="nil"/>
                  </w:tcBorders>
                  <w:noWrap w:val="0"/>
                  <w:vAlign w:val="center"/>
                </w:tcPr>
                <w:p w14:paraId="27DA3F4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4076EFD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01A2B42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6618541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430EB8B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439A630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20E2E1A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北</w:t>
                  </w:r>
                </w:p>
              </w:tc>
              <w:tc>
                <w:tcPr>
                  <w:tcW w:w="449" w:type="pct"/>
                  <w:tcBorders>
                    <w:tl2br w:val="nil"/>
                    <w:tr2bl w:val="nil"/>
                  </w:tcBorders>
                  <w:noWrap w:val="0"/>
                  <w:vAlign w:val="center"/>
                </w:tcPr>
                <w:p w14:paraId="0C73B18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24.05</w:t>
                  </w:r>
                </w:p>
              </w:tc>
              <w:tc>
                <w:tcPr>
                  <w:tcW w:w="471" w:type="pct"/>
                  <w:tcBorders>
                    <w:tl2br w:val="nil"/>
                    <w:tr2bl w:val="nil"/>
                  </w:tcBorders>
                  <w:noWrap w:val="0"/>
                  <w:vAlign w:val="center"/>
                </w:tcPr>
                <w:p w14:paraId="41EB411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53.42</w:t>
                  </w:r>
                </w:p>
              </w:tc>
              <w:tc>
                <w:tcPr>
                  <w:tcW w:w="200" w:type="pct"/>
                  <w:vMerge w:val="continue"/>
                  <w:tcBorders>
                    <w:tl2br w:val="nil"/>
                    <w:tr2bl w:val="nil"/>
                  </w:tcBorders>
                  <w:noWrap w:val="0"/>
                  <w:vAlign w:val="center"/>
                </w:tcPr>
                <w:p w14:paraId="702BA75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5B6B034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4CF9444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49.85</w:t>
                  </w:r>
                </w:p>
              </w:tc>
              <w:tc>
                <w:tcPr>
                  <w:tcW w:w="359" w:type="pct"/>
                  <w:tcBorders>
                    <w:tl2br w:val="nil"/>
                    <w:tr2bl w:val="nil"/>
                  </w:tcBorders>
                  <w:noWrap w:val="0"/>
                  <w:vAlign w:val="center"/>
                </w:tcPr>
                <w:p w14:paraId="6102487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19D270A9">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restart"/>
                  <w:tcBorders>
                    <w:tl2br w:val="nil"/>
                    <w:tr2bl w:val="nil"/>
                  </w:tcBorders>
                  <w:noWrap w:val="0"/>
                  <w:vAlign w:val="center"/>
                </w:tcPr>
                <w:p w14:paraId="1EFECA2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12</w:t>
                  </w:r>
                </w:p>
              </w:tc>
              <w:tc>
                <w:tcPr>
                  <w:tcW w:w="230" w:type="pct"/>
                  <w:vMerge w:val="continue"/>
                  <w:tcBorders>
                    <w:tl2br w:val="nil"/>
                    <w:tr2bl w:val="nil"/>
                  </w:tcBorders>
                  <w:noWrap w:val="0"/>
                  <w:vAlign w:val="center"/>
                </w:tcPr>
                <w:p w14:paraId="74AAD97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restart"/>
                  <w:tcBorders>
                    <w:tl2br w:val="nil"/>
                    <w:tr2bl w:val="nil"/>
                  </w:tcBorders>
                  <w:noWrap w:val="0"/>
                  <w:vAlign w:val="center"/>
                </w:tcPr>
                <w:p w14:paraId="6FEFFA8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挑球器</w:t>
                  </w:r>
                </w:p>
              </w:tc>
              <w:tc>
                <w:tcPr>
                  <w:tcW w:w="351" w:type="pct"/>
                  <w:vMerge w:val="restart"/>
                  <w:tcBorders>
                    <w:tl2br w:val="nil"/>
                    <w:tr2bl w:val="nil"/>
                  </w:tcBorders>
                  <w:noWrap w:val="0"/>
                  <w:vAlign w:val="center"/>
                </w:tcPr>
                <w:p w14:paraId="77A7F92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w:t>
                  </w:r>
                </w:p>
              </w:tc>
              <w:tc>
                <w:tcPr>
                  <w:tcW w:w="350" w:type="pct"/>
                  <w:vMerge w:val="restart"/>
                  <w:tcBorders>
                    <w:tl2br w:val="nil"/>
                    <w:tr2bl w:val="nil"/>
                  </w:tcBorders>
                  <w:noWrap w:val="0"/>
                  <w:vAlign w:val="center"/>
                </w:tcPr>
                <w:p w14:paraId="2309E1C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85</w:t>
                  </w:r>
                </w:p>
              </w:tc>
              <w:tc>
                <w:tcPr>
                  <w:tcW w:w="351" w:type="pct"/>
                  <w:vMerge w:val="continue"/>
                  <w:tcBorders>
                    <w:tl2br w:val="nil"/>
                    <w:tr2bl w:val="nil"/>
                  </w:tcBorders>
                  <w:noWrap w:val="0"/>
                  <w:vAlign w:val="center"/>
                </w:tcPr>
                <w:p w14:paraId="69485F5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restart"/>
                  <w:tcBorders>
                    <w:tl2br w:val="nil"/>
                    <w:tr2bl w:val="nil"/>
                  </w:tcBorders>
                  <w:shd w:val="clear" w:color="auto" w:fill="auto"/>
                  <w:noWrap w:val="0"/>
                  <w:vAlign w:val="center"/>
                </w:tcPr>
                <w:p w14:paraId="55FF2EA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132.2</w:t>
                  </w:r>
                </w:p>
              </w:tc>
              <w:tc>
                <w:tcPr>
                  <w:tcW w:w="263" w:type="pct"/>
                  <w:vMerge w:val="restart"/>
                  <w:tcBorders>
                    <w:tl2br w:val="nil"/>
                    <w:tr2bl w:val="nil"/>
                  </w:tcBorders>
                  <w:shd w:val="clear" w:color="auto" w:fill="auto"/>
                  <w:noWrap w:val="0"/>
                  <w:vAlign w:val="center"/>
                </w:tcPr>
                <w:p w14:paraId="4468848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256.1</w:t>
                  </w:r>
                </w:p>
              </w:tc>
              <w:tc>
                <w:tcPr>
                  <w:tcW w:w="219" w:type="pct"/>
                  <w:vMerge w:val="restart"/>
                  <w:tcBorders>
                    <w:tl2br w:val="nil"/>
                    <w:tr2bl w:val="nil"/>
                  </w:tcBorders>
                  <w:shd w:val="clear" w:color="auto" w:fill="auto"/>
                  <w:noWrap w:val="0"/>
                  <w:vAlign w:val="center"/>
                </w:tcPr>
                <w:p w14:paraId="503F5C7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0.5</w:t>
                  </w:r>
                </w:p>
              </w:tc>
              <w:tc>
                <w:tcPr>
                  <w:tcW w:w="252" w:type="pct"/>
                  <w:tcBorders>
                    <w:tl2br w:val="nil"/>
                    <w:tr2bl w:val="nil"/>
                  </w:tcBorders>
                  <w:shd w:val="clear" w:color="auto" w:fill="auto"/>
                  <w:noWrap w:val="0"/>
                  <w:vAlign w:val="center"/>
                </w:tcPr>
                <w:p w14:paraId="201B6A0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东</w:t>
                  </w:r>
                </w:p>
              </w:tc>
              <w:tc>
                <w:tcPr>
                  <w:tcW w:w="449" w:type="pct"/>
                  <w:tcBorders>
                    <w:tl2br w:val="nil"/>
                    <w:tr2bl w:val="nil"/>
                  </w:tcBorders>
                  <w:shd w:val="clear" w:color="auto" w:fill="auto"/>
                  <w:noWrap w:val="0"/>
                  <w:vAlign w:val="center"/>
                </w:tcPr>
                <w:p w14:paraId="6CCBED8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70.52</w:t>
                  </w:r>
                </w:p>
              </w:tc>
              <w:tc>
                <w:tcPr>
                  <w:tcW w:w="471" w:type="pct"/>
                  <w:tcBorders>
                    <w:tl2br w:val="nil"/>
                    <w:tr2bl w:val="nil"/>
                  </w:tcBorders>
                  <w:shd w:val="clear" w:color="auto" w:fill="auto"/>
                  <w:noWrap w:val="0"/>
                  <w:vAlign w:val="center"/>
                </w:tcPr>
                <w:p w14:paraId="508E8AC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58.17</w:t>
                  </w:r>
                </w:p>
              </w:tc>
              <w:tc>
                <w:tcPr>
                  <w:tcW w:w="200" w:type="pct"/>
                  <w:vMerge w:val="continue"/>
                  <w:tcBorders>
                    <w:tl2br w:val="nil"/>
                    <w:tr2bl w:val="nil"/>
                  </w:tcBorders>
                  <w:shd w:val="clear" w:color="auto" w:fill="auto"/>
                  <w:noWrap w:val="0"/>
                  <w:vAlign w:val="center"/>
                </w:tcPr>
                <w:p w14:paraId="3122A2C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shd w:val="clear" w:color="auto" w:fill="auto"/>
                  <w:noWrap w:val="0"/>
                  <w:vAlign w:val="center"/>
                </w:tcPr>
                <w:p w14:paraId="3CA5D8E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40984E9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53.61</w:t>
                  </w:r>
                </w:p>
              </w:tc>
              <w:tc>
                <w:tcPr>
                  <w:tcW w:w="359" w:type="pct"/>
                  <w:tcBorders>
                    <w:tl2br w:val="nil"/>
                    <w:tr2bl w:val="nil"/>
                  </w:tcBorders>
                  <w:shd w:val="clear" w:color="auto" w:fill="auto"/>
                  <w:noWrap w:val="0"/>
                  <w:vAlign w:val="center"/>
                </w:tcPr>
                <w:p w14:paraId="3972E6B4">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47646C09">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7F6B641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3EC4E5A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46DE2F5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3AB7E58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6A66424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665AEF7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1547D4F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3C00297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4413773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shd w:val="clear" w:color="auto" w:fill="auto"/>
                  <w:noWrap w:val="0"/>
                  <w:vAlign w:val="center"/>
                </w:tcPr>
                <w:p w14:paraId="2D9E34F0">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南</w:t>
                  </w:r>
                </w:p>
              </w:tc>
              <w:tc>
                <w:tcPr>
                  <w:tcW w:w="449" w:type="pct"/>
                  <w:tcBorders>
                    <w:tl2br w:val="nil"/>
                    <w:tr2bl w:val="nil"/>
                  </w:tcBorders>
                  <w:shd w:val="clear" w:color="auto" w:fill="auto"/>
                  <w:noWrap w:val="0"/>
                  <w:vAlign w:val="center"/>
                </w:tcPr>
                <w:p w14:paraId="5E86FAC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24.04</w:t>
                  </w:r>
                </w:p>
              </w:tc>
              <w:tc>
                <w:tcPr>
                  <w:tcW w:w="471" w:type="pct"/>
                  <w:tcBorders>
                    <w:tl2br w:val="nil"/>
                    <w:tr2bl w:val="nil"/>
                  </w:tcBorders>
                  <w:shd w:val="clear" w:color="auto" w:fill="auto"/>
                  <w:noWrap w:val="0"/>
                  <w:vAlign w:val="center"/>
                </w:tcPr>
                <w:p w14:paraId="498BE37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58.42</w:t>
                  </w:r>
                </w:p>
              </w:tc>
              <w:tc>
                <w:tcPr>
                  <w:tcW w:w="200" w:type="pct"/>
                  <w:vMerge w:val="continue"/>
                  <w:tcBorders>
                    <w:tl2br w:val="nil"/>
                    <w:tr2bl w:val="nil"/>
                  </w:tcBorders>
                  <w:noWrap w:val="0"/>
                  <w:vAlign w:val="center"/>
                </w:tcPr>
                <w:p w14:paraId="6179A83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41CCE19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63F1F55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54.85</w:t>
                  </w:r>
                </w:p>
              </w:tc>
              <w:tc>
                <w:tcPr>
                  <w:tcW w:w="359" w:type="pct"/>
                  <w:tcBorders>
                    <w:tl2br w:val="nil"/>
                    <w:tr2bl w:val="nil"/>
                  </w:tcBorders>
                  <w:shd w:val="clear" w:color="auto" w:fill="auto"/>
                  <w:noWrap w:val="0"/>
                  <w:vAlign w:val="center"/>
                </w:tcPr>
                <w:p w14:paraId="6CF8DA4E">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28B75932">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18628BB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0695FC5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7574935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1A4BEF0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7753F84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585B32F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29DE028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5AC933C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59241D9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shd w:val="clear" w:color="auto" w:fill="auto"/>
                  <w:noWrap w:val="0"/>
                  <w:vAlign w:val="center"/>
                </w:tcPr>
                <w:p w14:paraId="1D79A0FC">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西</w:t>
                  </w:r>
                </w:p>
              </w:tc>
              <w:tc>
                <w:tcPr>
                  <w:tcW w:w="449" w:type="pct"/>
                  <w:tcBorders>
                    <w:tl2br w:val="nil"/>
                    <w:tr2bl w:val="nil"/>
                  </w:tcBorders>
                  <w:shd w:val="clear" w:color="auto" w:fill="auto"/>
                  <w:noWrap w:val="0"/>
                  <w:vAlign w:val="center"/>
                </w:tcPr>
                <w:p w14:paraId="5C62330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71.75</w:t>
                  </w:r>
                </w:p>
              </w:tc>
              <w:tc>
                <w:tcPr>
                  <w:tcW w:w="471" w:type="pct"/>
                  <w:tcBorders>
                    <w:tl2br w:val="nil"/>
                    <w:tr2bl w:val="nil"/>
                  </w:tcBorders>
                  <w:shd w:val="clear" w:color="auto" w:fill="auto"/>
                  <w:noWrap w:val="0"/>
                  <w:vAlign w:val="center"/>
                </w:tcPr>
                <w:p w14:paraId="53E954E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58.17</w:t>
                  </w:r>
                </w:p>
              </w:tc>
              <w:tc>
                <w:tcPr>
                  <w:tcW w:w="200" w:type="pct"/>
                  <w:vMerge w:val="continue"/>
                  <w:tcBorders>
                    <w:tl2br w:val="nil"/>
                    <w:tr2bl w:val="nil"/>
                  </w:tcBorders>
                  <w:noWrap w:val="0"/>
                  <w:vAlign w:val="center"/>
                </w:tcPr>
                <w:p w14:paraId="5BA1F87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7ADFB08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0AE29D9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53.61</w:t>
                  </w:r>
                </w:p>
              </w:tc>
              <w:tc>
                <w:tcPr>
                  <w:tcW w:w="359" w:type="pct"/>
                  <w:tcBorders>
                    <w:tl2br w:val="nil"/>
                    <w:tr2bl w:val="nil"/>
                  </w:tcBorders>
                  <w:shd w:val="clear" w:color="auto" w:fill="auto"/>
                  <w:noWrap w:val="0"/>
                  <w:vAlign w:val="center"/>
                </w:tcPr>
                <w:p w14:paraId="05315C8F">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6BDC9E0D">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012CA11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2592984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61EF49E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203D167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4982D00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36EFED1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01257CD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431906F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536E089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shd w:val="clear" w:color="auto" w:fill="auto"/>
                  <w:noWrap w:val="0"/>
                  <w:vAlign w:val="center"/>
                </w:tcPr>
                <w:p w14:paraId="3E181838">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北</w:t>
                  </w:r>
                </w:p>
              </w:tc>
              <w:tc>
                <w:tcPr>
                  <w:tcW w:w="449" w:type="pct"/>
                  <w:tcBorders>
                    <w:tl2br w:val="nil"/>
                    <w:tr2bl w:val="nil"/>
                  </w:tcBorders>
                  <w:shd w:val="clear" w:color="auto" w:fill="auto"/>
                  <w:noWrap w:val="0"/>
                  <w:vAlign w:val="center"/>
                </w:tcPr>
                <w:p w14:paraId="2DAA5CF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91.22</w:t>
                  </w:r>
                </w:p>
              </w:tc>
              <w:tc>
                <w:tcPr>
                  <w:tcW w:w="471" w:type="pct"/>
                  <w:tcBorders>
                    <w:tl2br w:val="nil"/>
                    <w:tr2bl w:val="nil"/>
                  </w:tcBorders>
                  <w:shd w:val="clear" w:color="auto" w:fill="auto"/>
                  <w:noWrap w:val="0"/>
                  <w:vAlign w:val="center"/>
                </w:tcPr>
                <w:p w14:paraId="12951A1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58.16</w:t>
                  </w:r>
                </w:p>
              </w:tc>
              <w:tc>
                <w:tcPr>
                  <w:tcW w:w="200" w:type="pct"/>
                  <w:vMerge w:val="continue"/>
                  <w:tcBorders>
                    <w:tl2br w:val="nil"/>
                    <w:tr2bl w:val="nil"/>
                  </w:tcBorders>
                  <w:noWrap w:val="0"/>
                  <w:vAlign w:val="center"/>
                </w:tcPr>
                <w:p w14:paraId="7D24DA6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1994C0B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38BB94F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54.59</w:t>
                  </w:r>
                </w:p>
              </w:tc>
              <w:tc>
                <w:tcPr>
                  <w:tcW w:w="359" w:type="pct"/>
                  <w:tcBorders>
                    <w:tl2br w:val="nil"/>
                    <w:tr2bl w:val="nil"/>
                  </w:tcBorders>
                  <w:shd w:val="clear" w:color="auto" w:fill="auto"/>
                  <w:noWrap w:val="0"/>
                  <w:vAlign w:val="center"/>
                </w:tcPr>
                <w:p w14:paraId="3D895E91">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5610B170">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restart"/>
                  <w:tcBorders>
                    <w:tl2br w:val="nil"/>
                    <w:tr2bl w:val="nil"/>
                  </w:tcBorders>
                  <w:noWrap w:val="0"/>
                  <w:vAlign w:val="center"/>
                </w:tcPr>
                <w:p w14:paraId="7FAEBE7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13</w:t>
                  </w:r>
                </w:p>
              </w:tc>
              <w:tc>
                <w:tcPr>
                  <w:tcW w:w="230" w:type="pct"/>
                  <w:vMerge w:val="continue"/>
                  <w:tcBorders>
                    <w:tl2br w:val="nil"/>
                    <w:tr2bl w:val="nil"/>
                  </w:tcBorders>
                  <w:noWrap w:val="0"/>
                  <w:vAlign w:val="center"/>
                </w:tcPr>
                <w:p w14:paraId="0D3E3E8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restart"/>
                  <w:tcBorders>
                    <w:tl2br w:val="nil"/>
                    <w:tr2bl w:val="nil"/>
                  </w:tcBorders>
                  <w:noWrap w:val="0"/>
                  <w:vAlign w:val="center"/>
                </w:tcPr>
                <w:p w14:paraId="71BBB51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lang w:val="en-US" w:eastAsia="zh-CN"/>
                    </w:rPr>
                    <w:t>挑球器</w:t>
                  </w:r>
                </w:p>
              </w:tc>
              <w:tc>
                <w:tcPr>
                  <w:tcW w:w="351" w:type="pct"/>
                  <w:vMerge w:val="restart"/>
                  <w:tcBorders>
                    <w:tl2br w:val="nil"/>
                    <w:tr2bl w:val="nil"/>
                  </w:tcBorders>
                  <w:noWrap w:val="0"/>
                  <w:vAlign w:val="center"/>
                </w:tcPr>
                <w:p w14:paraId="1483C9F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w:t>
                  </w:r>
                </w:p>
              </w:tc>
              <w:tc>
                <w:tcPr>
                  <w:tcW w:w="350" w:type="pct"/>
                  <w:vMerge w:val="restart"/>
                  <w:tcBorders>
                    <w:tl2br w:val="nil"/>
                    <w:tr2bl w:val="nil"/>
                  </w:tcBorders>
                  <w:noWrap w:val="0"/>
                  <w:vAlign w:val="center"/>
                </w:tcPr>
                <w:p w14:paraId="6652AA8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85</w:t>
                  </w:r>
                </w:p>
              </w:tc>
              <w:tc>
                <w:tcPr>
                  <w:tcW w:w="351" w:type="pct"/>
                  <w:vMerge w:val="continue"/>
                  <w:tcBorders>
                    <w:tl2br w:val="nil"/>
                    <w:tr2bl w:val="nil"/>
                  </w:tcBorders>
                  <w:noWrap w:val="0"/>
                  <w:vAlign w:val="center"/>
                </w:tcPr>
                <w:p w14:paraId="02ACB51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restart"/>
                  <w:tcBorders>
                    <w:tl2br w:val="nil"/>
                    <w:tr2bl w:val="nil"/>
                  </w:tcBorders>
                  <w:shd w:val="clear" w:color="auto" w:fill="auto"/>
                  <w:noWrap w:val="0"/>
                  <w:vAlign w:val="center"/>
                </w:tcPr>
                <w:p w14:paraId="2B28607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137.3</w:t>
                  </w:r>
                </w:p>
              </w:tc>
              <w:tc>
                <w:tcPr>
                  <w:tcW w:w="263" w:type="pct"/>
                  <w:vMerge w:val="restart"/>
                  <w:tcBorders>
                    <w:tl2br w:val="nil"/>
                    <w:tr2bl w:val="nil"/>
                  </w:tcBorders>
                  <w:shd w:val="clear" w:color="auto" w:fill="auto"/>
                  <w:noWrap w:val="0"/>
                  <w:vAlign w:val="center"/>
                </w:tcPr>
                <w:p w14:paraId="3B8EFB9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251.8</w:t>
                  </w:r>
                </w:p>
              </w:tc>
              <w:tc>
                <w:tcPr>
                  <w:tcW w:w="219" w:type="pct"/>
                  <w:vMerge w:val="restart"/>
                  <w:tcBorders>
                    <w:tl2br w:val="nil"/>
                    <w:tr2bl w:val="nil"/>
                  </w:tcBorders>
                  <w:shd w:val="clear" w:color="auto" w:fill="auto"/>
                  <w:noWrap w:val="0"/>
                  <w:vAlign w:val="center"/>
                </w:tcPr>
                <w:p w14:paraId="5552558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0.5</w:t>
                  </w:r>
                </w:p>
              </w:tc>
              <w:tc>
                <w:tcPr>
                  <w:tcW w:w="252" w:type="pct"/>
                  <w:tcBorders>
                    <w:tl2br w:val="nil"/>
                    <w:tr2bl w:val="nil"/>
                  </w:tcBorders>
                  <w:shd w:val="clear" w:color="auto" w:fill="auto"/>
                  <w:noWrap w:val="0"/>
                  <w:vAlign w:val="center"/>
                </w:tcPr>
                <w:p w14:paraId="14D07522">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东</w:t>
                  </w:r>
                </w:p>
              </w:tc>
              <w:tc>
                <w:tcPr>
                  <w:tcW w:w="449" w:type="pct"/>
                  <w:tcBorders>
                    <w:tl2br w:val="nil"/>
                    <w:tr2bl w:val="nil"/>
                  </w:tcBorders>
                  <w:shd w:val="clear" w:color="auto" w:fill="auto"/>
                  <w:noWrap w:val="0"/>
                  <w:vAlign w:val="center"/>
                </w:tcPr>
                <w:p w14:paraId="74CC4E2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69.99</w:t>
                  </w:r>
                </w:p>
              </w:tc>
              <w:tc>
                <w:tcPr>
                  <w:tcW w:w="471" w:type="pct"/>
                  <w:tcBorders>
                    <w:tl2br w:val="nil"/>
                    <w:tr2bl w:val="nil"/>
                  </w:tcBorders>
                  <w:shd w:val="clear" w:color="auto" w:fill="auto"/>
                  <w:noWrap w:val="0"/>
                  <w:vAlign w:val="center"/>
                </w:tcPr>
                <w:p w14:paraId="7F60F20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58.17</w:t>
                  </w:r>
                </w:p>
              </w:tc>
              <w:tc>
                <w:tcPr>
                  <w:tcW w:w="200" w:type="pct"/>
                  <w:vMerge w:val="continue"/>
                  <w:tcBorders>
                    <w:tl2br w:val="nil"/>
                    <w:tr2bl w:val="nil"/>
                  </w:tcBorders>
                  <w:shd w:val="clear" w:color="auto" w:fill="auto"/>
                  <w:noWrap w:val="0"/>
                  <w:vAlign w:val="center"/>
                </w:tcPr>
                <w:p w14:paraId="46F1104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shd w:val="clear" w:color="auto" w:fill="auto"/>
                  <w:noWrap w:val="0"/>
                  <w:vAlign w:val="center"/>
                </w:tcPr>
                <w:p w14:paraId="673A07E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10FDF9C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53.61</w:t>
                  </w:r>
                </w:p>
              </w:tc>
              <w:tc>
                <w:tcPr>
                  <w:tcW w:w="359" w:type="pct"/>
                  <w:tcBorders>
                    <w:tl2br w:val="nil"/>
                    <w:tr2bl w:val="nil"/>
                  </w:tcBorders>
                  <w:shd w:val="clear" w:color="auto" w:fill="auto"/>
                  <w:noWrap w:val="0"/>
                  <w:vAlign w:val="center"/>
                </w:tcPr>
                <w:p w14:paraId="7A08A50F">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18CEC65B">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2DCA075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502739B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2565CD0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5171D62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2E3E701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2B82B34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2CDC0CD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3B02A78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70292FE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shd w:val="clear" w:color="auto" w:fill="auto"/>
                  <w:noWrap w:val="0"/>
                  <w:vAlign w:val="center"/>
                </w:tcPr>
                <w:p w14:paraId="2DD4AF6E">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南</w:t>
                  </w:r>
                </w:p>
              </w:tc>
              <w:tc>
                <w:tcPr>
                  <w:tcW w:w="449" w:type="pct"/>
                  <w:tcBorders>
                    <w:tl2br w:val="nil"/>
                    <w:tr2bl w:val="nil"/>
                  </w:tcBorders>
                  <w:shd w:val="clear" w:color="auto" w:fill="auto"/>
                  <w:noWrap w:val="0"/>
                  <w:vAlign w:val="center"/>
                </w:tcPr>
                <w:p w14:paraId="3EF8754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17.39</w:t>
                  </w:r>
                </w:p>
              </w:tc>
              <w:tc>
                <w:tcPr>
                  <w:tcW w:w="471" w:type="pct"/>
                  <w:tcBorders>
                    <w:tl2br w:val="nil"/>
                    <w:tr2bl w:val="nil"/>
                  </w:tcBorders>
                  <w:shd w:val="clear" w:color="auto" w:fill="auto"/>
                  <w:noWrap w:val="0"/>
                  <w:vAlign w:val="center"/>
                </w:tcPr>
                <w:p w14:paraId="5C897C0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58.66</w:t>
                  </w:r>
                </w:p>
              </w:tc>
              <w:tc>
                <w:tcPr>
                  <w:tcW w:w="200" w:type="pct"/>
                  <w:vMerge w:val="continue"/>
                  <w:tcBorders>
                    <w:tl2br w:val="nil"/>
                    <w:tr2bl w:val="nil"/>
                  </w:tcBorders>
                  <w:noWrap w:val="0"/>
                  <w:vAlign w:val="center"/>
                </w:tcPr>
                <w:p w14:paraId="635DE92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6F0B4C9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7D61BF9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55.09</w:t>
                  </w:r>
                </w:p>
              </w:tc>
              <w:tc>
                <w:tcPr>
                  <w:tcW w:w="359" w:type="pct"/>
                  <w:tcBorders>
                    <w:tl2br w:val="nil"/>
                    <w:tr2bl w:val="nil"/>
                  </w:tcBorders>
                  <w:shd w:val="clear" w:color="auto" w:fill="auto"/>
                  <w:noWrap w:val="0"/>
                  <w:vAlign w:val="center"/>
                </w:tcPr>
                <w:p w14:paraId="5794A9A7">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2783F15D">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070430A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08244EF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2E82233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6885F86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7DEA0C8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0C4BBBE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50D0BCF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14BB556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1E99BB6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shd w:val="clear" w:color="auto" w:fill="auto"/>
                  <w:noWrap w:val="0"/>
                  <w:vAlign w:val="center"/>
                </w:tcPr>
                <w:p w14:paraId="3CAC40A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西</w:t>
                  </w:r>
                </w:p>
              </w:tc>
              <w:tc>
                <w:tcPr>
                  <w:tcW w:w="449" w:type="pct"/>
                  <w:tcBorders>
                    <w:tl2br w:val="nil"/>
                    <w:tr2bl w:val="nil"/>
                  </w:tcBorders>
                  <w:shd w:val="clear" w:color="auto" w:fill="auto"/>
                  <w:noWrap w:val="0"/>
                  <w:vAlign w:val="center"/>
                </w:tcPr>
                <w:p w14:paraId="7D9A185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72.28</w:t>
                  </w:r>
                </w:p>
              </w:tc>
              <w:tc>
                <w:tcPr>
                  <w:tcW w:w="471" w:type="pct"/>
                  <w:tcBorders>
                    <w:tl2br w:val="nil"/>
                    <w:tr2bl w:val="nil"/>
                  </w:tcBorders>
                  <w:shd w:val="clear" w:color="auto" w:fill="auto"/>
                  <w:noWrap w:val="0"/>
                  <w:vAlign w:val="center"/>
                </w:tcPr>
                <w:p w14:paraId="7E1EB5D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58.17</w:t>
                  </w:r>
                </w:p>
              </w:tc>
              <w:tc>
                <w:tcPr>
                  <w:tcW w:w="200" w:type="pct"/>
                  <w:vMerge w:val="continue"/>
                  <w:tcBorders>
                    <w:tl2br w:val="nil"/>
                    <w:tr2bl w:val="nil"/>
                  </w:tcBorders>
                  <w:noWrap w:val="0"/>
                  <w:vAlign w:val="center"/>
                </w:tcPr>
                <w:p w14:paraId="4BE4E4A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6947313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16E57D3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53.61</w:t>
                  </w:r>
                </w:p>
              </w:tc>
              <w:tc>
                <w:tcPr>
                  <w:tcW w:w="359" w:type="pct"/>
                  <w:tcBorders>
                    <w:tl2br w:val="nil"/>
                    <w:tr2bl w:val="nil"/>
                  </w:tcBorders>
                  <w:shd w:val="clear" w:color="auto" w:fill="auto"/>
                  <w:noWrap w:val="0"/>
                  <w:vAlign w:val="center"/>
                </w:tcPr>
                <w:p w14:paraId="1FB61358">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57BB1CC7">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504B00C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75EEAD0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6FCF6D7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3F22C45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582524A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290EBD2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3EA4F6E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3542C2F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5C53B1F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shd w:val="clear" w:color="auto" w:fill="auto"/>
                  <w:noWrap w:val="0"/>
                  <w:vAlign w:val="center"/>
                </w:tcPr>
                <w:p w14:paraId="734FC320">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北</w:t>
                  </w:r>
                </w:p>
              </w:tc>
              <w:tc>
                <w:tcPr>
                  <w:tcW w:w="449" w:type="pct"/>
                  <w:tcBorders>
                    <w:tl2br w:val="nil"/>
                    <w:tr2bl w:val="nil"/>
                  </w:tcBorders>
                  <w:shd w:val="clear" w:color="auto" w:fill="auto"/>
                  <w:noWrap w:val="0"/>
                  <w:vAlign w:val="center"/>
                </w:tcPr>
                <w:p w14:paraId="596B744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97.87</w:t>
                  </w:r>
                </w:p>
              </w:tc>
              <w:tc>
                <w:tcPr>
                  <w:tcW w:w="471" w:type="pct"/>
                  <w:tcBorders>
                    <w:tl2br w:val="nil"/>
                    <w:tr2bl w:val="nil"/>
                  </w:tcBorders>
                  <w:shd w:val="clear" w:color="auto" w:fill="auto"/>
                  <w:noWrap w:val="0"/>
                  <w:vAlign w:val="center"/>
                </w:tcPr>
                <w:p w14:paraId="7068872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58.15</w:t>
                  </w:r>
                </w:p>
              </w:tc>
              <w:tc>
                <w:tcPr>
                  <w:tcW w:w="200" w:type="pct"/>
                  <w:vMerge w:val="continue"/>
                  <w:tcBorders>
                    <w:tl2br w:val="nil"/>
                    <w:tr2bl w:val="nil"/>
                  </w:tcBorders>
                  <w:noWrap w:val="0"/>
                  <w:vAlign w:val="center"/>
                </w:tcPr>
                <w:p w14:paraId="12D41A6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68775E4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708E856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54.58</w:t>
                  </w:r>
                </w:p>
              </w:tc>
              <w:tc>
                <w:tcPr>
                  <w:tcW w:w="359" w:type="pct"/>
                  <w:tcBorders>
                    <w:tl2br w:val="nil"/>
                    <w:tr2bl w:val="nil"/>
                  </w:tcBorders>
                  <w:shd w:val="clear" w:color="auto" w:fill="auto"/>
                  <w:noWrap w:val="0"/>
                  <w:vAlign w:val="center"/>
                </w:tcPr>
                <w:p w14:paraId="771FD68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6A742F50">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restart"/>
                  <w:tcBorders>
                    <w:tl2br w:val="nil"/>
                    <w:tr2bl w:val="nil"/>
                  </w:tcBorders>
                  <w:noWrap w:val="0"/>
                  <w:vAlign w:val="center"/>
                </w:tcPr>
                <w:p w14:paraId="79A99D9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14</w:t>
                  </w:r>
                </w:p>
              </w:tc>
              <w:tc>
                <w:tcPr>
                  <w:tcW w:w="230" w:type="pct"/>
                  <w:vMerge w:val="continue"/>
                  <w:tcBorders>
                    <w:tl2br w:val="nil"/>
                    <w:tr2bl w:val="nil"/>
                  </w:tcBorders>
                  <w:noWrap w:val="0"/>
                  <w:vAlign w:val="center"/>
                </w:tcPr>
                <w:p w14:paraId="0D024FE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restart"/>
                  <w:tcBorders>
                    <w:tl2br w:val="nil"/>
                    <w:tr2bl w:val="nil"/>
                  </w:tcBorders>
                  <w:noWrap w:val="0"/>
                  <w:vAlign w:val="center"/>
                </w:tcPr>
                <w:p w14:paraId="42A225D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lang w:val="en-US" w:eastAsia="zh-CN"/>
                    </w:rPr>
                    <w:t>挑球器</w:t>
                  </w:r>
                </w:p>
              </w:tc>
              <w:tc>
                <w:tcPr>
                  <w:tcW w:w="351" w:type="pct"/>
                  <w:vMerge w:val="restart"/>
                  <w:tcBorders>
                    <w:tl2br w:val="nil"/>
                    <w:tr2bl w:val="nil"/>
                  </w:tcBorders>
                  <w:noWrap w:val="0"/>
                  <w:vAlign w:val="center"/>
                </w:tcPr>
                <w:p w14:paraId="05433B5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w:t>
                  </w:r>
                </w:p>
              </w:tc>
              <w:tc>
                <w:tcPr>
                  <w:tcW w:w="350" w:type="pct"/>
                  <w:vMerge w:val="restart"/>
                  <w:tcBorders>
                    <w:tl2br w:val="nil"/>
                    <w:tr2bl w:val="nil"/>
                  </w:tcBorders>
                  <w:noWrap w:val="0"/>
                  <w:vAlign w:val="center"/>
                </w:tcPr>
                <w:p w14:paraId="1B61C43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85</w:t>
                  </w:r>
                </w:p>
              </w:tc>
              <w:tc>
                <w:tcPr>
                  <w:tcW w:w="351" w:type="pct"/>
                  <w:vMerge w:val="continue"/>
                  <w:tcBorders>
                    <w:tl2br w:val="nil"/>
                    <w:tr2bl w:val="nil"/>
                  </w:tcBorders>
                  <w:noWrap w:val="0"/>
                  <w:vAlign w:val="center"/>
                </w:tcPr>
                <w:p w14:paraId="7BFDA06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restart"/>
                  <w:tcBorders>
                    <w:tl2br w:val="nil"/>
                    <w:tr2bl w:val="nil"/>
                  </w:tcBorders>
                  <w:shd w:val="clear" w:color="auto" w:fill="auto"/>
                  <w:noWrap w:val="0"/>
                  <w:vAlign w:val="center"/>
                </w:tcPr>
                <w:p w14:paraId="4A21398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140.7</w:t>
                  </w:r>
                </w:p>
              </w:tc>
              <w:tc>
                <w:tcPr>
                  <w:tcW w:w="263" w:type="pct"/>
                  <w:vMerge w:val="restart"/>
                  <w:tcBorders>
                    <w:tl2br w:val="nil"/>
                    <w:tr2bl w:val="nil"/>
                  </w:tcBorders>
                  <w:shd w:val="clear" w:color="auto" w:fill="auto"/>
                  <w:noWrap w:val="0"/>
                  <w:vAlign w:val="center"/>
                </w:tcPr>
                <w:p w14:paraId="452AF44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247.6</w:t>
                  </w:r>
                </w:p>
              </w:tc>
              <w:tc>
                <w:tcPr>
                  <w:tcW w:w="219" w:type="pct"/>
                  <w:vMerge w:val="restart"/>
                  <w:tcBorders>
                    <w:tl2br w:val="nil"/>
                    <w:tr2bl w:val="nil"/>
                  </w:tcBorders>
                  <w:shd w:val="clear" w:color="auto" w:fill="auto"/>
                  <w:noWrap w:val="0"/>
                  <w:vAlign w:val="center"/>
                </w:tcPr>
                <w:p w14:paraId="324D13D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0.5</w:t>
                  </w:r>
                </w:p>
              </w:tc>
              <w:tc>
                <w:tcPr>
                  <w:tcW w:w="252" w:type="pct"/>
                  <w:tcBorders>
                    <w:tl2br w:val="nil"/>
                    <w:tr2bl w:val="nil"/>
                  </w:tcBorders>
                  <w:shd w:val="clear" w:color="auto" w:fill="auto"/>
                  <w:noWrap w:val="0"/>
                  <w:vAlign w:val="center"/>
                </w:tcPr>
                <w:p w14:paraId="7AA8F1F5">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东</w:t>
                  </w:r>
                </w:p>
              </w:tc>
              <w:tc>
                <w:tcPr>
                  <w:tcW w:w="449" w:type="pct"/>
                  <w:tcBorders>
                    <w:tl2br w:val="nil"/>
                    <w:tr2bl w:val="nil"/>
                  </w:tcBorders>
                  <w:shd w:val="clear" w:color="auto" w:fill="auto"/>
                  <w:noWrap w:val="0"/>
                  <w:vAlign w:val="center"/>
                </w:tcPr>
                <w:p w14:paraId="25F9F0B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70.58</w:t>
                  </w:r>
                </w:p>
              </w:tc>
              <w:tc>
                <w:tcPr>
                  <w:tcW w:w="471" w:type="pct"/>
                  <w:tcBorders>
                    <w:tl2br w:val="nil"/>
                    <w:tr2bl w:val="nil"/>
                  </w:tcBorders>
                  <w:shd w:val="clear" w:color="auto" w:fill="auto"/>
                  <w:noWrap w:val="0"/>
                  <w:vAlign w:val="center"/>
                </w:tcPr>
                <w:p w14:paraId="408FACE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58.17</w:t>
                  </w:r>
                </w:p>
              </w:tc>
              <w:tc>
                <w:tcPr>
                  <w:tcW w:w="200" w:type="pct"/>
                  <w:vMerge w:val="continue"/>
                  <w:tcBorders>
                    <w:tl2br w:val="nil"/>
                    <w:tr2bl w:val="nil"/>
                  </w:tcBorders>
                  <w:shd w:val="clear" w:color="auto" w:fill="auto"/>
                  <w:noWrap w:val="0"/>
                  <w:vAlign w:val="center"/>
                </w:tcPr>
                <w:p w14:paraId="10F0A09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shd w:val="clear" w:color="auto" w:fill="auto"/>
                  <w:noWrap w:val="0"/>
                  <w:vAlign w:val="center"/>
                </w:tcPr>
                <w:p w14:paraId="6346292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475729E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53.61</w:t>
                  </w:r>
                </w:p>
              </w:tc>
              <w:tc>
                <w:tcPr>
                  <w:tcW w:w="359" w:type="pct"/>
                  <w:tcBorders>
                    <w:tl2br w:val="nil"/>
                    <w:tr2bl w:val="nil"/>
                  </w:tcBorders>
                  <w:shd w:val="clear" w:color="auto" w:fill="auto"/>
                  <w:noWrap w:val="0"/>
                  <w:vAlign w:val="center"/>
                </w:tcPr>
                <w:p w14:paraId="37D8340E">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2D951788">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3EDE1D1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7C35383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48C2F14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6D09841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530B640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2FF62EE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71F9E4E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5E5146D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56839FF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shd w:val="clear" w:color="auto" w:fill="auto"/>
                  <w:noWrap w:val="0"/>
                  <w:vAlign w:val="center"/>
                </w:tcPr>
                <w:p w14:paraId="17D2DCA0">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南</w:t>
                  </w:r>
                </w:p>
              </w:tc>
              <w:tc>
                <w:tcPr>
                  <w:tcW w:w="449" w:type="pct"/>
                  <w:tcBorders>
                    <w:tl2br w:val="nil"/>
                    <w:tr2bl w:val="nil"/>
                  </w:tcBorders>
                  <w:shd w:val="clear" w:color="auto" w:fill="auto"/>
                  <w:noWrap w:val="0"/>
                  <w:vAlign w:val="center"/>
                </w:tcPr>
                <w:p w14:paraId="7867BF2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12.02</w:t>
                  </w:r>
                </w:p>
              </w:tc>
              <w:tc>
                <w:tcPr>
                  <w:tcW w:w="471" w:type="pct"/>
                  <w:tcBorders>
                    <w:tl2br w:val="nil"/>
                    <w:tr2bl w:val="nil"/>
                  </w:tcBorders>
                  <w:shd w:val="clear" w:color="auto" w:fill="auto"/>
                  <w:noWrap w:val="0"/>
                  <w:vAlign w:val="center"/>
                </w:tcPr>
                <w:p w14:paraId="456C203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59.17</w:t>
                  </w:r>
                </w:p>
              </w:tc>
              <w:tc>
                <w:tcPr>
                  <w:tcW w:w="200" w:type="pct"/>
                  <w:vMerge w:val="continue"/>
                  <w:tcBorders>
                    <w:tl2br w:val="nil"/>
                    <w:tr2bl w:val="nil"/>
                  </w:tcBorders>
                  <w:noWrap w:val="0"/>
                  <w:vAlign w:val="center"/>
                </w:tcPr>
                <w:p w14:paraId="618C47C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7DB60DB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7AAE800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55.6</w:t>
                  </w:r>
                </w:p>
              </w:tc>
              <w:tc>
                <w:tcPr>
                  <w:tcW w:w="359" w:type="pct"/>
                  <w:tcBorders>
                    <w:tl2br w:val="nil"/>
                    <w:tr2bl w:val="nil"/>
                  </w:tcBorders>
                  <w:shd w:val="clear" w:color="auto" w:fill="auto"/>
                  <w:noWrap w:val="0"/>
                  <w:vAlign w:val="center"/>
                </w:tcPr>
                <w:p w14:paraId="630946EC">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380E6E29">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57E2D0A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3921C9D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39E5844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32AD9A4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18B40CE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7D7F590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1E6F962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48CBE1B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1572AFF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shd w:val="clear" w:color="auto" w:fill="auto"/>
                  <w:noWrap w:val="0"/>
                  <w:vAlign w:val="center"/>
                </w:tcPr>
                <w:p w14:paraId="751D9334">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西</w:t>
                  </w:r>
                </w:p>
              </w:tc>
              <w:tc>
                <w:tcPr>
                  <w:tcW w:w="449" w:type="pct"/>
                  <w:tcBorders>
                    <w:tl2br w:val="nil"/>
                    <w:tr2bl w:val="nil"/>
                  </w:tcBorders>
                  <w:shd w:val="clear" w:color="auto" w:fill="auto"/>
                  <w:noWrap w:val="0"/>
                  <w:vAlign w:val="center"/>
                </w:tcPr>
                <w:p w14:paraId="445FCDA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71.69</w:t>
                  </w:r>
                </w:p>
              </w:tc>
              <w:tc>
                <w:tcPr>
                  <w:tcW w:w="471" w:type="pct"/>
                  <w:tcBorders>
                    <w:tl2br w:val="nil"/>
                    <w:tr2bl w:val="nil"/>
                  </w:tcBorders>
                  <w:shd w:val="clear" w:color="auto" w:fill="auto"/>
                  <w:noWrap w:val="0"/>
                  <w:vAlign w:val="center"/>
                </w:tcPr>
                <w:p w14:paraId="4260E00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58.17</w:t>
                  </w:r>
                </w:p>
              </w:tc>
              <w:tc>
                <w:tcPr>
                  <w:tcW w:w="200" w:type="pct"/>
                  <w:vMerge w:val="continue"/>
                  <w:tcBorders>
                    <w:tl2br w:val="nil"/>
                    <w:tr2bl w:val="nil"/>
                  </w:tcBorders>
                  <w:noWrap w:val="0"/>
                  <w:vAlign w:val="center"/>
                </w:tcPr>
                <w:p w14:paraId="36D525F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26B74C1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0218496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53.61</w:t>
                  </w:r>
                </w:p>
              </w:tc>
              <w:tc>
                <w:tcPr>
                  <w:tcW w:w="359" w:type="pct"/>
                  <w:tcBorders>
                    <w:tl2br w:val="nil"/>
                    <w:tr2bl w:val="nil"/>
                  </w:tcBorders>
                  <w:shd w:val="clear" w:color="auto" w:fill="auto"/>
                  <w:noWrap w:val="0"/>
                  <w:vAlign w:val="center"/>
                </w:tcPr>
                <w:p w14:paraId="30570A22">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576DA8D6">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2901C46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0D25E24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5006712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2301CC9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0122549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579B002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02C9DDC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055C066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30FB6FF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shd w:val="clear" w:color="auto" w:fill="auto"/>
                  <w:noWrap w:val="0"/>
                  <w:vAlign w:val="center"/>
                </w:tcPr>
                <w:p w14:paraId="529703B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北</w:t>
                  </w:r>
                </w:p>
              </w:tc>
              <w:tc>
                <w:tcPr>
                  <w:tcW w:w="449" w:type="pct"/>
                  <w:tcBorders>
                    <w:tl2br w:val="nil"/>
                    <w:tr2bl w:val="nil"/>
                  </w:tcBorders>
                  <w:shd w:val="clear" w:color="auto" w:fill="auto"/>
                  <w:noWrap w:val="0"/>
                  <w:vAlign w:val="center"/>
                </w:tcPr>
                <w:p w14:paraId="5127360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103.24</w:t>
                  </w:r>
                </w:p>
              </w:tc>
              <w:tc>
                <w:tcPr>
                  <w:tcW w:w="471" w:type="pct"/>
                  <w:tcBorders>
                    <w:tl2br w:val="nil"/>
                    <w:tr2bl w:val="nil"/>
                  </w:tcBorders>
                  <w:shd w:val="clear" w:color="auto" w:fill="auto"/>
                  <w:noWrap w:val="0"/>
                  <w:vAlign w:val="center"/>
                </w:tcPr>
                <w:p w14:paraId="1539A30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58.15</w:t>
                  </w:r>
                </w:p>
              </w:tc>
              <w:tc>
                <w:tcPr>
                  <w:tcW w:w="200" w:type="pct"/>
                  <w:vMerge w:val="continue"/>
                  <w:tcBorders>
                    <w:tl2br w:val="nil"/>
                    <w:tr2bl w:val="nil"/>
                  </w:tcBorders>
                  <w:noWrap w:val="0"/>
                  <w:vAlign w:val="center"/>
                </w:tcPr>
                <w:p w14:paraId="0745564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17FFC6A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09C40FB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54.58</w:t>
                  </w:r>
                </w:p>
              </w:tc>
              <w:tc>
                <w:tcPr>
                  <w:tcW w:w="359" w:type="pct"/>
                  <w:tcBorders>
                    <w:tl2br w:val="nil"/>
                    <w:tr2bl w:val="nil"/>
                  </w:tcBorders>
                  <w:shd w:val="clear" w:color="auto" w:fill="auto"/>
                  <w:noWrap w:val="0"/>
                  <w:vAlign w:val="center"/>
                </w:tcPr>
                <w:p w14:paraId="6E271440">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448EF6EC">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restart"/>
                  <w:tcBorders>
                    <w:tl2br w:val="nil"/>
                    <w:tr2bl w:val="nil"/>
                  </w:tcBorders>
                  <w:noWrap w:val="0"/>
                  <w:vAlign w:val="center"/>
                </w:tcPr>
                <w:p w14:paraId="4EDEAE4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default" w:ascii="Times New Roman" w:hAnsi="Times New Roman" w:eastAsia="宋体" w:cs="Times New Roman"/>
                      <w:color w:val="auto"/>
                      <w:kern w:val="2"/>
                      <w:sz w:val="21"/>
                      <w:szCs w:val="21"/>
                      <w:u w:val="none" w:color="auto"/>
                      <w:lang w:val="en-US" w:eastAsia="zh-CN"/>
                    </w:rPr>
                    <w:t>1</w:t>
                  </w:r>
                  <w:r>
                    <w:rPr>
                      <w:rFonts w:hint="eastAsia" w:ascii="Times New Roman" w:hAnsi="Times New Roman" w:cs="Times New Roman"/>
                      <w:color w:val="auto"/>
                      <w:kern w:val="2"/>
                      <w:sz w:val="21"/>
                      <w:szCs w:val="21"/>
                      <w:u w:val="none" w:color="auto"/>
                      <w:lang w:val="en-US" w:eastAsia="zh-CN"/>
                    </w:rPr>
                    <w:t>5</w:t>
                  </w:r>
                </w:p>
              </w:tc>
              <w:tc>
                <w:tcPr>
                  <w:tcW w:w="230" w:type="pct"/>
                  <w:vMerge w:val="continue"/>
                  <w:tcBorders>
                    <w:tl2br w:val="nil"/>
                    <w:tr2bl w:val="nil"/>
                  </w:tcBorders>
                  <w:noWrap w:val="0"/>
                  <w:vAlign w:val="center"/>
                </w:tcPr>
                <w:p w14:paraId="4D37FB7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restart"/>
                  <w:tcBorders>
                    <w:tl2br w:val="nil"/>
                    <w:tr2bl w:val="nil"/>
                  </w:tcBorders>
                  <w:noWrap w:val="0"/>
                  <w:vAlign w:val="center"/>
                </w:tcPr>
                <w:p w14:paraId="75EA6C4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lang w:val="en-US" w:eastAsia="zh-CN"/>
                    </w:rPr>
                    <w:t>风机</w:t>
                  </w:r>
                </w:p>
              </w:tc>
              <w:tc>
                <w:tcPr>
                  <w:tcW w:w="351" w:type="pct"/>
                  <w:vMerge w:val="restart"/>
                  <w:tcBorders>
                    <w:tl2br w:val="nil"/>
                    <w:tr2bl w:val="nil"/>
                  </w:tcBorders>
                  <w:noWrap w:val="0"/>
                  <w:vAlign w:val="center"/>
                </w:tcPr>
                <w:p w14:paraId="650C1B6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w:t>
                  </w:r>
                </w:p>
              </w:tc>
              <w:tc>
                <w:tcPr>
                  <w:tcW w:w="350" w:type="pct"/>
                  <w:vMerge w:val="restart"/>
                  <w:tcBorders>
                    <w:tl2br w:val="nil"/>
                    <w:tr2bl w:val="nil"/>
                  </w:tcBorders>
                  <w:noWrap w:val="0"/>
                  <w:vAlign w:val="center"/>
                </w:tcPr>
                <w:p w14:paraId="2AA33A6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95</w:t>
                  </w:r>
                </w:p>
              </w:tc>
              <w:tc>
                <w:tcPr>
                  <w:tcW w:w="351" w:type="pct"/>
                  <w:vMerge w:val="continue"/>
                  <w:tcBorders>
                    <w:tl2br w:val="nil"/>
                    <w:tr2bl w:val="nil"/>
                  </w:tcBorders>
                  <w:noWrap w:val="0"/>
                  <w:vAlign w:val="center"/>
                </w:tcPr>
                <w:p w14:paraId="4BF006A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restart"/>
                  <w:tcBorders>
                    <w:tl2br w:val="nil"/>
                    <w:tr2bl w:val="nil"/>
                  </w:tcBorders>
                  <w:noWrap w:val="0"/>
                  <w:vAlign w:val="center"/>
                </w:tcPr>
                <w:p w14:paraId="2D93386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80.7</w:t>
                  </w:r>
                </w:p>
              </w:tc>
              <w:tc>
                <w:tcPr>
                  <w:tcW w:w="263" w:type="pct"/>
                  <w:vMerge w:val="restart"/>
                  <w:tcBorders>
                    <w:tl2br w:val="nil"/>
                    <w:tr2bl w:val="nil"/>
                  </w:tcBorders>
                  <w:noWrap w:val="0"/>
                  <w:vAlign w:val="center"/>
                </w:tcPr>
                <w:p w14:paraId="4D54018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292.9</w:t>
                  </w:r>
                </w:p>
              </w:tc>
              <w:tc>
                <w:tcPr>
                  <w:tcW w:w="219" w:type="pct"/>
                  <w:vMerge w:val="restart"/>
                  <w:tcBorders>
                    <w:tl2br w:val="nil"/>
                    <w:tr2bl w:val="nil"/>
                  </w:tcBorders>
                  <w:noWrap w:val="0"/>
                  <w:vAlign w:val="center"/>
                </w:tcPr>
                <w:p w14:paraId="00D93E8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0.5</w:t>
                  </w:r>
                </w:p>
              </w:tc>
              <w:tc>
                <w:tcPr>
                  <w:tcW w:w="252" w:type="pct"/>
                  <w:tcBorders>
                    <w:tl2br w:val="nil"/>
                    <w:tr2bl w:val="nil"/>
                  </w:tcBorders>
                  <w:noWrap w:val="0"/>
                  <w:vAlign w:val="center"/>
                </w:tcPr>
                <w:p w14:paraId="34FCF01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东</w:t>
                  </w:r>
                </w:p>
              </w:tc>
              <w:tc>
                <w:tcPr>
                  <w:tcW w:w="449" w:type="pct"/>
                  <w:tcBorders>
                    <w:tl2br w:val="nil"/>
                    <w:tr2bl w:val="nil"/>
                  </w:tcBorders>
                  <w:noWrap w:val="0"/>
                  <w:vAlign w:val="center"/>
                </w:tcPr>
                <w:p w14:paraId="7CE0C1B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80.61</w:t>
                  </w:r>
                </w:p>
              </w:tc>
              <w:tc>
                <w:tcPr>
                  <w:tcW w:w="471" w:type="pct"/>
                  <w:tcBorders>
                    <w:tl2br w:val="nil"/>
                    <w:tr2bl w:val="nil"/>
                  </w:tcBorders>
                  <w:noWrap w:val="0"/>
                  <w:vAlign w:val="center"/>
                </w:tcPr>
                <w:p w14:paraId="0C481C2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68.16</w:t>
                  </w:r>
                </w:p>
              </w:tc>
              <w:tc>
                <w:tcPr>
                  <w:tcW w:w="200" w:type="pct"/>
                  <w:vMerge w:val="continue"/>
                  <w:tcBorders>
                    <w:tl2br w:val="nil"/>
                    <w:tr2bl w:val="nil"/>
                  </w:tcBorders>
                  <w:noWrap w:val="0"/>
                  <w:vAlign w:val="center"/>
                </w:tcPr>
                <w:p w14:paraId="4148657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2429D55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0CE3A3E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63.61</w:t>
                  </w:r>
                </w:p>
              </w:tc>
              <w:tc>
                <w:tcPr>
                  <w:tcW w:w="359" w:type="pct"/>
                  <w:tcBorders>
                    <w:tl2br w:val="nil"/>
                    <w:tr2bl w:val="nil"/>
                  </w:tcBorders>
                  <w:noWrap w:val="0"/>
                  <w:vAlign w:val="center"/>
                </w:tcPr>
                <w:p w14:paraId="7B8F031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1E82E767">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70C9D3B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665A4F4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54AD0D2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4D0835F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032BE43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1BFC846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50CCE2E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5F16D7A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3D67BE0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222D745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南</w:t>
                  </w:r>
                </w:p>
              </w:tc>
              <w:tc>
                <w:tcPr>
                  <w:tcW w:w="449" w:type="pct"/>
                  <w:tcBorders>
                    <w:tl2br w:val="nil"/>
                    <w:tr2bl w:val="nil"/>
                  </w:tcBorders>
                  <w:noWrap w:val="0"/>
                  <w:vAlign w:val="center"/>
                </w:tcPr>
                <w:p w14:paraId="33BF113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86.53</w:t>
                  </w:r>
                </w:p>
              </w:tc>
              <w:tc>
                <w:tcPr>
                  <w:tcW w:w="471" w:type="pct"/>
                  <w:tcBorders>
                    <w:tl2br w:val="nil"/>
                    <w:tr2bl w:val="nil"/>
                  </w:tcBorders>
                  <w:noWrap w:val="0"/>
                  <w:vAlign w:val="center"/>
                </w:tcPr>
                <w:p w14:paraId="7DF7997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68.16</w:t>
                  </w:r>
                </w:p>
              </w:tc>
              <w:tc>
                <w:tcPr>
                  <w:tcW w:w="200" w:type="pct"/>
                  <w:vMerge w:val="continue"/>
                  <w:tcBorders>
                    <w:tl2br w:val="nil"/>
                    <w:tr2bl w:val="nil"/>
                  </w:tcBorders>
                  <w:noWrap w:val="0"/>
                  <w:vAlign w:val="center"/>
                </w:tcPr>
                <w:p w14:paraId="666BB1A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33735FF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1DB2622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64.59</w:t>
                  </w:r>
                </w:p>
              </w:tc>
              <w:tc>
                <w:tcPr>
                  <w:tcW w:w="359" w:type="pct"/>
                  <w:tcBorders>
                    <w:tl2br w:val="nil"/>
                    <w:tr2bl w:val="nil"/>
                  </w:tcBorders>
                  <w:noWrap w:val="0"/>
                  <w:vAlign w:val="center"/>
                </w:tcPr>
                <w:p w14:paraId="04E3977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70D17526">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23133BD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64B5110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6A0E884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181DB4A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71112C6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570453E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1E15800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5E71F67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46400EB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3D592C3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西</w:t>
                  </w:r>
                </w:p>
              </w:tc>
              <w:tc>
                <w:tcPr>
                  <w:tcW w:w="449" w:type="pct"/>
                  <w:tcBorders>
                    <w:tl2br w:val="nil"/>
                    <w:tr2bl w:val="nil"/>
                  </w:tcBorders>
                  <w:noWrap w:val="0"/>
                  <w:vAlign w:val="center"/>
                </w:tcPr>
                <w:p w14:paraId="4EA3ABD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61.66</w:t>
                  </w:r>
                </w:p>
              </w:tc>
              <w:tc>
                <w:tcPr>
                  <w:tcW w:w="471" w:type="pct"/>
                  <w:tcBorders>
                    <w:tl2br w:val="nil"/>
                    <w:tr2bl w:val="nil"/>
                  </w:tcBorders>
                  <w:noWrap w:val="0"/>
                  <w:vAlign w:val="center"/>
                </w:tcPr>
                <w:p w14:paraId="66A6F3A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68.18</w:t>
                  </w:r>
                </w:p>
              </w:tc>
              <w:tc>
                <w:tcPr>
                  <w:tcW w:w="200" w:type="pct"/>
                  <w:vMerge w:val="continue"/>
                  <w:tcBorders>
                    <w:tl2br w:val="nil"/>
                    <w:tr2bl w:val="nil"/>
                  </w:tcBorders>
                  <w:noWrap w:val="0"/>
                  <w:vAlign w:val="center"/>
                </w:tcPr>
                <w:p w14:paraId="1AE65C3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784053A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7805F38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63.62</w:t>
                  </w:r>
                </w:p>
              </w:tc>
              <w:tc>
                <w:tcPr>
                  <w:tcW w:w="359" w:type="pct"/>
                  <w:tcBorders>
                    <w:tl2br w:val="nil"/>
                    <w:tr2bl w:val="nil"/>
                  </w:tcBorders>
                  <w:noWrap w:val="0"/>
                  <w:vAlign w:val="center"/>
                </w:tcPr>
                <w:p w14:paraId="603C8ED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5AC7F43F">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5AEB150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475984F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3DBD816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174DFEE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5AC606D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3932606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1595CEE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487FF77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59E0DF0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27D232B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北</w:t>
                  </w:r>
                </w:p>
              </w:tc>
              <w:tc>
                <w:tcPr>
                  <w:tcW w:w="449" w:type="pct"/>
                  <w:tcBorders>
                    <w:tl2br w:val="nil"/>
                    <w:tr2bl w:val="nil"/>
                  </w:tcBorders>
                  <w:noWrap w:val="0"/>
                  <w:vAlign w:val="center"/>
                </w:tcPr>
                <w:p w14:paraId="758DAEB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28.73</w:t>
                  </w:r>
                </w:p>
              </w:tc>
              <w:tc>
                <w:tcPr>
                  <w:tcW w:w="471" w:type="pct"/>
                  <w:tcBorders>
                    <w:tl2br w:val="nil"/>
                    <w:tr2bl w:val="nil"/>
                  </w:tcBorders>
                  <w:noWrap w:val="0"/>
                  <w:vAlign w:val="center"/>
                </w:tcPr>
                <w:p w14:paraId="0BBDEC3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68.33</w:t>
                  </w:r>
                </w:p>
              </w:tc>
              <w:tc>
                <w:tcPr>
                  <w:tcW w:w="200" w:type="pct"/>
                  <w:vMerge w:val="continue"/>
                  <w:tcBorders>
                    <w:tl2br w:val="nil"/>
                    <w:tr2bl w:val="nil"/>
                  </w:tcBorders>
                  <w:noWrap w:val="0"/>
                  <w:vAlign w:val="center"/>
                </w:tcPr>
                <w:p w14:paraId="73BA84A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23DDED0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0D363D6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64.76</w:t>
                  </w:r>
                </w:p>
              </w:tc>
              <w:tc>
                <w:tcPr>
                  <w:tcW w:w="359" w:type="pct"/>
                  <w:tcBorders>
                    <w:tl2br w:val="nil"/>
                    <w:tr2bl w:val="nil"/>
                  </w:tcBorders>
                  <w:noWrap w:val="0"/>
                  <w:vAlign w:val="center"/>
                </w:tcPr>
                <w:p w14:paraId="6E4FACC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6C4AAF2A">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restart"/>
                  <w:tcBorders>
                    <w:tl2br w:val="nil"/>
                    <w:tr2bl w:val="nil"/>
                  </w:tcBorders>
                  <w:noWrap w:val="0"/>
                  <w:vAlign w:val="center"/>
                </w:tcPr>
                <w:p w14:paraId="02DA04A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16</w:t>
                  </w:r>
                </w:p>
              </w:tc>
              <w:tc>
                <w:tcPr>
                  <w:tcW w:w="230" w:type="pct"/>
                  <w:vMerge w:val="continue"/>
                  <w:tcBorders>
                    <w:tl2br w:val="nil"/>
                    <w:tr2bl w:val="nil"/>
                  </w:tcBorders>
                  <w:noWrap w:val="0"/>
                  <w:vAlign w:val="center"/>
                </w:tcPr>
                <w:p w14:paraId="2E2BEC4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restart"/>
                  <w:tcBorders>
                    <w:tl2br w:val="nil"/>
                    <w:tr2bl w:val="nil"/>
                  </w:tcBorders>
                  <w:shd w:val="clear" w:color="auto" w:fill="auto"/>
                  <w:noWrap w:val="0"/>
                  <w:vAlign w:val="center"/>
                </w:tcPr>
                <w:p w14:paraId="22145337">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rPr>
                  </w:pPr>
                  <w:r>
                    <w:rPr>
                      <w:rFonts w:hint="default" w:ascii="Times New Roman" w:hAnsi="Times New Roman" w:eastAsia="宋体" w:cs="Times New Roman"/>
                      <w:color w:val="auto"/>
                      <w:kern w:val="2"/>
                      <w:sz w:val="21"/>
                      <w:szCs w:val="21"/>
                      <w:u w:val="none" w:color="auto"/>
                      <w:lang w:val="en-US" w:eastAsia="zh-CN"/>
                    </w:rPr>
                    <w:t>风机</w:t>
                  </w:r>
                </w:p>
              </w:tc>
              <w:tc>
                <w:tcPr>
                  <w:tcW w:w="351" w:type="pct"/>
                  <w:vMerge w:val="restart"/>
                  <w:tcBorders>
                    <w:tl2br w:val="nil"/>
                    <w:tr2bl w:val="nil"/>
                  </w:tcBorders>
                  <w:shd w:val="clear" w:color="auto" w:fill="auto"/>
                  <w:noWrap w:val="0"/>
                  <w:vAlign w:val="center"/>
                </w:tcPr>
                <w:p w14:paraId="644E1A8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w:t>
                  </w:r>
                </w:p>
              </w:tc>
              <w:tc>
                <w:tcPr>
                  <w:tcW w:w="350" w:type="pct"/>
                  <w:vMerge w:val="restart"/>
                  <w:tcBorders>
                    <w:tl2br w:val="nil"/>
                    <w:tr2bl w:val="nil"/>
                  </w:tcBorders>
                  <w:shd w:val="clear" w:color="auto" w:fill="auto"/>
                  <w:noWrap w:val="0"/>
                  <w:vAlign w:val="center"/>
                </w:tcPr>
                <w:p w14:paraId="3E3BC1D2">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rPr>
                  </w:pPr>
                  <w:r>
                    <w:rPr>
                      <w:rFonts w:hint="default" w:ascii="Times New Roman" w:hAnsi="Times New Roman" w:eastAsia="宋体" w:cs="Times New Roman"/>
                      <w:color w:val="auto"/>
                      <w:kern w:val="2"/>
                      <w:sz w:val="21"/>
                      <w:szCs w:val="21"/>
                      <w:u w:val="none" w:color="auto"/>
                      <w:lang w:val="en-US" w:eastAsia="zh-CN"/>
                    </w:rPr>
                    <w:t>90</w:t>
                  </w:r>
                </w:p>
              </w:tc>
              <w:tc>
                <w:tcPr>
                  <w:tcW w:w="351" w:type="pct"/>
                  <w:vMerge w:val="continue"/>
                  <w:tcBorders>
                    <w:tl2br w:val="nil"/>
                    <w:tr2bl w:val="nil"/>
                  </w:tcBorders>
                  <w:noWrap w:val="0"/>
                  <w:vAlign w:val="center"/>
                </w:tcPr>
                <w:p w14:paraId="2EEF024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restart"/>
                  <w:tcBorders>
                    <w:tl2br w:val="nil"/>
                    <w:tr2bl w:val="nil"/>
                  </w:tcBorders>
                  <w:noWrap w:val="0"/>
                  <w:vAlign w:val="center"/>
                </w:tcPr>
                <w:p w14:paraId="6DADD59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129.3</w:t>
                  </w:r>
                </w:p>
              </w:tc>
              <w:tc>
                <w:tcPr>
                  <w:tcW w:w="263" w:type="pct"/>
                  <w:vMerge w:val="restart"/>
                  <w:tcBorders>
                    <w:tl2br w:val="nil"/>
                    <w:tr2bl w:val="nil"/>
                  </w:tcBorders>
                  <w:noWrap w:val="0"/>
                  <w:vAlign w:val="center"/>
                </w:tcPr>
                <w:p w14:paraId="7E7160F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249</w:t>
                  </w:r>
                </w:p>
              </w:tc>
              <w:tc>
                <w:tcPr>
                  <w:tcW w:w="219" w:type="pct"/>
                  <w:vMerge w:val="restart"/>
                  <w:tcBorders>
                    <w:tl2br w:val="nil"/>
                    <w:tr2bl w:val="nil"/>
                  </w:tcBorders>
                  <w:noWrap w:val="0"/>
                  <w:vAlign w:val="center"/>
                </w:tcPr>
                <w:p w14:paraId="55D7E10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0.5</w:t>
                  </w:r>
                </w:p>
              </w:tc>
              <w:tc>
                <w:tcPr>
                  <w:tcW w:w="252" w:type="pct"/>
                  <w:tcBorders>
                    <w:tl2br w:val="nil"/>
                    <w:tr2bl w:val="nil"/>
                  </w:tcBorders>
                  <w:noWrap w:val="0"/>
                  <w:vAlign w:val="center"/>
                </w:tcPr>
                <w:p w14:paraId="0F089B8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49" w:type="pct"/>
                  <w:tcBorders>
                    <w:tl2br w:val="nil"/>
                    <w:tr2bl w:val="nil"/>
                  </w:tcBorders>
                  <w:noWrap w:val="0"/>
                  <w:vAlign w:val="center"/>
                </w:tcPr>
                <w:p w14:paraId="49157A2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77.61</w:t>
                  </w:r>
                </w:p>
              </w:tc>
              <w:tc>
                <w:tcPr>
                  <w:tcW w:w="471" w:type="pct"/>
                  <w:tcBorders>
                    <w:tl2br w:val="nil"/>
                    <w:tr2bl w:val="nil"/>
                  </w:tcBorders>
                  <w:noWrap w:val="0"/>
                  <w:vAlign w:val="center"/>
                </w:tcPr>
                <w:p w14:paraId="0C4D22E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63.16</w:t>
                  </w:r>
                </w:p>
              </w:tc>
              <w:tc>
                <w:tcPr>
                  <w:tcW w:w="200" w:type="pct"/>
                  <w:vMerge w:val="continue"/>
                  <w:tcBorders>
                    <w:tl2br w:val="nil"/>
                    <w:tr2bl w:val="nil"/>
                  </w:tcBorders>
                  <w:noWrap w:val="0"/>
                  <w:vAlign w:val="center"/>
                </w:tcPr>
                <w:p w14:paraId="4815105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0E4BC87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58D5B24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58.61</w:t>
                  </w:r>
                </w:p>
              </w:tc>
              <w:tc>
                <w:tcPr>
                  <w:tcW w:w="359" w:type="pct"/>
                  <w:tcBorders>
                    <w:tl2br w:val="nil"/>
                    <w:tr2bl w:val="nil"/>
                  </w:tcBorders>
                  <w:shd w:val="clear" w:color="auto" w:fill="auto"/>
                  <w:noWrap w:val="0"/>
                  <w:vAlign w:val="center"/>
                </w:tcPr>
                <w:p w14:paraId="1C54AFE6">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08BA6756">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51FF29C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30" w:type="pct"/>
                  <w:vMerge w:val="continue"/>
                  <w:tcBorders>
                    <w:tl2br w:val="nil"/>
                    <w:tr2bl w:val="nil"/>
                  </w:tcBorders>
                  <w:noWrap w:val="0"/>
                  <w:vAlign w:val="center"/>
                </w:tcPr>
                <w:p w14:paraId="19ED509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2B2ECFA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351" w:type="pct"/>
                  <w:vMerge w:val="continue"/>
                  <w:tcBorders>
                    <w:tl2br w:val="nil"/>
                    <w:tr2bl w:val="nil"/>
                  </w:tcBorders>
                  <w:noWrap w:val="0"/>
                  <w:vAlign w:val="center"/>
                </w:tcPr>
                <w:p w14:paraId="4A05B89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350" w:type="pct"/>
                  <w:vMerge w:val="continue"/>
                  <w:tcBorders>
                    <w:tl2br w:val="nil"/>
                    <w:tr2bl w:val="nil"/>
                  </w:tcBorders>
                  <w:noWrap w:val="0"/>
                  <w:vAlign w:val="center"/>
                </w:tcPr>
                <w:p w14:paraId="60B2398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351" w:type="pct"/>
                  <w:vMerge w:val="continue"/>
                  <w:tcBorders>
                    <w:tl2br w:val="nil"/>
                    <w:tr2bl w:val="nil"/>
                  </w:tcBorders>
                  <w:noWrap w:val="0"/>
                  <w:vAlign w:val="center"/>
                </w:tcPr>
                <w:p w14:paraId="78BE6CF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36DA662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5E0D819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132171A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7928BA7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49" w:type="pct"/>
                  <w:tcBorders>
                    <w:tl2br w:val="nil"/>
                    <w:tr2bl w:val="nil"/>
                  </w:tcBorders>
                  <w:noWrap w:val="0"/>
                  <w:vAlign w:val="center"/>
                </w:tcPr>
                <w:p w14:paraId="4DDEDE8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21.1</w:t>
                  </w:r>
                </w:p>
              </w:tc>
              <w:tc>
                <w:tcPr>
                  <w:tcW w:w="471" w:type="pct"/>
                  <w:tcBorders>
                    <w:tl2br w:val="nil"/>
                    <w:tr2bl w:val="nil"/>
                  </w:tcBorders>
                  <w:noWrap w:val="0"/>
                  <w:vAlign w:val="center"/>
                </w:tcPr>
                <w:p w14:paraId="02E7A6B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63.5</w:t>
                  </w:r>
                </w:p>
              </w:tc>
              <w:tc>
                <w:tcPr>
                  <w:tcW w:w="200" w:type="pct"/>
                  <w:vMerge w:val="continue"/>
                  <w:tcBorders>
                    <w:tl2br w:val="nil"/>
                    <w:tr2bl w:val="nil"/>
                  </w:tcBorders>
                  <w:noWrap w:val="0"/>
                  <w:vAlign w:val="center"/>
                </w:tcPr>
                <w:p w14:paraId="6A57254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5CC6A3C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7AD4F96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59.93</w:t>
                  </w:r>
                </w:p>
              </w:tc>
              <w:tc>
                <w:tcPr>
                  <w:tcW w:w="359" w:type="pct"/>
                  <w:tcBorders>
                    <w:tl2br w:val="nil"/>
                    <w:tr2bl w:val="nil"/>
                  </w:tcBorders>
                  <w:shd w:val="clear" w:color="auto" w:fill="auto"/>
                  <w:noWrap w:val="0"/>
                  <w:vAlign w:val="center"/>
                </w:tcPr>
                <w:p w14:paraId="6390B7F8">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79C30FE5">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703DE34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30" w:type="pct"/>
                  <w:vMerge w:val="continue"/>
                  <w:tcBorders>
                    <w:tl2br w:val="nil"/>
                    <w:tr2bl w:val="nil"/>
                  </w:tcBorders>
                  <w:noWrap w:val="0"/>
                  <w:vAlign w:val="center"/>
                </w:tcPr>
                <w:p w14:paraId="2A215B0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195CA13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351" w:type="pct"/>
                  <w:vMerge w:val="continue"/>
                  <w:tcBorders>
                    <w:tl2br w:val="nil"/>
                    <w:tr2bl w:val="nil"/>
                  </w:tcBorders>
                  <w:noWrap w:val="0"/>
                  <w:vAlign w:val="center"/>
                </w:tcPr>
                <w:p w14:paraId="76DE51B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350" w:type="pct"/>
                  <w:vMerge w:val="continue"/>
                  <w:tcBorders>
                    <w:tl2br w:val="nil"/>
                    <w:tr2bl w:val="nil"/>
                  </w:tcBorders>
                  <w:noWrap w:val="0"/>
                  <w:vAlign w:val="center"/>
                </w:tcPr>
                <w:p w14:paraId="77451F3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351" w:type="pct"/>
                  <w:vMerge w:val="continue"/>
                  <w:tcBorders>
                    <w:tl2br w:val="nil"/>
                    <w:tr2bl w:val="nil"/>
                  </w:tcBorders>
                  <w:noWrap w:val="0"/>
                  <w:vAlign w:val="center"/>
                </w:tcPr>
                <w:p w14:paraId="642F220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722ECE3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591BB5F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2E6619B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613BDAA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49" w:type="pct"/>
                  <w:tcBorders>
                    <w:tl2br w:val="nil"/>
                    <w:tr2bl w:val="nil"/>
                  </w:tcBorders>
                  <w:noWrap w:val="0"/>
                  <w:vAlign w:val="center"/>
                </w:tcPr>
                <w:p w14:paraId="6536B5C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64.66</w:t>
                  </w:r>
                </w:p>
              </w:tc>
              <w:tc>
                <w:tcPr>
                  <w:tcW w:w="471" w:type="pct"/>
                  <w:tcBorders>
                    <w:tl2br w:val="nil"/>
                    <w:tr2bl w:val="nil"/>
                  </w:tcBorders>
                  <w:noWrap w:val="0"/>
                  <w:vAlign w:val="center"/>
                </w:tcPr>
                <w:p w14:paraId="3E367D8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63.18</w:t>
                  </w:r>
                </w:p>
              </w:tc>
              <w:tc>
                <w:tcPr>
                  <w:tcW w:w="200" w:type="pct"/>
                  <w:vMerge w:val="continue"/>
                  <w:tcBorders>
                    <w:tl2br w:val="nil"/>
                    <w:tr2bl w:val="nil"/>
                  </w:tcBorders>
                  <w:noWrap w:val="0"/>
                  <w:vAlign w:val="center"/>
                </w:tcPr>
                <w:p w14:paraId="5B8D7EF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341477E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748FAC3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58.62</w:t>
                  </w:r>
                </w:p>
              </w:tc>
              <w:tc>
                <w:tcPr>
                  <w:tcW w:w="359" w:type="pct"/>
                  <w:tcBorders>
                    <w:tl2br w:val="nil"/>
                    <w:tr2bl w:val="nil"/>
                  </w:tcBorders>
                  <w:shd w:val="clear" w:color="auto" w:fill="auto"/>
                  <w:noWrap w:val="0"/>
                  <w:vAlign w:val="center"/>
                </w:tcPr>
                <w:p w14:paraId="071D1C08">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23EDA8F2">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6069C33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30" w:type="pct"/>
                  <w:vMerge w:val="continue"/>
                  <w:tcBorders>
                    <w:tl2br w:val="nil"/>
                    <w:tr2bl w:val="nil"/>
                  </w:tcBorders>
                  <w:noWrap w:val="0"/>
                  <w:vAlign w:val="center"/>
                </w:tcPr>
                <w:p w14:paraId="16217F2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4E98255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351" w:type="pct"/>
                  <w:vMerge w:val="continue"/>
                  <w:tcBorders>
                    <w:tl2br w:val="nil"/>
                    <w:tr2bl w:val="nil"/>
                  </w:tcBorders>
                  <w:noWrap w:val="0"/>
                  <w:vAlign w:val="center"/>
                </w:tcPr>
                <w:p w14:paraId="32E4B07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350" w:type="pct"/>
                  <w:vMerge w:val="continue"/>
                  <w:tcBorders>
                    <w:tl2br w:val="nil"/>
                    <w:tr2bl w:val="nil"/>
                  </w:tcBorders>
                  <w:noWrap w:val="0"/>
                  <w:vAlign w:val="center"/>
                </w:tcPr>
                <w:p w14:paraId="41E261F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351" w:type="pct"/>
                  <w:vMerge w:val="continue"/>
                  <w:tcBorders>
                    <w:tl2br w:val="nil"/>
                    <w:tr2bl w:val="nil"/>
                  </w:tcBorders>
                  <w:noWrap w:val="0"/>
                  <w:vAlign w:val="center"/>
                </w:tcPr>
                <w:p w14:paraId="40F6400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38E9101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36A2029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14CBC72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23C24AD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49" w:type="pct"/>
                  <w:tcBorders>
                    <w:tl2br w:val="nil"/>
                    <w:tr2bl w:val="nil"/>
                  </w:tcBorders>
                  <w:noWrap w:val="0"/>
                  <w:vAlign w:val="center"/>
                </w:tcPr>
                <w:p w14:paraId="0C8F46F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94.16</w:t>
                  </w:r>
                </w:p>
              </w:tc>
              <w:tc>
                <w:tcPr>
                  <w:tcW w:w="471" w:type="pct"/>
                  <w:tcBorders>
                    <w:tl2br w:val="nil"/>
                    <w:tr2bl w:val="nil"/>
                  </w:tcBorders>
                  <w:noWrap w:val="0"/>
                  <w:vAlign w:val="center"/>
                </w:tcPr>
                <w:p w14:paraId="049C659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63.15</w:t>
                  </w:r>
                </w:p>
              </w:tc>
              <w:tc>
                <w:tcPr>
                  <w:tcW w:w="200" w:type="pct"/>
                  <w:vMerge w:val="continue"/>
                  <w:tcBorders>
                    <w:tl2br w:val="nil"/>
                    <w:tr2bl w:val="nil"/>
                  </w:tcBorders>
                  <w:noWrap w:val="0"/>
                  <w:vAlign w:val="center"/>
                </w:tcPr>
                <w:p w14:paraId="2AEE0E3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4BCD3C8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0C8C6CF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59.58</w:t>
                  </w:r>
                </w:p>
              </w:tc>
              <w:tc>
                <w:tcPr>
                  <w:tcW w:w="359" w:type="pct"/>
                  <w:tcBorders>
                    <w:tl2br w:val="nil"/>
                    <w:tr2bl w:val="nil"/>
                  </w:tcBorders>
                  <w:shd w:val="clear" w:color="auto" w:fill="auto"/>
                  <w:noWrap w:val="0"/>
                  <w:vAlign w:val="center"/>
                </w:tcPr>
                <w:p w14:paraId="03A64AC4">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6701FF8F">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restart"/>
                  <w:tcBorders>
                    <w:tl2br w:val="nil"/>
                    <w:tr2bl w:val="nil"/>
                  </w:tcBorders>
                  <w:noWrap w:val="0"/>
                  <w:vAlign w:val="center"/>
                </w:tcPr>
                <w:p w14:paraId="177B3AB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17</w:t>
                  </w:r>
                </w:p>
              </w:tc>
              <w:tc>
                <w:tcPr>
                  <w:tcW w:w="230" w:type="pct"/>
                  <w:vMerge w:val="continue"/>
                  <w:tcBorders>
                    <w:tl2br w:val="nil"/>
                    <w:tr2bl w:val="nil"/>
                  </w:tcBorders>
                  <w:noWrap w:val="0"/>
                  <w:vAlign w:val="center"/>
                </w:tcPr>
                <w:p w14:paraId="2653506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restart"/>
                  <w:tcBorders>
                    <w:tl2br w:val="nil"/>
                    <w:tr2bl w:val="nil"/>
                  </w:tcBorders>
                  <w:shd w:val="clear" w:color="auto" w:fill="auto"/>
                  <w:noWrap w:val="0"/>
                  <w:vAlign w:val="center"/>
                </w:tcPr>
                <w:p w14:paraId="1B1489A6">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rPr>
                    <w:t>风机</w:t>
                  </w:r>
                </w:p>
              </w:tc>
              <w:tc>
                <w:tcPr>
                  <w:tcW w:w="351" w:type="pct"/>
                  <w:vMerge w:val="restart"/>
                  <w:tcBorders>
                    <w:tl2br w:val="nil"/>
                    <w:tr2bl w:val="nil"/>
                  </w:tcBorders>
                  <w:shd w:val="clear" w:color="auto" w:fill="auto"/>
                  <w:noWrap w:val="0"/>
                  <w:vAlign w:val="center"/>
                </w:tcPr>
                <w:p w14:paraId="45B8AD1C">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w:t>
                  </w:r>
                </w:p>
              </w:tc>
              <w:tc>
                <w:tcPr>
                  <w:tcW w:w="350" w:type="pct"/>
                  <w:vMerge w:val="restart"/>
                  <w:tcBorders>
                    <w:tl2br w:val="nil"/>
                    <w:tr2bl w:val="nil"/>
                  </w:tcBorders>
                  <w:shd w:val="clear" w:color="auto" w:fill="auto"/>
                  <w:noWrap w:val="0"/>
                  <w:vAlign w:val="center"/>
                </w:tcPr>
                <w:p w14:paraId="373CB000">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rPr>
                    <w:t>90</w:t>
                  </w:r>
                </w:p>
              </w:tc>
              <w:tc>
                <w:tcPr>
                  <w:tcW w:w="351" w:type="pct"/>
                  <w:vMerge w:val="continue"/>
                  <w:tcBorders>
                    <w:tl2br w:val="nil"/>
                    <w:tr2bl w:val="nil"/>
                  </w:tcBorders>
                  <w:noWrap w:val="0"/>
                  <w:vAlign w:val="center"/>
                </w:tcPr>
                <w:p w14:paraId="5F98D3C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restart"/>
                  <w:tcBorders>
                    <w:tl2br w:val="nil"/>
                    <w:tr2bl w:val="nil"/>
                  </w:tcBorders>
                  <w:shd w:val="clear" w:color="auto" w:fill="auto"/>
                  <w:noWrap w:val="0"/>
                  <w:vAlign w:val="center"/>
                </w:tcPr>
                <w:p w14:paraId="129E54D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103.8</w:t>
                  </w:r>
                </w:p>
              </w:tc>
              <w:tc>
                <w:tcPr>
                  <w:tcW w:w="263" w:type="pct"/>
                  <w:vMerge w:val="restart"/>
                  <w:tcBorders>
                    <w:tl2br w:val="nil"/>
                    <w:tr2bl w:val="nil"/>
                  </w:tcBorders>
                  <w:shd w:val="clear" w:color="auto" w:fill="auto"/>
                  <w:noWrap w:val="0"/>
                  <w:vAlign w:val="center"/>
                </w:tcPr>
                <w:p w14:paraId="34B2F8E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229.2</w:t>
                  </w:r>
                </w:p>
              </w:tc>
              <w:tc>
                <w:tcPr>
                  <w:tcW w:w="219" w:type="pct"/>
                  <w:vMerge w:val="restart"/>
                  <w:tcBorders>
                    <w:tl2br w:val="nil"/>
                    <w:tr2bl w:val="nil"/>
                  </w:tcBorders>
                  <w:shd w:val="clear" w:color="auto" w:fill="auto"/>
                  <w:noWrap w:val="0"/>
                  <w:vAlign w:val="center"/>
                </w:tcPr>
                <w:p w14:paraId="7230B4D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0.5</w:t>
                  </w:r>
                </w:p>
              </w:tc>
              <w:tc>
                <w:tcPr>
                  <w:tcW w:w="252" w:type="pct"/>
                  <w:tcBorders>
                    <w:tl2br w:val="nil"/>
                    <w:tr2bl w:val="nil"/>
                  </w:tcBorders>
                  <w:noWrap w:val="0"/>
                  <w:vAlign w:val="center"/>
                </w:tcPr>
                <w:p w14:paraId="211191F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49" w:type="pct"/>
                  <w:tcBorders>
                    <w:tl2br w:val="nil"/>
                    <w:tr2bl w:val="nil"/>
                  </w:tcBorders>
                  <w:noWrap w:val="0"/>
                  <w:vAlign w:val="center"/>
                </w:tcPr>
                <w:p w14:paraId="095E9C3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109.62</w:t>
                  </w:r>
                </w:p>
              </w:tc>
              <w:tc>
                <w:tcPr>
                  <w:tcW w:w="471" w:type="pct"/>
                  <w:tcBorders>
                    <w:tl2br w:val="nil"/>
                    <w:tr2bl w:val="nil"/>
                  </w:tcBorders>
                  <w:noWrap w:val="0"/>
                  <w:vAlign w:val="center"/>
                </w:tcPr>
                <w:p w14:paraId="5223961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63.15</w:t>
                  </w:r>
                </w:p>
              </w:tc>
              <w:tc>
                <w:tcPr>
                  <w:tcW w:w="200" w:type="pct"/>
                  <w:vMerge w:val="continue"/>
                  <w:tcBorders>
                    <w:tl2br w:val="nil"/>
                    <w:tr2bl w:val="nil"/>
                  </w:tcBorders>
                  <w:noWrap w:val="0"/>
                  <w:vAlign w:val="center"/>
                </w:tcPr>
                <w:p w14:paraId="69B873E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34350A7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08A3738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58.59</w:t>
                  </w:r>
                </w:p>
              </w:tc>
              <w:tc>
                <w:tcPr>
                  <w:tcW w:w="359" w:type="pct"/>
                  <w:tcBorders>
                    <w:tl2br w:val="nil"/>
                    <w:tr2bl w:val="nil"/>
                  </w:tcBorders>
                  <w:shd w:val="clear" w:color="auto" w:fill="auto"/>
                  <w:noWrap w:val="0"/>
                  <w:vAlign w:val="center"/>
                </w:tcPr>
                <w:p w14:paraId="6E3496A5">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4E7C1791">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7909F2C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30" w:type="pct"/>
                  <w:vMerge w:val="continue"/>
                  <w:tcBorders>
                    <w:tl2br w:val="nil"/>
                    <w:tr2bl w:val="nil"/>
                  </w:tcBorders>
                  <w:noWrap w:val="0"/>
                  <w:vAlign w:val="center"/>
                </w:tcPr>
                <w:p w14:paraId="041633E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43F7FBC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351" w:type="pct"/>
                  <w:vMerge w:val="continue"/>
                  <w:tcBorders>
                    <w:tl2br w:val="nil"/>
                    <w:tr2bl w:val="nil"/>
                  </w:tcBorders>
                  <w:noWrap w:val="0"/>
                  <w:vAlign w:val="center"/>
                </w:tcPr>
                <w:p w14:paraId="04E3B08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350" w:type="pct"/>
                  <w:vMerge w:val="continue"/>
                  <w:tcBorders>
                    <w:tl2br w:val="nil"/>
                    <w:tr2bl w:val="nil"/>
                  </w:tcBorders>
                  <w:noWrap w:val="0"/>
                  <w:vAlign w:val="center"/>
                </w:tcPr>
                <w:p w14:paraId="2122831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351" w:type="pct"/>
                  <w:vMerge w:val="continue"/>
                  <w:tcBorders>
                    <w:tl2br w:val="nil"/>
                    <w:tr2bl w:val="nil"/>
                  </w:tcBorders>
                  <w:noWrap w:val="0"/>
                  <w:vAlign w:val="center"/>
                </w:tcPr>
                <w:p w14:paraId="1490BCF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022FAAD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14658A7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1235A90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5671690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49" w:type="pct"/>
                  <w:tcBorders>
                    <w:tl2br w:val="nil"/>
                    <w:tr2bl w:val="nil"/>
                  </w:tcBorders>
                  <w:noWrap w:val="0"/>
                  <w:vAlign w:val="center"/>
                </w:tcPr>
                <w:p w14:paraId="3EFFCDA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25.29</w:t>
                  </w:r>
                </w:p>
              </w:tc>
              <w:tc>
                <w:tcPr>
                  <w:tcW w:w="471" w:type="pct"/>
                  <w:tcBorders>
                    <w:tl2br w:val="nil"/>
                    <w:tr2bl w:val="nil"/>
                  </w:tcBorders>
                  <w:noWrap w:val="0"/>
                  <w:vAlign w:val="center"/>
                </w:tcPr>
                <w:p w14:paraId="59DDEDD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63.39</w:t>
                  </w:r>
                </w:p>
              </w:tc>
              <w:tc>
                <w:tcPr>
                  <w:tcW w:w="200" w:type="pct"/>
                  <w:vMerge w:val="continue"/>
                  <w:tcBorders>
                    <w:tl2br w:val="nil"/>
                    <w:tr2bl w:val="nil"/>
                  </w:tcBorders>
                  <w:noWrap w:val="0"/>
                  <w:vAlign w:val="center"/>
                </w:tcPr>
                <w:p w14:paraId="2FC5C56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0A866FB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0C55DE8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59.82</w:t>
                  </w:r>
                </w:p>
              </w:tc>
              <w:tc>
                <w:tcPr>
                  <w:tcW w:w="359" w:type="pct"/>
                  <w:tcBorders>
                    <w:tl2br w:val="nil"/>
                    <w:tr2bl w:val="nil"/>
                  </w:tcBorders>
                  <w:shd w:val="clear" w:color="auto" w:fill="auto"/>
                  <w:noWrap w:val="0"/>
                  <w:vAlign w:val="center"/>
                </w:tcPr>
                <w:p w14:paraId="363AE140">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0F796041">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76C1C16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30" w:type="pct"/>
                  <w:vMerge w:val="continue"/>
                  <w:tcBorders>
                    <w:tl2br w:val="nil"/>
                    <w:tr2bl w:val="nil"/>
                  </w:tcBorders>
                  <w:noWrap w:val="0"/>
                  <w:vAlign w:val="center"/>
                </w:tcPr>
                <w:p w14:paraId="767680A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766A470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351" w:type="pct"/>
                  <w:vMerge w:val="continue"/>
                  <w:tcBorders>
                    <w:tl2br w:val="nil"/>
                    <w:tr2bl w:val="nil"/>
                  </w:tcBorders>
                  <w:noWrap w:val="0"/>
                  <w:vAlign w:val="center"/>
                </w:tcPr>
                <w:p w14:paraId="44677FB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350" w:type="pct"/>
                  <w:vMerge w:val="continue"/>
                  <w:tcBorders>
                    <w:tl2br w:val="nil"/>
                    <w:tr2bl w:val="nil"/>
                  </w:tcBorders>
                  <w:noWrap w:val="0"/>
                  <w:vAlign w:val="center"/>
                </w:tcPr>
                <w:p w14:paraId="269B9C5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351" w:type="pct"/>
                  <w:vMerge w:val="continue"/>
                  <w:tcBorders>
                    <w:tl2br w:val="nil"/>
                    <w:tr2bl w:val="nil"/>
                  </w:tcBorders>
                  <w:noWrap w:val="0"/>
                  <w:vAlign w:val="center"/>
                </w:tcPr>
                <w:p w14:paraId="6F6D12B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709EF9B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5D99D7B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5601E47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360FC5D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49" w:type="pct"/>
                  <w:tcBorders>
                    <w:tl2br w:val="nil"/>
                    <w:tr2bl w:val="nil"/>
                  </w:tcBorders>
                  <w:noWrap w:val="0"/>
                  <w:vAlign w:val="center"/>
                </w:tcPr>
                <w:p w14:paraId="598C525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32.65</w:t>
                  </w:r>
                </w:p>
              </w:tc>
              <w:tc>
                <w:tcPr>
                  <w:tcW w:w="471" w:type="pct"/>
                  <w:tcBorders>
                    <w:tl2br w:val="nil"/>
                    <w:tr2bl w:val="nil"/>
                  </w:tcBorders>
                  <w:noWrap w:val="0"/>
                  <w:vAlign w:val="center"/>
                </w:tcPr>
                <w:p w14:paraId="152869E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63.29</w:t>
                  </w:r>
                </w:p>
              </w:tc>
              <w:tc>
                <w:tcPr>
                  <w:tcW w:w="200" w:type="pct"/>
                  <w:vMerge w:val="continue"/>
                  <w:tcBorders>
                    <w:tl2br w:val="nil"/>
                    <w:tr2bl w:val="nil"/>
                  </w:tcBorders>
                  <w:noWrap w:val="0"/>
                  <w:vAlign w:val="center"/>
                </w:tcPr>
                <w:p w14:paraId="4DD9795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0AE2FF6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6128480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58.74</w:t>
                  </w:r>
                </w:p>
              </w:tc>
              <w:tc>
                <w:tcPr>
                  <w:tcW w:w="359" w:type="pct"/>
                  <w:tcBorders>
                    <w:tl2br w:val="nil"/>
                    <w:tr2bl w:val="nil"/>
                  </w:tcBorders>
                  <w:shd w:val="clear" w:color="auto" w:fill="auto"/>
                  <w:noWrap w:val="0"/>
                  <w:vAlign w:val="center"/>
                </w:tcPr>
                <w:p w14:paraId="138BBB15">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1E661097">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7A22C64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30" w:type="pct"/>
                  <w:vMerge w:val="continue"/>
                  <w:tcBorders>
                    <w:tl2br w:val="nil"/>
                    <w:tr2bl w:val="nil"/>
                  </w:tcBorders>
                  <w:noWrap w:val="0"/>
                  <w:vAlign w:val="center"/>
                </w:tcPr>
                <w:p w14:paraId="7DB8EFB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6107A55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351" w:type="pct"/>
                  <w:vMerge w:val="continue"/>
                  <w:tcBorders>
                    <w:tl2br w:val="nil"/>
                    <w:tr2bl w:val="nil"/>
                  </w:tcBorders>
                  <w:noWrap w:val="0"/>
                  <w:vAlign w:val="center"/>
                </w:tcPr>
                <w:p w14:paraId="6C6FE0C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350" w:type="pct"/>
                  <w:vMerge w:val="continue"/>
                  <w:tcBorders>
                    <w:tl2br w:val="nil"/>
                    <w:tr2bl w:val="nil"/>
                  </w:tcBorders>
                  <w:noWrap w:val="0"/>
                  <w:vAlign w:val="center"/>
                </w:tcPr>
                <w:p w14:paraId="16364ED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351" w:type="pct"/>
                  <w:vMerge w:val="continue"/>
                  <w:tcBorders>
                    <w:tl2br w:val="nil"/>
                    <w:tr2bl w:val="nil"/>
                  </w:tcBorders>
                  <w:noWrap w:val="0"/>
                  <w:vAlign w:val="center"/>
                </w:tcPr>
                <w:p w14:paraId="0CFFB4D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2E69BCA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71AE855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5D734B0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1999478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49" w:type="pct"/>
                  <w:tcBorders>
                    <w:tl2br w:val="nil"/>
                    <w:tr2bl w:val="nil"/>
                  </w:tcBorders>
                  <w:noWrap w:val="0"/>
                  <w:vAlign w:val="center"/>
                </w:tcPr>
                <w:p w14:paraId="362F2A2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89.97</w:t>
                  </w:r>
                </w:p>
              </w:tc>
              <w:tc>
                <w:tcPr>
                  <w:tcW w:w="471" w:type="pct"/>
                  <w:tcBorders>
                    <w:tl2br w:val="nil"/>
                    <w:tr2bl w:val="nil"/>
                  </w:tcBorders>
                  <w:noWrap w:val="0"/>
                  <w:vAlign w:val="center"/>
                </w:tcPr>
                <w:p w14:paraId="3DAFA06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63.16</w:t>
                  </w:r>
                </w:p>
              </w:tc>
              <w:tc>
                <w:tcPr>
                  <w:tcW w:w="200" w:type="pct"/>
                  <w:vMerge w:val="continue"/>
                  <w:tcBorders>
                    <w:tl2br w:val="nil"/>
                    <w:tr2bl w:val="nil"/>
                  </w:tcBorders>
                  <w:noWrap w:val="0"/>
                  <w:vAlign w:val="center"/>
                </w:tcPr>
                <w:p w14:paraId="712B5F9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31E221A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4C6B68E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59.59</w:t>
                  </w:r>
                </w:p>
              </w:tc>
              <w:tc>
                <w:tcPr>
                  <w:tcW w:w="359" w:type="pct"/>
                  <w:tcBorders>
                    <w:tl2br w:val="nil"/>
                    <w:tr2bl w:val="nil"/>
                  </w:tcBorders>
                  <w:shd w:val="clear" w:color="auto" w:fill="auto"/>
                  <w:noWrap w:val="0"/>
                  <w:vAlign w:val="center"/>
                </w:tcPr>
                <w:p w14:paraId="4B399A6F">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4674F0DA">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restart"/>
                  <w:tcBorders>
                    <w:tl2br w:val="nil"/>
                    <w:tr2bl w:val="nil"/>
                  </w:tcBorders>
                  <w:noWrap w:val="0"/>
                  <w:vAlign w:val="center"/>
                </w:tcPr>
                <w:p w14:paraId="00E5B43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default" w:ascii="Times New Roman" w:hAnsi="Times New Roman" w:eastAsia="宋体" w:cs="Times New Roman"/>
                      <w:color w:val="auto"/>
                      <w:kern w:val="2"/>
                      <w:sz w:val="21"/>
                      <w:szCs w:val="21"/>
                      <w:u w:val="none" w:color="auto"/>
                      <w:lang w:val="en-US" w:eastAsia="zh-CN"/>
                    </w:rPr>
                    <w:t>1</w:t>
                  </w:r>
                  <w:r>
                    <w:rPr>
                      <w:rFonts w:hint="eastAsia" w:ascii="Times New Roman" w:hAnsi="Times New Roman" w:cs="Times New Roman"/>
                      <w:color w:val="auto"/>
                      <w:kern w:val="2"/>
                      <w:sz w:val="21"/>
                      <w:szCs w:val="21"/>
                      <w:u w:val="none" w:color="auto"/>
                      <w:lang w:val="en-US" w:eastAsia="zh-CN"/>
                    </w:rPr>
                    <w:t>6</w:t>
                  </w:r>
                </w:p>
              </w:tc>
              <w:tc>
                <w:tcPr>
                  <w:tcW w:w="230" w:type="pct"/>
                  <w:vMerge w:val="continue"/>
                  <w:tcBorders>
                    <w:tl2br w:val="nil"/>
                    <w:tr2bl w:val="nil"/>
                  </w:tcBorders>
                  <w:noWrap w:val="0"/>
                  <w:vAlign w:val="center"/>
                </w:tcPr>
                <w:p w14:paraId="05FF4EB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restart"/>
                  <w:tcBorders>
                    <w:tl2br w:val="nil"/>
                    <w:tr2bl w:val="nil"/>
                  </w:tcBorders>
                  <w:noWrap w:val="0"/>
                  <w:vAlign w:val="center"/>
                </w:tcPr>
                <w:p w14:paraId="181B82F8">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水泵</w:t>
                  </w:r>
                </w:p>
              </w:tc>
              <w:tc>
                <w:tcPr>
                  <w:tcW w:w="351" w:type="pct"/>
                  <w:vMerge w:val="restart"/>
                  <w:tcBorders>
                    <w:tl2br w:val="nil"/>
                    <w:tr2bl w:val="nil"/>
                  </w:tcBorders>
                  <w:noWrap w:val="0"/>
                  <w:vAlign w:val="center"/>
                </w:tcPr>
                <w:p w14:paraId="566307A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w:t>
                  </w:r>
                </w:p>
              </w:tc>
              <w:tc>
                <w:tcPr>
                  <w:tcW w:w="350" w:type="pct"/>
                  <w:vMerge w:val="restart"/>
                  <w:tcBorders>
                    <w:tl2br w:val="nil"/>
                    <w:tr2bl w:val="nil"/>
                  </w:tcBorders>
                  <w:noWrap w:val="0"/>
                  <w:vAlign w:val="center"/>
                </w:tcPr>
                <w:p w14:paraId="570C140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75</w:t>
                  </w:r>
                </w:p>
              </w:tc>
              <w:tc>
                <w:tcPr>
                  <w:tcW w:w="351" w:type="pct"/>
                  <w:vMerge w:val="continue"/>
                  <w:tcBorders>
                    <w:tl2br w:val="nil"/>
                    <w:tr2bl w:val="nil"/>
                  </w:tcBorders>
                  <w:noWrap w:val="0"/>
                  <w:vAlign w:val="center"/>
                </w:tcPr>
                <w:p w14:paraId="0F29D7E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restart"/>
                  <w:tcBorders>
                    <w:tl2br w:val="nil"/>
                    <w:tr2bl w:val="nil"/>
                  </w:tcBorders>
                  <w:noWrap w:val="0"/>
                  <w:vAlign w:val="center"/>
                </w:tcPr>
                <w:p w14:paraId="684416C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103.8</w:t>
                  </w:r>
                </w:p>
              </w:tc>
              <w:tc>
                <w:tcPr>
                  <w:tcW w:w="263" w:type="pct"/>
                  <w:vMerge w:val="restart"/>
                  <w:tcBorders>
                    <w:tl2br w:val="nil"/>
                    <w:tr2bl w:val="nil"/>
                  </w:tcBorders>
                  <w:noWrap w:val="0"/>
                  <w:vAlign w:val="center"/>
                </w:tcPr>
                <w:p w14:paraId="22F737C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278.3</w:t>
                  </w:r>
                </w:p>
              </w:tc>
              <w:tc>
                <w:tcPr>
                  <w:tcW w:w="219" w:type="pct"/>
                  <w:vMerge w:val="restart"/>
                  <w:tcBorders>
                    <w:tl2br w:val="nil"/>
                    <w:tr2bl w:val="nil"/>
                  </w:tcBorders>
                  <w:noWrap w:val="0"/>
                  <w:vAlign w:val="center"/>
                </w:tcPr>
                <w:p w14:paraId="70CBA01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0.2</w:t>
                  </w:r>
                </w:p>
              </w:tc>
              <w:tc>
                <w:tcPr>
                  <w:tcW w:w="252" w:type="pct"/>
                  <w:tcBorders>
                    <w:tl2br w:val="nil"/>
                    <w:tr2bl w:val="nil"/>
                  </w:tcBorders>
                  <w:noWrap w:val="0"/>
                  <w:vAlign w:val="center"/>
                </w:tcPr>
                <w:p w14:paraId="57483F8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东</w:t>
                  </w:r>
                </w:p>
              </w:tc>
              <w:tc>
                <w:tcPr>
                  <w:tcW w:w="449" w:type="pct"/>
                  <w:tcBorders>
                    <w:tl2br w:val="nil"/>
                    <w:tr2bl w:val="nil"/>
                  </w:tcBorders>
                  <w:noWrap w:val="0"/>
                  <w:vAlign w:val="center"/>
                </w:tcPr>
                <w:p w14:paraId="729CCF7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74.73</w:t>
                  </w:r>
                </w:p>
              </w:tc>
              <w:tc>
                <w:tcPr>
                  <w:tcW w:w="471" w:type="pct"/>
                  <w:tcBorders>
                    <w:tl2br w:val="nil"/>
                    <w:tr2bl w:val="nil"/>
                  </w:tcBorders>
                  <w:noWrap w:val="0"/>
                  <w:vAlign w:val="center"/>
                </w:tcPr>
                <w:p w14:paraId="2DFE68C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48.17</w:t>
                  </w:r>
                </w:p>
              </w:tc>
              <w:tc>
                <w:tcPr>
                  <w:tcW w:w="200" w:type="pct"/>
                  <w:vMerge w:val="continue"/>
                  <w:tcBorders>
                    <w:tl2br w:val="nil"/>
                    <w:tr2bl w:val="nil"/>
                  </w:tcBorders>
                  <w:noWrap w:val="0"/>
                  <w:vAlign w:val="center"/>
                </w:tcPr>
                <w:p w14:paraId="7107635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3F90FCA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66CB481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43.61</w:t>
                  </w:r>
                </w:p>
              </w:tc>
              <w:tc>
                <w:tcPr>
                  <w:tcW w:w="359" w:type="pct"/>
                  <w:tcBorders>
                    <w:tl2br w:val="nil"/>
                    <w:tr2bl w:val="nil"/>
                  </w:tcBorders>
                  <w:noWrap w:val="0"/>
                  <w:vAlign w:val="center"/>
                </w:tcPr>
                <w:p w14:paraId="4649C04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06EC441D">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30F9127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47065BB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583444C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53DF46A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53B4CD9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145CE1B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2EEDE91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60B26D0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7192A91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361A690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南</w:t>
                  </w:r>
                </w:p>
              </w:tc>
              <w:tc>
                <w:tcPr>
                  <w:tcW w:w="449" w:type="pct"/>
                  <w:tcBorders>
                    <w:tl2br w:val="nil"/>
                    <w:tr2bl w:val="nil"/>
                  </w:tcBorders>
                  <w:noWrap w:val="0"/>
                  <w:vAlign w:val="center"/>
                </w:tcPr>
                <w:p w14:paraId="59A5593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59.84</w:t>
                  </w:r>
                </w:p>
              </w:tc>
              <w:tc>
                <w:tcPr>
                  <w:tcW w:w="471" w:type="pct"/>
                  <w:tcBorders>
                    <w:tl2br w:val="nil"/>
                    <w:tr2bl w:val="nil"/>
                  </w:tcBorders>
                  <w:noWrap w:val="0"/>
                  <w:vAlign w:val="center"/>
                </w:tcPr>
                <w:p w14:paraId="6F504A5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48.18</w:t>
                  </w:r>
                </w:p>
              </w:tc>
              <w:tc>
                <w:tcPr>
                  <w:tcW w:w="200" w:type="pct"/>
                  <w:vMerge w:val="continue"/>
                  <w:tcBorders>
                    <w:tl2br w:val="nil"/>
                    <w:tr2bl w:val="nil"/>
                  </w:tcBorders>
                  <w:noWrap w:val="0"/>
                  <w:vAlign w:val="center"/>
                </w:tcPr>
                <w:p w14:paraId="0637A12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29E92BD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6DA712E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44.61</w:t>
                  </w:r>
                </w:p>
              </w:tc>
              <w:tc>
                <w:tcPr>
                  <w:tcW w:w="359" w:type="pct"/>
                  <w:tcBorders>
                    <w:tl2br w:val="nil"/>
                    <w:tr2bl w:val="nil"/>
                  </w:tcBorders>
                  <w:noWrap w:val="0"/>
                  <w:vAlign w:val="center"/>
                </w:tcPr>
                <w:p w14:paraId="607003B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01A1273F">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56BA9A1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5D43159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6E7DDE5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0BE235A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3B07CD9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6B3A1FC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3AB9454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5DB1703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32D2A99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1E6C2E7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西</w:t>
                  </w:r>
                </w:p>
              </w:tc>
              <w:tc>
                <w:tcPr>
                  <w:tcW w:w="449" w:type="pct"/>
                  <w:tcBorders>
                    <w:tl2br w:val="nil"/>
                    <w:tr2bl w:val="nil"/>
                  </w:tcBorders>
                  <w:noWrap w:val="0"/>
                  <w:vAlign w:val="center"/>
                </w:tcPr>
                <w:p w14:paraId="0118CC9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67.54</w:t>
                  </w:r>
                </w:p>
              </w:tc>
              <w:tc>
                <w:tcPr>
                  <w:tcW w:w="471" w:type="pct"/>
                  <w:tcBorders>
                    <w:tl2br w:val="nil"/>
                    <w:tr2bl w:val="nil"/>
                  </w:tcBorders>
                  <w:noWrap w:val="0"/>
                  <w:vAlign w:val="center"/>
                </w:tcPr>
                <w:p w14:paraId="7A84220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48.17</w:t>
                  </w:r>
                </w:p>
              </w:tc>
              <w:tc>
                <w:tcPr>
                  <w:tcW w:w="200" w:type="pct"/>
                  <w:vMerge w:val="continue"/>
                  <w:tcBorders>
                    <w:tl2br w:val="nil"/>
                    <w:tr2bl w:val="nil"/>
                  </w:tcBorders>
                  <w:noWrap w:val="0"/>
                  <w:vAlign w:val="center"/>
                </w:tcPr>
                <w:p w14:paraId="79F81CD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3D2B752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13270CC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43.62</w:t>
                  </w:r>
                </w:p>
              </w:tc>
              <w:tc>
                <w:tcPr>
                  <w:tcW w:w="359" w:type="pct"/>
                  <w:tcBorders>
                    <w:tl2br w:val="nil"/>
                    <w:tr2bl w:val="nil"/>
                  </w:tcBorders>
                  <w:noWrap w:val="0"/>
                  <w:vAlign w:val="center"/>
                </w:tcPr>
                <w:p w14:paraId="0CB3F8A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4FA18F19">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994" w:hRule="atLeast"/>
                <w:jc w:val="center"/>
              </w:trPr>
              <w:tc>
                <w:tcPr>
                  <w:tcW w:w="230" w:type="pct"/>
                  <w:vMerge w:val="continue"/>
                  <w:tcBorders>
                    <w:tl2br w:val="nil"/>
                    <w:tr2bl w:val="nil"/>
                  </w:tcBorders>
                  <w:noWrap w:val="0"/>
                  <w:vAlign w:val="center"/>
                </w:tcPr>
                <w:p w14:paraId="4F22AE0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2355377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6390E69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33E404E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022D38A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1EFC6AF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06107DF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63" w:type="pct"/>
                  <w:vMerge w:val="continue"/>
                  <w:tcBorders>
                    <w:tl2br w:val="nil"/>
                    <w:tr2bl w:val="nil"/>
                  </w:tcBorders>
                  <w:noWrap w:val="0"/>
                  <w:vAlign w:val="center"/>
                </w:tcPr>
                <w:p w14:paraId="738C03E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19" w:type="pct"/>
                  <w:vMerge w:val="continue"/>
                  <w:tcBorders>
                    <w:tl2br w:val="nil"/>
                    <w:tr2bl w:val="nil"/>
                  </w:tcBorders>
                  <w:noWrap w:val="0"/>
                  <w:vAlign w:val="center"/>
                </w:tcPr>
                <w:p w14:paraId="527D580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c>
                <w:tcPr>
                  <w:tcW w:w="252" w:type="pct"/>
                  <w:tcBorders>
                    <w:tl2br w:val="nil"/>
                    <w:tr2bl w:val="nil"/>
                  </w:tcBorders>
                  <w:noWrap w:val="0"/>
                  <w:vAlign w:val="center"/>
                </w:tcPr>
                <w:p w14:paraId="0320CE9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北</w:t>
                  </w:r>
                </w:p>
              </w:tc>
              <w:tc>
                <w:tcPr>
                  <w:tcW w:w="449" w:type="pct"/>
                  <w:tcBorders>
                    <w:tl2br w:val="nil"/>
                    <w:tr2bl w:val="nil"/>
                  </w:tcBorders>
                  <w:noWrap w:val="0"/>
                  <w:vAlign w:val="center"/>
                </w:tcPr>
                <w:p w14:paraId="7F9C166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55.42</w:t>
                  </w:r>
                </w:p>
              </w:tc>
              <w:tc>
                <w:tcPr>
                  <w:tcW w:w="471" w:type="pct"/>
                  <w:tcBorders>
                    <w:tl2br w:val="nil"/>
                    <w:tr2bl w:val="nil"/>
                  </w:tcBorders>
                  <w:noWrap w:val="0"/>
                  <w:vAlign w:val="center"/>
                </w:tcPr>
                <w:p w14:paraId="4C7C903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48.19</w:t>
                  </w:r>
                </w:p>
              </w:tc>
              <w:tc>
                <w:tcPr>
                  <w:tcW w:w="200" w:type="pct"/>
                  <w:vMerge w:val="continue"/>
                  <w:tcBorders>
                    <w:tl2br w:val="nil"/>
                    <w:tr2bl w:val="nil"/>
                  </w:tcBorders>
                  <w:noWrap w:val="0"/>
                  <w:vAlign w:val="center"/>
                </w:tcPr>
                <w:p w14:paraId="1ACD1B8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39A6AA9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3481BF8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44.62</w:t>
                  </w:r>
                </w:p>
              </w:tc>
              <w:tc>
                <w:tcPr>
                  <w:tcW w:w="359" w:type="pct"/>
                  <w:tcBorders>
                    <w:tl2br w:val="nil"/>
                    <w:tr2bl w:val="nil"/>
                  </w:tcBorders>
                  <w:noWrap w:val="0"/>
                  <w:vAlign w:val="center"/>
                </w:tcPr>
                <w:p w14:paraId="7E7CE4A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1</w:t>
                  </w:r>
                </w:p>
              </w:tc>
            </w:tr>
            <w:tr w14:paraId="3AB761A2">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restart"/>
                  <w:tcBorders>
                    <w:tl2br w:val="nil"/>
                    <w:tr2bl w:val="nil"/>
                  </w:tcBorders>
                  <w:noWrap w:val="0"/>
                  <w:vAlign w:val="center"/>
                </w:tcPr>
                <w:p w14:paraId="12397BA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17</w:t>
                  </w:r>
                </w:p>
              </w:tc>
              <w:tc>
                <w:tcPr>
                  <w:tcW w:w="230" w:type="pct"/>
                  <w:vMerge w:val="continue"/>
                  <w:tcBorders>
                    <w:tl2br w:val="nil"/>
                    <w:tr2bl w:val="nil"/>
                  </w:tcBorders>
                  <w:noWrap w:val="0"/>
                  <w:vAlign w:val="center"/>
                </w:tcPr>
                <w:p w14:paraId="483EE6B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restart"/>
                  <w:tcBorders>
                    <w:tl2br w:val="nil"/>
                    <w:tr2bl w:val="nil"/>
                  </w:tcBorders>
                  <w:shd w:val="clear" w:color="auto" w:fill="auto"/>
                  <w:noWrap w:val="0"/>
                  <w:vAlign w:val="center"/>
                </w:tcPr>
                <w:p w14:paraId="3D6ED4E7">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水泵</w:t>
                  </w:r>
                </w:p>
              </w:tc>
              <w:tc>
                <w:tcPr>
                  <w:tcW w:w="351" w:type="pct"/>
                  <w:vMerge w:val="restart"/>
                  <w:tcBorders>
                    <w:tl2br w:val="nil"/>
                    <w:tr2bl w:val="nil"/>
                  </w:tcBorders>
                  <w:shd w:val="clear" w:color="auto" w:fill="auto"/>
                  <w:noWrap w:val="0"/>
                  <w:vAlign w:val="center"/>
                </w:tcPr>
                <w:p w14:paraId="27106ABD">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w:t>
                  </w:r>
                </w:p>
              </w:tc>
              <w:tc>
                <w:tcPr>
                  <w:tcW w:w="350" w:type="pct"/>
                  <w:vMerge w:val="restart"/>
                  <w:tcBorders>
                    <w:tl2br w:val="nil"/>
                    <w:tr2bl w:val="nil"/>
                  </w:tcBorders>
                  <w:shd w:val="clear" w:color="auto" w:fill="auto"/>
                  <w:noWrap w:val="0"/>
                  <w:vAlign w:val="center"/>
                </w:tcPr>
                <w:p w14:paraId="614E324C">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75</w:t>
                  </w:r>
                </w:p>
              </w:tc>
              <w:tc>
                <w:tcPr>
                  <w:tcW w:w="351" w:type="pct"/>
                  <w:vMerge w:val="continue"/>
                  <w:tcBorders>
                    <w:tl2br w:val="nil"/>
                    <w:tr2bl w:val="nil"/>
                  </w:tcBorders>
                  <w:shd w:val="clear" w:color="auto" w:fill="auto"/>
                  <w:noWrap w:val="0"/>
                  <w:vAlign w:val="center"/>
                </w:tcPr>
                <w:p w14:paraId="1FB2B56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restart"/>
                  <w:tcBorders>
                    <w:tl2br w:val="nil"/>
                    <w:tr2bl w:val="nil"/>
                  </w:tcBorders>
                  <w:shd w:val="clear" w:color="auto" w:fill="auto"/>
                  <w:noWrap w:val="0"/>
                  <w:vAlign w:val="center"/>
                </w:tcPr>
                <w:p w14:paraId="2110ED9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172.8</w:t>
                  </w:r>
                </w:p>
              </w:tc>
              <w:tc>
                <w:tcPr>
                  <w:tcW w:w="263" w:type="pct"/>
                  <w:vMerge w:val="restart"/>
                  <w:tcBorders>
                    <w:tl2br w:val="nil"/>
                    <w:tr2bl w:val="nil"/>
                  </w:tcBorders>
                  <w:shd w:val="clear" w:color="auto" w:fill="auto"/>
                  <w:noWrap w:val="0"/>
                  <w:vAlign w:val="center"/>
                </w:tcPr>
                <w:p w14:paraId="00EC881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308</w:t>
                  </w:r>
                </w:p>
              </w:tc>
              <w:tc>
                <w:tcPr>
                  <w:tcW w:w="219" w:type="pct"/>
                  <w:vMerge w:val="restart"/>
                  <w:tcBorders>
                    <w:tl2br w:val="nil"/>
                    <w:tr2bl w:val="nil"/>
                  </w:tcBorders>
                  <w:shd w:val="clear" w:color="auto" w:fill="auto"/>
                  <w:noWrap w:val="0"/>
                  <w:vAlign w:val="center"/>
                </w:tcPr>
                <w:p w14:paraId="58F2D8D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0.2</w:t>
                  </w:r>
                </w:p>
              </w:tc>
              <w:tc>
                <w:tcPr>
                  <w:tcW w:w="252" w:type="pct"/>
                  <w:tcBorders>
                    <w:tl2br w:val="nil"/>
                    <w:tr2bl w:val="nil"/>
                  </w:tcBorders>
                  <w:shd w:val="clear" w:color="auto" w:fill="auto"/>
                  <w:noWrap w:val="0"/>
                  <w:vAlign w:val="center"/>
                </w:tcPr>
                <w:p w14:paraId="6BCD37B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东</w:t>
                  </w:r>
                </w:p>
              </w:tc>
              <w:tc>
                <w:tcPr>
                  <w:tcW w:w="449" w:type="pct"/>
                  <w:tcBorders>
                    <w:tl2br w:val="nil"/>
                    <w:tr2bl w:val="nil"/>
                  </w:tcBorders>
                  <w:shd w:val="clear" w:color="auto" w:fill="auto"/>
                  <w:noWrap w:val="0"/>
                  <w:vAlign w:val="center"/>
                </w:tcPr>
                <w:p w14:paraId="2716FB2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5.08</w:t>
                  </w:r>
                </w:p>
              </w:tc>
              <w:tc>
                <w:tcPr>
                  <w:tcW w:w="471" w:type="pct"/>
                  <w:tcBorders>
                    <w:tl2br w:val="nil"/>
                    <w:tr2bl w:val="nil"/>
                  </w:tcBorders>
                  <w:shd w:val="clear" w:color="auto" w:fill="auto"/>
                  <w:noWrap w:val="0"/>
                  <w:vAlign w:val="center"/>
                </w:tcPr>
                <w:p w14:paraId="793EA1F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52.11</w:t>
                  </w:r>
                </w:p>
              </w:tc>
              <w:tc>
                <w:tcPr>
                  <w:tcW w:w="200" w:type="pct"/>
                  <w:vMerge w:val="continue"/>
                  <w:tcBorders>
                    <w:tl2br w:val="nil"/>
                    <w:tr2bl w:val="nil"/>
                  </w:tcBorders>
                  <w:shd w:val="clear" w:color="auto" w:fill="auto"/>
                  <w:noWrap w:val="0"/>
                  <w:vAlign w:val="center"/>
                </w:tcPr>
                <w:p w14:paraId="6198F19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shd w:val="clear" w:color="auto" w:fill="auto"/>
                  <w:noWrap w:val="0"/>
                  <w:vAlign w:val="center"/>
                </w:tcPr>
                <w:p w14:paraId="4011E94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084FF71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47.56</w:t>
                  </w:r>
                </w:p>
              </w:tc>
              <w:tc>
                <w:tcPr>
                  <w:tcW w:w="359" w:type="pct"/>
                  <w:tcBorders>
                    <w:tl2br w:val="nil"/>
                    <w:tr2bl w:val="nil"/>
                  </w:tcBorders>
                  <w:shd w:val="clear" w:color="auto" w:fill="auto"/>
                  <w:noWrap w:val="0"/>
                  <w:vAlign w:val="center"/>
                </w:tcPr>
                <w:p w14:paraId="3F24D60A">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081F0F67">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27DF5A1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08FF1D6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0CE97F1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7FDD300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30BCD98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17A5811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675EDCC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63" w:type="pct"/>
                  <w:vMerge w:val="continue"/>
                  <w:tcBorders>
                    <w:tl2br w:val="nil"/>
                    <w:tr2bl w:val="nil"/>
                  </w:tcBorders>
                  <w:noWrap w:val="0"/>
                  <w:vAlign w:val="center"/>
                </w:tcPr>
                <w:p w14:paraId="24EB389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19" w:type="pct"/>
                  <w:vMerge w:val="continue"/>
                  <w:tcBorders>
                    <w:tl2br w:val="nil"/>
                    <w:tr2bl w:val="nil"/>
                  </w:tcBorders>
                  <w:noWrap w:val="0"/>
                  <w:vAlign w:val="center"/>
                </w:tcPr>
                <w:p w14:paraId="7B678AD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52" w:type="pct"/>
                  <w:tcBorders>
                    <w:tl2br w:val="nil"/>
                    <w:tr2bl w:val="nil"/>
                  </w:tcBorders>
                  <w:shd w:val="clear" w:color="auto" w:fill="auto"/>
                  <w:noWrap w:val="0"/>
                  <w:vAlign w:val="center"/>
                </w:tcPr>
                <w:p w14:paraId="08AE157D">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南</w:t>
                  </w:r>
                </w:p>
              </w:tc>
              <w:tc>
                <w:tcPr>
                  <w:tcW w:w="449" w:type="pct"/>
                  <w:tcBorders>
                    <w:tl2br w:val="nil"/>
                    <w:tr2bl w:val="nil"/>
                  </w:tcBorders>
                  <w:shd w:val="clear" w:color="auto" w:fill="auto"/>
                  <w:noWrap w:val="0"/>
                  <w:vAlign w:val="center"/>
                </w:tcPr>
                <w:p w14:paraId="6E13665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31.7</w:t>
                  </w:r>
                </w:p>
              </w:tc>
              <w:tc>
                <w:tcPr>
                  <w:tcW w:w="471" w:type="pct"/>
                  <w:tcBorders>
                    <w:tl2br w:val="nil"/>
                    <w:tr2bl w:val="nil"/>
                  </w:tcBorders>
                  <w:shd w:val="clear" w:color="auto" w:fill="auto"/>
                  <w:noWrap w:val="0"/>
                  <w:vAlign w:val="center"/>
                </w:tcPr>
                <w:p w14:paraId="60EB33A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48.3</w:t>
                  </w:r>
                </w:p>
              </w:tc>
              <w:tc>
                <w:tcPr>
                  <w:tcW w:w="200" w:type="pct"/>
                  <w:vMerge w:val="continue"/>
                  <w:tcBorders>
                    <w:tl2br w:val="nil"/>
                    <w:tr2bl w:val="nil"/>
                  </w:tcBorders>
                  <w:noWrap w:val="0"/>
                  <w:vAlign w:val="center"/>
                </w:tcPr>
                <w:p w14:paraId="206BF05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3D9DEDF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7F7CF01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44.73</w:t>
                  </w:r>
                </w:p>
              </w:tc>
              <w:tc>
                <w:tcPr>
                  <w:tcW w:w="359" w:type="pct"/>
                  <w:tcBorders>
                    <w:tl2br w:val="nil"/>
                    <w:tr2bl w:val="nil"/>
                  </w:tcBorders>
                  <w:shd w:val="clear" w:color="auto" w:fill="auto"/>
                  <w:noWrap w:val="0"/>
                  <w:vAlign w:val="center"/>
                </w:tcPr>
                <w:p w14:paraId="1D332CB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60F63641">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4C42BF3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564D04D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3FEAAD2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3ECFBA2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118B0EE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213A7CB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6152DF5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63" w:type="pct"/>
                  <w:vMerge w:val="continue"/>
                  <w:tcBorders>
                    <w:tl2br w:val="nil"/>
                    <w:tr2bl w:val="nil"/>
                  </w:tcBorders>
                  <w:noWrap w:val="0"/>
                  <w:vAlign w:val="center"/>
                </w:tcPr>
                <w:p w14:paraId="65D592E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19" w:type="pct"/>
                  <w:vMerge w:val="continue"/>
                  <w:tcBorders>
                    <w:tl2br w:val="nil"/>
                    <w:tr2bl w:val="nil"/>
                  </w:tcBorders>
                  <w:noWrap w:val="0"/>
                  <w:vAlign w:val="center"/>
                </w:tcPr>
                <w:p w14:paraId="63236B9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52" w:type="pct"/>
                  <w:tcBorders>
                    <w:tl2br w:val="nil"/>
                    <w:tr2bl w:val="nil"/>
                  </w:tcBorders>
                  <w:shd w:val="clear" w:color="auto" w:fill="auto"/>
                  <w:noWrap w:val="0"/>
                  <w:vAlign w:val="center"/>
                </w:tcPr>
                <w:p w14:paraId="57A9B8AD">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西</w:t>
                  </w:r>
                </w:p>
              </w:tc>
              <w:tc>
                <w:tcPr>
                  <w:tcW w:w="449" w:type="pct"/>
                  <w:tcBorders>
                    <w:tl2br w:val="nil"/>
                    <w:tr2bl w:val="nil"/>
                  </w:tcBorders>
                  <w:shd w:val="clear" w:color="auto" w:fill="auto"/>
                  <w:noWrap w:val="0"/>
                  <w:vAlign w:val="center"/>
                </w:tcPr>
                <w:p w14:paraId="5A570DF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137.2</w:t>
                  </w:r>
                </w:p>
              </w:tc>
              <w:tc>
                <w:tcPr>
                  <w:tcW w:w="471" w:type="pct"/>
                  <w:tcBorders>
                    <w:tl2br w:val="nil"/>
                    <w:tr2bl w:val="nil"/>
                  </w:tcBorders>
                  <w:shd w:val="clear" w:color="auto" w:fill="auto"/>
                  <w:noWrap w:val="0"/>
                  <w:vAlign w:val="center"/>
                </w:tcPr>
                <w:p w14:paraId="5432B53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48.14</w:t>
                  </w:r>
                </w:p>
              </w:tc>
              <w:tc>
                <w:tcPr>
                  <w:tcW w:w="200" w:type="pct"/>
                  <w:vMerge w:val="continue"/>
                  <w:tcBorders>
                    <w:tl2br w:val="nil"/>
                    <w:tr2bl w:val="nil"/>
                  </w:tcBorders>
                  <w:noWrap w:val="0"/>
                  <w:vAlign w:val="center"/>
                </w:tcPr>
                <w:p w14:paraId="2987C1A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5D15D5E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59A7993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43.59</w:t>
                  </w:r>
                </w:p>
              </w:tc>
              <w:tc>
                <w:tcPr>
                  <w:tcW w:w="359" w:type="pct"/>
                  <w:tcBorders>
                    <w:tl2br w:val="nil"/>
                    <w:tr2bl w:val="nil"/>
                  </w:tcBorders>
                  <w:shd w:val="clear" w:color="auto" w:fill="auto"/>
                  <w:noWrap w:val="0"/>
                  <w:vAlign w:val="center"/>
                </w:tcPr>
                <w:p w14:paraId="79E1B69C">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37E669E6">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30" w:type="pct"/>
                  <w:vMerge w:val="continue"/>
                  <w:tcBorders>
                    <w:tl2br w:val="nil"/>
                    <w:tr2bl w:val="nil"/>
                  </w:tcBorders>
                  <w:noWrap w:val="0"/>
                  <w:vAlign w:val="center"/>
                </w:tcPr>
                <w:p w14:paraId="6D192A1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0" w:type="pct"/>
                  <w:vMerge w:val="continue"/>
                  <w:tcBorders>
                    <w:tl2br w:val="nil"/>
                    <w:tr2bl w:val="nil"/>
                  </w:tcBorders>
                  <w:noWrap w:val="0"/>
                  <w:vAlign w:val="center"/>
                </w:tcPr>
                <w:p w14:paraId="32904F3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31" w:type="pct"/>
                  <w:vMerge w:val="continue"/>
                  <w:tcBorders>
                    <w:tl2br w:val="nil"/>
                    <w:tr2bl w:val="nil"/>
                  </w:tcBorders>
                  <w:noWrap w:val="0"/>
                  <w:vAlign w:val="center"/>
                </w:tcPr>
                <w:p w14:paraId="72DFC7F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5847370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0" w:type="pct"/>
                  <w:vMerge w:val="continue"/>
                  <w:tcBorders>
                    <w:tl2br w:val="nil"/>
                    <w:tr2bl w:val="nil"/>
                  </w:tcBorders>
                  <w:noWrap w:val="0"/>
                  <w:vAlign w:val="center"/>
                </w:tcPr>
                <w:p w14:paraId="49A418F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51" w:type="pct"/>
                  <w:vMerge w:val="continue"/>
                  <w:tcBorders>
                    <w:tl2br w:val="nil"/>
                    <w:tr2bl w:val="nil"/>
                  </w:tcBorders>
                  <w:noWrap w:val="0"/>
                  <w:vAlign w:val="center"/>
                </w:tcPr>
                <w:p w14:paraId="62D2D47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29" w:type="pct"/>
                  <w:vMerge w:val="continue"/>
                  <w:tcBorders>
                    <w:tl2br w:val="nil"/>
                    <w:tr2bl w:val="nil"/>
                  </w:tcBorders>
                  <w:noWrap w:val="0"/>
                  <w:vAlign w:val="center"/>
                </w:tcPr>
                <w:p w14:paraId="04FBD42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63" w:type="pct"/>
                  <w:vMerge w:val="continue"/>
                  <w:tcBorders>
                    <w:tl2br w:val="nil"/>
                    <w:tr2bl w:val="nil"/>
                  </w:tcBorders>
                  <w:noWrap w:val="0"/>
                  <w:vAlign w:val="center"/>
                </w:tcPr>
                <w:p w14:paraId="1974140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19" w:type="pct"/>
                  <w:vMerge w:val="continue"/>
                  <w:tcBorders>
                    <w:tl2br w:val="nil"/>
                    <w:tr2bl w:val="nil"/>
                  </w:tcBorders>
                  <w:noWrap w:val="0"/>
                  <w:vAlign w:val="center"/>
                </w:tcPr>
                <w:p w14:paraId="216A2C7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252" w:type="pct"/>
                  <w:tcBorders>
                    <w:tl2br w:val="nil"/>
                    <w:tr2bl w:val="nil"/>
                  </w:tcBorders>
                  <w:shd w:val="clear" w:color="auto" w:fill="auto"/>
                  <w:noWrap w:val="0"/>
                  <w:vAlign w:val="center"/>
                </w:tcPr>
                <w:p w14:paraId="3F5646D1">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北</w:t>
                  </w:r>
                </w:p>
              </w:tc>
              <w:tc>
                <w:tcPr>
                  <w:tcW w:w="449" w:type="pct"/>
                  <w:tcBorders>
                    <w:tl2br w:val="nil"/>
                    <w:tr2bl w:val="nil"/>
                  </w:tcBorders>
                  <w:shd w:val="clear" w:color="auto" w:fill="auto"/>
                  <w:noWrap w:val="0"/>
                  <w:vAlign w:val="center"/>
                </w:tcPr>
                <w:p w14:paraId="7616D65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83.56</w:t>
                  </w:r>
                </w:p>
              </w:tc>
              <w:tc>
                <w:tcPr>
                  <w:tcW w:w="471" w:type="pct"/>
                  <w:tcBorders>
                    <w:tl2br w:val="nil"/>
                    <w:tr2bl w:val="nil"/>
                  </w:tcBorders>
                  <w:shd w:val="clear" w:color="auto" w:fill="auto"/>
                  <w:noWrap w:val="0"/>
                  <w:vAlign w:val="center"/>
                </w:tcPr>
                <w:p w14:paraId="52503C8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48.16</w:t>
                  </w:r>
                </w:p>
              </w:tc>
              <w:tc>
                <w:tcPr>
                  <w:tcW w:w="200" w:type="pct"/>
                  <w:vMerge w:val="continue"/>
                  <w:tcBorders>
                    <w:tl2br w:val="nil"/>
                    <w:tr2bl w:val="nil"/>
                  </w:tcBorders>
                  <w:noWrap w:val="0"/>
                  <w:vAlign w:val="center"/>
                </w:tcPr>
                <w:p w14:paraId="3BE8A6E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347" w:type="pct"/>
                  <w:vMerge w:val="continue"/>
                  <w:tcBorders>
                    <w:tl2br w:val="nil"/>
                    <w:tr2bl w:val="nil"/>
                  </w:tcBorders>
                  <w:noWrap w:val="0"/>
                  <w:vAlign w:val="center"/>
                </w:tcPr>
                <w:p w14:paraId="2413DF3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460" w:type="pct"/>
                  <w:tcBorders>
                    <w:tl2br w:val="nil"/>
                    <w:tr2bl w:val="nil"/>
                  </w:tcBorders>
                  <w:shd w:val="clear" w:color="auto" w:fill="auto"/>
                  <w:noWrap w:val="0"/>
                  <w:vAlign w:val="center"/>
                </w:tcPr>
                <w:p w14:paraId="18A0D55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eastAsia="宋体" w:cs="Times New Roman"/>
                      <w:color w:val="auto"/>
                      <w:kern w:val="2"/>
                      <w:sz w:val="21"/>
                      <w:szCs w:val="21"/>
                      <w:u w:val="none" w:color="auto"/>
                      <w:lang w:val="en-US" w:eastAsia="zh-CN"/>
                    </w:rPr>
                    <w:t>44.59</w:t>
                  </w:r>
                </w:p>
              </w:tc>
              <w:tc>
                <w:tcPr>
                  <w:tcW w:w="359" w:type="pct"/>
                  <w:tcBorders>
                    <w:tl2br w:val="nil"/>
                    <w:tr2bl w:val="nil"/>
                  </w:tcBorders>
                  <w:shd w:val="clear" w:color="auto" w:fill="auto"/>
                  <w:noWrap w:val="0"/>
                  <w:vAlign w:val="center"/>
                </w:tcPr>
                <w:p w14:paraId="6E3C90E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rPr>
                    <w:t>1</w:t>
                  </w:r>
                </w:p>
              </w:tc>
            </w:tr>
            <w:tr w14:paraId="41F0739E">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000" w:type="pct"/>
                  <w:gridSpan w:val="16"/>
                  <w:tcBorders>
                    <w:tl2br w:val="nil"/>
                    <w:tr2bl w:val="nil"/>
                  </w:tcBorders>
                  <w:noWrap w:val="0"/>
                  <w:vAlign w:val="center"/>
                </w:tcPr>
                <w:p w14:paraId="42388CE4">
                  <w:pPr>
                    <w:keepNext w:val="0"/>
                    <w:keepLines w:val="0"/>
                    <w:widowControl w:val="0"/>
                    <w:suppressLineNumbers w:val="0"/>
                    <w:adjustRightInd w:val="0"/>
                    <w:snapToGrid w:val="0"/>
                    <w:spacing w:before="0" w:beforeAutospacing="0" w:after="0" w:afterAutospacing="0" w:line="240" w:lineRule="auto"/>
                    <w:ind w:left="0" w:right="0" w:firstLine="0" w:firstLineChars="0"/>
                    <w:jc w:val="left"/>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b w:val="0"/>
                      <w:bCs w:val="0"/>
                      <w:color w:val="auto"/>
                      <w:kern w:val="2"/>
                      <w:sz w:val="21"/>
                      <w:szCs w:val="21"/>
                      <w:u w:val="none" w:color="auto"/>
                      <w:lang w:val="en-US" w:eastAsia="zh-CN" w:bidi="ar-SA"/>
                    </w:rPr>
                    <w:t>注：以生产厂房</w:t>
                  </w:r>
                  <w:r>
                    <w:rPr>
                      <w:rFonts w:hint="eastAsia" w:ascii="Times New Roman" w:hAnsi="Times New Roman" w:cs="Times New Roman"/>
                      <w:b w:val="0"/>
                      <w:bCs w:val="0"/>
                      <w:color w:val="auto"/>
                      <w:kern w:val="2"/>
                      <w:sz w:val="21"/>
                      <w:szCs w:val="21"/>
                      <w:u w:val="none" w:color="auto"/>
                      <w:lang w:val="en-US" w:eastAsia="zh-CN" w:bidi="ar-SA"/>
                    </w:rPr>
                    <w:t>南</w:t>
                  </w:r>
                  <w:r>
                    <w:rPr>
                      <w:rFonts w:hint="default" w:ascii="Times New Roman" w:hAnsi="Times New Roman" w:eastAsia="宋体" w:cs="Times New Roman"/>
                      <w:b w:val="0"/>
                      <w:bCs w:val="0"/>
                      <w:color w:val="auto"/>
                      <w:kern w:val="2"/>
                      <w:sz w:val="21"/>
                      <w:szCs w:val="21"/>
                      <w:u w:val="none" w:color="auto"/>
                      <w:lang w:val="en-US" w:eastAsia="zh-CN" w:bidi="ar-SA"/>
                    </w:rPr>
                    <w:t>角为中心（0,0,0）</w:t>
                  </w:r>
                  <w:r>
                    <w:rPr>
                      <w:rFonts w:hint="eastAsia" w:ascii="Times New Roman" w:hAnsi="Times New Roman" w:cs="Times New Roman"/>
                      <w:b w:val="0"/>
                      <w:bCs w:val="0"/>
                      <w:color w:val="auto"/>
                      <w:kern w:val="2"/>
                      <w:sz w:val="21"/>
                      <w:szCs w:val="21"/>
                      <w:u w:val="none" w:color="auto"/>
                      <w:lang w:val="en-US" w:eastAsia="zh-CN" w:bidi="ar-SA"/>
                    </w:rPr>
                    <w:t>，根据《环境噪声与振动控制工程技术导则》（HJ2034-2013）附录A中的资料，同时结合类比调查，确定项目噪声源强。</w:t>
                  </w:r>
                </w:p>
              </w:tc>
            </w:tr>
          </w:tbl>
          <w:p w14:paraId="1FAE79DA">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3.2噪声影响分析</w:t>
            </w:r>
          </w:p>
          <w:p w14:paraId="20307C3C">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4"/>
                <w:u w:val="none" w:color="auto"/>
              </w:rPr>
              <w:t>（1）噪声预测模式及参数</w:t>
            </w:r>
          </w:p>
          <w:p w14:paraId="731952E8">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4"/>
                <w:u w:val="none" w:color="auto"/>
              </w:rPr>
              <w:t>本项目预测模式选用《环境影响评价技术导则声环境》（HJ2.4-2021）中推荐的工业噪声预测计算模式，模式如下：</w:t>
            </w:r>
          </w:p>
          <w:p w14:paraId="61AEE726">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4"/>
                <w:u w:val="none" w:color="auto"/>
              </w:rPr>
              <w:t>①室内声源等效室外声源声功率级计算方法</w:t>
            </w:r>
          </w:p>
          <w:p w14:paraId="291AED61">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4"/>
                <w:u w:val="none" w:color="auto"/>
              </w:rPr>
              <w:t>声源位于室内，室内声源可采用等效室外声源声功率级法进行计算。按5.2-2式计算某一室内声源靠近围护结构处产生的倍频带声压级或A声级：</w:t>
            </w:r>
          </w:p>
          <w:p w14:paraId="4DB05AFE">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1"/>
                <w:u w:val="none" w:color="auto"/>
              </w:rPr>
              <w:drawing>
                <wp:inline distT="0" distB="0" distL="114300" distR="114300">
                  <wp:extent cx="3314700" cy="739140"/>
                  <wp:effectExtent l="0" t="0" r="0" b="3810"/>
                  <wp:docPr id="18"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7"/>
                          <pic:cNvPicPr>
                            <a:picLocks noChangeAspect="1"/>
                          </pic:cNvPicPr>
                        </pic:nvPicPr>
                        <pic:blipFill>
                          <a:blip r:embed="rId28">
                            <a:lum contrast="6000"/>
                          </a:blip>
                          <a:stretch>
                            <a:fillRect/>
                          </a:stretch>
                        </pic:blipFill>
                        <pic:spPr>
                          <a:xfrm>
                            <a:off x="0" y="0"/>
                            <a:ext cx="3314700" cy="739140"/>
                          </a:xfrm>
                          <a:prstGeom prst="rect">
                            <a:avLst/>
                          </a:prstGeom>
                          <a:noFill/>
                          <a:ln>
                            <a:noFill/>
                          </a:ln>
                        </pic:spPr>
                      </pic:pic>
                    </a:graphicData>
                  </a:graphic>
                </wp:inline>
              </w:drawing>
            </w:r>
          </w:p>
          <w:p w14:paraId="77A1C8B0">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4"/>
                <w:u w:val="none" w:color="auto"/>
              </w:rPr>
              <w:t>式中：</w:t>
            </w:r>
          </w:p>
          <w:p w14:paraId="4F65B952">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4"/>
                <w:u w:val="none" w:color="auto"/>
              </w:rPr>
              <w:t>L</w:t>
            </w:r>
            <w:r>
              <w:rPr>
                <w:rFonts w:hint="default" w:ascii="Times New Roman" w:hAnsi="Times New Roman" w:cs="Times New Roman"/>
                <w:color w:val="auto"/>
                <w:kern w:val="2"/>
                <w:sz w:val="24"/>
                <w:u w:val="none" w:color="auto"/>
                <w:vertAlign w:val="subscript"/>
              </w:rPr>
              <w:t>p1</w:t>
            </w:r>
            <w:r>
              <w:rPr>
                <w:rFonts w:hint="default" w:ascii="Times New Roman" w:hAnsi="Times New Roman" w:cs="Times New Roman"/>
                <w:color w:val="auto"/>
                <w:kern w:val="2"/>
                <w:sz w:val="24"/>
                <w:u w:val="none" w:color="auto"/>
              </w:rPr>
              <w:t>——靠近开口处（或窗户）室内某倍频带的声压级或A声级，dB；</w:t>
            </w:r>
          </w:p>
          <w:p w14:paraId="58F84636">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4"/>
                <w:u w:val="none" w:color="auto"/>
              </w:rPr>
              <w:t>L</w:t>
            </w:r>
            <w:r>
              <w:rPr>
                <w:rFonts w:hint="default" w:ascii="Times New Roman" w:hAnsi="Times New Roman" w:cs="Times New Roman"/>
                <w:color w:val="auto"/>
                <w:kern w:val="2"/>
                <w:sz w:val="24"/>
                <w:u w:val="none" w:color="auto"/>
                <w:vertAlign w:val="subscript"/>
              </w:rPr>
              <w:t>w</w:t>
            </w:r>
            <w:r>
              <w:rPr>
                <w:rFonts w:hint="default" w:ascii="Times New Roman" w:hAnsi="Times New Roman" w:cs="Times New Roman"/>
                <w:color w:val="auto"/>
                <w:kern w:val="2"/>
                <w:sz w:val="24"/>
                <w:u w:val="none" w:color="auto"/>
              </w:rPr>
              <w:t>——点声源声功率级（A计权或倍频带），dB；</w:t>
            </w:r>
          </w:p>
          <w:p w14:paraId="79C950F7">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4"/>
                <w:u w:val="none" w:color="auto"/>
              </w:rPr>
              <w:t>Q——指向性因数；通常对无指向性声源，当声源放在房间中心时，Q=1；当放在一面墙的中心时，Q=2；当放在两面墙夹角处时，Q=4；当放在三面墙夹角处时，Q=8；</w:t>
            </w:r>
          </w:p>
          <w:p w14:paraId="7BBFABAD">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4"/>
                <w:u w:val="none" w:color="auto"/>
              </w:rPr>
              <w:t>R——房间常数；R=Sα/（1-α），S为房间内表面面积，m</w:t>
            </w:r>
            <w:r>
              <w:rPr>
                <w:rFonts w:hint="default" w:ascii="Times New Roman" w:hAnsi="Times New Roman" w:cs="Times New Roman"/>
                <w:color w:val="auto"/>
                <w:kern w:val="2"/>
                <w:sz w:val="24"/>
                <w:u w:val="none" w:color="auto"/>
                <w:vertAlign w:val="superscript"/>
              </w:rPr>
              <w:t>2</w:t>
            </w:r>
            <w:r>
              <w:rPr>
                <w:rFonts w:hint="default" w:ascii="Times New Roman" w:hAnsi="Times New Roman" w:cs="Times New Roman"/>
                <w:color w:val="auto"/>
                <w:kern w:val="2"/>
                <w:sz w:val="24"/>
                <w:u w:val="none" w:color="auto"/>
              </w:rPr>
              <w:t>；α为平均吸声系数；</w:t>
            </w:r>
          </w:p>
          <w:p w14:paraId="14AE09D7">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4"/>
                <w:u w:val="none" w:color="auto"/>
              </w:rPr>
              <w:t>r——声源到靠近围护结构某点处的距离，m。</w:t>
            </w:r>
          </w:p>
          <w:p w14:paraId="1728EC4D">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4"/>
                <w:u w:val="none" w:color="auto"/>
              </w:rPr>
              <w:t>然后按式5.2-3计算出所有室内声源在围护结构处产生的i倍频带叠加声压级：</w:t>
            </w:r>
          </w:p>
          <w:p w14:paraId="763C6384">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1"/>
                <w:u w:val="none" w:color="auto"/>
              </w:rPr>
              <w:drawing>
                <wp:inline distT="0" distB="0" distL="114300" distR="114300">
                  <wp:extent cx="3200400" cy="792480"/>
                  <wp:effectExtent l="0" t="0" r="0" b="7620"/>
                  <wp:docPr id="19"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8"/>
                          <pic:cNvPicPr>
                            <a:picLocks noChangeAspect="1"/>
                          </pic:cNvPicPr>
                        </pic:nvPicPr>
                        <pic:blipFill>
                          <a:blip r:embed="rId29">
                            <a:lum contrast="6000"/>
                          </a:blip>
                          <a:stretch>
                            <a:fillRect/>
                          </a:stretch>
                        </pic:blipFill>
                        <pic:spPr>
                          <a:xfrm>
                            <a:off x="0" y="0"/>
                            <a:ext cx="3200400" cy="792480"/>
                          </a:xfrm>
                          <a:prstGeom prst="rect">
                            <a:avLst/>
                          </a:prstGeom>
                          <a:noFill/>
                          <a:ln>
                            <a:noFill/>
                          </a:ln>
                        </pic:spPr>
                      </pic:pic>
                    </a:graphicData>
                  </a:graphic>
                </wp:inline>
              </w:drawing>
            </w:r>
          </w:p>
          <w:p w14:paraId="0524734E">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4"/>
                <w:u w:val="none" w:color="auto"/>
              </w:rPr>
              <w:t>式中：</w:t>
            </w:r>
          </w:p>
          <w:p w14:paraId="6B141C46">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4"/>
                <w:u w:val="none" w:color="auto"/>
              </w:rPr>
              <w:t>L</w:t>
            </w:r>
            <w:r>
              <w:rPr>
                <w:rFonts w:hint="default" w:ascii="Times New Roman" w:hAnsi="Times New Roman" w:cs="Times New Roman"/>
                <w:color w:val="auto"/>
                <w:kern w:val="2"/>
                <w:sz w:val="24"/>
                <w:u w:val="none" w:color="auto"/>
                <w:vertAlign w:val="subscript"/>
              </w:rPr>
              <w:t>p1i</w:t>
            </w:r>
            <w:r>
              <w:rPr>
                <w:rFonts w:hint="default" w:ascii="Times New Roman" w:hAnsi="Times New Roman" w:cs="Times New Roman"/>
                <w:color w:val="auto"/>
                <w:kern w:val="2"/>
                <w:sz w:val="24"/>
                <w:u w:val="none" w:color="auto"/>
              </w:rPr>
              <w:t>（T）——靠近围护结构处室内N个声源i倍频带的叠加声压级，dB；</w:t>
            </w:r>
          </w:p>
          <w:p w14:paraId="6F8ABC23">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4"/>
                <w:u w:val="none" w:color="auto"/>
              </w:rPr>
              <w:t>L</w:t>
            </w:r>
            <w:r>
              <w:rPr>
                <w:rFonts w:hint="default" w:ascii="Times New Roman" w:hAnsi="Times New Roman" w:cs="Times New Roman"/>
                <w:color w:val="auto"/>
                <w:kern w:val="2"/>
                <w:sz w:val="24"/>
                <w:u w:val="none" w:color="auto"/>
                <w:vertAlign w:val="subscript"/>
              </w:rPr>
              <w:t>p1ij</w:t>
            </w:r>
            <w:r>
              <w:rPr>
                <w:rFonts w:hint="default" w:ascii="Times New Roman" w:hAnsi="Times New Roman" w:cs="Times New Roman"/>
                <w:color w:val="auto"/>
                <w:kern w:val="2"/>
                <w:sz w:val="24"/>
                <w:u w:val="none" w:color="auto"/>
              </w:rPr>
              <w:t>——室内j声源i倍频带的声压级，dB；</w:t>
            </w:r>
          </w:p>
          <w:p w14:paraId="0936D482">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4"/>
                <w:u w:val="none" w:color="auto"/>
              </w:rPr>
              <w:t>N——室内声源总数。</w:t>
            </w:r>
          </w:p>
          <w:p w14:paraId="3FB314FF">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default" w:ascii="Times New Roman" w:hAnsi="Times New Roman" w:cs="Times New Roman"/>
                <w:color w:val="auto"/>
                <w:kern w:val="2"/>
                <w:sz w:val="24"/>
                <w:u w:val="none" w:color="auto"/>
              </w:rPr>
              <w:t>在室内近似为扩散声场时，按5.2-4式计算出靠近室外围护结构处的声压级：</w:t>
            </w:r>
          </w:p>
          <w:p w14:paraId="345AB7A4">
            <w:pPr>
              <w:pStyle w:val="403"/>
              <w:keepNext w:val="0"/>
              <w:keepLines w:val="0"/>
              <w:suppressLineNumbers w:val="0"/>
              <w:adjustRightInd w:val="0"/>
              <w:snapToGrid w:val="0"/>
              <w:spacing w:before="0" w:beforeAutospacing="0" w:after="0" w:afterAutospacing="0" w:line="360" w:lineRule="auto"/>
              <w:ind w:left="0" w:right="0" w:firstLine="0" w:firstLineChars="0"/>
              <w:jc w:val="center"/>
              <w:rPr>
                <w:rFonts w:hint="default" w:ascii="Times New Roman" w:hAnsi="Times New Roman" w:cs="Times New Roman"/>
                <w:color w:val="auto"/>
                <w:szCs w:val="24"/>
                <w:u w:val="none" w:color="auto"/>
              </w:rPr>
            </w:pPr>
            <w:r>
              <w:rPr>
                <w:rFonts w:hint="default" w:ascii="Times New Roman" w:hAnsi="Times New Roman" w:cs="Times New Roman"/>
                <w:color w:val="auto"/>
                <w:u w:val="none" w:color="auto"/>
              </w:rPr>
              <w:drawing>
                <wp:inline distT="0" distB="0" distL="114300" distR="114300">
                  <wp:extent cx="3078480" cy="541020"/>
                  <wp:effectExtent l="0" t="0" r="7620" b="11430"/>
                  <wp:docPr id="17"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9"/>
                          <pic:cNvPicPr>
                            <a:picLocks noChangeAspect="1"/>
                          </pic:cNvPicPr>
                        </pic:nvPicPr>
                        <pic:blipFill>
                          <a:blip r:embed="rId30">
                            <a:lum contrast="6000"/>
                          </a:blip>
                          <a:stretch>
                            <a:fillRect/>
                          </a:stretch>
                        </pic:blipFill>
                        <pic:spPr>
                          <a:xfrm>
                            <a:off x="0" y="0"/>
                            <a:ext cx="3078480" cy="541020"/>
                          </a:xfrm>
                          <a:prstGeom prst="rect">
                            <a:avLst/>
                          </a:prstGeom>
                          <a:noFill/>
                          <a:ln>
                            <a:noFill/>
                          </a:ln>
                        </pic:spPr>
                      </pic:pic>
                    </a:graphicData>
                  </a:graphic>
                </wp:inline>
              </w:drawing>
            </w:r>
          </w:p>
          <w:p w14:paraId="7DEDFCDC">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式中：</w:t>
            </w:r>
          </w:p>
          <w:p w14:paraId="3C5F1807">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L</w:t>
            </w:r>
            <w:r>
              <w:rPr>
                <w:rFonts w:hint="default" w:ascii="Times New Roman" w:hAnsi="Times New Roman" w:cs="Times New Roman"/>
                <w:color w:val="auto"/>
                <w:szCs w:val="24"/>
                <w:u w:val="none" w:color="auto"/>
                <w:vertAlign w:val="subscript"/>
              </w:rPr>
              <w:t>p2i</w:t>
            </w:r>
            <w:r>
              <w:rPr>
                <w:rFonts w:hint="default" w:ascii="Times New Roman" w:hAnsi="Times New Roman" w:cs="Times New Roman"/>
                <w:color w:val="auto"/>
                <w:szCs w:val="24"/>
                <w:u w:val="none" w:color="auto"/>
              </w:rPr>
              <w:t>（T）——靠近围护结构处室外N个声源i倍频带的叠加声压级，dB；</w:t>
            </w:r>
          </w:p>
          <w:p w14:paraId="373A7B2B">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L</w:t>
            </w:r>
            <w:r>
              <w:rPr>
                <w:rFonts w:hint="default" w:ascii="Times New Roman" w:hAnsi="Times New Roman" w:cs="Times New Roman"/>
                <w:color w:val="auto"/>
                <w:szCs w:val="24"/>
                <w:u w:val="none" w:color="auto"/>
                <w:vertAlign w:val="subscript"/>
              </w:rPr>
              <w:t>p1i</w:t>
            </w:r>
            <w:r>
              <w:rPr>
                <w:rFonts w:hint="default" w:ascii="Times New Roman" w:hAnsi="Times New Roman" w:cs="Times New Roman"/>
                <w:color w:val="auto"/>
                <w:szCs w:val="24"/>
                <w:u w:val="none" w:color="auto"/>
              </w:rPr>
              <w:t>（T）——靠近围护结构处室内N个声源i倍频带的叠加声压级，dB；</w:t>
            </w:r>
          </w:p>
          <w:p w14:paraId="4C20A0D8">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TL</w:t>
            </w:r>
            <w:r>
              <w:rPr>
                <w:rFonts w:hint="default" w:ascii="Times New Roman" w:hAnsi="Times New Roman" w:cs="Times New Roman"/>
                <w:color w:val="auto"/>
                <w:szCs w:val="24"/>
                <w:u w:val="none" w:color="auto"/>
                <w:vertAlign w:val="subscript"/>
              </w:rPr>
              <w:t>i</w:t>
            </w:r>
            <w:r>
              <w:rPr>
                <w:rFonts w:hint="default" w:ascii="Times New Roman" w:hAnsi="Times New Roman" w:cs="Times New Roman"/>
                <w:color w:val="auto"/>
                <w:szCs w:val="24"/>
                <w:u w:val="none" w:color="auto"/>
              </w:rPr>
              <w:t>——围护结构i倍频带的隔声量，dB。</w:t>
            </w:r>
          </w:p>
          <w:p w14:paraId="3B7DCFDD">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然后按5.2-5式将室外声源的声压级和透过面积换算成等效的室外声源，计算出中心位置位于透声面积（S）处的等效声源的倍频带声功率级。</w:t>
            </w:r>
          </w:p>
          <w:p w14:paraId="6B27A046">
            <w:pPr>
              <w:pStyle w:val="403"/>
              <w:keepNext w:val="0"/>
              <w:keepLines w:val="0"/>
              <w:suppressLineNumbers w:val="0"/>
              <w:adjustRightInd w:val="0"/>
              <w:snapToGrid w:val="0"/>
              <w:spacing w:before="0" w:beforeAutospacing="0" w:after="0" w:afterAutospacing="0" w:line="360" w:lineRule="auto"/>
              <w:ind w:left="0" w:right="0" w:firstLine="0" w:firstLineChars="0"/>
              <w:jc w:val="center"/>
              <w:rPr>
                <w:rFonts w:hint="default" w:ascii="Times New Roman" w:hAnsi="Times New Roman" w:cs="Times New Roman"/>
                <w:color w:val="auto"/>
                <w:szCs w:val="24"/>
                <w:u w:val="none" w:color="auto"/>
              </w:rPr>
            </w:pPr>
            <w:r>
              <w:rPr>
                <w:rFonts w:hint="default" w:ascii="Times New Roman" w:hAnsi="Times New Roman" w:cs="Times New Roman"/>
                <w:color w:val="auto"/>
                <w:u w:val="none" w:color="auto"/>
              </w:rPr>
              <w:drawing>
                <wp:inline distT="0" distB="0" distL="114300" distR="114300">
                  <wp:extent cx="2849880" cy="525780"/>
                  <wp:effectExtent l="0" t="0" r="7620" b="7620"/>
                  <wp:docPr id="21"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00"/>
                          <pic:cNvPicPr>
                            <a:picLocks noChangeAspect="1"/>
                          </pic:cNvPicPr>
                        </pic:nvPicPr>
                        <pic:blipFill>
                          <a:blip r:embed="rId31">
                            <a:lum contrast="6000"/>
                          </a:blip>
                          <a:stretch>
                            <a:fillRect/>
                          </a:stretch>
                        </pic:blipFill>
                        <pic:spPr>
                          <a:xfrm>
                            <a:off x="0" y="0"/>
                            <a:ext cx="2849880" cy="525780"/>
                          </a:xfrm>
                          <a:prstGeom prst="rect">
                            <a:avLst/>
                          </a:prstGeom>
                          <a:noFill/>
                          <a:ln>
                            <a:noFill/>
                          </a:ln>
                        </pic:spPr>
                      </pic:pic>
                    </a:graphicData>
                  </a:graphic>
                </wp:inline>
              </w:drawing>
            </w:r>
          </w:p>
          <w:p w14:paraId="11555AD1">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式中：</w:t>
            </w:r>
          </w:p>
          <w:p w14:paraId="5CF4B784">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L</w:t>
            </w:r>
            <w:r>
              <w:rPr>
                <w:rFonts w:hint="default" w:ascii="Times New Roman" w:hAnsi="Times New Roman" w:cs="Times New Roman"/>
                <w:color w:val="auto"/>
                <w:szCs w:val="24"/>
                <w:u w:val="none" w:color="auto"/>
                <w:vertAlign w:val="subscript"/>
              </w:rPr>
              <w:t>w</w:t>
            </w:r>
            <w:r>
              <w:rPr>
                <w:rFonts w:hint="default" w:ascii="Times New Roman" w:hAnsi="Times New Roman" w:cs="Times New Roman"/>
                <w:color w:val="auto"/>
                <w:szCs w:val="24"/>
                <w:u w:val="none" w:color="auto"/>
              </w:rPr>
              <w:t>——中心位置位于透声面积（S）处的等效声源的倍频带声功率级，dB；</w:t>
            </w:r>
          </w:p>
          <w:p w14:paraId="561724FE">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L</w:t>
            </w:r>
            <w:r>
              <w:rPr>
                <w:rFonts w:hint="default" w:ascii="Times New Roman" w:hAnsi="Times New Roman" w:cs="Times New Roman"/>
                <w:color w:val="auto"/>
                <w:szCs w:val="24"/>
                <w:u w:val="none" w:color="auto"/>
                <w:vertAlign w:val="subscript"/>
              </w:rPr>
              <w:t>p2</w:t>
            </w:r>
            <w:r>
              <w:rPr>
                <w:rFonts w:hint="default" w:ascii="Times New Roman" w:hAnsi="Times New Roman" w:cs="Times New Roman"/>
                <w:color w:val="auto"/>
                <w:szCs w:val="24"/>
                <w:u w:val="none" w:color="auto"/>
              </w:rPr>
              <w:t>（T）——靠近围护结构处室外声源的声压级，dB；</w:t>
            </w:r>
          </w:p>
          <w:p w14:paraId="7DBFFB64">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S——透声面积，m</w:t>
            </w:r>
            <w:r>
              <w:rPr>
                <w:rFonts w:hint="default" w:ascii="Times New Roman" w:hAnsi="Times New Roman" w:cs="Times New Roman"/>
                <w:color w:val="auto"/>
                <w:szCs w:val="24"/>
                <w:u w:val="none" w:color="auto"/>
                <w:vertAlign w:val="superscript"/>
              </w:rPr>
              <w:t>2</w:t>
            </w:r>
            <w:r>
              <w:rPr>
                <w:rFonts w:hint="default" w:ascii="Times New Roman" w:hAnsi="Times New Roman" w:cs="Times New Roman"/>
                <w:color w:val="auto"/>
                <w:szCs w:val="24"/>
                <w:u w:val="none" w:color="auto"/>
              </w:rPr>
              <w:t>。</w:t>
            </w:r>
          </w:p>
          <w:p w14:paraId="79F09E55">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然后按室外声源预测方法计算预测点处的A声级。</w:t>
            </w:r>
          </w:p>
          <w:p w14:paraId="14B44B85">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②室外的点声源在预测点产生的声级计算基本公式（5.2-6）：</w:t>
            </w:r>
          </w:p>
          <w:p w14:paraId="613B52DB">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户外声传播衰减包括几何发散（A</w:t>
            </w:r>
            <w:r>
              <w:rPr>
                <w:rFonts w:hint="default" w:ascii="Times New Roman" w:hAnsi="Times New Roman" w:cs="Times New Roman"/>
                <w:color w:val="auto"/>
                <w:szCs w:val="24"/>
                <w:u w:val="none" w:color="auto"/>
                <w:vertAlign w:val="subscript"/>
              </w:rPr>
              <w:t>dv</w:t>
            </w:r>
            <w:r>
              <w:rPr>
                <w:rFonts w:hint="default" w:ascii="Times New Roman" w:hAnsi="Times New Roman" w:cs="Times New Roman"/>
                <w:color w:val="auto"/>
                <w:szCs w:val="24"/>
                <w:u w:val="none" w:color="auto"/>
              </w:rPr>
              <w:t>）、大气吸收（A</w:t>
            </w:r>
            <w:r>
              <w:rPr>
                <w:rFonts w:hint="default" w:ascii="Times New Roman" w:hAnsi="Times New Roman" w:cs="Times New Roman"/>
                <w:color w:val="auto"/>
                <w:szCs w:val="24"/>
                <w:u w:val="none" w:color="auto"/>
                <w:vertAlign w:val="subscript"/>
              </w:rPr>
              <w:t>am</w:t>
            </w:r>
            <w:r>
              <w:rPr>
                <w:rFonts w:hint="default" w:ascii="Times New Roman" w:hAnsi="Times New Roman" w:cs="Times New Roman"/>
                <w:color w:val="auto"/>
                <w:szCs w:val="24"/>
                <w:u w:val="none" w:color="auto"/>
              </w:rPr>
              <w:t>）、地面效应（A</w:t>
            </w:r>
            <w:r>
              <w:rPr>
                <w:rFonts w:hint="default" w:ascii="Times New Roman" w:hAnsi="Times New Roman" w:cs="Times New Roman"/>
                <w:color w:val="auto"/>
                <w:szCs w:val="24"/>
                <w:u w:val="none" w:color="auto"/>
                <w:vertAlign w:val="subscript"/>
              </w:rPr>
              <w:t>g</w:t>
            </w:r>
            <w:r>
              <w:rPr>
                <w:rFonts w:hint="default" w:ascii="Times New Roman" w:hAnsi="Times New Roman" w:cs="Times New Roman"/>
                <w:color w:val="auto"/>
                <w:szCs w:val="24"/>
                <w:u w:val="none" w:color="auto"/>
              </w:rPr>
              <w:t>）、障碍物屏蔽（A</w:t>
            </w:r>
            <w:r>
              <w:rPr>
                <w:rFonts w:hint="default" w:ascii="Times New Roman" w:hAnsi="Times New Roman" w:cs="Times New Roman"/>
                <w:color w:val="auto"/>
                <w:szCs w:val="24"/>
                <w:u w:val="none" w:color="auto"/>
                <w:vertAlign w:val="subscript"/>
              </w:rPr>
              <w:t>bar</w:t>
            </w:r>
            <w:r>
              <w:rPr>
                <w:rFonts w:hint="default" w:ascii="Times New Roman" w:hAnsi="Times New Roman" w:cs="Times New Roman"/>
                <w:color w:val="auto"/>
                <w:szCs w:val="24"/>
                <w:u w:val="none" w:color="auto"/>
              </w:rPr>
              <w:t>）、其他多方面效应（A</w:t>
            </w:r>
            <w:r>
              <w:rPr>
                <w:rFonts w:hint="default" w:ascii="Times New Roman" w:hAnsi="Times New Roman" w:cs="Times New Roman"/>
                <w:color w:val="auto"/>
                <w:szCs w:val="24"/>
                <w:u w:val="none" w:color="auto"/>
                <w:vertAlign w:val="subscript"/>
              </w:rPr>
              <w:t>misc</w:t>
            </w:r>
            <w:r>
              <w:rPr>
                <w:rFonts w:hint="default" w:ascii="Times New Roman" w:hAnsi="Times New Roman" w:cs="Times New Roman"/>
                <w:color w:val="auto"/>
                <w:szCs w:val="24"/>
                <w:u w:val="none" w:color="auto"/>
              </w:rPr>
              <w:t>）引起的衰减。</w:t>
            </w:r>
          </w:p>
          <w:p w14:paraId="0C0FA83A">
            <w:pPr>
              <w:pStyle w:val="403"/>
              <w:keepNext w:val="0"/>
              <w:keepLines w:val="0"/>
              <w:suppressLineNumbers w:val="0"/>
              <w:adjustRightInd w:val="0"/>
              <w:snapToGrid w:val="0"/>
              <w:spacing w:before="0" w:beforeAutospacing="0" w:after="0" w:afterAutospacing="0" w:line="360" w:lineRule="auto"/>
              <w:ind w:left="0" w:right="0" w:firstLine="0" w:firstLineChars="0"/>
              <w:jc w:val="center"/>
              <w:rPr>
                <w:rFonts w:hint="default" w:ascii="Times New Roman" w:hAnsi="Times New Roman" w:cs="Times New Roman"/>
                <w:color w:val="auto"/>
                <w:szCs w:val="24"/>
                <w:u w:val="none" w:color="auto"/>
              </w:rPr>
            </w:pPr>
            <w:r>
              <w:rPr>
                <w:rFonts w:hint="default" w:ascii="Times New Roman" w:hAnsi="Times New Roman" w:cs="Times New Roman"/>
                <w:color w:val="auto"/>
                <w:u w:val="none" w:color="auto"/>
              </w:rPr>
              <w:drawing>
                <wp:inline distT="0" distB="0" distL="114300" distR="114300">
                  <wp:extent cx="4556760" cy="541020"/>
                  <wp:effectExtent l="0" t="0" r="15240" b="11430"/>
                  <wp:docPr id="20"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1"/>
                          <pic:cNvPicPr>
                            <a:picLocks noChangeAspect="1"/>
                          </pic:cNvPicPr>
                        </pic:nvPicPr>
                        <pic:blipFill>
                          <a:blip r:embed="rId32">
                            <a:lum contrast="6000"/>
                          </a:blip>
                          <a:stretch>
                            <a:fillRect/>
                          </a:stretch>
                        </pic:blipFill>
                        <pic:spPr>
                          <a:xfrm>
                            <a:off x="0" y="0"/>
                            <a:ext cx="4556760" cy="541020"/>
                          </a:xfrm>
                          <a:prstGeom prst="rect">
                            <a:avLst/>
                          </a:prstGeom>
                          <a:noFill/>
                          <a:ln>
                            <a:noFill/>
                          </a:ln>
                        </pic:spPr>
                      </pic:pic>
                    </a:graphicData>
                  </a:graphic>
                </wp:inline>
              </w:drawing>
            </w:r>
          </w:p>
          <w:p w14:paraId="51AF62DB">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式中：</w:t>
            </w:r>
          </w:p>
          <w:p w14:paraId="0251AA50">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L</w:t>
            </w:r>
            <w:r>
              <w:rPr>
                <w:rFonts w:hint="default" w:ascii="Times New Roman" w:hAnsi="Times New Roman" w:cs="Times New Roman"/>
                <w:color w:val="auto"/>
                <w:szCs w:val="24"/>
                <w:u w:val="none" w:color="auto"/>
                <w:vertAlign w:val="subscript"/>
              </w:rPr>
              <w:t>p</w:t>
            </w:r>
            <w:r>
              <w:rPr>
                <w:rFonts w:hint="default" w:ascii="Times New Roman" w:hAnsi="Times New Roman" w:cs="Times New Roman"/>
                <w:color w:val="auto"/>
                <w:szCs w:val="24"/>
                <w:u w:val="none" w:color="auto"/>
              </w:rPr>
              <w:t>（r）——预测点处声压级，dB；</w:t>
            </w:r>
          </w:p>
          <w:p w14:paraId="46E97489">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L</w:t>
            </w:r>
            <w:r>
              <w:rPr>
                <w:rFonts w:hint="default" w:ascii="Times New Roman" w:hAnsi="Times New Roman" w:cs="Times New Roman"/>
                <w:color w:val="auto"/>
                <w:szCs w:val="24"/>
                <w:u w:val="none" w:color="auto"/>
                <w:vertAlign w:val="subscript"/>
              </w:rPr>
              <w:t>w</w:t>
            </w:r>
            <w:r>
              <w:rPr>
                <w:rFonts w:hint="default" w:ascii="Times New Roman" w:hAnsi="Times New Roman" w:cs="Times New Roman"/>
                <w:color w:val="auto"/>
                <w:szCs w:val="24"/>
                <w:u w:val="none" w:color="auto"/>
              </w:rPr>
              <w:t>——由点声源产生的声功率级（A计权或倍频带），dB；</w:t>
            </w:r>
          </w:p>
          <w:p w14:paraId="280CBC22">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D</w:t>
            </w:r>
            <w:r>
              <w:rPr>
                <w:rFonts w:hint="default" w:ascii="Times New Roman" w:hAnsi="Times New Roman" w:cs="Times New Roman"/>
                <w:color w:val="auto"/>
                <w:szCs w:val="24"/>
                <w:u w:val="none" w:color="auto"/>
                <w:vertAlign w:val="subscript"/>
              </w:rPr>
              <w:t>c</w:t>
            </w:r>
            <w:r>
              <w:rPr>
                <w:rFonts w:hint="default" w:ascii="Times New Roman" w:hAnsi="Times New Roman" w:cs="Times New Roman"/>
                <w:color w:val="auto"/>
                <w:szCs w:val="24"/>
                <w:u w:val="none" w:color="auto"/>
              </w:rPr>
              <w:t>——指向性校正，它描述点声源的等效连续声压级与产生声功率级Lw的全向点声源在规定方向的声级的偏差程度，dB；</w:t>
            </w:r>
          </w:p>
          <w:p w14:paraId="1A6C23E0">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A</w:t>
            </w:r>
            <w:r>
              <w:rPr>
                <w:rFonts w:hint="default" w:ascii="Times New Roman" w:hAnsi="Times New Roman" w:cs="Times New Roman"/>
                <w:color w:val="auto"/>
                <w:szCs w:val="24"/>
                <w:u w:val="none" w:color="auto"/>
                <w:vertAlign w:val="subscript"/>
              </w:rPr>
              <w:t>div</w:t>
            </w:r>
            <w:r>
              <w:rPr>
                <w:rFonts w:hint="default" w:ascii="Times New Roman" w:hAnsi="Times New Roman" w:cs="Times New Roman"/>
                <w:color w:val="auto"/>
                <w:szCs w:val="24"/>
                <w:u w:val="none" w:color="auto"/>
              </w:rPr>
              <w:t>——几何发散引起的衰减，dB；</w:t>
            </w:r>
          </w:p>
          <w:p w14:paraId="3D9A5A91">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A</w:t>
            </w:r>
            <w:r>
              <w:rPr>
                <w:rFonts w:hint="default" w:ascii="Times New Roman" w:hAnsi="Times New Roman" w:cs="Times New Roman"/>
                <w:color w:val="auto"/>
                <w:szCs w:val="24"/>
                <w:u w:val="none" w:color="auto"/>
                <w:vertAlign w:val="subscript"/>
              </w:rPr>
              <w:t>atm</w:t>
            </w:r>
            <w:r>
              <w:rPr>
                <w:rFonts w:hint="default" w:ascii="Times New Roman" w:hAnsi="Times New Roman" w:cs="Times New Roman"/>
                <w:color w:val="auto"/>
                <w:szCs w:val="24"/>
                <w:u w:val="none" w:color="auto"/>
              </w:rPr>
              <w:t>——大气吸收引起的衰减，dB；</w:t>
            </w:r>
          </w:p>
          <w:p w14:paraId="59A537BB">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A</w:t>
            </w:r>
            <w:r>
              <w:rPr>
                <w:rFonts w:hint="default" w:ascii="Times New Roman" w:hAnsi="Times New Roman" w:cs="Times New Roman"/>
                <w:color w:val="auto"/>
                <w:szCs w:val="24"/>
                <w:u w:val="none" w:color="auto"/>
                <w:vertAlign w:val="subscript"/>
              </w:rPr>
              <w:t>gr</w:t>
            </w:r>
            <w:r>
              <w:rPr>
                <w:rFonts w:hint="default" w:ascii="Times New Roman" w:hAnsi="Times New Roman" w:cs="Times New Roman"/>
                <w:color w:val="auto"/>
                <w:szCs w:val="24"/>
                <w:u w:val="none" w:color="auto"/>
              </w:rPr>
              <w:t>——地面效应引起的衰减，dB；</w:t>
            </w:r>
          </w:p>
          <w:p w14:paraId="20E76DD7">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A</w:t>
            </w:r>
            <w:r>
              <w:rPr>
                <w:rFonts w:hint="default" w:ascii="Times New Roman" w:hAnsi="Times New Roman" w:cs="Times New Roman"/>
                <w:color w:val="auto"/>
                <w:szCs w:val="24"/>
                <w:u w:val="none" w:color="auto"/>
                <w:vertAlign w:val="subscript"/>
              </w:rPr>
              <w:t>bar</w:t>
            </w:r>
            <w:r>
              <w:rPr>
                <w:rFonts w:hint="default" w:ascii="Times New Roman" w:hAnsi="Times New Roman" w:cs="Times New Roman"/>
                <w:color w:val="auto"/>
                <w:szCs w:val="24"/>
                <w:u w:val="none" w:color="auto"/>
              </w:rPr>
              <w:t>——障碍物屏蔽引起的衰减，dB；</w:t>
            </w:r>
          </w:p>
          <w:p w14:paraId="233D2C4C">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A</w:t>
            </w:r>
            <w:r>
              <w:rPr>
                <w:rFonts w:hint="default" w:ascii="Times New Roman" w:hAnsi="Times New Roman" w:cs="Times New Roman"/>
                <w:color w:val="auto"/>
                <w:szCs w:val="24"/>
                <w:u w:val="none" w:color="auto"/>
                <w:vertAlign w:val="subscript"/>
              </w:rPr>
              <w:t>misc</w:t>
            </w:r>
            <w:r>
              <w:rPr>
                <w:rFonts w:hint="default" w:ascii="Times New Roman" w:hAnsi="Times New Roman" w:cs="Times New Roman"/>
                <w:color w:val="auto"/>
                <w:szCs w:val="24"/>
                <w:u w:val="none" w:color="auto"/>
              </w:rPr>
              <w:t>——其他多方面效应引起的衰减，dB。</w:t>
            </w:r>
          </w:p>
          <w:p w14:paraId="323D3159">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根据上述公式，对主要生产设备噪声值进行叠加计算，预测项目实施后对项目厂房边界声环境的影响。</w:t>
            </w:r>
          </w:p>
          <w:p w14:paraId="2BA7BD65">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预测参数确定：</w:t>
            </w:r>
          </w:p>
          <w:p w14:paraId="3917CA23">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①几何发散衰减量A</w:t>
            </w:r>
            <w:r>
              <w:rPr>
                <w:rFonts w:hint="default" w:ascii="Times New Roman" w:hAnsi="Times New Roman" w:cs="Times New Roman"/>
                <w:color w:val="auto"/>
                <w:szCs w:val="24"/>
                <w:u w:val="none" w:color="auto"/>
                <w:vertAlign w:val="subscript"/>
              </w:rPr>
              <w:t>div</w:t>
            </w:r>
            <w:r>
              <w:rPr>
                <w:rFonts w:hint="default" w:ascii="Times New Roman" w:hAnsi="Times New Roman" w:cs="Times New Roman"/>
                <w:color w:val="auto"/>
                <w:szCs w:val="24"/>
                <w:u w:val="none" w:color="auto"/>
              </w:rPr>
              <w:t>：</w:t>
            </w:r>
          </w:p>
          <w:p w14:paraId="6B805AC7">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选用半自由声场无指向性点声源几何发散衰减基本模式计算：</w:t>
            </w:r>
          </w:p>
          <w:p w14:paraId="266F8BA6">
            <w:pPr>
              <w:pStyle w:val="403"/>
              <w:keepNext w:val="0"/>
              <w:keepLines w:val="0"/>
              <w:suppressLineNumbers w:val="0"/>
              <w:adjustRightInd w:val="0"/>
              <w:snapToGrid w:val="0"/>
              <w:spacing w:before="0" w:beforeAutospacing="0" w:after="0" w:afterAutospacing="0" w:line="360" w:lineRule="auto"/>
              <w:ind w:left="0" w:right="0" w:firstLine="0" w:firstLineChars="0"/>
              <w:jc w:val="center"/>
              <w:rPr>
                <w:rFonts w:hint="default" w:ascii="Times New Roman" w:hAnsi="Times New Roman" w:cs="Times New Roman"/>
                <w:color w:val="auto"/>
                <w:szCs w:val="24"/>
                <w:u w:val="none" w:color="auto"/>
              </w:rPr>
            </w:pPr>
            <w:r>
              <w:rPr>
                <w:rFonts w:hint="default" w:ascii="Times New Roman" w:hAnsi="Times New Roman" w:cs="Times New Roman"/>
                <w:color w:val="auto"/>
                <w:u w:val="none" w:color="auto"/>
              </w:rPr>
              <w:drawing>
                <wp:inline distT="0" distB="0" distL="114300" distR="114300">
                  <wp:extent cx="2834640" cy="457200"/>
                  <wp:effectExtent l="0" t="0" r="3810" b="0"/>
                  <wp:docPr id="2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2"/>
                          <pic:cNvPicPr>
                            <a:picLocks noChangeAspect="1"/>
                          </pic:cNvPicPr>
                        </pic:nvPicPr>
                        <pic:blipFill>
                          <a:blip r:embed="rId33">
                            <a:lum contrast="6000"/>
                          </a:blip>
                          <a:stretch>
                            <a:fillRect/>
                          </a:stretch>
                        </pic:blipFill>
                        <pic:spPr>
                          <a:xfrm>
                            <a:off x="0" y="0"/>
                            <a:ext cx="2834640" cy="457200"/>
                          </a:xfrm>
                          <a:prstGeom prst="rect">
                            <a:avLst/>
                          </a:prstGeom>
                          <a:noFill/>
                          <a:ln>
                            <a:noFill/>
                          </a:ln>
                        </pic:spPr>
                      </pic:pic>
                    </a:graphicData>
                  </a:graphic>
                </wp:inline>
              </w:drawing>
            </w:r>
          </w:p>
          <w:p w14:paraId="5394F29C">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②遮挡物衰减量A</w:t>
            </w:r>
            <w:r>
              <w:rPr>
                <w:rFonts w:hint="default" w:ascii="Times New Roman" w:hAnsi="Times New Roman" w:cs="Times New Roman"/>
                <w:color w:val="auto"/>
                <w:szCs w:val="24"/>
                <w:u w:val="none" w:color="auto"/>
                <w:vertAlign w:val="subscript"/>
              </w:rPr>
              <w:t>bar</w:t>
            </w:r>
            <w:r>
              <w:rPr>
                <w:rFonts w:hint="default" w:ascii="Times New Roman" w:hAnsi="Times New Roman" w:cs="Times New Roman"/>
                <w:color w:val="auto"/>
                <w:szCs w:val="24"/>
                <w:u w:val="none" w:color="auto"/>
              </w:rPr>
              <w:t>：</w:t>
            </w:r>
          </w:p>
          <w:p w14:paraId="161C23C9">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噪声源辐射的噪声由室内传播至室外遇到围墙或建筑物等障碍物时引起的能量衰减。对于安装在厂房内的设备，预测时主要考虑厂房墙壁等围栏结构产生的衰减，其最大衰减量可达</w:t>
            </w:r>
            <w:r>
              <w:rPr>
                <w:rFonts w:hint="default" w:ascii="Times New Roman" w:hAnsi="Times New Roman" w:cs="Times New Roman"/>
                <w:color w:val="auto"/>
                <w:szCs w:val="24"/>
                <w:u w:val="none" w:color="auto"/>
                <w:lang w:val="en-US" w:eastAsia="zh-CN"/>
              </w:rPr>
              <w:t>1</w:t>
            </w:r>
            <w:r>
              <w:rPr>
                <w:rFonts w:hint="default" w:ascii="Times New Roman" w:hAnsi="Times New Roman" w:cs="Times New Roman"/>
                <w:color w:val="auto"/>
                <w:szCs w:val="24"/>
                <w:u w:val="none" w:color="auto"/>
              </w:rPr>
              <w:t>0dB。</w:t>
            </w:r>
          </w:p>
          <w:p w14:paraId="2C837E5D">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③空气吸收衰减量A</w:t>
            </w:r>
            <w:r>
              <w:rPr>
                <w:rFonts w:hint="default" w:ascii="Times New Roman" w:hAnsi="Times New Roman" w:cs="Times New Roman"/>
                <w:color w:val="auto"/>
                <w:szCs w:val="24"/>
                <w:u w:val="none" w:color="auto"/>
                <w:vertAlign w:val="subscript"/>
              </w:rPr>
              <w:t>atm</w:t>
            </w:r>
            <w:r>
              <w:rPr>
                <w:rFonts w:hint="default" w:ascii="Times New Roman" w:hAnsi="Times New Roman" w:cs="Times New Roman"/>
                <w:color w:val="auto"/>
                <w:szCs w:val="24"/>
                <w:u w:val="none" w:color="auto"/>
              </w:rPr>
              <w:t>：</w:t>
            </w:r>
          </w:p>
          <w:p w14:paraId="3E80AE81">
            <w:pPr>
              <w:pStyle w:val="403"/>
              <w:keepNext w:val="0"/>
              <w:keepLines w:val="0"/>
              <w:suppressLineNumbers w:val="0"/>
              <w:adjustRightInd w:val="0"/>
              <w:snapToGrid w:val="0"/>
              <w:spacing w:before="0" w:beforeAutospacing="0" w:after="0" w:afterAutospacing="0" w:line="360" w:lineRule="auto"/>
              <w:ind w:left="0" w:right="0" w:firstLine="0" w:firstLineChars="0"/>
              <w:jc w:val="center"/>
              <w:rPr>
                <w:rFonts w:hint="default" w:ascii="Times New Roman" w:hAnsi="Times New Roman" w:cs="Times New Roman"/>
                <w:color w:val="auto"/>
                <w:szCs w:val="24"/>
                <w:u w:val="none" w:color="auto"/>
              </w:rPr>
            </w:pPr>
            <w:r>
              <w:rPr>
                <w:rFonts w:hint="default" w:ascii="Times New Roman" w:hAnsi="Times New Roman" w:cs="Times New Roman"/>
                <w:color w:val="auto"/>
                <w:u w:val="none" w:color="auto"/>
              </w:rPr>
              <w:drawing>
                <wp:inline distT="0" distB="0" distL="114300" distR="114300">
                  <wp:extent cx="2514600" cy="640080"/>
                  <wp:effectExtent l="0" t="0" r="0" b="7620"/>
                  <wp:docPr id="24"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3"/>
                          <pic:cNvPicPr>
                            <a:picLocks noChangeAspect="1"/>
                          </pic:cNvPicPr>
                        </pic:nvPicPr>
                        <pic:blipFill>
                          <a:blip r:embed="rId34">
                            <a:lum contrast="6000"/>
                          </a:blip>
                          <a:stretch>
                            <a:fillRect/>
                          </a:stretch>
                        </pic:blipFill>
                        <pic:spPr>
                          <a:xfrm>
                            <a:off x="0" y="0"/>
                            <a:ext cx="2514600" cy="640080"/>
                          </a:xfrm>
                          <a:prstGeom prst="rect">
                            <a:avLst/>
                          </a:prstGeom>
                          <a:noFill/>
                          <a:ln>
                            <a:noFill/>
                          </a:ln>
                        </pic:spPr>
                      </pic:pic>
                    </a:graphicData>
                  </a:graphic>
                </wp:inline>
              </w:drawing>
            </w:r>
          </w:p>
          <w:p w14:paraId="289AE7A9">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式中：</w:t>
            </w:r>
          </w:p>
          <w:p w14:paraId="682D3A1A">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α——与温度、湿度和声波频率有关的大气吸收衰减系数，预测计算中一般根据建设项目所处区域常年平均气温和湿度相应的大气吸收衰减系数。</w:t>
            </w:r>
          </w:p>
          <w:p w14:paraId="1B103093">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空气吸收衰减量与几何发散衰减量相比很小，本次预测计算中忽略空气吸收衰减量。</w:t>
            </w:r>
          </w:p>
          <w:p w14:paraId="1AB8062B">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④地面衰减量A</w:t>
            </w:r>
            <w:r>
              <w:rPr>
                <w:rFonts w:hint="default" w:ascii="Times New Roman" w:hAnsi="Times New Roman" w:cs="Times New Roman"/>
                <w:color w:val="auto"/>
                <w:szCs w:val="24"/>
                <w:u w:val="none" w:color="auto"/>
                <w:vertAlign w:val="subscript"/>
              </w:rPr>
              <w:t>gr</w:t>
            </w:r>
            <w:r>
              <w:rPr>
                <w:rFonts w:hint="default" w:ascii="Times New Roman" w:hAnsi="Times New Roman" w:cs="Times New Roman"/>
                <w:color w:val="auto"/>
                <w:szCs w:val="24"/>
                <w:u w:val="none" w:color="auto"/>
              </w:rPr>
              <w:t>：本次评价忽略。</w:t>
            </w:r>
          </w:p>
          <w:p w14:paraId="0EDFD803">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⑤其它方面衰减量A</w:t>
            </w:r>
            <w:r>
              <w:rPr>
                <w:rFonts w:hint="default" w:ascii="Times New Roman" w:hAnsi="Times New Roman" w:cs="Times New Roman"/>
                <w:color w:val="auto"/>
                <w:szCs w:val="24"/>
                <w:u w:val="none" w:color="auto"/>
                <w:vertAlign w:val="subscript"/>
              </w:rPr>
              <w:t>misc</w:t>
            </w:r>
            <w:r>
              <w:rPr>
                <w:rFonts w:hint="default" w:ascii="Times New Roman" w:hAnsi="Times New Roman" w:cs="Times New Roman"/>
                <w:color w:val="auto"/>
                <w:szCs w:val="24"/>
                <w:u w:val="none" w:color="auto"/>
              </w:rPr>
              <w:t>：本次评价忽略。</w:t>
            </w:r>
          </w:p>
          <w:p w14:paraId="541215CD">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（2）预测结果</w:t>
            </w:r>
          </w:p>
          <w:p w14:paraId="504A6B4B">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本项目昼间生产，经计算，工程建成后的厂界噪声值预测见下表4-</w:t>
            </w:r>
            <w:r>
              <w:rPr>
                <w:rFonts w:hint="eastAsia" w:cs="Times New Roman"/>
                <w:color w:val="auto"/>
                <w:szCs w:val="24"/>
                <w:u w:val="none" w:color="auto"/>
                <w:lang w:val="en-US" w:eastAsia="zh-CN"/>
              </w:rPr>
              <w:t>19</w:t>
            </w:r>
            <w:r>
              <w:rPr>
                <w:rFonts w:hint="default" w:ascii="Times New Roman" w:hAnsi="Times New Roman" w:cs="Times New Roman"/>
                <w:color w:val="auto"/>
                <w:szCs w:val="24"/>
                <w:u w:val="none" w:color="auto"/>
              </w:rPr>
              <w:t>。</w:t>
            </w:r>
          </w:p>
          <w:p w14:paraId="018E2985">
            <w:pPr>
              <w:pStyle w:val="403"/>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color w:val="auto"/>
                <w:sz w:val="21"/>
                <w:szCs w:val="21"/>
                <w:u w:val="none" w:color="auto"/>
              </w:rPr>
            </w:pPr>
          </w:p>
          <w:p w14:paraId="77700AF6">
            <w:pPr>
              <w:pStyle w:val="403"/>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color w:val="auto"/>
                <w:sz w:val="21"/>
                <w:szCs w:val="21"/>
                <w:u w:val="none" w:color="auto"/>
              </w:rPr>
            </w:pPr>
          </w:p>
          <w:p w14:paraId="1C8C79B2">
            <w:pPr>
              <w:pStyle w:val="403"/>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color w:val="auto"/>
                <w:sz w:val="21"/>
                <w:szCs w:val="21"/>
                <w:u w:val="none" w:color="auto"/>
              </w:rPr>
            </w:pPr>
            <w:r>
              <w:rPr>
                <w:rFonts w:hint="default" w:ascii="Times New Roman" w:hAnsi="Times New Roman" w:cs="Times New Roman"/>
                <w:b/>
                <w:color w:val="auto"/>
                <w:sz w:val="21"/>
                <w:szCs w:val="21"/>
                <w:u w:val="none" w:color="auto"/>
              </w:rPr>
              <w:t>表4-</w:t>
            </w:r>
            <w:r>
              <w:rPr>
                <w:rFonts w:hint="default" w:ascii="Times New Roman" w:hAnsi="Times New Roman" w:cs="Times New Roman"/>
                <w:b/>
                <w:color w:val="auto"/>
                <w:sz w:val="21"/>
                <w:szCs w:val="21"/>
                <w:u w:val="none" w:color="auto"/>
                <w:lang w:val="en-US" w:eastAsia="zh-CN"/>
              </w:rPr>
              <w:t>1</w:t>
            </w:r>
            <w:r>
              <w:rPr>
                <w:rFonts w:hint="eastAsia" w:cs="Times New Roman"/>
                <w:b/>
                <w:color w:val="auto"/>
                <w:sz w:val="21"/>
                <w:szCs w:val="21"/>
                <w:u w:val="none" w:color="auto"/>
                <w:lang w:val="en-US" w:eastAsia="zh-CN"/>
              </w:rPr>
              <w:t>9</w:t>
            </w:r>
            <w:r>
              <w:rPr>
                <w:rFonts w:hint="default" w:ascii="Times New Roman" w:hAnsi="Times New Roman" w:cs="Times New Roman"/>
                <w:b/>
                <w:color w:val="auto"/>
                <w:sz w:val="21"/>
                <w:szCs w:val="21"/>
                <w:u w:val="none" w:color="auto"/>
                <w:lang w:val="en-US" w:eastAsia="zh-CN"/>
              </w:rPr>
              <w:t xml:space="preserve"> </w:t>
            </w:r>
            <w:r>
              <w:rPr>
                <w:rFonts w:hint="default" w:ascii="Times New Roman" w:hAnsi="Times New Roman" w:cs="Times New Roman"/>
                <w:b/>
                <w:color w:val="auto"/>
                <w:sz w:val="21"/>
                <w:szCs w:val="21"/>
                <w:u w:val="none" w:color="auto"/>
              </w:rPr>
              <w:t>厂界噪声预测结果与达标分析表</w:t>
            </w:r>
          </w:p>
          <w:tbl>
            <w:tblPr>
              <w:tblStyle w:val="56"/>
              <w:tblW w:w="4996"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5" w:type="dxa"/>
                <w:left w:w="15" w:type="dxa"/>
                <w:bottom w:w="15" w:type="dxa"/>
                <w:right w:w="15" w:type="dxa"/>
              </w:tblCellMar>
            </w:tblPr>
            <w:tblGrid>
              <w:gridCol w:w="1076"/>
              <w:gridCol w:w="950"/>
              <w:gridCol w:w="684"/>
              <w:gridCol w:w="750"/>
              <w:gridCol w:w="1033"/>
              <w:gridCol w:w="1250"/>
              <w:gridCol w:w="1660"/>
              <w:gridCol w:w="874"/>
            </w:tblGrid>
            <w:tr w14:paraId="198CB04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jc w:val="center"/>
              </w:trPr>
              <w:tc>
                <w:tcPr>
                  <w:tcW w:w="649" w:type="pct"/>
                  <w:vMerge w:val="restart"/>
                  <w:tcBorders>
                    <w:tl2br w:val="nil"/>
                    <w:tr2bl w:val="nil"/>
                  </w:tcBorders>
                  <w:noWrap/>
                  <w:vAlign w:val="center"/>
                </w:tcPr>
                <w:p w14:paraId="09089A1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预测位置</w:t>
                  </w:r>
                </w:p>
              </w:tc>
              <w:tc>
                <w:tcPr>
                  <w:tcW w:w="1440" w:type="pct"/>
                  <w:gridSpan w:val="3"/>
                  <w:tcBorders>
                    <w:tl2br w:val="nil"/>
                    <w:tr2bl w:val="nil"/>
                  </w:tcBorders>
                  <w:noWrap/>
                  <w:vAlign w:val="center"/>
                </w:tcPr>
                <w:p w14:paraId="46C4C2D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空间相对位置/m</w:t>
                  </w:r>
                </w:p>
              </w:tc>
              <w:tc>
                <w:tcPr>
                  <w:tcW w:w="624" w:type="pct"/>
                  <w:vMerge w:val="restart"/>
                  <w:tcBorders>
                    <w:tl2br w:val="nil"/>
                    <w:tr2bl w:val="nil"/>
                  </w:tcBorders>
                  <w:noWrap/>
                  <w:vAlign w:val="center"/>
                </w:tcPr>
                <w:p w14:paraId="7476612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时段</w:t>
                  </w:r>
                </w:p>
              </w:tc>
              <w:tc>
                <w:tcPr>
                  <w:tcW w:w="755" w:type="pct"/>
                  <w:vMerge w:val="restart"/>
                  <w:tcBorders>
                    <w:tl2br w:val="nil"/>
                    <w:tr2bl w:val="nil"/>
                  </w:tcBorders>
                  <w:noWrap/>
                  <w:vAlign w:val="center"/>
                </w:tcPr>
                <w:p w14:paraId="39207DA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贡献值</w:t>
                  </w:r>
                </w:p>
                <w:p w14:paraId="04497A9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eastAsia" w:ascii="Times New Roman" w:hAnsi="Times New Roman" w:cs="Times New Roman"/>
                      <w:b/>
                      <w:bCs/>
                      <w:color w:val="auto"/>
                      <w:kern w:val="2"/>
                      <w:sz w:val="21"/>
                      <w:szCs w:val="21"/>
                      <w:u w:val="none" w:color="auto"/>
                      <w:lang w:eastAsia="zh-CN"/>
                    </w:rPr>
                    <w:t>(</w:t>
                  </w:r>
                  <w:r>
                    <w:rPr>
                      <w:rFonts w:hint="default" w:ascii="Times New Roman" w:hAnsi="Times New Roman" w:cs="Times New Roman"/>
                      <w:b/>
                      <w:bCs/>
                      <w:color w:val="auto"/>
                      <w:kern w:val="2"/>
                      <w:sz w:val="21"/>
                      <w:szCs w:val="21"/>
                      <w:u w:val="none" w:color="auto"/>
                    </w:rPr>
                    <w:t>dB</w:t>
                  </w:r>
                  <w:r>
                    <w:rPr>
                      <w:rFonts w:hint="eastAsia" w:ascii="Times New Roman" w:hAnsi="Times New Roman" w:cs="Times New Roman"/>
                      <w:b/>
                      <w:bCs/>
                      <w:color w:val="auto"/>
                      <w:kern w:val="2"/>
                      <w:sz w:val="21"/>
                      <w:szCs w:val="21"/>
                      <w:u w:val="none" w:color="auto"/>
                      <w:lang w:eastAsia="zh-CN"/>
                    </w:rPr>
                    <w:t>(</w:t>
                  </w:r>
                  <w:r>
                    <w:rPr>
                      <w:rFonts w:hint="default" w:ascii="Times New Roman" w:hAnsi="Times New Roman" w:cs="Times New Roman"/>
                      <w:b/>
                      <w:bCs/>
                      <w:color w:val="auto"/>
                      <w:kern w:val="2"/>
                      <w:sz w:val="21"/>
                      <w:szCs w:val="21"/>
                      <w:u w:val="none" w:color="auto"/>
                    </w:rPr>
                    <w:t>A</w:t>
                  </w:r>
                  <w:r>
                    <w:rPr>
                      <w:rFonts w:hint="eastAsia" w:ascii="Times New Roman" w:hAnsi="Times New Roman" w:cs="Times New Roman"/>
                      <w:b/>
                      <w:bCs/>
                      <w:color w:val="auto"/>
                      <w:kern w:val="2"/>
                      <w:sz w:val="21"/>
                      <w:szCs w:val="21"/>
                      <w:u w:val="none" w:color="auto"/>
                      <w:lang w:eastAsia="zh-CN"/>
                    </w:rPr>
                    <w:t>))</w:t>
                  </w:r>
                </w:p>
              </w:tc>
              <w:tc>
                <w:tcPr>
                  <w:tcW w:w="1002" w:type="pct"/>
                  <w:vMerge w:val="restart"/>
                  <w:tcBorders>
                    <w:tl2br w:val="nil"/>
                    <w:tr2bl w:val="nil"/>
                  </w:tcBorders>
                  <w:noWrap/>
                  <w:vAlign w:val="center"/>
                </w:tcPr>
                <w:p w14:paraId="5DE1C35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标准限值（dB（A））</w:t>
                  </w:r>
                </w:p>
              </w:tc>
              <w:tc>
                <w:tcPr>
                  <w:tcW w:w="527" w:type="pct"/>
                  <w:vMerge w:val="restart"/>
                  <w:tcBorders>
                    <w:tl2br w:val="nil"/>
                    <w:tr2bl w:val="nil"/>
                  </w:tcBorders>
                  <w:noWrap/>
                  <w:vAlign w:val="center"/>
                </w:tcPr>
                <w:p w14:paraId="689A8CA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达标情况</w:t>
                  </w:r>
                </w:p>
              </w:tc>
            </w:tr>
            <w:tr w14:paraId="239AFEE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jc w:val="center"/>
              </w:trPr>
              <w:tc>
                <w:tcPr>
                  <w:tcW w:w="649" w:type="pct"/>
                  <w:vMerge w:val="continue"/>
                  <w:tcBorders>
                    <w:tl2br w:val="nil"/>
                    <w:tr2bl w:val="nil"/>
                  </w:tcBorders>
                  <w:noWrap/>
                  <w:vAlign w:val="center"/>
                </w:tcPr>
                <w:p w14:paraId="3CE5796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573" w:type="pct"/>
                  <w:tcBorders>
                    <w:tl2br w:val="nil"/>
                    <w:tr2bl w:val="nil"/>
                  </w:tcBorders>
                  <w:noWrap/>
                  <w:vAlign w:val="center"/>
                </w:tcPr>
                <w:p w14:paraId="2BEB349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X</w:t>
                  </w:r>
                </w:p>
              </w:tc>
              <w:tc>
                <w:tcPr>
                  <w:tcW w:w="413" w:type="pct"/>
                  <w:tcBorders>
                    <w:tl2br w:val="nil"/>
                    <w:tr2bl w:val="nil"/>
                  </w:tcBorders>
                  <w:noWrap/>
                  <w:vAlign w:val="center"/>
                </w:tcPr>
                <w:p w14:paraId="63D82CD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Y</w:t>
                  </w:r>
                </w:p>
              </w:tc>
              <w:tc>
                <w:tcPr>
                  <w:tcW w:w="453" w:type="pct"/>
                  <w:tcBorders>
                    <w:tl2br w:val="nil"/>
                    <w:tr2bl w:val="nil"/>
                  </w:tcBorders>
                  <w:noWrap/>
                  <w:vAlign w:val="center"/>
                </w:tcPr>
                <w:p w14:paraId="318C932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Z</w:t>
                  </w:r>
                </w:p>
              </w:tc>
              <w:tc>
                <w:tcPr>
                  <w:tcW w:w="624" w:type="pct"/>
                  <w:vMerge w:val="continue"/>
                  <w:tcBorders>
                    <w:tl2br w:val="nil"/>
                    <w:tr2bl w:val="nil"/>
                  </w:tcBorders>
                  <w:noWrap/>
                  <w:vAlign w:val="center"/>
                </w:tcPr>
                <w:p w14:paraId="586A9E0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755" w:type="pct"/>
                  <w:vMerge w:val="continue"/>
                  <w:tcBorders>
                    <w:tl2br w:val="nil"/>
                    <w:tr2bl w:val="nil"/>
                  </w:tcBorders>
                  <w:noWrap/>
                  <w:vAlign w:val="center"/>
                </w:tcPr>
                <w:p w14:paraId="7DA335E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1002" w:type="pct"/>
                  <w:vMerge w:val="continue"/>
                  <w:tcBorders>
                    <w:tl2br w:val="nil"/>
                    <w:tr2bl w:val="nil"/>
                  </w:tcBorders>
                  <w:noWrap/>
                  <w:vAlign w:val="center"/>
                </w:tcPr>
                <w:p w14:paraId="5DDC58E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527" w:type="pct"/>
                  <w:vMerge w:val="continue"/>
                  <w:tcBorders>
                    <w:tl2br w:val="nil"/>
                    <w:tr2bl w:val="nil"/>
                  </w:tcBorders>
                  <w:noWrap/>
                  <w:vAlign w:val="center"/>
                </w:tcPr>
                <w:p w14:paraId="5CEF043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r>
            <w:tr w14:paraId="72E16AE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trHeight w:val="281" w:hRule="atLeast"/>
                <w:jc w:val="center"/>
              </w:trPr>
              <w:tc>
                <w:tcPr>
                  <w:tcW w:w="649" w:type="pct"/>
                  <w:tcBorders>
                    <w:tl2br w:val="nil"/>
                    <w:tr2bl w:val="nil"/>
                  </w:tcBorders>
                  <w:noWrap/>
                  <w:vAlign w:val="center"/>
                </w:tcPr>
                <w:p w14:paraId="4E3A1FC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eastAsia" w:ascii="Times New Roman" w:hAnsi="Times New Roman" w:cs="Times New Roman"/>
                      <w:color w:val="auto"/>
                      <w:kern w:val="2"/>
                      <w:sz w:val="21"/>
                      <w:szCs w:val="21"/>
                      <w:u w:val="none" w:color="auto"/>
                      <w:lang w:val="en-US" w:eastAsia="zh-CN"/>
                    </w:rPr>
                    <w:t>西北</w:t>
                  </w:r>
                  <w:r>
                    <w:rPr>
                      <w:rFonts w:hint="default" w:ascii="Times New Roman" w:hAnsi="Times New Roman" w:cs="Times New Roman"/>
                      <w:color w:val="auto"/>
                      <w:kern w:val="2"/>
                      <w:sz w:val="21"/>
                      <w:szCs w:val="21"/>
                      <w:u w:val="none" w:color="auto"/>
                    </w:rPr>
                    <w:t>厂界</w:t>
                  </w:r>
                </w:p>
              </w:tc>
              <w:tc>
                <w:tcPr>
                  <w:tcW w:w="573" w:type="pct"/>
                  <w:tcBorders>
                    <w:tl2br w:val="nil"/>
                    <w:tr2bl w:val="nil"/>
                  </w:tcBorders>
                  <w:noWrap/>
                  <w:vAlign w:val="center"/>
                </w:tcPr>
                <w:p w14:paraId="52C38A9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-22.6</w:t>
                  </w:r>
                </w:p>
              </w:tc>
              <w:tc>
                <w:tcPr>
                  <w:tcW w:w="413" w:type="pct"/>
                  <w:tcBorders>
                    <w:tl2br w:val="nil"/>
                    <w:tr2bl w:val="nil"/>
                  </w:tcBorders>
                  <w:noWrap/>
                  <w:vAlign w:val="center"/>
                </w:tcPr>
                <w:p w14:paraId="7F5904C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396.2</w:t>
                  </w:r>
                </w:p>
              </w:tc>
              <w:tc>
                <w:tcPr>
                  <w:tcW w:w="453" w:type="pct"/>
                  <w:tcBorders>
                    <w:tl2br w:val="nil"/>
                    <w:tr2bl w:val="nil"/>
                  </w:tcBorders>
                  <w:noWrap/>
                  <w:vAlign w:val="center"/>
                </w:tcPr>
                <w:p w14:paraId="047A696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eastAsia="zh-CN"/>
                    </w:rPr>
                  </w:pPr>
                  <w:r>
                    <w:rPr>
                      <w:rFonts w:hint="default" w:ascii="Times New Roman" w:hAnsi="Times New Roman" w:cs="Times New Roman"/>
                      <w:color w:val="auto"/>
                      <w:kern w:val="2"/>
                      <w:sz w:val="21"/>
                      <w:szCs w:val="21"/>
                      <w:u w:val="none" w:color="auto"/>
                      <w:lang w:val="en-US" w:eastAsia="zh-CN"/>
                    </w:rPr>
                    <w:t>1.2</w:t>
                  </w:r>
                </w:p>
              </w:tc>
              <w:tc>
                <w:tcPr>
                  <w:tcW w:w="624" w:type="pct"/>
                  <w:tcBorders>
                    <w:tl2br w:val="nil"/>
                    <w:tr2bl w:val="nil"/>
                  </w:tcBorders>
                  <w:noWrap/>
                  <w:vAlign w:val="center"/>
                </w:tcPr>
                <w:p w14:paraId="7C8ECE8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default" w:ascii="Times New Roman" w:hAnsi="Times New Roman" w:cs="Times New Roman"/>
                      <w:color w:val="auto"/>
                      <w:kern w:val="2"/>
                      <w:sz w:val="21"/>
                      <w:szCs w:val="21"/>
                      <w:u w:val="none" w:color="auto"/>
                    </w:rPr>
                    <w:t>昼</w:t>
                  </w:r>
                  <w:r>
                    <w:rPr>
                      <w:rFonts w:hint="eastAsia" w:ascii="Times New Roman" w:hAnsi="Times New Roman" w:cs="Times New Roman"/>
                      <w:color w:val="auto"/>
                      <w:kern w:val="2"/>
                      <w:sz w:val="21"/>
                      <w:szCs w:val="21"/>
                      <w:u w:val="none" w:color="auto"/>
                      <w:lang w:eastAsia="zh-CN"/>
                    </w:rPr>
                    <w:t>、</w:t>
                  </w:r>
                  <w:r>
                    <w:rPr>
                      <w:rFonts w:hint="eastAsia" w:ascii="Times New Roman" w:hAnsi="Times New Roman" w:cs="Times New Roman"/>
                      <w:color w:val="auto"/>
                      <w:kern w:val="2"/>
                      <w:sz w:val="21"/>
                      <w:szCs w:val="21"/>
                      <w:u w:val="none" w:color="auto"/>
                      <w:lang w:val="en-US" w:eastAsia="zh-CN"/>
                    </w:rPr>
                    <w:t>夜</w:t>
                  </w:r>
                </w:p>
              </w:tc>
              <w:tc>
                <w:tcPr>
                  <w:tcW w:w="755" w:type="pct"/>
                  <w:tcBorders>
                    <w:tl2br w:val="nil"/>
                    <w:tr2bl w:val="nil"/>
                  </w:tcBorders>
                  <w:noWrap/>
                  <w:vAlign w:val="center"/>
                </w:tcPr>
                <w:p w14:paraId="39184AE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b w:val="0"/>
                      <w:bCs w:val="0"/>
                      <w:color w:val="auto"/>
                      <w:kern w:val="2"/>
                      <w:sz w:val="21"/>
                      <w:szCs w:val="21"/>
                      <w:u w:val="none" w:color="auto"/>
                      <w:lang w:val="en-US" w:eastAsia="zh-CN"/>
                    </w:rPr>
                    <w:t>28.8</w:t>
                  </w:r>
                </w:p>
              </w:tc>
              <w:tc>
                <w:tcPr>
                  <w:tcW w:w="1002" w:type="pct"/>
                  <w:vMerge w:val="restart"/>
                  <w:tcBorders>
                    <w:tl2br w:val="nil"/>
                    <w:tr2bl w:val="nil"/>
                  </w:tcBorders>
                  <w:noWrap/>
                  <w:vAlign w:val="center"/>
                </w:tcPr>
                <w:p w14:paraId="695E7B1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default" w:ascii="Times New Roman" w:hAnsi="Times New Roman" w:cs="Times New Roman"/>
                      <w:color w:val="auto"/>
                      <w:kern w:val="2"/>
                      <w:sz w:val="21"/>
                      <w:szCs w:val="21"/>
                      <w:u w:val="none" w:color="auto"/>
                    </w:rPr>
                    <w:t>昼</w:t>
                  </w:r>
                  <w:r>
                    <w:rPr>
                      <w:rFonts w:hint="default" w:ascii="Times New Roman" w:hAnsi="Times New Roman" w:cs="Times New Roman"/>
                      <w:color w:val="auto"/>
                      <w:kern w:val="2"/>
                      <w:sz w:val="21"/>
                      <w:szCs w:val="21"/>
                      <w:u w:val="none" w:color="auto"/>
                      <w:lang w:val="en-US" w:eastAsia="zh-CN"/>
                    </w:rPr>
                    <w:t>6</w:t>
                  </w:r>
                  <w:r>
                    <w:rPr>
                      <w:rFonts w:hint="eastAsia" w:ascii="Times New Roman" w:hAnsi="Times New Roman" w:cs="Times New Roman"/>
                      <w:color w:val="auto"/>
                      <w:kern w:val="2"/>
                      <w:sz w:val="21"/>
                      <w:szCs w:val="21"/>
                      <w:u w:val="none" w:color="auto"/>
                      <w:lang w:val="en-US" w:eastAsia="zh-CN"/>
                    </w:rPr>
                    <w:t>5、夜55</w:t>
                  </w:r>
                </w:p>
              </w:tc>
              <w:tc>
                <w:tcPr>
                  <w:tcW w:w="527" w:type="pct"/>
                  <w:tcBorders>
                    <w:tl2br w:val="nil"/>
                    <w:tr2bl w:val="nil"/>
                  </w:tcBorders>
                  <w:noWrap/>
                  <w:vAlign w:val="center"/>
                </w:tcPr>
                <w:p w14:paraId="23FC967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达标</w:t>
                  </w:r>
                </w:p>
              </w:tc>
            </w:tr>
            <w:tr w14:paraId="187D789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jc w:val="center"/>
              </w:trPr>
              <w:tc>
                <w:tcPr>
                  <w:tcW w:w="649" w:type="pct"/>
                  <w:tcBorders>
                    <w:tl2br w:val="nil"/>
                    <w:tr2bl w:val="nil"/>
                  </w:tcBorders>
                  <w:noWrap/>
                  <w:vAlign w:val="center"/>
                </w:tcPr>
                <w:p w14:paraId="7EEB867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eastAsia" w:ascii="Times New Roman" w:hAnsi="Times New Roman" w:cs="Times New Roman"/>
                      <w:color w:val="auto"/>
                      <w:kern w:val="2"/>
                      <w:sz w:val="21"/>
                      <w:szCs w:val="21"/>
                      <w:u w:val="none" w:color="auto"/>
                      <w:lang w:val="en-US" w:eastAsia="zh-CN"/>
                    </w:rPr>
                    <w:t>东北</w:t>
                  </w:r>
                  <w:r>
                    <w:rPr>
                      <w:rFonts w:hint="default" w:ascii="Times New Roman" w:hAnsi="Times New Roman" w:cs="Times New Roman"/>
                      <w:color w:val="auto"/>
                      <w:kern w:val="2"/>
                      <w:sz w:val="21"/>
                      <w:szCs w:val="21"/>
                      <w:u w:val="none" w:color="auto"/>
                    </w:rPr>
                    <w:t>厂界</w:t>
                  </w:r>
                </w:p>
              </w:tc>
              <w:tc>
                <w:tcPr>
                  <w:tcW w:w="573" w:type="pct"/>
                  <w:tcBorders>
                    <w:tl2br w:val="nil"/>
                    <w:tr2bl w:val="nil"/>
                  </w:tcBorders>
                  <w:noWrap/>
                  <w:vAlign w:val="center"/>
                </w:tcPr>
                <w:p w14:paraId="143D35E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173.5</w:t>
                  </w:r>
                </w:p>
              </w:tc>
              <w:tc>
                <w:tcPr>
                  <w:tcW w:w="413" w:type="pct"/>
                  <w:tcBorders>
                    <w:tl2br w:val="nil"/>
                    <w:tr2bl w:val="nil"/>
                  </w:tcBorders>
                  <w:noWrap/>
                  <w:vAlign w:val="center"/>
                </w:tcPr>
                <w:p w14:paraId="5A97DF0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370.4</w:t>
                  </w:r>
                </w:p>
              </w:tc>
              <w:tc>
                <w:tcPr>
                  <w:tcW w:w="453" w:type="pct"/>
                  <w:tcBorders>
                    <w:tl2br w:val="nil"/>
                    <w:tr2bl w:val="nil"/>
                  </w:tcBorders>
                  <w:noWrap/>
                  <w:vAlign w:val="center"/>
                </w:tcPr>
                <w:p w14:paraId="266B9A9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eastAsia="zh-CN"/>
                    </w:rPr>
                  </w:pPr>
                  <w:r>
                    <w:rPr>
                      <w:rFonts w:hint="default" w:ascii="Times New Roman" w:hAnsi="Times New Roman" w:cs="Times New Roman"/>
                      <w:color w:val="auto"/>
                      <w:kern w:val="2"/>
                      <w:sz w:val="21"/>
                      <w:szCs w:val="21"/>
                      <w:u w:val="none" w:color="auto"/>
                      <w:lang w:val="en-US" w:eastAsia="zh-CN"/>
                    </w:rPr>
                    <w:t>1.2</w:t>
                  </w:r>
                </w:p>
              </w:tc>
              <w:tc>
                <w:tcPr>
                  <w:tcW w:w="624" w:type="pct"/>
                  <w:tcBorders>
                    <w:tl2br w:val="nil"/>
                    <w:tr2bl w:val="nil"/>
                  </w:tcBorders>
                  <w:noWrap/>
                  <w:vAlign w:val="center"/>
                </w:tcPr>
                <w:p w14:paraId="29F3D42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default" w:ascii="Times New Roman" w:hAnsi="Times New Roman" w:cs="Times New Roman"/>
                      <w:color w:val="auto"/>
                      <w:kern w:val="2"/>
                      <w:sz w:val="21"/>
                      <w:szCs w:val="21"/>
                      <w:u w:val="none" w:color="auto"/>
                    </w:rPr>
                    <w:t>昼</w:t>
                  </w:r>
                  <w:r>
                    <w:rPr>
                      <w:rFonts w:hint="eastAsia" w:ascii="Times New Roman" w:hAnsi="Times New Roman" w:cs="Times New Roman"/>
                      <w:color w:val="auto"/>
                      <w:kern w:val="2"/>
                      <w:sz w:val="21"/>
                      <w:szCs w:val="21"/>
                      <w:u w:val="none" w:color="auto"/>
                      <w:lang w:eastAsia="zh-CN"/>
                    </w:rPr>
                    <w:t>、</w:t>
                  </w:r>
                  <w:r>
                    <w:rPr>
                      <w:rFonts w:hint="eastAsia" w:ascii="Times New Roman" w:hAnsi="Times New Roman" w:cs="Times New Roman"/>
                      <w:color w:val="auto"/>
                      <w:kern w:val="2"/>
                      <w:sz w:val="21"/>
                      <w:szCs w:val="21"/>
                      <w:u w:val="none" w:color="auto"/>
                      <w:lang w:val="en-US" w:eastAsia="zh-CN"/>
                    </w:rPr>
                    <w:t>夜</w:t>
                  </w:r>
                </w:p>
              </w:tc>
              <w:tc>
                <w:tcPr>
                  <w:tcW w:w="755" w:type="pct"/>
                  <w:tcBorders>
                    <w:tl2br w:val="nil"/>
                    <w:tr2bl w:val="nil"/>
                  </w:tcBorders>
                  <w:noWrap/>
                  <w:vAlign w:val="center"/>
                </w:tcPr>
                <w:p w14:paraId="560DA4A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34.5</w:t>
                  </w:r>
                </w:p>
              </w:tc>
              <w:tc>
                <w:tcPr>
                  <w:tcW w:w="1002" w:type="pct"/>
                  <w:vMerge w:val="continue"/>
                  <w:tcBorders>
                    <w:tl2br w:val="nil"/>
                    <w:tr2bl w:val="nil"/>
                  </w:tcBorders>
                  <w:noWrap/>
                  <w:vAlign w:val="center"/>
                </w:tcPr>
                <w:p w14:paraId="0DE176A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527" w:type="pct"/>
                  <w:tcBorders>
                    <w:tl2br w:val="nil"/>
                    <w:tr2bl w:val="nil"/>
                  </w:tcBorders>
                  <w:noWrap/>
                  <w:vAlign w:val="center"/>
                </w:tcPr>
                <w:p w14:paraId="24BE8C8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达标</w:t>
                  </w:r>
                </w:p>
              </w:tc>
            </w:tr>
            <w:tr w14:paraId="1F4E913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jc w:val="center"/>
              </w:trPr>
              <w:tc>
                <w:tcPr>
                  <w:tcW w:w="649" w:type="pct"/>
                  <w:tcBorders>
                    <w:tl2br w:val="nil"/>
                    <w:tr2bl w:val="nil"/>
                  </w:tcBorders>
                  <w:noWrap/>
                  <w:vAlign w:val="center"/>
                </w:tcPr>
                <w:p w14:paraId="031E096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eastAsia" w:ascii="Times New Roman" w:hAnsi="Times New Roman" w:cs="Times New Roman"/>
                      <w:color w:val="auto"/>
                      <w:kern w:val="2"/>
                      <w:sz w:val="21"/>
                      <w:szCs w:val="21"/>
                      <w:u w:val="none" w:color="auto"/>
                      <w:lang w:val="en-US" w:eastAsia="zh-CN"/>
                    </w:rPr>
                    <w:t>东南</w:t>
                  </w:r>
                  <w:r>
                    <w:rPr>
                      <w:rFonts w:hint="default" w:ascii="Times New Roman" w:hAnsi="Times New Roman" w:cs="Times New Roman"/>
                      <w:color w:val="auto"/>
                      <w:kern w:val="2"/>
                      <w:sz w:val="21"/>
                      <w:szCs w:val="21"/>
                      <w:u w:val="none" w:color="auto"/>
                    </w:rPr>
                    <w:t>厂界</w:t>
                  </w:r>
                </w:p>
              </w:tc>
              <w:tc>
                <w:tcPr>
                  <w:tcW w:w="573" w:type="pct"/>
                  <w:tcBorders>
                    <w:tl2br w:val="nil"/>
                    <w:tr2bl w:val="nil"/>
                  </w:tcBorders>
                  <w:noWrap/>
                  <w:vAlign w:val="center"/>
                </w:tcPr>
                <w:p w14:paraId="777674E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174.9</w:t>
                  </w:r>
                </w:p>
              </w:tc>
              <w:tc>
                <w:tcPr>
                  <w:tcW w:w="413" w:type="pct"/>
                  <w:tcBorders>
                    <w:tl2br w:val="nil"/>
                    <w:tr2bl w:val="nil"/>
                  </w:tcBorders>
                  <w:noWrap/>
                  <w:vAlign w:val="center"/>
                </w:tcPr>
                <w:p w14:paraId="35EF9D8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189.6</w:t>
                  </w:r>
                </w:p>
              </w:tc>
              <w:tc>
                <w:tcPr>
                  <w:tcW w:w="453" w:type="pct"/>
                  <w:tcBorders>
                    <w:tl2br w:val="nil"/>
                    <w:tr2bl w:val="nil"/>
                  </w:tcBorders>
                  <w:noWrap/>
                  <w:vAlign w:val="center"/>
                </w:tcPr>
                <w:p w14:paraId="1A3C952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eastAsia="zh-CN"/>
                    </w:rPr>
                  </w:pPr>
                  <w:r>
                    <w:rPr>
                      <w:rFonts w:hint="default" w:ascii="Times New Roman" w:hAnsi="Times New Roman" w:cs="Times New Roman"/>
                      <w:color w:val="auto"/>
                      <w:kern w:val="2"/>
                      <w:sz w:val="21"/>
                      <w:szCs w:val="21"/>
                      <w:u w:val="none" w:color="auto"/>
                      <w:lang w:val="en-US" w:eastAsia="zh-CN"/>
                    </w:rPr>
                    <w:t>1.2</w:t>
                  </w:r>
                </w:p>
              </w:tc>
              <w:tc>
                <w:tcPr>
                  <w:tcW w:w="624" w:type="pct"/>
                  <w:tcBorders>
                    <w:tl2br w:val="nil"/>
                    <w:tr2bl w:val="nil"/>
                  </w:tcBorders>
                  <w:noWrap/>
                  <w:vAlign w:val="center"/>
                </w:tcPr>
                <w:p w14:paraId="3A50AFB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default" w:ascii="Times New Roman" w:hAnsi="Times New Roman" w:cs="Times New Roman"/>
                      <w:color w:val="auto"/>
                      <w:kern w:val="2"/>
                      <w:sz w:val="21"/>
                      <w:szCs w:val="21"/>
                      <w:u w:val="none" w:color="auto"/>
                    </w:rPr>
                    <w:t>昼</w:t>
                  </w:r>
                  <w:r>
                    <w:rPr>
                      <w:rFonts w:hint="eastAsia" w:ascii="Times New Roman" w:hAnsi="Times New Roman" w:cs="Times New Roman"/>
                      <w:color w:val="auto"/>
                      <w:kern w:val="2"/>
                      <w:sz w:val="21"/>
                      <w:szCs w:val="21"/>
                      <w:u w:val="none" w:color="auto"/>
                      <w:lang w:eastAsia="zh-CN"/>
                    </w:rPr>
                    <w:t>、</w:t>
                  </w:r>
                  <w:r>
                    <w:rPr>
                      <w:rFonts w:hint="eastAsia" w:ascii="Times New Roman" w:hAnsi="Times New Roman" w:cs="Times New Roman"/>
                      <w:color w:val="auto"/>
                      <w:kern w:val="2"/>
                      <w:sz w:val="21"/>
                      <w:szCs w:val="21"/>
                      <w:u w:val="none" w:color="auto"/>
                      <w:lang w:val="en-US" w:eastAsia="zh-CN"/>
                    </w:rPr>
                    <w:t>夜</w:t>
                  </w:r>
                </w:p>
              </w:tc>
              <w:tc>
                <w:tcPr>
                  <w:tcW w:w="755" w:type="pct"/>
                  <w:tcBorders>
                    <w:tl2br w:val="nil"/>
                    <w:tr2bl w:val="nil"/>
                  </w:tcBorders>
                  <w:noWrap/>
                  <w:vAlign w:val="center"/>
                </w:tcPr>
                <w:p w14:paraId="46A742A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34.5</w:t>
                  </w:r>
                </w:p>
              </w:tc>
              <w:tc>
                <w:tcPr>
                  <w:tcW w:w="1002" w:type="pct"/>
                  <w:vMerge w:val="continue"/>
                  <w:tcBorders>
                    <w:tl2br w:val="nil"/>
                    <w:tr2bl w:val="nil"/>
                  </w:tcBorders>
                  <w:noWrap/>
                  <w:vAlign w:val="center"/>
                </w:tcPr>
                <w:p w14:paraId="5E73193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527" w:type="pct"/>
                  <w:tcBorders>
                    <w:tl2br w:val="nil"/>
                    <w:tr2bl w:val="nil"/>
                  </w:tcBorders>
                  <w:noWrap/>
                  <w:vAlign w:val="center"/>
                </w:tcPr>
                <w:p w14:paraId="3C7F3F8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达标</w:t>
                  </w:r>
                </w:p>
              </w:tc>
            </w:tr>
            <w:tr w14:paraId="720432D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jc w:val="center"/>
              </w:trPr>
              <w:tc>
                <w:tcPr>
                  <w:tcW w:w="649" w:type="pct"/>
                  <w:tcBorders>
                    <w:tl2br w:val="nil"/>
                    <w:tr2bl w:val="nil"/>
                  </w:tcBorders>
                  <w:noWrap/>
                  <w:vAlign w:val="center"/>
                </w:tcPr>
                <w:p w14:paraId="41D88CC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eastAsia" w:ascii="Times New Roman" w:hAnsi="Times New Roman" w:cs="Times New Roman"/>
                      <w:color w:val="auto"/>
                      <w:kern w:val="2"/>
                      <w:sz w:val="21"/>
                      <w:szCs w:val="21"/>
                      <w:u w:val="none" w:color="auto"/>
                      <w:lang w:val="en-US" w:eastAsia="zh-CN"/>
                    </w:rPr>
                    <w:t>西南</w:t>
                  </w:r>
                  <w:r>
                    <w:rPr>
                      <w:rFonts w:hint="default" w:ascii="Times New Roman" w:hAnsi="Times New Roman" w:cs="Times New Roman"/>
                      <w:color w:val="auto"/>
                      <w:kern w:val="2"/>
                      <w:sz w:val="21"/>
                      <w:szCs w:val="21"/>
                      <w:u w:val="none" w:color="auto"/>
                    </w:rPr>
                    <w:t>厂界</w:t>
                  </w:r>
                </w:p>
              </w:tc>
              <w:tc>
                <w:tcPr>
                  <w:tcW w:w="573" w:type="pct"/>
                  <w:tcBorders>
                    <w:tl2br w:val="nil"/>
                    <w:tr2bl w:val="nil"/>
                  </w:tcBorders>
                  <w:noWrap/>
                  <w:vAlign w:val="center"/>
                </w:tcPr>
                <w:p w14:paraId="5209B7A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-109.7</w:t>
                  </w:r>
                </w:p>
              </w:tc>
              <w:tc>
                <w:tcPr>
                  <w:tcW w:w="413" w:type="pct"/>
                  <w:tcBorders>
                    <w:tl2br w:val="nil"/>
                    <w:tr2bl w:val="nil"/>
                  </w:tcBorders>
                  <w:noWrap/>
                  <w:vAlign w:val="center"/>
                </w:tcPr>
                <w:p w14:paraId="180DD01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eastAsia="zh-CN"/>
                    </w:rPr>
                  </w:pPr>
                  <w:r>
                    <w:rPr>
                      <w:rFonts w:hint="eastAsia" w:ascii="Times New Roman" w:hAnsi="Times New Roman" w:cs="Times New Roman"/>
                      <w:color w:val="auto"/>
                      <w:kern w:val="2"/>
                      <w:sz w:val="21"/>
                      <w:szCs w:val="21"/>
                      <w:u w:val="none" w:color="auto"/>
                      <w:lang w:val="en-US" w:eastAsia="zh-CN"/>
                    </w:rPr>
                    <w:t>249.5</w:t>
                  </w:r>
                </w:p>
              </w:tc>
              <w:tc>
                <w:tcPr>
                  <w:tcW w:w="453" w:type="pct"/>
                  <w:tcBorders>
                    <w:tl2br w:val="nil"/>
                    <w:tr2bl w:val="nil"/>
                  </w:tcBorders>
                  <w:noWrap/>
                  <w:vAlign w:val="center"/>
                </w:tcPr>
                <w:p w14:paraId="5D4F176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eastAsia="zh-CN"/>
                    </w:rPr>
                  </w:pPr>
                  <w:r>
                    <w:rPr>
                      <w:rFonts w:hint="default" w:ascii="Times New Roman" w:hAnsi="Times New Roman" w:cs="Times New Roman"/>
                      <w:color w:val="auto"/>
                      <w:kern w:val="2"/>
                      <w:sz w:val="21"/>
                      <w:szCs w:val="21"/>
                      <w:u w:val="none" w:color="auto"/>
                      <w:lang w:val="en-US" w:eastAsia="zh-CN"/>
                    </w:rPr>
                    <w:t>1.2</w:t>
                  </w:r>
                </w:p>
              </w:tc>
              <w:tc>
                <w:tcPr>
                  <w:tcW w:w="624" w:type="pct"/>
                  <w:tcBorders>
                    <w:tl2br w:val="nil"/>
                    <w:tr2bl w:val="nil"/>
                  </w:tcBorders>
                  <w:noWrap/>
                  <w:vAlign w:val="center"/>
                </w:tcPr>
                <w:p w14:paraId="64B03EF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default" w:ascii="Times New Roman" w:hAnsi="Times New Roman" w:cs="Times New Roman"/>
                      <w:color w:val="auto"/>
                      <w:kern w:val="2"/>
                      <w:sz w:val="21"/>
                      <w:szCs w:val="21"/>
                      <w:u w:val="none" w:color="auto"/>
                    </w:rPr>
                    <w:t>昼</w:t>
                  </w:r>
                  <w:r>
                    <w:rPr>
                      <w:rFonts w:hint="eastAsia" w:ascii="Times New Roman" w:hAnsi="Times New Roman" w:cs="Times New Roman"/>
                      <w:color w:val="auto"/>
                      <w:kern w:val="2"/>
                      <w:sz w:val="21"/>
                      <w:szCs w:val="21"/>
                      <w:u w:val="none" w:color="auto"/>
                      <w:lang w:eastAsia="zh-CN"/>
                    </w:rPr>
                    <w:t>、</w:t>
                  </w:r>
                  <w:r>
                    <w:rPr>
                      <w:rFonts w:hint="eastAsia" w:ascii="Times New Roman" w:hAnsi="Times New Roman" w:cs="Times New Roman"/>
                      <w:color w:val="auto"/>
                      <w:kern w:val="2"/>
                      <w:sz w:val="21"/>
                      <w:szCs w:val="21"/>
                      <w:u w:val="none" w:color="auto"/>
                      <w:lang w:val="en-US" w:eastAsia="zh-CN"/>
                    </w:rPr>
                    <w:t>夜</w:t>
                  </w:r>
                </w:p>
              </w:tc>
              <w:tc>
                <w:tcPr>
                  <w:tcW w:w="755" w:type="pct"/>
                  <w:tcBorders>
                    <w:tl2br w:val="nil"/>
                    <w:tr2bl w:val="nil"/>
                  </w:tcBorders>
                  <w:noWrap/>
                  <w:vAlign w:val="center"/>
                </w:tcPr>
                <w:p w14:paraId="2C1D59B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eastAsia" w:ascii="Times New Roman" w:hAnsi="Times New Roman" w:cs="Times New Roman"/>
                      <w:i w:val="0"/>
                      <w:iCs w:val="0"/>
                      <w:color w:val="auto"/>
                      <w:kern w:val="0"/>
                      <w:sz w:val="21"/>
                      <w:szCs w:val="21"/>
                      <w:u w:val="none" w:color="auto"/>
                      <w:lang w:val="en-US" w:eastAsia="zh-CN" w:bidi="ar"/>
                    </w:rPr>
                    <w:t>26.7</w:t>
                  </w:r>
                </w:p>
              </w:tc>
              <w:tc>
                <w:tcPr>
                  <w:tcW w:w="1002" w:type="pct"/>
                  <w:vMerge w:val="continue"/>
                  <w:tcBorders>
                    <w:tl2br w:val="nil"/>
                    <w:tr2bl w:val="nil"/>
                  </w:tcBorders>
                  <w:noWrap/>
                  <w:vAlign w:val="center"/>
                </w:tcPr>
                <w:p w14:paraId="5960E0A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p>
              </w:tc>
              <w:tc>
                <w:tcPr>
                  <w:tcW w:w="527" w:type="pct"/>
                  <w:tcBorders>
                    <w:tl2br w:val="nil"/>
                    <w:tr2bl w:val="nil"/>
                  </w:tcBorders>
                  <w:noWrap/>
                  <w:vAlign w:val="center"/>
                </w:tcPr>
                <w:p w14:paraId="4CE2FCD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达标</w:t>
                  </w:r>
                </w:p>
              </w:tc>
            </w:tr>
            <w:tr w14:paraId="1F9F3CE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jc w:val="center"/>
              </w:trPr>
              <w:tc>
                <w:tcPr>
                  <w:tcW w:w="5000" w:type="pct"/>
                  <w:gridSpan w:val="8"/>
                  <w:tcBorders>
                    <w:tl2br w:val="nil"/>
                    <w:tr2bl w:val="nil"/>
                  </w:tcBorders>
                  <w:noWrap/>
                  <w:vAlign w:val="center"/>
                </w:tcPr>
                <w:p w14:paraId="247D7299">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szCs w:val="21"/>
                      <w:u w:val="none" w:color="auto"/>
                    </w:rPr>
                  </w:pPr>
                  <w:r>
                    <w:rPr>
                      <w:rFonts w:hint="default" w:ascii="Times New Roman" w:hAnsi="Times New Roman" w:cs="Times New Roman"/>
                      <w:b w:val="0"/>
                      <w:bCs w:val="0"/>
                      <w:color w:val="auto"/>
                      <w:kern w:val="2"/>
                      <w:sz w:val="21"/>
                      <w:szCs w:val="21"/>
                      <w:u w:val="none" w:color="auto"/>
                    </w:rPr>
                    <w:t>注：以</w:t>
                  </w:r>
                  <w:r>
                    <w:rPr>
                      <w:rFonts w:hint="default" w:ascii="Times New Roman" w:hAnsi="Times New Roman" w:cs="Times New Roman"/>
                      <w:b w:val="0"/>
                      <w:bCs w:val="0"/>
                      <w:color w:val="auto"/>
                      <w:kern w:val="2"/>
                      <w:sz w:val="21"/>
                      <w:szCs w:val="21"/>
                      <w:u w:val="none" w:color="auto"/>
                      <w:lang w:val="en-US" w:eastAsia="zh-CN"/>
                    </w:rPr>
                    <w:t>生产</w:t>
                  </w:r>
                  <w:r>
                    <w:rPr>
                      <w:rFonts w:hint="default" w:ascii="Times New Roman" w:hAnsi="Times New Roman" w:cs="Times New Roman"/>
                      <w:b w:val="0"/>
                      <w:bCs w:val="0"/>
                      <w:color w:val="auto"/>
                      <w:kern w:val="2"/>
                      <w:sz w:val="21"/>
                      <w:szCs w:val="21"/>
                      <w:u w:val="none" w:color="auto"/>
                    </w:rPr>
                    <w:t>厂房</w:t>
                  </w:r>
                  <w:r>
                    <w:rPr>
                      <w:rFonts w:hint="eastAsia" w:ascii="Times New Roman" w:hAnsi="Times New Roman" w:cs="Times New Roman"/>
                      <w:b w:val="0"/>
                      <w:bCs w:val="0"/>
                      <w:color w:val="auto"/>
                      <w:kern w:val="2"/>
                      <w:sz w:val="21"/>
                      <w:szCs w:val="21"/>
                      <w:u w:val="none" w:color="auto"/>
                      <w:lang w:val="en-US" w:eastAsia="zh-CN"/>
                    </w:rPr>
                    <w:t>南</w:t>
                  </w:r>
                  <w:r>
                    <w:rPr>
                      <w:rFonts w:hint="default" w:ascii="Times New Roman" w:hAnsi="Times New Roman" w:cs="Times New Roman"/>
                      <w:b w:val="0"/>
                      <w:bCs w:val="0"/>
                      <w:color w:val="auto"/>
                      <w:kern w:val="2"/>
                      <w:sz w:val="21"/>
                      <w:szCs w:val="21"/>
                      <w:u w:val="none" w:color="auto"/>
                    </w:rPr>
                    <w:t>角为中心（0,0,0）</w:t>
                  </w:r>
                </w:p>
              </w:tc>
            </w:tr>
          </w:tbl>
          <w:p w14:paraId="19E669CA">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由以上预测结果可知，正常工况下，厂区内各声源经所在的构筑物围护结构的屏蔽效应、距离衰减以及绿化带吸音隔音后，项目东、南、西、北侧厂界昼间和夜间噪声贡献值均满足《工业企业厂界环境噪声排放标准》（GB12348-2008）中的</w:t>
            </w:r>
            <w:r>
              <w:rPr>
                <w:rFonts w:hint="eastAsia" w:cs="Times New Roman"/>
                <w:color w:val="auto"/>
                <w:szCs w:val="24"/>
                <w:u w:val="none" w:color="auto"/>
                <w:lang w:val="en-US" w:eastAsia="zh-CN"/>
              </w:rPr>
              <w:t>3</w:t>
            </w:r>
            <w:r>
              <w:rPr>
                <w:rFonts w:hint="default" w:ascii="Times New Roman" w:hAnsi="Times New Roman" w:cs="Times New Roman"/>
                <w:color w:val="auto"/>
                <w:szCs w:val="24"/>
                <w:u w:val="none" w:color="auto"/>
              </w:rPr>
              <w:t>类标准限值要求。</w:t>
            </w:r>
          </w:p>
          <w:p w14:paraId="19C11D03">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3.3噪声污染防治措施</w:t>
            </w:r>
          </w:p>
          <w:p w14:paraId="3C7712FC">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为了更好地降低噪声对周围环境的影响，加强噪声防治工作，建设单位应采取以下措施：</w:t>
            </w:r>
          </w:p>
          <w:p w14:paraId="548A1529">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①尽量选用低噪声设备，做好设备保养，保持设备运行良好；</w:t>
            </w:r>
          </w:p>
          <w:p w14:paraId="5E1E450D">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②落实高噪声设备的减振、隔声措施；</w:t>
            </w:r>
          </w:p>
          <w:p w14:paraId="7E392B09">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③生产车间全封闭处理，同时选用低噪声、低能耗、低排放并满足环境保护标准的生产、运输、泵送等设备，对一些因空气动力而产生的噪声，如风机等，要在气流进出口上加装消声器；</w:t>
            </w:r>
          </w:p>
          <w:p w14:paraId="13227CA1">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④加强员工培训，实施精细化生产，所有零部件及设备均需轻拿轻放，避免偶发噪声产生；</w:t>
            </w:r>
          </w:p>
          <w:p w14:paraId="4B44D4DC">
            <w:pPr>
              <w:pStyle w:val="403"/>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Cs w:val="24"/>
                <w:u w:val="none" w:color="auto"/>
              </w:rPr>
            </w:pPr>
            <w:r>
              <w:rPr>
                <w:rFonts w:hint="default" w:ascii="Times New Roman" w:hAnsi="Times New Roman" w:cs="Times New Roman"/>
                <w:color w:val="auto"/>
                <w:szCs w:val="24"/>
                <w:u w:val="none" w:color="auto"/>
              </w:rPr>
              <w:t>⑤高噪声设备的操作人员，操作时应佩戴防护头盔或耳套，加强厂区绿化，既能美化环境，也对噪声具有一定的吸纳作用。</w:t>
            </w:r>
          </w:p>
          <w:p w14:paraId="25722F20">
            <w:pPr>
              <w:keepNext w:val="0"/>
              <w:keepLines w:val="0"/>
              <w:widowControl/>
              <w:suppressLineNumbers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0"/>
                <w:sz w:val="24"/>
                <w:szCs w:val="24"/>
                <w:u w:val="none" w:color="auto"/>
                <w:lang w:val="en-US" w:eastAsia="zh-CN" w:bidi="ar-SA"/>
              </w:rPr>
            </w:pPr>
            <w:r>
              <w:rPr>
                <w:rFonts w:hint="default" w:ascii="Times New Roman" w:hAnsi="Times New Roman" w:eastAsia="宋体" w:cs="Times New Roman"/>
                <w:color w:val="auto"/>
                <w:kern w:val="0"/>
                <w:sz w:val="24"/>
                <w:szCs w:val="24"/>
                <w:u w:val="none" w:color="auto"/>
                <w:lang w:val="en-US" w:eastAsia="zh-CN" w:bidi="ar-SA"/>
              </w:rPr>
              <w:t>经落实上述措施后，项目厂界噪声可达到《工业企业厂界环境噪声排放标准》</w:t>
            </w:r>
            <w:r>
              <w:rPr>
                <w:rFonts w:hint="eastAsia" w:ascii="Times New Roman" w:hAnsi="Times New Roman" w:cs="Times New Roman"/>
                <w:color w:val="auto"/>
                <w:kern w:val="0"/>
                <w:sz w:val="24"/>
                <w:szCs w:val="24"/>
                <w:u w:val="none" w:color="auto"/>
                <w:lang w:val="en-US" w:eastAsia="zh-CN" w:bidi="ar-SA"/>
              </w:rPr>
              <w:t>3</w:t>
            </w:r>
            <w:r>
              <w:rPr>
                <w:rFonts w:hint="default" w:ascii="Times New Roman" w:hAnsi="Times New Roman" w:eastAsia="宋体" w:cs="Times New Roman"/>
                <w:color w:val="auto"/>
                <w:kern w:val="0"/>
                <w:sz w:val="24"/>
                <w:szCs w:val="24"/>
                <w:u w:val="none" w:color="auto"/>
                <w:lang w:val="en-US" w:eastAsia="zh-CN" w:bidi="ar-SA"/>
              </w:rPr>
              <w:t>类标准，项目运营期间排放噪声对周边声环境影响在可接受范围内。</w:t>
            </w:r>
          </w:p>
          <w:p w14:paraId="52531475">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3.4</w:t>
            </w:r>
            <w:r>
              <w:rPr>
                <w:rFonts w:hint="default" w:ascii="Times New Roman" w:hAnsi="Times New Roman" w:eastAsia="宋体" w:cs="Times New Roman"/>
                <w:b/>
                <w:bCs/>
                <w:color w:val="auto"/>
                <w:sz w:val="24"/>
                <w:szCs w:val="24"/>
                <w:highlight w:val="none"/>
                <w:lang w:val="en-US" w:eastAsia="zh-CN"/>
              </w:rPr>
              <w:t>噪声监测计划</w:t>
            </w:r>
          </w:p>
          <w:p w14:paraId="336D196E">
            <w:pPr>
              <w:keepNext w:val="0"/>
              <w:keepLines w:val="0"/>
              <w:numPr>
                <w:ilvl w:val="0"/>
                <w:numId w:val="0"/>
              </w:numPr>
              <w:suppressLineNumbers w:val="0"/>
              <w:spacing w:before="0" w:beforeAutospacing="0" w:after="0" w:afterAutospacing="0"/>
              <w:ind w:left="0" w:right="0" w:firstLine="480" w:firstLineChars="200"/>
              <w:jc w:val="both"/>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根据《排污单位自行监测技术指南 总则》（H819-2017），制定本项目噪声监测计划如下。</w:t>
            </w:r>
          </w:p>
          <w:p w14:paraId="4F1BF2B5">
            <w:pPr>
              <w:pStyle w:val="403"/>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sz w:val="21"/>
                <w:szCs w:val="21"/>
                <w:u w:val="none" w:color="auto"/>
                <w:lang w:val="en-US" w:eastAsia="zh-CN"/>
              </w:rPr>
            </w:pPr>
            <w:r>
              <w:rPr>
                <w:rFonts w:hint="default" w:ascii="Times New Roman" w:hAnsi="Times New Roman" w:eastAsia="宋体" w:cs="Times New Roman"/>
                <w:b/>
                <w:color w:val="auto"/>
                <w:sz w:val="21"/>
                <w:szCs w:val="21"/>
                <w:u w:val="none" w:color="auto"/>
                <w:lang w:val="en-US" w:eastAsia="zh-CN"/>
              </w:rPr>
              <w:t>表4-</w:t>
            </w:r>
            <w:r>
              <w:rPr>
                <w:rFonts w:hint="eastAsia" w:ascii="Times New Roman" w:hAnsi="Times New Roman" w:eastAsia="宋体" w:cs="Times New Roman"/>
                <w:b/>
                <w:color w:val="auto"/>
                <w:sz w:val="21"/>
                <w:szCs w:val="21"/>
                <w:u w:val="none" w:color="auto"/>
                <w:lang w:val="en-US" w:eastAsia="zh-CN"/>
              </w:rPr>
              <w:t>20</w:t>
            </w:r>
            <w:r>
              <w:rPr>
                <w:rFonts w:hint="default" w:ascii="Times New Roman" w:hAnsi="Times New Roman" w:eastAsia="宋体" w:cs="Times New Roman"/>
                <w:b/>
                <w:color w:val="auto"/>
                <w:sz w:val="21"/>
                <w:szCs w:val="21"/>
                <w:u w:val="none" w:color="auto"/>
                <w:lang w:val="en-US" w:eastAsia="zh-CN"/>
              </w:rPr>
              <w:t xml:space="preserve"> </w:t>
            </w:r>
            <w:r>
              <w:rPr>
                <w:rFonts w:hint="eastAsia" w:ascii="Times New Roman" w:hAnsi="Times New Roman" w:eastAsia="宋体" w:cs="Times New Roman"/>
                <w:b/>
                <w:color w:val="auto"/>
                <w:sz w:val="21"/>
                <w:szCs w:val="21"/>
                <w:u w:val="none" w:color="auto"/>
                <w:lang w:val="en-US" w:eastAsia="zh-CN"/>
              </w:rPr>
              <w:t xml:space="preserve"> </w:t>
            </w:r>
            <w:r>
              <w:rPr>
                <w:rFonts w:hint="default" w:ascii="Times New Roman" w:hAnsi="Times New Roman" w:eastAsia="宋体" w:cs="Times New Roman"/>
                <w:b/>
                <w:color w:val="auto"/>
                <w:sz w:val="21"/>
                <w:szCs w:val="21"/>
                <w:u w:val="none" w:color="auto"/>
                <w:lang w:val="en-US" w:eastAsia="zh-CN"/>
              </w:rPr>
              <w:t>噪声监测计划</w:t>
            </w:r>
          </w:p>
          <w:tbl>
            <w:tblPr>
              <w:tblStyle w:val="56"/>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078"/>
              <w:gridCol w:w="1738"/>
              <w:gridCol w:w="1715"/>
              <w:gridCol w:w="3752"/>
            </w:tblGrid>
            <w:tr w14:paraId="2BF563D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40" w:hRule="atLeast"/>
                <w:jc w:val="center"/>
              </w:trPr>
              <w:tc>
                <w:tcPr>
                  <w:tcW w:w="1110" w:type="dxa"/>
                  <w:tcBorders>
                    <w:tl2br w:val="nil"/>
                    <w:tr2bl w:val="nil"/>
                  </w:tcBorders>
                  <w:noWrap w:val="0"/>
                  <w:vAlign w:val="center"/>
                </w:tcPr>
                <w:p w14:paraId="1DB79A6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u w:val="none" w:color="auto"/>
                      <w:lang w:val="en-US" w:eastAsia="zh-CN"/>
                    </w:rPr>
                  </w:pPr>
                  <w:r>
                    <w:rPr>
                      <w:rFonts w:hint="default" w:ascii="Times New Roman" w:hAnsi="Times New Roman" w:eastAsia="宋体" w:cs="Times New Roman"/>
                      <w:b/>
                      <w:bCs/>
                      <w:color w:val="auto"/>
                      <w:kern w:val="2"/>
                      <w:sz w:val="21"/>
                      <w:szCs w:val="21"/>
                      <w:u w:val="none" w:color="auto"/>
                      <w:lang w:val="en-US" w:eastAsia="zh-CN"/>
                    </w:rPr>
                    <w:t>监测点位</w:t>
                  </w:r>
                </w:p>
              </w:tc>
              <w:tc>
                <w:tcPr>
                  <w:tcW w:w="1800" w:type="dxa"/>
                  <w:tcBorders>
                    <w:tl2br w:val="nil"/>
                    <w:tr2bl w:val="nil"/>
                  </w:tcBorders>
                  <w:noWrap w:val="0"/>
                  <w:vAlign w:val="center"/>
                </w:tcPr>
                <w:p w14:paraId="55C28F2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u w:val="none" w:color="auto"/>
                      <w:lang w:val="en-US" w:eastAsia="zh-CN"/>
                    </w:rPr>
                  </w:pPr>
                  <w:r>
                    <w:rPr>
                      <w:rFonts w:hint="default" w:ascii="Times New Roman" w:hAnsi="Times New Roman" w:eastAsia="宋体" w:cs="Times New Roman"/>
                      <w:b/>
                      <w:bCs/>
                      <w:color w:val="auto"/>
                      <w:kern w:val="2"/>
                      <w:sz w:val="21"/>
                      <w:szCs w:val="21"/>
                      <w:u w:val="none" w:color="auto"/>
                      <w:lang w:val="en-US" w:eastAsia="zh-CN"/>
                    </w:rPr>
                    <w:t>监测项目</w:t>
                  </w:r>
                </w:p>
              </w:tc>
              <w:tc>
                <w:tcPr>
                  <w:tcW w:w="1775" w:type="dxa"/>
                  <w:tcBorders>
                    <w:tl2br w:val="nil"/>
                    <w:tr2bl w:val="nil"/>
                  </w:tcBorders>
                  <w:noWrap w:val="0"/>
                  <w:vAlign w:val="center"/>
                </w:tcPr>
                <w:p w14:paraId="2D00370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u w:val="none" w:color="auto"/>
                      <w:lang w:val="en-US" w:eastAsia="zh-CN"/>
                    </w:rPr>
                  </w:pPr>
                  <w:r>
                    <w:rPr>
                      <w:rFonts w:hint="default" w:ascii="Times New Roman" w:hAnsi="Times New Roman" w:eastAsia="宋体" w:cs="Times New Roman"/>
                      <w:b/>
                      <w:bCs/>
                      <w:color w:val="auto"/>
                      <w:kern w:val="2"/>
                      <w:sz w:val="21"/>
                      <w:szCs w:val="21"/>
                      <w:u w:val="none" w:color="auto"/>
                      <w:lang w:val="en-US" w:eastAsia="zh-CN"/>
                    </w:rPr>
                    <w:t>监测频次</w:t>
                  </w:r>
                </w:p>
              </w:tc>
              <w:tc>
                <w:tcPr>
                  <w:tcW w:w="3901" w:type="dxa"/>
                  <w:tcBorders>
                    <w:tl2br w:val="nil"/>
                    <w:tr2bl w:val="nil"/>
                  </w:tcBorders>
                  <w:noWrap w:val="0"/>
                  <w:vAlign w:val="center"/>
                </w:tcPr>
                <w:p w14:paraId="6A9C0BD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u w:val="none" w:color="auto"/>
                      <w:lang w:val="en-US" w:eastAsia="zh-CN"/>
                    </w:rPr>
                  </w:pPr>
                  <w:r>
                    <w:rPr>
                      <w:rFonts w:hint="default" w:ascii="Times New Roman" w:hAnsi="Times New Roman" w:eastAsia="宋体" w:cs="Times New Roman"/>
                      <w:b/>
                      <w:bCs/>
                      <w:color w:val="auto"/>
                      <w:kern w:val="2"/>
                      <w:sz w:val="21"/>
                      <w:szCs w:val="21"/>
                      <w:u w:val="none" w:color="auto"/>
                      <w:lang w:val="en-US" w:eastAsia="zh-CN"/>
                    </w:rPr>
                    <w:t>执行排放标准</w:t>
                  </w:r>
                </w:p>
              </w:tc>
            </w:tr>
            <w:tr w14:paraId="1C4B02E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tcBorders>
                    <w:tl2br w:val="nil"/>
                    <w:tr2bl w:val="nil"/>
                  </w:tcBorders>
                  <w:noWrap w:val="0"/>
                  <w:vAlign w:val="center"/>
                </w:tcPr>
                <w:p w14:paraId="6E8AA2F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default" w:ascii="Times New Roman" w:hAnsi="Times New Roman" w:eastAsia="宋体" w:cs="Times New Roman"/>
                      <w:color w:val="auto"/>
                      <w:kern w:val="2"/>
                      <w:sz w:val="21"/>
                      <w:szCs w:val="21"/>
                      <w:u w:val="none" w:color="auto"/>
                      <w:lang w:val="en-US" w:eastAsia="zh-CN"/>
                    </w:rPr>
                    <w:t>厂界四周</w:t>
                  </w:r>
                </w:p>
              </w:tc>
              <w:tc>
                <w:tcPr>
                  <w:tcW w:w="1800" w:type="dxa"/>
                  <w:tcBorders>
                    <w:tl2br w:val="nil"/>
                    <w:tr2bl w:val="nil"/>
                  </w:tcBorders>
                  <w:noWrap w:val="0"/>
                  <w:vAlign w:val="center"/>
                </w:tcPr>
                <w:p w14:paraId="352D517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default" w:ascii="Times New Roman" w:hAnsi="Times New Roman" w:eastAsia="宋体" w:cs="Times New Roman"/>
                      <w:color w:val="auto"/>
                      <w:kern w:val="2"/>
                      <w:sz w:val="21"/>
                      <w:szCs w:val="21"/>
                      <w:u w:val="none" w:color="auto"/>
                      <w:lang w:val="en-US" w:eastAsia="zh-CN"/>
                    </w:rPr>
                    <w:t>等效连续A声级</w:t>
                  </w:r>
                  <w:r>
                    <w:rPr>
                      <w:rFonts w:hint="eastAsia" w:ascii="Times New Roman" w:hAnsi="Times New Roman" w:eastAsia="宋体" w:cs="Times New Roman"/>
                      <w:color w:val="auto"/>
                      <w:kern w:val="2"/>
                      <w:sz w:val="21"/>
                      <w:szCs w:val="21"/>
                      <w:u w:val="none" w:color="auto"/>
                      <w:lang w:val="en-US" w:eastAsia="zh-CN"/>
                    </w:rPr>
                    <w:t>、最大声级</w:t>
                  </w:r>
                </w:p>
              </w:tc>
              <w:tc>
                <w:tcPr>
                  <w:tcW w:w="1775" w:type="dxa"/>
                  <w:tcBorders>
                    <w:tl2br w:val="nil"/>
                    <w:tr2bl w:val="nil"/>
                  </w:tcBorders>
                  <w:noWrap w:val="0"/>
                  <w:vAlign w:val="center"/>
                </w:tcPr>
                <w:p w14:paraId="69D7035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default" w:ascii="Times New Roman" w:hAnsi="Times New Roman" w:eastAsia="宋体" w:cs="Times New Roman"/>
                      <w:color w:val="auto"/>
                      <w:kern w:val="2"/>
                      <w:sz w:val="21"/>
                      <w:szCs w:val="21"/>
                      <w:u w:val="none" w:color="auto"/>
                      <w:lang w:val="en-US" w:eastAsia="zh-CN"/>
                    </w:rPr>
                    <w:t>昼夜各1次/季度</w:t>
                  </w:r>
                </w:p>
              </w:tc>
              <w:tc>
                <w:tcPr>
                  <w:tcW w:w="3901" w:type="dxa"/>
                  <w:tcBorders>
                    <w:tl2br w:val="nil"/>
                    <w:tr2bl w:val="nil"/>
                  </w:tcBorders>
                  <w:noWrap w:val="0"/>
                  <w:vAlign w:val="center"/>
                </w:tcPr>
                <w:p w14:paraId="7732177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default" w:ascii="Times New Roman" w:hAnsi="Times New Roman" w:eastAsia="宋体" w:cs="Times New Roman"/>
                      <w:color w:val="auto"/>
                      <w:kern w:val="2"/>
                      <w:sz w:val="21"/>
                      <w:szCs w:val="21"/>
                      <w:u w:val="none" w:color="auto"/>
                      <w:lang w:val="en-US" w:eastAsia="zh-CN"/>
                    </w:rPr>
                    <w:t>《工业企业厂界环境噪声排放标准》（GB12348-2008）中的3类标准</w:t>
                  </w:r>
                </w:p>
              </w:tc>
            </w:tr>
          </w:tbl>
          <w:p w14:paraId="0E1E6493">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4</w:t>
            </w:r>
            <w:r>
              <w:rPr>
                <w:rFonts w:hint="eastAsia" w:ascii="Times New Roman" w:hAnsi="Times New Roman"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lang w:val="en-US" w:eastAsia="zh-CN"/>
              </w:rPr>
              <w:t>固废的环境影响分析</w:t>
            </w:r>
          </w:p>
          <w:p w14:paraId="476D301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rPr>
            </w:pPr>
            <w:r>
              <w:rPr>
                <w:rFonts w:hint="default" w:ascii="Times New Roman" w:hAnsi="Times New Roman" w:eastAsia="宋体" w:cs="Times New Roman"/>
                <w:color w:val="auto"/>
                <w:kern w:val="2"/>
                <w:sz w:val="24"/>
                <w:szCs w:val="24"/>
                <w:u w:val="none" w:color="auto"/>
              </w:rPr>
              <w:t>本项目固体废物主要</w:t>
            </w:r>
            <w:r>
              <w:rPr>
                <w:rFonts w:hint="default" w:ascii="Times New Roman" w:hAnsi="Times New Roman" w:eastAsia="宋体" w:cs="Times New Roman"/>
                <w:color w:val="auto"/>
                <w:kern w:val="2"/>
                <w:sz w:val="24"/>
                <w:szCs w:val="24"/>
                <w:u w:val="none" w:color="auto"/>
                <w:lang w:val="en-US" w:eastAsia="zh-CN"/>
              </w:rPr>
              <w:t>分拣杂物</w:t>
            </w:r>
            <w:r>
              <w:rPr>
                <w:rFonts w:hint="eastAsia" w:ascii="Times New Roman" w:hAnsi="Times New Roman" w:cs="Times New Roman"/>
                <w:color w:val="auto"/>
                <w:kern w:val="2"/>
                <w:sz w:val="24"/>
                <w:szCs w:val="24"/>
                <w:u w:val="none" w:color="auto"/>
                <w:lang w:val="en-US" w:eastAsia="zh-CN"/>
              </w:rPr>
              <w:t>、金属边角料、</w:t>
            </w:r>
            <w:r>
              <w:rPr>
                <w:rFonts w:hint="default" w:ascii="Times New Roman" w:hAnsi="Times New Roman" w:eastAsia="宋体" w:cs="Times New Roman"/>
                <w:color w:val="auto"/>
                <w:kern w:val="2"/>
                <w:sz w:val="24"/>
                <w:szCs w:val="24"/>
                <w:u w:val="none" w:color="auto"/>
              </w:rPr>
              <w:t>熔炼产生的废渣</w:t>
            </w:r>
            <w:r>
              <w:rPr>
                <w:rFonts w:hint="eastAsia" w:ascii="Times New Roman" w:hAnsi="Times New Roman" w:cs="Times New Roman"/>
                <w:color w:val="auto"/>
                <w:kern w:val="2"/>
                <w:sz w:val="24"/>
                <w:szCs w:val="24"/>
                <w:u w:val="none" w:color="auto"/>
                <w:lang w:eastAsia="zh-CN"/>
              </w:rPr>
              <w:t>、</w:t>
            </w:r>
            <w:r>
              <w:rPr>
                <w:rFonts w:hint="eastAsia" w:ascii="Times New Roman" w:hAnsi="Times New Roman" w:cs="Times New Roman"/>
                <w:color w:val="auto"/>
                <w:kern w:val="2"/>
                <w:sz w:val="24"/>
                <w:szCs w:val="24"/>
                <w:u w:val="none" w:color="auto"/>
                <w:lang w:val="en-US" w:eastAsia="zh-CN"/>
              </w:rPr>
              <w:t>清理</w:t>
            </w:r>
            <w:r>
              <w:rPr>
                <w:rFonts w:hint="default" w:ascii="Times New Roman" w:hAnsi="Times New Roman" w:eastAsia="宋体" w:cs="Times New Roman"/>
                <w:color w:val="auto"/>
                <w:kern w:val="2"/>
                <w:sz w:val="24"/>
                <w:szCs w:val="24"/>
                <w:u w:val="none" w:color="auto"/>
              </w:rPr>
              <w:t>过程产生的废铁屑</w:t>
            </w:r>
            <w:r>
              <w:rPr>
                <w:rFonts w:hint="eastAsia" w:ascii="Times New Roman" w:hAnsi="Times New Roman" w:cs="Times New Roman"/>
                <w:color w:val="auto"/>
                <w:kern w:val="2"/>
                <w:sz w:val="24"/>
                <w:szCs w:val="24"/>
                <w:u w:val="none" w:color="auto"/>
                <w:lang w:val="en-US" w:eastAsia="zh-CN"/>
              </w:rPr>
              <w:t>、废铁水包、</w:t>
            </w:r>
            <w:r>
              <w:rPr>
                <w:rFonts w:hint="default" w:ascii="Times New Roman" w:hAnsi="Times New Roman" w:eastAsia="宋体" w:cs="Times New Roman"/>
                <w:color w:val="auto"/>
                <w:kern w:val="2"/>
                <w:sz w:val="24"/>
                <w:szCs w:val="24"/>
                <w:u w:val="none" w:color="auto"/>
                <w:lang w:val="en-US" w:eastAsia="zh-CN"/>
              </w:rPr>
              <w:t>废砂</w:t>
            </w:r>
            <w:r>
              <w:rPr>
                <w:rFonts w:hint="eastAsia" w:ascii="Times New Roman" w:hAnsi="Times New Roman" w:cs="Times New Roman"/>
                <w:color w:val="auto"/>
                <w:kern w:val="2"/>
                <w:sz w:val="24"/>
                <w:szCs w:val="24"/>
                <w:u w:val="none" w:color="auto"/>
                <w:lang w:val="en-US" w:eastAsia="zh-CN"/>
              </w:rPr>
              <w:t>、废布袋及布袋除尘器收尘</w:t>
            </w:r>
            <w:r>
              <w:rPr>
                <w:rFonts w:hint="eastAsia" w:ascii="Times New Roman" w:hAnsi="Times New Roman" w:cs="Times New Roman"/>
                <w:color w:val="auto"/>
                <w:kern w:val="2"/>
                <w:sz w:val="24"/>
                <w:szCs w:val="24"/>
                <w:u w:val="none" w:color="auto"/>
                <w:lang w:eastAsia="zh-CN"/>
              </w:rPr>
              <w:t>、</w:t>
            </w:r>
            <w:r>
              <w:rPr>
                <w:rFonts w:hint="default" w:ascii="Times New Roman" w:hAnsi="Times New Roman" w:eastAsia="宋体" w:cs="Times New Roman"/>
                <w:color w:val="auto"/>
                <w:kern w:val="2"/>
                <w:sz w:val="24"/>
                <w:szCs w:val="24"/>
                <w:u w:val="none" w:color="auto"/>
              </w:rPr>
              <w:t>设备维护产生的废机油</w:t>
            </w:r>
            <w:r>
              <w:rPr>
                <w:rFonts w:hint="default" w:ascii="Times New Roman" w:hAnsi="Times New Roman" w:eastAsia="宋体" w:cs="Times New Roman"/>
                <w:color w:val="auto"/>
                <w:kern w:val="2"/>
                <w:sz w:val="24"/>
                <w:szCs w:val="24"/>
                <w:u w:val="none" w:color="auto"/>
                <w:lang w:val="en-US" w:eastAsia="zh-CN"/>
              </w:rPr>
              <w:t>、废油桶、废淬火油、淬火废渣</w:t>
            </w:r>
            <w:r>
              <w:rPr>
                <w:rFonts w:hint="default" w:ascii="Times New Roman" w:hAnsi="Times New Roman" w:eastAsia="宋体" w:cs="Times New Roman"/>
                <w:color w:val="auto"/>
                <w:kern w:val="2"/>
                <w:sz w:val="24"/>
                <w:szCs w:val="24"/>
                <w:u w:val="none" w:color="auto"/>
              </w:rPr>
              <w:t>以及职工生活垃圾等。其中废机油</w:t>
            </w:r>
            <w:r>
              <w:rPr>
                <w:rFonts w:hint="default" w:ascii="Times New Roman" w:hAnsi="Times New Roman" w:eastAsia="宋体" w:cs="Times New Roman"/>
                <w:color w:val="auto"/>
                <w:kern w:val="2"/>
                <w:sz w:val="24"/>
                <w:szCs w:val="24"/>
                <w:u w:val="none" w:color="auto"/>
                <w:lang w:val="en-US" w:eastAsia="zh-CN"/>
              </w:rPr>
              <w:t>、废油桶、废淬火油、淬火废渣</w:t>
            </w:r>
            <w:r>
              <w:rPr>
                <w:rFonts w:hint="default" w:ascii="Times New Roman" w:hAnsi="Times New Roman" w:eastAsia="宋体" w:cs="Times New Roman"/>
                <w:color w:val="auto"/>
                <w:kern w:val="2"/>
                <w:sz w:val="24"/>
                <w:szCs w:val="24"/>
                <w:u w:val="none" w:color="auto"/>
              </w:rPr>
              <w:t>属于危险废物。</w:t>
            </w:r>
          </w:p>
          <w:p w14:paraId="21A6D97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lang w:val="en-US" w:eastAsia="zh-CN" w:bidi="ar-SA"/>
              </w:rPr>
            </w:pPr>
            <w:r>
              <w:rPr>
                <w:rFonts w:hint="default" w:ascii="Times New Roman" w:hAnsi="Times New Roman" w:eastAsia="宋体" w:cs="Times New Roman"/>
                <w:color w:val="auto"/>
                <w:kern w:val="2"/>
                <w:sz w:val="24"/>
                <w:szCs w:val="24"/>
                <w:u w:val="none" w:color="auto"/>
                <w:lang w:val="en-US" w:eastAsia="zh-CN" w:bidi="ar-SA"/>
              </w:rPr>
              <w:t>①生活垃圾</w:t>
            </w:r>
          </w:p>
          <w:p w14:paraId="29258622">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lang w:val="en-US" w:eastAsia="zh-CN" w:bidi="ar-SA"/>
              </w:rPr>
            </w:pPr>
            <w:r>
              <w:rPr>
                <w:rFonts w:hint="default" w:ascii="Times New Roman" w:hAnsi="Times New Roman" w:eastAsia="宋体" w:cs="Times New Roman"/>
                <w:color w:val="auto"/>
                <w:kern w:val="2"/>
                <w:sz w:val="24"/>
                <w:szCs w:val="24"/>
                <w:u w:val="none" w:color="auto"/>
                <w:lang w:val="en-US" w:eastAsia="zh-CN" w:bidi="ar-SA"/>
              </w:rPr>
              <w:t>项目员工</w:t>
            </w:r>
            <w:r>
              <w:rPr>
                <w:rFonts w:hint="eastAsia" w:ascii="Times New Roman" w:hAnsi="Times New Roman" w:cs="Times New Roman"/>
                <w:color w:val="auto"/>
                <w:kern w:val="2"/>
                <w:sz w:val="24"/>
                <w:szCs w:val="24"/>
                <w:u w:val="none" w:color="auto"/>
                <w:lang w:val="en-US" w:eastAsia="zh-CN" w:bidi="ar-SA"/>
              </w:rPr>
              <w:t>25</w:t>
            </w:r>
            <w:r>
              <w:rPr>
                <w:rFonts w:hint="default" w:ascii="Times New Roman" w:hAnsi="Times New Roman" w:eastAsia="宋体" w:cs="Times New Roman"/>
                <w:color w:val="auto"/>
                <w:kern w:val="2"/>
                <w:sz w:val="24"/>
                <w:szCs w:val="24"/>
                <w:u w:val="none" w:color="auto"/>
                <w:lang w:val="en-US" w:eastAsia="zh-CN" w:bidi="ar-SA"/>
              </w:rPr>
              <w:t>人，按0.5kg/d·人的生活垃圾产生量计算，生活垃圾产生量为0.0</w:t>
            </w:r>
            <w:r>
              <w:rPr>
                <w:rFonts w:hint="eastAsia" w:ascii="Times New Roman" w:hAnsi="Times New Roman" w:cs="Times New Roman"/>
                <w:color w:val="auto"/>
                <w:kern w:val="2"/>
                <w:sz w:val="24"/>
                <w:szCs w:val="24"/>
                <w:u w:val="none" w:color="auto"/>
                <w:lang w:val="en-US" w:eastAsia="zh-CN" w:bidi="ar-SA"/>
              </w:rPr>
              <w:t>125</w:t>
            </w:r>
            <w:r>
              <w:rPr>
                <w:rFonts w:hint="default" w:ascii="Times New Roman" w:hAnsi="Times New Roman" w:eastAsia="宋体" w:cs="Times New Roman"/>
                <w:color w:val="auto"/>
                <w:kern w:val="2"/>
                <w:sz w:val="24"/>
                <w:szCs w:val="24"/>
                <w:u w:val="none" w:color="auto"/>
                <w:lang w:val="en-US" w:eastAsia="zh-CN" w:bidi="ar-SA"/>
              </w:rPr>
              <w:t>t/d</w:t>
            </w:r>
            <w:r>
              <w:rPr>
                <w:rFonts w:hint="eastAsia" w:ascii="Times New Roman" w:hAnsi="Times New Roman" w:cs="Times New Roman"/>
                <w:color w:val="auto"/>
                <w:kern w:val="2"/>
                <w:sz w:val="24"/>
                <w:szCs w:val="24"/>
                <w:u w:val="none" w:color="auto"/>
                <w:lang w:val="en-US" w:eastAsia="zh-CN" w:bidi="ar-SA"/>
              </w:rPr>
              <w:t>、3.75</w:t>
            </w:r>
            <w:r>
              <w:rPr>
                <w:rFonts w:hint="default" w:ascii="Times New Roman" w:hAnsi="Times New Roman" w:eastAsia="宋体" w:cs="Times New Roman"/>
                <w:color w:val="auto"/>
                <w:kern w:val="2"/>
                <w:sz w:val="24"/>
                <w:szCs w:val="24"/>
                <w:u w:val="none" w:color="auto"/>
                <w:lang w:val="en-US" w:eastAsia="zh-CN" w:bidi="ar-SA"/>
              </w:rPr>
              <w:t>t/a。统一收集后，由环卫部门定期清运。</w:t>
            </w:r>
          </w:p>
          <w:p w14:paraId="1A98A75E">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lang w:val="en-US" w:eastAsia="zh-CN" w:bidi="ar-SA"/>
              </w:rPr>
            </w:pPr>
            <w:r>
              <w:rPr>
                <w:rFonts w:hint="default" w:ascii="Times New Roman" w:hAnsi="Times New Roman" w:eastAsia="宋体" w:cs="Times New Roman"/>
                <w:color w:val="auto"/>
                <w:kern w:val="2"/>
                <w:sz w:val="24"/>
                <w:szCs w:val="24"/>
                <w:u w:val="none" w:color="auto"/>
                <w:lang w:val="en-US" w:eastAsia="zh-CN" w:bidi="ar-SA"/>
              </w:rPr>
              <w:t>②一般工业固废</w:t>
            </w:r>
          </w:p>
          <w:p w14:paraId="243FCD53">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lang w:val="en-US" w:eastAsia="zh-CN" w:bidi="ar-SA"/>
              </w:rPr>
            </w:pPr>
            <w:r>
              <w:rPr>
                <w:rFonts w:hint="default" w:ascii="Times New Roman" w:hAnsi="Times New Roman" w:eastAsia="宋体" w:cs="Times New Roman"/>
                <w:color w:val="auto"/>
                <w:kern w:val="2"/>
                <w:sz w:val="24"/>
                <w:szCs w:val="24"/>
                <w:u w:val="none" w:color="auto"/>
                <w:lang w:val="en-US" w:eastAsia="zh-CN" w:bidi="ar-SA"/>
              </w:rPr>
              <w:t>本项目一般工业固废有分拣杂物、金属边角料、熔炼产生的废渣、清理过程产生的废铸铁屑、循环水池的沉渣、废砂、废布袋及布袋除尘器收尘。</w:t>
            </w:r>
          </w:p>
          <w:p w14:paraId="1F666048">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lang w:val="en-US" w:eastAsia="zh-CN" w:bidi="ar-SA"/>
              </w:rPr>
            </w:pPr>
            <w:r>
              <w:rPr>
                <w:rFonts w:hint="default" w:ascii="Times New Roman" w:hAnsi="Times New Roman" w:eastAsia="宋体" w:cs="Times New Roman"/>
                <w:color w:val="auto"/>
                <w:kern w:val="2"/>
                <w:sz w:val="24"/>
                <w:szCs w:val="24"/>
                <w:u w:val="none" w:color="auto"/>
                <w:lang w:val="en-US" w:eastAsia="zh-CN" w:bidi="ar-SA"/>
              </w:rPr>
              <w:t>分拣杂物</w:t>
            </w:r>
            <w:r>
              <w:rPr>
                <w:rFonts w:hint="eastAsia" w:ascii="Times New Roman" w:hAnsi="Times New Roman" w:cs="Times New Roman"/>
                <w:color w:val="auto"/>
                <w:kern w:val="2"/>
                <w:sz w:val="24"/>
                <w:szCs w:val="24"/>
                <w:u w:val="none" w:color="auto"/>
                <w:lang w:val="en-US" w:eastAsia="zh-CN" w:bidi="ar-SA"/>
              </w:rPr>
              <w:t>：根据业主提供的资料，本项目分拣杂物产生量约10t/a，根据</w:t>
            </w:r>
            <w:r>
              <w:rPr>
                <w:rFonts w:hint="eastAsia" w:ascii="Times New Roman" w:hAnsi="Times New Roman" w:cs="Times New Roman"/>
                <w:color w:val="auto"/>
                <w:kern w:val="2"/>
                <w:sz w:val="24"/>
                <w:szCs w:val="24"/>
                <w:u w:val="none" w:color="auto"/>
                <w:lang w:val="en-US" w:eastAsia="zh-CN" w:bidi="ar-SA"/>
              </w:rPr>
              <w:fldChar w:fldCharType="begin"/>
            </w:r>
            <w:r>
              <w:rPr>
                <w:rFonts w:hint="eastAsia" w:ascii="Times New Roman" w:hAnsi="Times New Roman" w:cs="Times New Roman"/>
                <w:color w:val="auto"/>
                <w:kern w:val="2"/>
                <w:sz w:val="24"/>
                <w:szCs w:val="24"/>
                <w:u w:val="none" w:color="auto"/>
                <w:lang w:val="en-US" w:eastAsia="zh-CN" w:bidi="ar-SA"/>
              </w:rPr>
              <w:instrText xml:space="preserve"> HYPERLINK "https://www.eiacloud.com/hpyzs/lawsRegulations/searchDetail?id=6c8f73d003174d2197359f83c62de87f&amp;modelName=%E5%8D%B1%E5%BA%9F%E5%90%8D%E5%BD%95" \t "https://www.eiacloud.com/hpyzs/category/_blank" </w:instrText>
            </w:r>
            <w:r>
              <w:rPr>
                <w:rFonts w:hint="eastAsia" w:ascii="Times New Roman" w:hAnsi="Times New Roman" w:cs="Times New Roman"/>
                <w:color w:val="auto"/>
                <w:kern w:val="2"/>
                <w:sz w:val="24"/>
                <w:szCs w:val="24"/>
                <w:u w:val="none" w:color="auto"/>
                <w:lang w:val="en-US" w:eastAsia="zh-CN" w:bidi="ar-SA"/>
              </w:rPr>
              <w:fldChar w:fldCharType="separate"/>
            </w:r>
            <w:r>
              <w:rPr>
                <w:rFonts w:hint="eastAsia" w:ascii="Times New Roman" w:hAnsi="Times New Roman" w:cs="Times New Roman"/>
                <w:color w:val="auto"/>
                <w:kern w:val="2"/>
                <w:sz w:val="24"/>
                <w:szCs w:val="24"/>
                <w:u w:val="none" w:color="auto"/>
                <w:lang w:val="en-US" w:eastAsia="zh-CN" w:bidi="ar-SA"/>
              </w:rPr>
              <w:t>《固体废物分类与代码目录2024版》</w:t>
            </w:r>
            <w:r>
              <w:rPr>
                <w:rFonts w:hint="eastAsia" w:ascii="Times New Roman" w:hAnsi="Times New Roman" w:cs="Times New Roman"/>
                <w:color w:val="auto"/>
                <w:kern w:val="2"/>
                <w:sz w:val="24"/>
                <w:szCs w:val="24"/>
                <w:u w:val="none" w:color="auto"/>
                <w:lang w:val="en-US" w:eastAsia="zh-CN" w:bidi="ar-SA"/>
              </w:rPr>
              <w:fldChar w:fldCharType="end"/>
            </w:r>
            <w:r>
              <w:rPr>
                <w:rFonts w:hint="eastAsia" w:ascii="Times New Roman" w:hAnsi="Times New Roman" w:cs="Times New Roman"/>
                <w:color w:val="auto"/>
                <w:kern w:val="2"/>
                <w:sz w:val="24"/>
                <w:szCs w:val="24"/>
                <w:u w:val="none" w:color="auto"/>
                <w:lang w:val="en-US" w:eastAsia="zh-CN" w:bidi="ar-SA"/>
              </w:rPr>
              <w:t>，其代码为900-099-S59，分拣杂物多为石子等，集中收集交由市政部门处理。</w:t>
            </w:r>
          </w:p>
          <w:p w14:paraId="03C711B9">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lang w:val="en-US" w:eastAsia="zh-CN" w:bidi="ar-SA"/>
              </w:rPr>
            </w:pPr>
            <w:r>
              <w:rPr>
                <w:rFonts w:hint="default" w:ascii="Times New Roman" w:hAnsi="Times New Roman" w:eastAsia="宋体" w:cs="Times New Roman"/>
                <w:color w:val="auto"/>
                <w:kern w:val="2"/>
                <w:sz w:val="24"/>
                <w:szCs w:val="24"/>
                <w:u w:val="none" w:color="auto"/>
                <w:lang w:val="en-US" w:eastAsia="zh-CN" w:bidi="ar-SA"/>
              </w:rPr>
              <w:t>金属边角料</w:t>
            </w:r>
            <w:r>
              <w:rPr>
                <w:rFonts w:hint="eastAsia" w:ascii="Times New Roman" w:hAnsi="Times New Roman" w:cs="Times New Roman"/>
                <w:color w:val="auto"/>
                <w:kern w:val="2"/>
                <w:sz w:val="24"/>
                <w:szCs w:val="24"/>
                <w:u w:val="none" w:color="auto"/>
                <w:lang w:val="en-US" w:eastAsia="zh-CN" w:bidi="ar-SA"/>
              </w:rPr>
              <w:t>：球帽分离过程中会产生金属边角料，</w:t>
            </w:r>
            <w:r>
              <w:rPr>
                <w:rFonts w:hint="default" w:ascii="Times New Roman" w:hAnsi="Times New Roman" w:eastAsia="宋体" w:cs="Times New Roman"/>
                <w:color w:val="auto"/>
                <w:kern w:val="2"/>
                <w:sz w:val="24"/>
                <w:szCs w:val="24"/>
                <w:u w:val="none" w:color="auto"/>
                <w:lang w:val="en-US" w:eastAsia="zh-CN" w:bidi="ar-SA"/>
              </w:rPr>
              <w:t>根据建设单位提供资料，金属边角料的产生量为</w:t>
            </w:r>
            <w:r>
              <w:rPr>
                <w:rFonts w:hint="eastAsia" w:ascii="Times New Roman" w:hAnsi="Times New Roman" w:cs="Times New Roman"/>
                <w:color w:val="auto"/>
                <w:kern w:val="2"/>
                <w:sz w:val="24"/>
                <w:szCs w:val="24"/>
                <w:u w:val="none" w:color="auto"/>
                <w:lang w:val="en-US" w:eastAsia="zh-CN" w:bidi="ar-SA"/>
              </w:rPr>
              <w:t>20</w:t>
            </w:r>
            <w:r>
              <w:rPr>
                <w:rFonts w:hint="default" w:ascii="Times New Roman" w:hAnsi="Times New Roman" w:eastAsia="宋体" w:cs="Times New Roman"/>
                <w:color w:val="auto"/>
                <w:kern w:val="2"/>
                <w:sz w:val="24"/>
                <w:szCs w:val="24"/>
                <w:u w:val="none" w:color="auto"/>
                <w:lang w:val="en-US" w:eastAsia="zh-CN" w:bidi="ar-SA"/>
              </w:rPr>
              <w:t>t/a，根据</w:t>
            </w:r>
            <w:r>
              <w:rPr>
                <w:rFonts w:hint="default" w:ascii="Times New Roman" w:hAnsi="Times New Roman" w:eastAsia="宋体" w:cs="Times New Roman"/>
                <w:color w:val="auto"/>
                <w:kern w:val="2"/>
                <w:sz w:val="24"/>
                <w:szCs w:val="24"/>
                <w:u w:val="none" w:color="auto"/>
                <w:lang w:val="en-US" w:eastAsia="zh-CN" w:bidi="ar-SA"/>
              </w:rPr>
              <w:fldChar w:fldCharType="begin"/>
            </w:r>
            <w:r>
              <w:rPr>
                <w:rFonts w:hint="default" w:ascii="Times New Roman" w:hAnsi="Times New Roman" w:eastAsia="宋体" w:cs="Times New Roman"/>
                <w:color w:val="auto"/>
                <w:kern w:val="2"/>
                <w:sz w:val="24"/>
                <w:szCs w:val="24"/>
                <w:u w:val="none" w:color="auto"/>
                <w:lang w:val="en-US" w:eastAsia="zh-CN" w:bidi="ar-SA"/>
              </w:rPr>
              <w:instrText xml:space="preserve"> HYPERLINK "https://www.eiacloud.com/hpyzs/lawsRegulations/searchDetail?id=6c8f73d003174d2197359f83c62de87f&amp;modelName=%E5%8D%B1%E5%BA%9F%E5%90%8D%E5%BD%95" \t "https://www.eiacloud.com/hpyzs/category/_blank" </w:instrText>
            </w:r>
            <w:r>
              <w:rPr>
                <w:rFonts w:hint="default" w:ascii="Times New Roman" w:hAnsi="Times New Roman" w:eastAsia="宋体" w:cs="Times New Roman"/>
                <w:color w:val="auto"/>
                <w:kern w:val="2"/>
                <w:sz w:val="24"/>
                <w:szCs w:val="24"/>
                <w:u w:val="none" w:color="auto"/>
                <w:lang w:val="en-US" w:eastAsia="zh-CN" w:bidi="ar-SA"/>
              </w:rPr>
              <w:fldChar w:fldCharType="separate"/>
            </w:r>
            <w:r>
              <w:rPr>
                <w:rFonts w:hint="default" w:ascii="Times New Roman" w:hAnsi="Times New Roman" w:eastAsia="宋体" w:cs="Times New Roman"/>
                <w:color w:val="auto"/>
                <w:kern w:val="2"/>
                <w:sz w:val="24"/>
                <w:szCs w:val="24"/>
                <w:u w:val="none" w:color="auto"/>
                <w:lang w:val="en-US" w:eastAsia="zh-CN" w:bidi="ar-SA"/>
              </w:rPr>
              <w:t>《固体废物分类与代码目录2024版》</w:t>
            </w:r>
            <w:r>
              <w:rPr>
                <w:rFonts w:hint="default" w:ascii="Times New Roman" w:hAnsi="Times New Roman" w:eastAsia="宋体" w:cs="Times New Roman"/>
                <w:color w:val="auto"/>
                <w:kern w:val="2"/>
                <w:sz w:val="24"/>
                <w:szCs w:val="24"/>
                <w:u w:val="none" w:color="auto"/>
                <w:lang w:val="en-US" w:eastAsia="zh-CN" w:bidi="ar-SA"/>
              </w:rPr>
              <w:fldChar w:fldCharType="end"/>
            </w:r>
            <w:r>
              <w:rPr>
                <w:rFonts w:hint="default" w:ascii="Times New Roman" w:hAnsi="Times New Roman" w:eastAsia="宋体" w:cs="Times New Roman"/>
                <w:color w:val="auto"/>
                <w:kern w:val="2"/>
                <w:sz w:val="24"/>
                <w:szCs w:val="24"/>
                <w:u w:val="none" w:color="auto"/>
                <w:lang w:val="en-US" w:eastAsia="zh-CN" w:bidi="ar-SA"/>
              </w:rPr>
              <w:t>，其代码为900-001-S17，集中收集后</w:t>
            </w:r>
            <w:r>
              <w:rPr>
                <w:rFonts w:hint="eastAsia" w:ascii="Times New Roman" w:hAnsi="Times New Roman" w:eastAsia="宋体" w:cs="Times New Roman"/>
                <w:color w:val="auto"/>
                <w:kern w:val="2"/>
                <w:sz w:val="24"/>
                <w:szCs w:val="24"/>
                <w:u w:val="none" w:color="auto"/>
                <w:lang w:val="en-US" w:eastAsia="zh-CN" w:bidi="ar-SA"/>
              </w:rPr>
              <w:t>回炉重造</w:t>
            </w:r>
            <w:r>
              <w:rPr>
                <w:rFonts w:hint="default" w:ascii="Times New Roman" w:hAnsi="Times New Roman" w:eastAsia="宋体" w:cs="Times New Roman"/>
                <w:color w:val="auto"/>
                <w:kern w:val="2"/>
                <w:sz w:val="24"/>
                <w:szCs w:val="24"/>
                <w:u w:val="none" w:color="auto"/>
                <w:lang w:val="en-US" w:eastAsia="zh-CN" w:bidi="ar-SA"/>
              </w:rPr>
              <w:t>。</w:t>
            </w:r>
          </w:p>
          <w:p w14:paraId="63D07E6D">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lang w:val="en-US" w:eastAsia="zh-CN" w:bidi="ar-SA"/>
              </w:rPr>
            </w:pPr>
            <w:r>
              <w:rPr>
                <w:rFonts w:hint="default" w:ascii="Times New Roman" w:hAnsi="Times New Roman" w:eastAsia="宋体" w:cs="Times New Roman"/>
                <w:color w:val="auto"/>
                <w:kern w:val="2"/>
                <w:sz w:val="24"/>
                <w:szCs w:val="24"/>
                <w:u w:val="none" w:color="auto"/>
                <w:lang w:val="en-US" w:eastAsia="zh-CN" w:bidi="ar-SA"/>
              </w:rPr>
              <w:t>废炉渣：根据业主提供的资料，本项目产生炉渣量约</w:t>
            </w:r>
            <w:r>
              <w:rPr>
                <w:rFonts w:hint="eastAsia" w:ascii="Times New Roman" w:hAnsi="Times New Roman" w:cs="Times New Roman"/>
                <w:color w:val="auto"/>
                <w:kern w:val="2"/>
                <w:sz w:val="24"/>
                <w:szCs w:val="24"/>
                <w:u w:val="none" w:color="auto"/>
                <w:lang w:val="en-US" w:eastAsia="zh-CN" w:bidi="ar-SA"/>
              </w:rPr>
              <w:t>5</w:t>
            </w:r>
            <w:r>
              <w:rPr>
                <w:rFonts w:hint="default" w:ascii="Times New Roman" w:hAnsi="Times New Roman" w:eastAsia="宋体" w:cs="Times New Roman"/>
                <w:color w:val="auto"/>
                <w:kern w:val="2"/>
                <w:sz w:val="24"/>
                <w:szCs w:val="24"/>
                <w:u w:val="none" w:color="auto"/>
                <w:lang w:val="en-US" w:eastAsia="zh-CN" w:bidi="ar-SA"/>
              </w:rPr>
              <w:t>t/a，</w:t>
            </w:r>
            <w:r>
              <w:rPr>
                <w:rFonts w:hint="eastAsia" w:ascii="Times New Roman" w:hAnsi="Times New Roman" w:cs="Times New Roman"/>
                <w:color w:val="auto"/>
                <w:kern w:val="2"/>
                <w:sz w:val="24"/>
                <w:szCs w:val="24"/>
                <w:u w:val="none" w:color="auto"/>
                <w:lang w:val="en-US" w:eastAsia="zh-CN" w:bidi="ar-SA"/>
              </w:rPr>
              <w:t>根据</w:t>
            </w:r>
            <w:r>
              <w:rPr>
                <w:rFonts w:hint="default" w:ascii="Times New Roman" w:hAnsi="Times New Roman" w:eastAsia="宋体" w:cs="Times New Roman"/>
                <w:color w:val="auto"/>
                <w:kern w:val="2"/>
                <w:sz w:val="24"/>
                <w:szCs w:val="24"/>
                <w:u w:val="none" w:color="auto"/>
                <w:lang w:val="en-US" w:eastAsia="zh-CN" w:bidi="ar-SA"/>
              </w:rPr>
              <w:fldChar w:fldCharType="begin"/>
            </w:r>
            <w:r>
              <w:rPr>
                <w:rFonts w:hint="default" w:ascii="Times New Roman" w:hAnsi="Times New Roman" w:eastAsia="宋体" w:cs="Times New Roman"/>
                <w:color w:val="auto"/>
                <w:kern w:val="2"/>
                <w:sz w:val="24"/>
                <w:szCs w:val="24"/>
                <w:u w:val="none" w:color="auto"/>
                <w:lang w:val="en-US" w:eastAsia="zh-CN" w:bidi="ar-SA"/>
              </w:rPr>
              <w:instrText xml:space="preserve"> HYPERLINK "https://www.eiacloud.com/hpyzs/lawsRegulations/searchDetail?id=6c8f73d003174d2197359f83c62de87f&amp;modelName=%E5%8D%B1%E5%BA%9F%E5%90%8D%E5%BD%95" \t "https://www.eiacloud.com/hpyzs/category/_blank" </w:instrText>
            </w:r>
            <w:r>
              <w:rPr>
                <w:rFonts w:hint="default" w:ascii="Times New Roman" w:hAnsi="Times New Roman" w:eastAsia="宋体" w:cs="Times New Roman"/>
                <w:color w:val="auto"/>
                <w:kern w:val="2"/>
                <w:sz w:val="24"/>
                <w:szCs w:val="24"/>
                <w:u w:val="none" w:color="auto"/>
                <w:lang w:val="en-US" w:eastAsia="zh-CN" w:bidi="ar-SA"/>
              </w:rPr>
              <w:fldChar w:fldCharType="separate"/>
            </w:r>
            <w:r>
              <w:rPr>
                <w:rFonts w:hint="default" w:ascii="Times New Roman" w:hAnsi="Times New Roman" w:eastAsia="宋体" w:cs="Times New Roman"/>
                <w:color w:val="auto"/>
                <w:kern w:val="2"/>
                <w:sz w:val="24"/>
                <w:szCs w:val="24"/>
                <w:u w:val="none" w:color="auto"/>
                <w:lang w:val="en-US" w:eastAsia="zh-CN" w:bidi="ar-SA"/>
              </w:rPr>
              <w:t>《固体废物分类与代码目录2024版》</w:t>
            </w:r>
            <w:r>
              <w:rPr>
                <w:rFonts w:hint="default" w:ascii="Times New Roman" w:hAnsi="Times New Roman" w:eastAsia="宋体" w:cs="Times New Roman"/>
                <w:color w:val="auto"/>
                <w:kern w:val="2"/>
                <w:sz w:val="24"/>
                <w:szCs w:val="24"/>
                <w:u w:val="none" w:color="auto"/>
                <w:lang w:val="en-US" w:eastAsia="zh-CN" w:bidi="ar-SA"/>
              </w:rPr>
              <w:fldChar w:fldCharType="end"/>
            </w:r>
            <w:r>
              <w:rPr>
                <w:rFonts w:hint="default" w:ascii="Times New Roman" w:hAnsi="Times New Roman" w:eastAsia="宋体" w:cs="Times New Roman"/>
                <w:color w:val="auto"/>
                <w:kern w:val="2"/>
                <w:sz w:val="24"/>
                <w:szCs w:val="24"/>
                <w:u w:val="none" w:color="auto"/>
                <w:lang w:val="en-US" w:eastAsia="zh-CN" w:bidi="ar-SA"/>
              </w:rPr>
              <w:t>，其代码为900-099-S01，废炉渣多为</w:t>
            </w:r>
            <w:r>
              <w:rPr>
                <w:rFonts w:hint="eastAsia" w:ascii="Times New Roman" w:hAnsi="Times New Roman" w:cs="Times New Roman"/>
                <w:color w:val="auto"/>
                <w:kern w:val="2"/>
                <w:sz w:val="24"/>
                <w:szCs w:val="24"/>
                <w:u w:val="none" w:color="auto"/>
                <w:lang w:val="en-US" w:eastAsia="zh-CN" w:bidi="ar-SA"/>
              </w:rPr>
              <w:t>铁渣</w:t>
            </w:r>
            <w:r>
              <w:rPr>
                <w:rFonts w:hint="default" w:ascii="Times New Roman" w:hAnsi="Times New Roman" w:eastAsia="宋体" w:cs="Times New Roman"/>
                <w:color w:val="auto"/>
                <w:kern w:val="2"/>
                <w:sz w:val="24"/>
                <w:szCs w:val="24"/>
                <w:u w:val="none" w:color="auto"/>
                <w:lang w:val="en-US" w:eastAsia="zh-CN" w:bidi="ar-SA"/>
              </w:rPr>
              <w:t>，集中收集后外售综合利用。</w:t>
            </w:r>
          </w:p>
          <w:p w14:paraId="69D4A061">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lang w:val="en-US" w:eastAsia="zh-CN" w:bidi="ar-SA"/>
              </w:rPr>
            </w:pPr>
            <w:r>
              <w:rPr>
                <w:rFonts w:hint="default" w:ascii="Times New Roman" w:hAnsi="Times New Roman" w:eastAsia="宋体" w:cs="Times New Roman"/>
                <w:color w:val="auto"/>
                <w:kern w:val="2"/>
                <w:sz w:val="24"/>
                <w:szCs w:val="24"/>
                <w:u w:val="none" w:color="auto"/>
                <w:lang w:val="en-US" w:eastAsia="zh-CN" w:bidi="ar-SA"/>
              </w:rPr>
              <w:t>废铁屑：项目在</w:t>
            </w:r>
            <w:r>
              <w:rPr>
                <w:rFonts w:hint="eastAsia" w:ascii="Times New Roman" w:hAnsi="Times New Roman" w:cs="Times New Roman"/>
                <w:color w:val="auto"/>
                <w:kern w:val="2"/>
                <w:sz w:val="24"/>
                <w:szCs w:val="24"/>
                <w:u w:val="none" w:color="auto"/>
                <w:lang w:val="en-US" w:eastAsia="zh-CN" w:bidi="ar-SA"/>
              </w:rPr>
              <w:t>打磨清理</w:t>
            </w:r>
            <w:r>
              <w:rPr>
                <w:rFonts w:hint="default" w:ascii="Times New Roman" w:hAnsi="Times New Roman" w:eastAsia="宋体" w:cs="Times New Roman"/>
                <w:color w:val="auto"/>
                <w:kern w:val="2"/>
                <w:sz w:val="24"/>
                <w:szCs w:val="24"/>
                <w:u w:val="none" w:color="auto"/>
                <w:lang w:val="en-US" w:eastAsia="zh-CN" w:bidi="ar-SA"/>
              </w:rPr>
              <w:t>工序会产生</w:t>
            </w:r>
            <w:r>
              <w:rPr>
                <w:rFonts w:hint="eastAsia" w:ascii="Times New Roman" w:hAnsi="Times New Roman" w:cs="Times New Roman"/>
                <w:color w:val="auto"/>
                <w:kern w:val="2"/>
                <w:sz w:val="24"/>
                <w:szCs w:val="24"/>
                <w:u w:val="none" w:color="auto"/>
                <w:lang w:val="en-US" w:eastAsia="zh-CN" w:bidi="ar-SA"/>
              </w:rPr>
              <w:t>铁</w:t>
            </w:r>
            <w:r>
              <w:rPr>
                <w:rFonts w:hint="default" w:ascii="Times New Roman" w:hAnsi="Times New Roman" w:eastAsia="宋体" w:cs="Times New Roman"/>
                <w:color w:val="auto"/>
                <w:kern w:val="2"/>
                <w:sz w:val="24"/>
                <w:szCs w:val="24"/>
                <w:u w:val="none" w:color="auto"/>
                <w:lang w:val="en-US" w:eastAsia="zh-CN" w:bidi="ar-SA"/>
              </w:rPr>
              <w:t>屑，根据建设单位提供资料，</w:t>
            </w:r>
            <w:r>
              <w:rPr>
                <w:rFonts w:hint="eastAsia" w:ascii="Times New Roman" w:hAnsi="Times New Roman" w:cs="Times New Roman"/>
                <w:color w:val="auto"/>
                <w:kern w:val="2"/>
                <w:sz w:val="24"/>
                <w:szCs w:val="24"/>
                <w:u w:val="none" w:color="auto"/>
                <w:lang w:val="en-US" w:eastAsia="zh-CN" w:bidi="ar-SA"/>
              </w:rPr>
              <w:t>废铁</w:t>
            </w:r>
            <w:r>
              <w:rPr>
                <w:rFonts w:hint="default" w:ascii="Times New Roman" w:hAnsi="Times New Roman" w:eastAsia="宋体" w:cs="Times New Roman"/>
                <w:color w:val="auto"/>
                <w:kern w:val="2"/>
                <w:sz w:val="24"/>
                <w:szCs w:val="24"/>
                <w:u w:val="none" w:color="auto"/>
                <w:lang w:val="en-US" w:eastAsia="zh-CN" w:bidi="ar-SA"/>
              </w:rPr>
              <w:t>屑的产生量</w:t>
            </w:r>
            <w:r>
              <w:rPr>
                <w:rFonts w:hint="eastAsia" w:ascii="Times New Roman" w:hAnsi="Times New Roman" w:cs="Times New Roman"/>
                <w:color w:val="auto"/>
                <w:kern w:val="2"/>
                <w:sz w:val="24"/>
                <w:szCs w:val="24"/>
                <w:u w:val="none" w:color="auto"/>
                <w:lang w:val="en-US" w:eastAsia="zh-CN" w:bidi="ar-SA"/>
              </w:rPr>
              <w:t>约</w:t>
            </w:r>
            <w:r>
              <w:rPr>
                <w:rFonts w:hint="default" w:ascii="Times New Roman" w:hAnsi="Times New Roman" w:eastAsia="宋体" w:cs="Times New Roman"/>
                <w:color w:val="auto"/>
                <w:kern w:val="2"/>
                <w:sz w:val="24"/>
                <w:szCs w:val="24"/>
                <w:u w:val="none" w:color="auto"/>
                <w:lang w:val="en-US" w:eastAsia="zh-CN" w:bidi="ar-SA"/>
              </w:rPr>
              <w:t>为</w:t>
            </w:r>
            <w:r>
              <w:rPr>
                <w:rFonts w:hint="eastAsia" w:ascii="Times New Roman" w:hAnsi="Times New Roman" w:cs="Times New Roman"/>
                <w:color w:val="auto"/>
                <w:kern w:val="2"/>
                <w:sz w:val="24"/>
                <w:szCs w:val="24"/>
                <w:u w:val="none" w:color="auto"/>
                <w:lang w:val="en-US" w:eastAsia="zh-CN" w:bidi="ar-SA"/>
              </w:rPr>
              <w:t>4</w:t>
            </w:r>
            <w:r>
              <w:rPr>
                <w:rFonts w:hint="default" w:ascii="Times New Roman" w:hAnsi="Times New Roman" w:eastAsia="宋体" w:cs="Times New Roman"/>
                <w:color w:val="auto"/>
                <w:kern w:val="2"/>
                <w:sz w:val="24"/>
                <w:szCs w:val="24"/>
                <w:u w:val="none" w:color="auto"/>
                <w:lang w:val="en-US" w:eastAsia="zh-CN" w:bidi="ar-SA"/>
              </w:rPr>
              <w:t>t/a，根据《一般固体废物分类与代码》（GB/T39198-2020），其代码为900-099-S17，集中收集后外售综合利用。</w:t>
            </w:r>
          </w:p>
          <w:p w14:paraId="0BD2017C">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lang w:val="en-US" w:eastAsia="zh-CN" w:bidi="ar-SA"/>
              </w:rPr>
            </w:pPr>
            <w:r>
              <w:rPr>
                <w:rFonts w:hint="default" w:ascii="Times New Roman" w:hAnsi="Times New Roman" w:eastAsia="宋体" w:cs="Times New Roman"/>
                <w:color w:val="auto"/>
                <w:kern w:val="2"/>
                <w:sz w:val="24"/>
                <w:szCs w:val="24"/>
                <w:u w:val="none" w:color="auto"/>
                <w:lang w:val="en-US" w:eastAsia="zh-CN" w:bidi="ar-SA"/>
              </w:rPr>
              <w:t>废</w:t>
            </w:r>
            <w:r>
              <w:rPr>
                <w:rFonts w:hint="eastAsia" w:ascii="Times New Roman" w:hAnsi="Times New Roman" w:cs="Times New Roman"/>
                <w:color w:val="auto"/>
                <w:kern w:val="2"/>
                <w:sz w:val="24"/>
                <w:szCs w:val="24"/>
                <w:u w:val="none" w:color="auto"/>
                <w:lang w:val="en-US" w:eastAsia="zh-CN" w:bidi="ar-SA"/>
              </w:rPr>
              <w:t>铁水包</w:t>
            </w:r>
            <w:r>
              <w:rPr>
                <w:rFonts w:hint="default" w:ascii="Times New Roman" w:hAnsi="Times New Roman" w:eastAsia="宋体" w:cs="Times New Roman"/>
                <w:color w:val="auto"/>
                <w:kern w:val="2"/>
                <w:sz w:val="24"/>
                <w:szCs w:val="24"/>
                <w:u w:val="none" w:color="auto"/>
                <w:lang w:val="en-US" w:eastAsia="zh-CN" w:bidi="ar-SA"/>
              </w:rPr>
              <w:t>：本项目</w:t>
            </w:r>
            <w:r>
              <w:rPr>
                <w:rFonts w:hint="eastAsia" w:ascii="Times New Roman" w:hAnsi="Times New Roman" w:cs="Times New Roman"/>
                <w:color w:val="auto"/>
                <w:kern w:val="2"/>
                <w:sz w:val="24"/>
                <w:szCs w:val="24"/>
                <w:u w:val="none" w:color="auto"/>
                <w:lang w:val="en-US" w:eastAsia="zh-CN" w:bidi="ar-SA"/>
              </w:rPr>
              <w:t>废</w:t>
            </w:r>
            <w:r>
              <w:rPr>
                <w:rFonts w:hint="default" w:ascii="Times New Roman" w:hAnsi="Times New Roman" w:eastAsia="宋体" w:cs="Times New Roman"/>
                <w:color w:val="auto"/>
                <w:kern w:val="2"/>
                <w:sz w:val="24"/>
                <w:szCs w:val="24"/>
                <w:u w:val="none" w:color="auto"/>
                <w:lang w:val="en-US" w:eastAsia="zh-CN" w:bidi="ar-SA"/>
              </w:rPr>
              <w:t>铁水包</w:t>
            </w:r>
            <w:r>
              <w:rPr>
                <w:rFonts w:hint="eastAsia" w:ascii="Times New Roman" w:hAnsi="Times New Roman" w:cs="Times New Roman"/>
                <w:color w:val="auto"/>
                <w:kern w:val="2"/>
                <w:sz w:val="24"/>
                <w:szCs w:val="24"/>
                <w:u w:val="none" w:color="auto"/>
                <w:lang w:val="en-US" w:eastAsia="zh-CN" w:bidi="ar-SA"/>
              </w:rPr>
              <w:t>产生量约为5t/年，废铁水包主要成分为</w:t>
            </w:r>
            <w:r>
              <w:rPr>
                <w:rFonts w:hint="default" w:ascii="Times New Roman" w:hAnsi="Times New Roman" w:eastAsia="宋体" w:cs="Times New Roman"/>
                <w:color w:val="auto"/>
                <w:kern w:val="2"/>
                <w:sz w:val="24"/>
                <w:szCs w:val="24"/>
                <w:u w:val="none" w:color="auto"/>
                <w:lang w:val="en-US" w:eastAsia="zh-CN" w:bidi="ar-SA"/>
              </w:rPr>
              <w:t>2.5t水玻璃和砂子，根据《一般固体废物分类与代码》（GB/T39198-2020），其代码为900-099-S17，</w:t>
            </w:r>
            <w:r>
              <w:rPr>
                <w:rFonts w:hint="eastAsia" w:ascii="Times New Roman" w:hAnsi="Times New Roman" w:cs="Times New Roman"/>
                <w:color w:val="auto"/>
                <w:kern w:val="2"/>
                <w:sz w:val="24"/>
                <w:szCs w:val="24"/>
                <w:u w:val="none" w:color="auto"/>
                <w:lang w:val="en-US" w:eastAsia="zh-CN" w:bidi="ar-SA"/>
              </w:rPr>
              <w:t>废铁水包</w:t>
            </w:r>
            <w:r>
              <w:rPr>
                <w:rFonts w:hint="default" w:ascii="Times New Roman" w:hAnsi="Times New Roman" w:eastAsia="宋体" w:cs="Times New Roman"/>
                <w:color w:val="auto"/>
                <w:kern w:val="2"/>
                <w:sz w:val="24"/>
                <w:szCs w:val="24"/>
                <w:u w:val="none" w:color="auto"/>
                <w:lang w:val="en-US" w:eastAsia="zh-CN" w:bidi="ar-SA"/>
              </w:rPr>
              <w:t>暂存在一般固废暂存间，外售</w:t>
            </w:r>
            <w:r>
              <w:rPr>
                <w:rFonts w:hint="eastAsia" w:ascii="Times New Roman" w:hAnsi="Times New Roman" w:cs="Times New Roman"/>
                <w:color w:val="auto"/>
                <w:kern w:val="2"/>
                <w:sz w:val="24"/>
                <w:szCs w:val="24"/>
                <w:u w:val="none" w:color="auto"/>
                <w:lang w:val="en-US" w:eastAsia="zh-CN" w:bidi="ar-SA"/>
              </w:rPr>
              <w:t>给砖厂制砖</w:t>
            </w:r>
            <w:r>
              <w:rPr>
                <w:rFonts w:hint="default" w:ascii="Times New Roman" w:hAnsi="Times New Roman" w:eastAsia="宋体" w:cs="Times New Roman"/>
                <w:color w:val="auto"/>
                <w:kern w:val="2"/>
                <w:sz w:val="24"/>
                <w:szCs w:val="24"/>
                <w:u w:val="none" w:color="auto"/>
                <w:lang w:val="en-US" w:eastAsia="zh-CN" w:bidi="ar-SA"/>
              </w:rPr>
              <w:t>。</w:t>
            </w:r>
          </w:p>
          <w:p w14:paraId="58D6CA7B">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lang w:val="en-US" w:eastAsia="zh-CN" w:bidi="ar-SA"/>
              </w:rPr>
            </w:pPr>
            <w:r>
              <w:rPr>
                <w:rFonts w:hint="eastAsia" w:ascii="Times New Roman" w:hAnsi="Times New Roman" w:cs="Times New Roman"/>
                <w:color w:val="auto"/>
                <w:kern w:val="2"/>
                <w:sz w:val="24"/>
                <w:szCs w:val="24"/>
                <w:u w:val="none" w:color="auto"/>
                <w:lang w:val="en-US" w:eastAsia="zh-CN" w:bidi="ar-SA"/>
              </w:rPr>
              <w:t>废砂</w:t>
            </w:r>
            <w:r>
              <w:rPr>
                <w:rFonts w:hint="default" w:ascii="Times New Roman" w:hAnsi="Times New Roman" w:eastAsia="宋体" w:cs="Times New Roman"/>
                <w:color w:val="auto"/>
                <w:kern w:val="2"/>
                <w:sz w:val="24"/>
                <w:szCs w:val="24"/>
                <w:u w:val="none" w:color="auto"/>
                <w:lang w:val="en-US" w:eastAsia="zh-CN" w:bidi="ar-SA"/>
              </w:rPr>
              <w:t>：生产过程中，铸造原砂经处理翻新后继续使用，翻新处理后</w:t>
            </w:r>
            <w:r>
              <w:rPr>
                <w:rFonts w:hint="eastAsia" w:ascii="Times New Roman" w:hAnsi="Times New Roman" w:cs="Times New Roman"/>
                <w:color w:val="auto"/>
                <w:kern w:val="2"/>
                <w:sz w:val="24"/>
                <w:szCs w:val="24"/>
                <w:u w:val="none" w:color="auto"/>
                <w:lang w:val="en-US" w:eastAsia="zh-CN" w:bidi="ar-SA"/>
              </w:rPr>
              <w:t>部分不合格</w:t>
            </w:r>
            <w:r>
              <w:rPr>
                <w:rFonts w:hint="default" w:ascii="Times New Roman" w:hAnsi="Times New Roman" w:eastAsia="宋体" w:cs="Times New Roman"/>
                <w:color w:val="auto"/>
                <w:kern w:val="2"/>
                <w:sz w:val="24"/>
                <w:szCs w:val="24"/>
                <w:u w:val="none" w:color="auto"/>
                <w:lang w:val="en-US" w:eastAsia="zh-CN" w:bidi="ar-SA"/>
              </w:rPr>
              <w:t>砂不可继续使用，即为废砂，废砂产生量约为用砂的</w:t>
            </w:r>
            <w:r>
              <w:rPr>
                <w:rFonts w:hint="eastAsia" w:ascii="Times New Roman" w:hAnsi="Times New Roman" w:cs="Times New Roman"/>
                <w:color w:val="auto"/>
                <w:kern w:val="2"/>
                <w:sz w:val="24"/>
                <w:szCs w:val="24"/>
                <w:u w:val="none" w:color="auto"/>
                <w:lang w:val="en-US" w:eastAsia="zh-CN" w:bidi="ar-SA"/>
              </w:rPr>
              <w:t>20</w:t>
            </w:r>
            <w:r>
              <w:rPr>
                <w:rFonts w:hint="default" w:ascii="Times New Roman" w:hAnsi="Times New Roman" w:eastAsia="宋体" w:cs="Times New Roman"/>
                <w:color w:val="auto"/>
                <w:kern w:val="2"/>
                <w:sz w:val="24"/>
                <w:szCs w:val="24"/>
                <w:u w:val="none" w:color="auto"/>
                <w:lang w:val="en-US" w:eastAsia="zh-CN" w:bidi="ar-SA"/>
              </w:rPr>
              <w:t>%，即废砂产生量为</w:t>
            </w:r>
            <w:r>
              <w:rPr>
                <w:rFonts w:hint="eastAsia" w:ascii="Times New Roman" w:hAnsi="Times New Roman" w:cs="Times New Roman"/>
                <w:color w:val="auto"/>
                <w:kern w:val="2"/>
                <w:sz w:val="24"/>
                <w:szCs w:val="24"/>
                <w:u w:val="none" w:color="auto"/>
                <w:lang w:val="en-US" w:eastAsia="zh-CN" w:bidi="ar-SA"/>
              </w:rPr>
              <w:t>300</w:t>
            </w:r>
            <w:r>
              <w:rPr>
                <w:rFonts w:hint="default" w:ascii="Times New Roman" w:hAnsi="Times New Roman" w:eastAsia="宋体" w:cs="Times New Roman"/>
                <w:color w:val="auto"/>
                <w:kern w:val="2"/>
                <w:sz w:val="24"/>
                <w:szCs w:val="24"/>
                <w:u w:val="none" w:color="auto"/>
                <w:lang w:val="en-US" w:eastAsia="zh-CN" w:bidi="ar-SA"/>
              </w:rPr>
              <w:t>t/a。根据《一般固体废物分类与代码》（GB/T39198-2020），其代码为900-099-S17</w:t>
            </w:r>
            <w:r>
              <w:rPr>
                <w:rFonts w:hint="eastAsia" w:ascii="Times New Roman" w:hAnsi="Times New Roman" w:cs="Times New Roman"/>
                <w:color w:val="auto"/>
                <w:kern w:val="2"/>
                <w:sz w:val="24"/>
                <w:szCs w:val="24"/>
                <w:u w:val="none" w:color="auto"/>
                <w:lang w:val="en-US" w:eastAsia="zh-CN" w:bidi="ar-SA"/>
              </w:rPr>
              <w:t>，</w:t>
            </w:r>
            <w:r>
              <w:rPr>
                <w:rFonts w:hint="default" w:ascii="Times New Roman" w:hAnsi="Times New Roman" w:eastAsia="宋体" w:cs="Times New Roman"/>
                <w:color w:val="auto"/>
                <w:kern w:val="2"/>
                <w:sz w:val="24"/>
                <w:szCs w:val="24"/>
                <w:u w:val="none" w:color="auto"/>
                <w:lang w:val="en-US" w:eastAsia="zh-CN" w:bidi="ar-SA"/>
              </w:rPr>
              <w:t>外售给砖厂制砖。</w:t>
            </w:r>
          </w:p>
          <w:p w14:paraId="5EBE8EDB">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kern w:val="2"/>
                <w:sz w:val="24"/>
                <w:szCs w:val="24"/>
                <w:u w:val="none" w:color="auto"/>
                <w:lang w:val="en-US" w:eastAsia="zh-CN" w:bidi="ar-SA"/>
              </w:rPr>
            </w:pPr>
            <w:r>
              <w:rPr>
                <w:rFonts w:hint="eastAsia" w:ascii="Times New Roman" w:hAnsi="Times New Roman" w:cs="Times New Roman"/>
                <w:color w:val="auto"/>
                <w:kern w:val="2"/>
                <w:sz w:val="24"/>
                <w:szCs w:val="24"/>
                <w:u w:val="none" w:color="auto"/>
                <w:lang w:val="en-US" w:eastAsia="zh-CN" w:bidi="ar-SA"/>
              </w:rPr>
              <w:t>废布袋：本项目废布袋产生量约为0.2t/年，根据《一般固体废物分类与代码》（GB/T39198-2020），其代码为900-009-S59，废布袋更换时直接交由厂家回收利用，不在厂内暂存。</w:t>
            </w:r>
          </w:p>
          <w:p w14:paraId="14B9CB10">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kern w:val="2"/>
                <w:sz w:val="24"/>
                <w:szCs w:val="24"/>
                <w:u w:val="none" w:color="auto"/>
                <w:lang w:val="en-US" w:eastAsia="zh-CN" w:bidi="ar-SA"/>
              </w:rPr>
            </w:pPr>
            <w:r>
              <w:rPr>
                <w:rFonts w:hint="eastAsia" w:ascii="Times New Roman" w:hAnsi="Times New Roman" w:cs="Times New Roman"/>
                <w:color w:val="auto"/>
                <w:kern w:val="2"/>
                <w:sz w:val="24"/>
                <w:szCs w:val="24"/>
                <w:u w:val="none" w:color="auto"/>
                <w:lang w:val="en-US" w:eastAsia="zh-CN" w:bidi="ar-SA"/>
              </w:rPr>
              <w:t>废布袋除尘器收尘：根据物料衡算，本项目废布袋除尘器收尘产生量约为28.217t/年，主要为收集金属粉尘，根据《一般固体废物分类与代码》（GB/T39198-2020），其代码为900-099-S17，集中收集后外售综合利用。</w:t>
            </w:r>
          </w:p>
          <w:p w14:paraId="419992F9">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u w:val="none" w:color="auto"/>
                <w:lang w:val="en-US" w:eastAsia="zh-CN" w:bidi="ar-SA"/>
              </w:rPr>
            </w:pPr>
            <w:r>
              <w:rPr>
                <w:rFonts w:hint="default" w:ascii="Times New Roman" w:hAnsi="Times New Roman" w:eastAsia="宋体" w:cs="Times New Roman"/>
                <w:color w:val="auto"/>
                <w:kern w:val="2"/>
                <w:sz w:val="24"/>
                <w:szCs w:val="24"/>
                <w:u w:val="none" w:color="auto"/>
                <w:lang w:val="en-US" w:eastAsia="zh-CN" w:bidi="ar-SA"/>
              </w:rPr>
              <w:t>③危险废物</w:t>
            </w:r>
          </w:p>
          <w:p w14:paraId="5B298234">
            <w:pPr>
              <w:pStyle w:val="404"/>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rPr>
              <w:t>废</w:t>
            </w:r>
            <w:r>
              <w:rPr>
                <w:rFonts w:hint="default" w:ascii="Times New Roman" w:hAnsi="Times New Roman" w:cs="Times New Roman"/>
                <w:color w:val="auto"/>
                <w:u w:val="none" w:color="auto"/>
                <w:lang w:val="en-US" w:eastAsia="zh-CN"/>
              </w:rPr>
              <w:t>机油：废机油产生于设备润滑过程中，废机油的年产量约为0.1t/a，根据《国家危险废物名录》（202</w:t>
            </w:r>
            <w:r>
              <w:rPr>
                <w:rFonts w:hint="eastAsia" w:cs="Times New Roman"/>
                <w:color w:val="auto"/>
                <w:u w:val="none" w:color="auto"/>
                <w:lang w:val="en-US" w:eastAsia="zh-CN"/>
              </w:rPr>
              <w:t>5</w:t>
            </w:r>
            <w:r>
              <w:rPr>
                <w:rFonts w:hint="default" w:ascii="Times New Roman" w:hAnsi="Times New Roman" w:cs="Times New Roman"/>
                <w:color w:val="auto"/>
                <w:u w:val="none" w:color="auto"/>
                <w:lang w:val="en-US" w:eastAsia="zh-CN"/>
              </w:rPr>
              <w:t>版），该部分废物属于“HW08废矿物油与含矿物油废物（900-249-08）”中的“其他生产、销售、使用过程中产生的废矿物油及含矿物油废物”，统一收集后暂存于</w:t>
            </w:r>
            <w:r>
              <w:rPr>
                <w:rFonts w:hint="eastAsia" w:cs="Times New Roman"/>
                <w:color w:val="auto"/>
                <w:u w:val="none" w:color="auto"/>
                <w:lang w:val="en-US" w:eastAsia="zh-CN"/>
              </w:rPr>
              <w:t>危险废物贮存库，定期交由有资质单位处置</w:t>
            </w:r>
            <w:r>
              <w:rPr>
                <w:rFonts w:hint="default" w:ascii="Times New Roman" w:hAnsi="Times New Roman" w:cs="Times New Roman"/>
                <w:color w:val="auto"/>
                <w:u w:val="none" w:color="auto"/>
                <w:lang w:val="en-US" w:eastAsia="zh-CN"/>
              </w:rPr>
              <w:t>。</w:t>
            </w:r>
          </w:p>
          <w:p w14:paraId="56A7C237">
            <w:pPr>
              <w:pStyle w:val="404"/>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u w:val="none" w:color="auto"/>
                <w:lang w:val="en-US" w:eastAsia="zh-CN"/>
              </w:rPr>
              <w:t>废机油桶：废机油桶产生于设备润滑过程中，废机油桶的年产量约为0.01t/a，根据《国家危险废物名录》（202</w:t>
            </w:r>
            <w:r>
              <w:rPr>
                <w:rFonts w:hint="eastAsia" w:cs="Times New Roman"/>
                <w:color w:val="auto"/>
                <w:u w:val="none" w:color="auto"/>
                <w:lang w:val="en-US" w:eastAsia="zh-CN"/>
              </w:rPr>
              <w:t>5</w:t>
            </w:r>
            <w:r>
              <w:rPr>
                <w:rFonts w:hint="default" w:ascii="Times New Roman" w:hAnsi="Times New Roman" w:eastAsia="宋体" w:cs="Times New Roman"/>
                <w:color w:val="auto"/>
                <w:u w:val="none" w:color="auto"/>
                <w:lang w:val="en-US" w:eastAsia="zh-CN"/>
              </w:rPr>
              <w:t>版），该部分废物属于“HW08废矿物油与含矿物油废物（900-249-08</w:t>
            </w:r>
            <w:r>
              <w:rPr>
                <w:rFonts w:hint="default" w:ascii="Times New Roman" w:hAnsi="Times New Roman" w:eastAsia="宋体" w:cs="Times New Roman"/>
                <w:color w:val="auto"/>
                <w:highlight w:val="none"/>
                <w:u w:val="none" w:color="auto"/>
                <w:lang w:val="en-US" w:eastAsia="zh-CN"/>
              </w:rPr>
              <w:t>）”中的“其他生产、销售、使用过程中产生的废矿物油及含矿物油废物”，统一收集后暂存于危险废物贮存库，定期交由有资质单位处置。</w:t>
            </w:r>
          </w:p>
          <w:p w14:paraId="09F0460E">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highlight w:val="none"/>
                <w:u w:val="none" w:color="auto"/>
                <w:lang w:val="en-US" w:eastAsia="zh-CN" w:bidi="ar-SA"/>
              </w:rPr>
            </w:pPr>
            <w:r>
              <w:rPr>
                <w:rFonts w:hint="default" w:ascii="Times New Roman" w:hAnsi="Times New Roman" w:eastAsia="宋体" w:cs="Times New Roman"/>
                <w:color w:val="auto"/>
                <w:kern w:val="0"/>
                <w:sz w:val="24"/>
                <w:szCs w:val="24"/>
                <w:highlight w:val="none"/>
                <w:u w:val="none" w:color="auto"/>
                <w:lang w:val="en-US" w:eastAsia="zh-CN" w:bidi="ar-SA"/>
              </w:rPr>
              <w:t>废淬火油及淬火废渣</w:t>
            </w:r>
            <w:r>
              <w:rPr>
                <w:rFonts w:hint="default" w:ascii="Times New Roman" w:hAnsi="Times New Roman" w:cs="Times New Roman"/>
                <w:color w:val="auto"/>
                <w:kern w:val="0"/>
                <w:sz w:val="24"/>
                <w:szCs w:val="24"/>
                <w:highlight w:val="none"/>
                <w:u w:val="none" w:color="auto"/>
                <w:lang w:val="en-US" w:eastAsia="zh-CN" w:bidi="ar-SA"/>
              </w:rPr>
              <w:t>：</w:t>
            </w:r>
            <w:r>
              <w:rPr>
                <w:rFonts w:hint="default" w:ascii="Times New Roman" w:hAnsi="Times New Roman" w:eastAsia="宋体" w:cs="Times New Roman"/>
                <w:color w:val="auto"/>
                <w:kern w:val="0"/>
                <w:sz w:val="24"/>
                <w:szCs w:val="24"/>
                <w:highlight w:val="none"/>
                <w:u w:val="none" w:color="auto"/>
                <w:lang w:val="en-US" w:eastAsia="zh-CN" w:bidi="ar-SA"/>
              </w:rPr>
              <w:t>淬火油主要成分为矿物油，淬火油循环使用，</w:t>
            </w:r>
            <w:r>
              <w:rPr>
                <w:rFonts w:hint="eastAsia" w:ascii="Times New Roman" w:hAnsi="Times New Roman" w:cs="Times New Roman"/>
                <w:color w:val="auto"/>
                <w:kern w:val="0"/>
                <w:sz w:val="24"/>
                <w:szCs w:val="24"/>
                <w:highlight w:val="none"/>
                <w:u w:val="none" w:color="auto"/>
                <w:lang w:val="en-US" w:eastAsia="zh-CN" w:bidi="ar-SA"/>
              </w:rPr>
              <w:t>油雾净化器及油水分离器收集的淬火油回用，</w:t>
            </w:r>
            <w:r>
              <w:rPr>
                <w:rFonts w:hint="default" w:ascii="Times New Roman" w:hAnsi="Times New Roman" w:eastAsia="宋体" w:cs="Times New Roman"/>
                <w:color w:val="auto"/>
                <w:kern w:val="0"/>
                <w:sz w:val="24"/>
                <w:szCs w:val="24"/>
                <w:highlight w:val="none"/>
                <w:u w:val="none" w:color="auto"/>
                <w:lang w:val="en-US" w:eastAsia="zh-CN" w:bidi="ar-SA"/>
              </w:rPr>
              <w:t>只有少量无法回用的部分进行更换，淬火过程中有部分杂质和铸件氧化物会沉淀，定期清理产生淬火废渣，根据建设单位提供资料，本项目废淬火油产生量</w:t>
            </w:r>
            <w:r>
              <w:rPr>
                <w:rFonts w:hint="default" w:ascii="Times New Roman" w:hAnsi="Times New Roman" w:cs="Times New Roman"/>
                <w:color w:val="auto"/>
                <w:kern w:val="0"/>
                <w:sz w:val="24"/>
                <w:szCs w:val="24"/>
                <w:highlight w:val="none"/>
                <w:u w:val="none" w:color="auto"/>
                <w:lang w:val="en-US" w:eastAsia="zh-CN" w:bidi="ar-SA"/>
              </w:rPr>
              <w:t>约</w:t>
            </w:r>
            <w:r>
              <w:rPr>
                <w:rFonts w:hint="default" w:ascii="Times New Roman" w:hAnsi="Times New Roman" w:eastAsia="宋体" w:cs="Times New Roman"/>
                <w:color w:val="auto"/>
                <w:kern w:val="0"/>
                <w:sz w:val="24"/>
                <w:szCs w:val="24"/>
                <w:highlight w:val="none"/>
                <w:u w:val="none" w:color="auto"/>
                <w:lang w:val="en-US" w:eastAsia="zh-CN" w:bidi="ar-SA"/>
              </w:rPr>
              <w:t>为</w:t>
            </w:r>
            <w:r>
              <w:rPr>
                <w:rFonts w:hint="default" w:ascii="Times New Roman" w:hAnsi="Times New Roman" w:cs="Times New Roman"/>
                <w:color w:val="auto"/>
                <w:kern w:val="0"/>
                <w:sz w:val="24"/>
                <w:szCs w:val="24"/>
                <w:highlight w:val="none"/>
                <w:u w:val="none" w:color="auto"/>
                <w:lang w:val="en-US" w:eastAsia="zh-CN" w:bidi="ar-SA"/>
              </w:rPr>
              <w:t>0.5</w:t>
            </w:r>
            <w:r>
              <w:rPr>
                <w:rFonts w:hint="default" w:ascii="Times New Roman" w:hAnsi="Times New Roman" w:eastAsia="宋体" w:cs="Times New Roman"/>
                <w:color w:val="auto"/>
                <w:kern w:val="0"/>
                <w:sz w:val="24"/>
                <w:szCs w:val="24"/>
                <w:highlight w:val="none"/>
                <w:u w:val="none" w:color="auto"/>
                <w:lang w:val="en-US" w:eastAsia="zh-CN" w:bidi="ar-SA"/>
              </w:rPr>
              <w:t>t/a，淬火油废渣产生量约为</w:t>
            </w:r>
            <w:r>
              <w:rPr>
                <w:rFonts w:hint="default" w:ascii="Times New Roman" w:hAnsi="Times New Roman" w:cs="Times New Roman"/>
                <w:color w:val="auto"/>
                <w:kern w:val="0"/>
                <w:sz w:val="24"/>
                <w:szCs w:val="24"/>
                <w:highlight w:val="none"/>
                <w:u w:val="none" w:color="auto"/>
                <w:lang w:val="en-US" w:eastAsia="zh-CN" w:bidi="ar-SA"/>
              </w:rPr>
              <w:t>0.</w:t>
            </w:r>
            <w:r>
              <w:rPr>
                <w:rFonts w:hint="default" w:ascii="Times New Roman" w:hAnsi="Times New Roman" w:eastAsia="宋体" w:cs="Times New Roman"/>
                <w:color w:val="auto"/>
                <w:kern w:val="0"/>
                <w:sz w:val="24"/>
                <w:szCs w:val="24"/>
                <w:highlight w:val="none"/>
                <w:u w:val="none" w:color="auto"/>
                <w:lang w:val="en-US" w:eastAsia="zh-CN" w:bidi="ar-SA"/>
              </w:rPr>
              <w:t>3t/a。属于危险废物，按《国家危险废物名录》（2025年版），废物类别为HW08，废物代码为 900-203-08，统一收集后暂存于危险废物贮存库，定期交由有资质单位处置。</w:t>
            </w:r>
          </w:p>
          <w:p w14:paraId="5F215733">
            <w:pPr>
              <w:pStyle w:val="404"/>
              <w:keepNext w:val="0"/>
              <w:keepLines w:val="0"/>
              <w:suppressLineNumbers w:val="0"/>
              <w:adjustRightInd/>
              <w:snapToGrid/>
              <w:spacing w:before="0" w:beforeAutospacing="0" w:after="0" w:afterAutospacing="0" w:line="360" w:lineRule="auto"/>
              <w:ind w:left="0" w:right="0" w:firstLine="460"/>
              <w:jc w:val="both"/>
              <w:rPr>
                <w:rFonts w:hint="eastAsia" w:ascii="Times New Roman" w:hAnsi="Times New Roman" w:eastAsia="宋体" w:cs="Times New Roman"/>
                <w:color w:val="auto"/>
                <w:u w:val="none" w:color="auto"/>
                <w:lang w:eastAsia="zh-CN"/>
              </w:rPr>
            </w:pPr>
            <w:r>
              <w:rPr>
                <w:rFonts w:hint="eastAsia" w:cs="Times New Roman"/>
                <w:color w:val="auto"/>
                <w:u w:val="none" w:color="auto"/>
                <w:lang w:eastAsia="zh-CN"/>
              </w:rPr>
              <w:t>一般固体废物</w:t>
            </w:r>
            <w:r>
              <w:rPr>
                <w:rFonts w:hint="default" w:ascii="Times New Roman" w:hAnsi="Times New Roman" w:cs="Times New Roman"/>
                <w:color w:val="auto"/>
                <w:u w:val="none" w:color="auto"/>
              </w:rPr>
              <w:t>管理要求</w:t>
            </w:r>
            <w:r>
              <w:rPr>
                <w:rFonts w:hint="eastAsia" w:cs="Times New Roman"/>
                <w:color w:val="auto"/>
                <w:u w:val="none" w:color="auto"/>
                <w:lang w:eastAsia="zh-CN"/>
              </w:rPr>
              <w:t>：</w:t>
            </w:r>
          </w:p>
          <w:p w14:paraId="13ACD42D">
            <w:pPr>
              <w:pStyle w:val="404"/>
              <w:keepNext w:val="0"/>
              <w:keepLines w:val="0"/>
              <w:suppressLineNumbers w:val="0"/>
              <w:adjustRightInd/>
              <w:snapToGrid/>
              <w:spacing w:before="0" w:beforeAutospacing="0" w:after="0" w:afterAutospacing="0" w:line="360" w:lineRule="auto"/>
              <w:ind w:left="0" w:right="0" w:firstLine="460"/>
              <w:jc w:val="both"/>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①</w:t>
            </w:r>
            <w:r>
              <w:rPr>
                <w:rFonts w:hint="default" w:ascii="Times New Roman" w:hAnsi="Times New Roman" w:cs="Times New Roman"/>
                <w:color w:val="auto"/>
                <w:u w:val="none" w:color="auto"/>
              </w:rPr>
              <w:t>对固体废物实行从产生、收集、运输、贮存直至最终处理实行全过程管理，按照有关</w:t>
            </w:r>
            <w:r>
              <w:rPr>
                <w:rFonts w:hint="eastAsia" w:cs="Times New Roman"/>
                <w:color w:val="auto"/>
                <w:u w:val="none" w:color="auto"/>
                <w:lang w:eastAsia="zh-CN"/>
              </w:rPr>
              <w:t>法律法规</w:t>
            </w:r>
            <w:r>
              <w:rPr>
                <w:rFonts w:hint="default" w:ascii="Times New Roman" w:hAnsi="Times New Roman" w:cs="Times New Roman"/>
                <w:color w:val="auto"/>
                <w:u w:val="none" w:color="auto"/>
              </w:rPr>
              <w:t>的要求，对固体废弃物全过程管理应报当地生态环境行政主管部门等批准。</w:t>
            </w:r>
          </w:p>
          <w:p w14:paraId="341BAC93">
            <w:pPr>
              <w:pStyle w:val="404"/>
              <w:keepNext w:val="0"/>
              <w:keepLines w:val="0"/>
              <w:suppressLineNumbers w:val="0"/>
              <w:adjustRightInd/>
              <w:snapToGrid/>
              <w:spacing w:before="0" w:beforeAutospacing="0" w:after="0" w:afterAutospacing="0" w:line="360" w:lineRule="auto"/>
              <w:ind w:left="0" w:right="0" w:firstLine="460"/>
              <w:jc w:val="both"/>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②</w:t>
            </w:r>
            <w:r>
              <w:rPr>
                <w:rFonts w:hint="default" w:ascii="Times New Roman" w:hAnsi="Times New Roman" w:cs="Times New Roman"/>
                <w:color w:val="auto"/>
                <w:u w:val="none" w:color="auto"/>
              </w:rPr>
              <w:t>加强固体废物规范化管理，固体废物分类定点堆放，堆放场所远离办公区和周围环境敏感点，为了减少雨水侵蚀造成的二次污染，临时堆放场地要有防渗漏设施，并加盖顶棚。</w:t>
            </w:r>
          </w:p>
          <w:p w14:paraId="7EB8CF21">
            <w:pPr>
              <w:pStyle w:val="404"/>
              <w:keepNext w:val="0"/>
              <w:keepLines w:val="0"/>
              <w:suppressLineNumbers w:val="0"/>
              <w:adjustRightInd/>
              <w:snapToGrid/>
              <w:spacing w:before="0" w:beforeAutospacing="0" w:after="0" w:afterAutospacing="0" w:line="360" w:lineRule="auto"/>
              <w:ind w:left="0" w:right="0" w:firstLine="460"/>
              <w:jc w:val="both"/>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③</w:t>
            </w:r>
            <w:r>
              <w:rPr>
                <w:rFonts w:hint="default" w:ascii="Times New Roman" w:hAnsi="Times New Roman" w:cs="Times New Roman"/>
                <w:color w:val="auto"/>
                <w:u w:val="none" w:color="auto"/>
              </w:rPr>
              <w:t>固体废物要及时清运，避免产生二次污染</w:t>
            </w:r>
          </w:p>
          <w:p w14:paraId="34548F5D">
            <w:pPr>
              <w:pStyle w:val="404"/>
              <w:keepNext w:val="0"/>
              <w:keepLines w:val="0"/>
              <w:suppressLineNumbers w:val="0"/>
              <w:adjustRightInd/>
              <w:snapToGrid/>
              <w:spacing w:before="0" w:beforeAutospacing="0" w:after="0" w:afterAutospacing="0" w:line="360" w:lineRule="auto"/>
              <w:ind w:left="0" w:right="0" w:firstLine="460"/>
              <w:jc w:val="both"/>
              <w:rPr>
                <w:rFonts w:hint="default" w:ascii="Times New Roman" w:hAnsi="Times New Roman" w:cs="Times New Roman"/>
                <w:color w:val="auto"/>
                <w:u w:val="none" w:color="auto"/>
              </w:rPr>
            </w:pPr>
            <w:r>
              <w:rPr>
                <w:rFonts w:hint="default" w:ascii="Times New Roman" w:hAnsi="Times New Roman" w:cs="Times New Roman"/>
                <w:color w:val="auto"/>
                <w:u w:val="none" w:color="auto"/>
              </w:rPr>
              <w:t>按照《危险废物污染防治技术政策》和《危险废物贮存污染控制标准》（GB18597-2023）的要求，危险废物的临时贮存需设置专门的储存厂房，采用密闭式贮存，本项目</w:t>
            </w:r>
            <w:r>
              <w:rPr>
                <w:rFonts w:hint="default" w:ascii="Times New Roman" w:hAnsi="Times New Roman" w:cs="Times New Roman"/>
                <w:color w:val="auto"/>
                <w:u w:val="none" w:color="auto"/>
                <w:lang w:val="en-US" w:eastAsia="zh-CN"/>
              </w:rPr>
              <w:t>在厂区南侧设置危险废物</w:t>
            </w:r>
            <w:r>
              <w:rPr>
                <w:rFonts w:hint="eastAsia" w:cs="Times New Roman"/>
                <w:color w:val="auto"/>
                <w:u w:val="none" w:color="auto"/>
                <w:lang w:val="en-US" w:eastAsia="zh-CN"/>
              </w:rPr>
              <w:t>贮存库</w:t>
            </w:r>
            <w:r>
              <w:rPr>
                <w:rFonts w:hint="default" w:ascii="Times New Roman" w:hAnsi="Times New Roman" w:cs="Times New Roman"/>
                <w:color w:val="auto"/>
                <w:u w:val="none" w:color="auto"/>
              </w:rPr>
              <w:t>，面积为</w:t>
            </w:r>
            <w:r>
              <w:rPr>
                <w:rFonts w:hint="eastAsia" w:cs="Times New Roman"/>
                <w:color w:val="auto"/>
                <w:u w:val="none" w:color="auto"/>
                <w:lang w:val="en-US" w:eastAsia="zh-CN"/>
              </w:rPr>
              <w:t>5</w:t>
            </w:r>
            <w:r>
              <w:rPr>
                <w:rFonts w:hint="default" w:ascii="Times New Roman" w:hAnsi="Times New Roman" w:cs="Times New Roman"/>
                <w:color w:val="auto"/>
                <w:u w:val="none" w:color="auto"/>
              </w:rPr>
              <w:t>m</w:t>
            </w:r>
            <w:r>
              <w:rPr>
                <w:rFonts w:hint="default" w:ascii="Times New Roman" w:hAnsi="Times New Roman" w:cs="Times New Roman"/>
                <w:color w:val="auto"/>
                <w:u w:val="none" w:color="auto"/>
                <w:vertAlign w:val="superscript"/>
              </w:rPr>
              <w:t>2</w:t>
            </w:r>
            <w:r>
              <w:rPr>
                <w:rFonts w:hint="default" w:ascii="Times New Roman" w:hAnsi="Times New Roman" w:cs="Times New Roman"/>
                <w:color w:val="auto"/>
                <w:u w:val="none" w:color="auto"/>
              </w:rPr>
              <w:t>。</w:t>
            </w:r>
          </w:p>
          <w:p w14:paraId="14A62E30">
            <w:pPr>
              <w:pStyle w:val="404"/>
              <w:keepNext w:val="0"/>
              <w:keepLines w:val="0"/>
              <w:suppressLineNumbers w:val="0"/>
              <w:adjustRightInd/>
              <w:snapToGrid/>
              <w:spacing w:before="0" w:beforeAutospacing="0" w:after="0" w:afterAutospacing="0" w:line="360" w:lineRule="auto"/>
              <w:ind w:left="0" w:right="0" w:firstLine="460"/>
              <w:jc w:val="both"/>
              <w:rPr>
                <w:rFonts w:hint="default" w:ascii="Times New Roman" w:hAnsi="Times New Roman" w:cs="Times New Roman"/>
                <w:color w:val="auto"/>
                <w:u w:val="none" w:color="auto"/>
              </w:rPr>
            </w:pP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 1 \* GB3 \* MERGEFORMAT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①</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lang w:val="en-US" w:eastAsia="zh-CN"/>
              </w:rPr>
              <w:t>危险废物贮存库建设地面与裙脚采用2mm厚高密度聚乙烯膜等人工防渗材料（渗透系数不大于10</w:t>
            </w:r>
            <w:r>
              <w:rPr>
                <w:rFonts w:hint="default" w:ascii="Times New Roman" w:hAnsi="Times New Roman" w:cs="Times New Roman"/>
                <w:color w:val="auto"/>
                <w:u w:val="none" w:color="auto"/>
                <w:vertAlign w:val="superscript"/>
                <w:lang w:val="en-US" w:eastAsia="zh-CN"/>
              </w:rPr>
              <w:t>-10</w:t>
            </w:r>
            <w:r>
              <w:rPr>
                <w:rFonts w:hint="default" w:ascii="Times New Roman" w:hAnsi="Times New Roman" w:cs="Times New Roman"/>
                <w:color w:val="auto"/>
                <w:u w:val="none" w:color="auto"/>
                <w:lang w:val="en-US" w:eastAsia="zh-CN"/>
              </w:rPr>
              <w:t>cm/s），贮存设施或贮存分区内地面、墙面裙脚、堵截</w:t>
            </w:r>
            <w:r>
              <w:rPr>
                <w:rFonts w:hint="eastAsia" w:cs="Times New Roman"/>
                <w:color w:val="auto"/>
                <w:u w:val="none" w:color="auto"/>
                <w:lang w:val="en-US" w:eastAsia="zh-CN"/>
              </w:rPr>
              <w:t>泄漏</w:t>
            </w:r>
            <w:r>
              <w:rPr>
                <w:rFonts w:hint="default" w:ascii="Times New Roman" w:hAnsi="Times New Roman" w:cs="Times New Roman"/>
                <w:color w:val="auto"/>
                <w:u w:val="none" w:color="auto"/>
                <w:lang w:val="en-US" w:eastAsia="zh-CN"/>
              </w:rPr>
              <w:t>的围堰、接触危险废物的隔板和墙体等应采用坚固的材料建造，表面无裂缝。防渗技术要求符合《危险废物贮存污染控制标准》（GB18597-2023）中有关防渗要求。</w:t>
            </w:r>
          </w:p>
          <w:p w14:paraId="5F1FD109">
            <w:pPr>
              <w:pStyle w:val="404"/>
              <w:keepNext w:val="0"/>
              <w:keepLines w:val="0"/>
              <w:suppressLineNumbers w:val="0"/>
              <w:adjustRightInd/>
              <w:snapToGrid/>
              <w:spacing w:before="0" w:beforeAutospacing="0" w:after="0" w:afterAutospacing="0" w:line="360" w:lineRule="auto"/>
              <w:ind w:left="0" w:right="0" w:firstLine="460"/>
              <w:jc w:val="both"/>
              <w:rPr>
                <w:rFonts w:hint="eastAsia"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 2 \* GB3 \* MERGEFORMAT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②</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堆放危险废物的高度应根据地面承载能力确定</w:t>
            </w:r>
            <w:r>
              <w:rPr>
                <w:rFonts w:hint="eastAsia" w:cs="Times New Roman"/>
                <w:color w:val="auto"/>
                <w:u w:val="none" w:color="auto"/>
                <w:lang w:eastAsia="zh-CN"/>
              </w:rPr>
              <w:t>。</w:t>
            </w:r>
          </w:p>
          <w:p w14:paraId="5557C70A">
            <w:pPr>
              <w:pStyle w:val="404"/>
              <w:keepNext w:val="0"/>
              <w:keepLines w:val="0"/>
              <w:suppressLineNumbers w:val="0"/>
              <w:adjustRightInd/>
              <w:snapToGrid/>
              <w:spacing w:before="0" w:beforeAutospacing="0" w:after="0" w:afterAutospacing="0" w:line="360" w:lineRule="auto"/>
              <w:ind w:left="0" w:right="0" w:firstLine="460"/>
              <w:jc w:val="both"/>
              <w:rPr>
                <w:rFonts w:hint="default" w:ascii="Times New Roman" w:hAnsi="Times New Roman" w:cs="Times New Roman"/>
                <w:color w:val="auto"/>
                <w:u w:val="none" w:color="auto"/>
              </w:rPr>
            </w:pP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 3 \* GB3 \* MERGEFORMAT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③</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设施内要有安全照明设施和观察窗口；</w:t>
            </w:r>
          </w:p>
          <w:p w14:paraId="67996B72">
            <w:pPr>
              <w:pStyle w:val="404"/>
              <w:keepNext w:val="0"/>
              <w:keepLines w:val="0"/>
              <w:suppressLineNumbers w:val="0"/>
              <w:adjustRightInd/>
              <w:snapToGrid/>
              <w:spacing w:before="0" w:beforeAutospacing="0" w:after="0" w:afterAutospacing="0" w:line="360" w:lineRule="auto"/>
              <w:ind w:left="0" w:right="0" w:firstLine="460"/>
              <w:jc w:val="both"/>
              <w:rPr>
                <w:rFonts w:hint="eastAsia"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 4 \* GB3 \* MERGEFORMAT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④</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应设计堵截泄漏的裙脚，地面与裙脚所围建的容积不低于堵截最大容器的最大储量或总储量的五分之一</w:t>
            </w:r>
            <w:r>
              <w:rPr>
                <w:rFonts w:hint="eastAsia" w:cs="Times New Roman"/>
                <w:color w:val="auto"/>
                <w:u w:val="none" w:color="auto"/>
                <w:lang w:eastAsia="zh-CN"/>
              </w:rPr>
              <w:t>。</w:t>
            </w:r>
          </w:p>
          <w:p w14:paraId="07BFA108">
            <w:pPr>
              <w:pStyle w:val="404"/>
              <w:keepNext w:val="0"/>
              <w:keepLines w:val="0"/>
              <w:suppressLineNumbers w:val="0"/>
              <w:adjustRightInd/>
              <w:snapToGrid/>
              <w:spacing w:before="0" w:beforeAutospacing="0" w:after="0" w:afterAutospacing="0" w:line="360" w:lineRule="auto"/>
              <w:ind w:left="0" w:right="0" w:firstLine="460"/>
              <w:jc w:val="both"/>
              <w:rPr>
                <w:rFonts w:hint="default" w:ascii="Times New Roman" w:hAnsi="Times New Roman" w:cs="Times New Roman"/>
                <w:color w:val="auto"/>
                <w:u w:val="none" w:color="auto"/>
              </w:rPr>
            </w:pPr>
            <w:r>
              <w:rPr>
                <w:rFonts w:hint="default" w:ascii="Times New Roman" w:hAnsi="Times New Roman" w:cs="Times New Roman"/>
                <w:color w:val="auto"/>
                <w:u w:val="none" w:color="auto"/>
              </w:rPr>
              <w:fldChar w:fldCharType="begin"/>
            </w:r>
            <w:r>
              <w:rPr>
                <w:rFonts w:hint="default" w:ascii="Times New Roman" w:hAnsi="Times New Roman" w:cs="Times New Roman"/>
                <w:color w:val="auto"/>
                <w:u w:val="none" w:color="auto"/>
              </w:rPr>
              <w:instrText xml:space="preserve"> = 5 \* GB3 \* MERGEFORMAT </w:instrText>
            </w:r>
            <w:r>
              <w:rPr>
                <w:rFonts w:hint="default" w:ascii="Times New Roman" w:hAnsi="Times New Roman" w:cs="Times New Roman"/>
                <w:color w:val="auto"/>
                <w:u w:val="none" w:color="auto"/>
              </w:rPr>
              <w:fldChar w:fldCharType="separate"/>
            </w:r>
            <w:r>
              <w:rPr>
                <w:rFonts w:hint="default" w:ascii="Times New Roman" w:hAnsi="Times New Roman" w:cs="Times New Roman"/>
                <w:color w:val="auto"/>
                <w:u w:val="none" w:color="auto"/>
              </w:rPr>
              <w:t>⑤</w:t>
            </w:r>
            <w:r>
              <w:rPr>
                <w:rFonts w:hint="default" w:ascii="Times New Roman" w:hAnsi="Times New Roman" w:cs="Times New Roman"/>
                <w:color w:val="auto"/>
                <w:u w:val="none" w:color="auto"/>
              </w:rPr>
              <w:fldChar w:fldCharType="end"/>
            </w:r>
            <w:r>
              <w:rPr>
                <w:rFonts w:hint="default" w:ascii="Times New Roman" w:hAnsi="Times New Roman" w:cs="Times New Roman"/>
                <w:color w:val="auto"/>
                <w:u w:val="none" w:color="auto"/>
              </w:rPr>
              <w:t>设置危险废物警示标志。</w:t>
            </w:r>
          </w:p>
          <w:p w14:paraId="0A7DFC03">
            <w:pPr>
              <w:pStyle w:val="411"/>
              <w:keepNext w:val="0"/>
              <w:keepLines w:val="0"/>
              <w:suppressLineNumbers w:val="0"/>
              <w:spacing w:before="0" w:beforeLines="0" w:beforeAutospacing="0" w:after="0" w:afterLines="0" w:afterAutospacing="0" w:line="360" w:lineRule="auto"/>
              <w:ind w:left="0" w:right="0" w:firstLineChars="200"/>
              <w:rPr>
                <w:rFonts w:hint="default" w:ascii="Times New Roman" w:hAnsi="Times New Roman" w:eastAsia="宋体" w:cs="Times New Roman"/>
                <w:color w:val="auto"/>
                <w:sz w:val="24"/>
                <w:szCs w:val="24"/>
              </w:rPr>
            </w:pPr>
            <w:r>
              <w:rPr>
                <w:rFonts w:hint="default" w:ascii="Times New Roman" w:hAnsi="Times New Roman" w:cs="Times New Roman"/>
                <w:color w:val="auto"/>
                <w:sz w:val="24"/>
                <w:szCs w:val="24"/>
                <w:lang w:val="en-US" w:eastAsia="zh-CN"/>
              </w:rPr>
              <w:t>危险废物</w:t>
            </w:r>
            <w:r>
              <w:rPr>
                <w:rFonts w:hint="default" w:ascii="Times New Roman" w:hAnsi="Times New Roman" w:eastAsia="宋体" w:cs="Times New Roman"/>
                <w:color w:val="auto"/>
                <w:sz w:val="24"/>
                <w:szCs w:val="24"/>
              </w:rPr>
              <w:t>转移过程中应按照《危险废物转移联单管理办法》等有关规定实行，严格落实危险废物转移联单制度；运输过程按照《危险废物收集 贮存 运输技术规范》（HJ</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2025）要求进行；转运过程均由有资质单位负责。</w:t>
            </w:r>
          </w:p>
          <w:p w14:paraId="0A6FAF76">
            <w:pPr>
              <w:pStyle w:val="411"/>
              <w:keepNext w:val="0"/>
              <w:keepLines w:val="0"/>
              <w:suppressLineNumbers w:val="0"/>
              <w:spacing w:before="0" w:beforeLines="0" w:beforeAutospacing="0" w:after="0" w:afterLines="0" w:afterAutospacing="0" w:line="360" w:lineRule="auto"/>
              <w:ind w:left="0" w:right="0" w:firstLineChars="200"/>
              <w:rPr>
                <w:rFonts w:hint="default" w:ascii="宋体" w:hAnsi="Times New Roman" w:eastAsia="宋体" w:cs="宋体"/>
                <w:color w:val="auto"/>
                <w:sz w:val="24"/>
                <w:szCs w:val="24"/>
              </w:rPr>
            </w:pPr>
            <w:r>
              <w:rPr>
                <w:rFonts w:hint="default" w:ascii="宋体" w:hAnsi="Times New Roman" w:eastAsia="宋体" w:cs="宋体"/>
                <w:color w:val="auto"/>
                <w:sz w:val="24"/>
                <w:szCs w:val="24"/>
              </w:rPr>
              <w:t>本项目运营期固体废物产生情况汇总见下表：</w:t>
            </w:r>
          </w:p>
          <w:p w14:paraId="00FACBF7">
            <w:pPr>
              <w:pStyle w:val="403"/>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sz w:val="21"/>
                <w:szCs w:val="21"/>
                <w:u w:val="none" w:color="auto"/>
                <w:lang w:val="en-US" w:eastAsia="zh-CN"/>
              </w:rPr>
            </w:pPr>
            <w:r>
              <w:rPr>
                <w:rFonts w:hint="default" w:ascii="Times New Roman" w:hAnsi="Times New Roman" w:eastAsia="宋体" w:cs="Times New Roman"/>
                <w:b/>
                <w:color w:val="auto"/>
                <w:sz w:val="21"/>
                <w:szCs w:val="21"/>
                <w:u w:val="none" w:color="auto"/>
                <w:lang w:val="en-US" w:eastAsia="zh-CN"/>
              </w:rPr>
              <w:t>表4-</w:t>
            </w:r>
            <w:r>
              <w:rPr>
                <w:rFonts w:hint="eastAsia" w:ascii="Times New Roman" w:hAnsi="Times New Roman" w:eastAsia="宋体" w:cs="Times New Roman"/>
                <w:b/>
                <w:color w:val="auto"/>
                <w:sz w:val="21"/>
                <w:szCs w:val="21"/>
                <w:u w:val="none" w:color="auto"/>
                <w:lang w:val="en-US" w:eastAsia="zh-CN"/>
              </w:rPr>
              <w:t>21</w:t>
            </w:r>
            <w:r>
              <w:rPr>
                <w:rFonts w:hint="default" w:ascii="Times New Roman" w:hAnsi="Times New Roman" w:eastAsia="宋体" w:cs="Times New Roman"/>
                <w:b/>
                <w:color w:val="auto"/>
                <w:sz w:val="21"/>
                <w:szCs w:val="21"/>
                <w:u w:val="none" w:color="auto"/>
                <w:lang w:val="en-US" w:eastAsia="zh-CN"/>
              </w:rPr>
              <w:t xml:space="preserve"> </w:t>
            </w:r>
            <w:r>
              <w:rPr>
                <w:rFonts w:hint="eastAsia" w:ascii="Times New Roman" w:hAnsi="Times New Roman" w:eastAsia="宋体" w:cs="Times New Roman"/>
                <w:b/>
                <w:color w:val="auto"/>
                <w:sz w:val="21"/>
                <w:szCs w:val="21"/>
                <w:u w:val="none" w:color="auto"/>
                <w:lang w:val="en-US" w:eastAsia="zh-CN"/>
              </w:rPr>
              <w:t xml:space="preserve"> </w:t>
            </w:r>
            <w:r>
              <w:rPr>
                <w:rFonts w:hint="default" w:ascii="Times New Roman" w:hAnsi="Times New Roman" w:eastAsia="宋体" w:cs="Times New Roman"/>
                <w:b/>
                <w:color w:val="auto"/>
                <w:sz w:val="21"/>
                <w:szCs w:val="21"/>
                <w:u w:val="none" w:color="auto"/>
                <w:lang w:val="en-US" w:eastAsia="zh-CN"/>
              </w:rPr>
              <w:t>营期固体废物产生情况一览表</w:t>
            </w:r>
          </w:p>
          <w:tbl>
            <w:tblPr>
              <w:tblStyle w:val="56"/>
              <w:tblW w:w="4995"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310"/>
              <w:gridCol w:w="922"/>
              <w:gridCol w:w="847"/>
              <w:gridCol w:w="407"/>
              <w:gridCol w:w="906"/>
              <w:gridCol w:w="940"/>
              <w:gridCol w:w="450"/>
              <w:gridCol w:w="897"/>
              <w:gridCol w:w="628"/>
              <w:gridCol w:w="673"/>
              <w:gridCol w:w="1295"/>
            </w:tblGrid>
            <w:tr w14:paraId="4C94720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87" w:type="pct"/>
                  <w:vMerge w:val="restart"/>
                  <w:tcBorders>
                    <w:tl2br w:val="nil"/>
                    <w:tr2bl w:val="nil"/>
                  </w:tcBorders>
                  <w:noWrap w:val="0"/>
                  <w:vAlign w:val="center"/>
                </w:tcPr>
                <w:p w14:paraId="0E23607D">
                  <w:pPr>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557" w:type="pct"/>
                  <w:vMerge w:val="restart"/>
                  <w:tcBorders>
                    <w:tl2br w:val="nil"/>
                    <w:tr2bl w:val="nil"/>
                  </w:tcBorders>
                  <w:noWrap w:val="0"/>
                  <w:vAlign w:val="center"/>
                </w:tcPr>
                <w:p w14:paraId="05615A3D">
                  <w:pPr>
                    <w:keepNext w:val="0"/>
                    <w:keepLines w:val="0"/>
                    <w:suppressLineNumbers w:val="0"/>
                    <w:spacing w:before="0" w:beforeLines="0" w:beforeAutospacing="0" w:after="0" w:afterLines="0" w:afterAutospacing="0" w:line="240" w:lineRule="auto"/>
                    <w:ind w:left="0" w:right="0"/>
                    <w:rPr>
                      <w:rFonts w:hint="default" w:ascii="Times New Roman" w:hAnsi="Times New Roman" w:eastAsia="Times New Roman" w:cs="Times New Roman"/>
                      <w:b/>
                      <w:bCs/>
                      <w:color w:val="auto"/>
                      <w:sz w:val="21"/>
                      <w:szCs w:val="21"/>
                    </w:rPr>
                  </w:pPr>
                  <w:r>
                    <w:rPr>
                      <w:rFonts w:hint="default" w:ascii="Times New Roman" w:hAnsi="Times New Roman" w:eastAsia="宋体" w:cs="Times New Roman"/>
                      <w:b/>
                      <w:bCs/>
                      <w:color w:val="auto"/>
                      <w:sz w:val="21"/>
                      <w:szCs w:val="21"/>
                    </w:rPr>
                    <w:t>固体废物名称</w:t>
                  </w:r>
                </w:p>
              </w:tc>
              <w:tc>
                <w:tcPr>
                  <w:tcW w:w="511" w:type="pct"/>
                  <w:vMerge w:val="restart"/>
                  <w:tcBorders>
                    <w:tl2br w:val="nil"/>
                    <w:tr2bl w:val="nil"/>
                  </w:tcBorders>
                  <w:noWrap w:val="0"/>
                  <w:vAlign w:val="center"/>
                </w:tcPr>
                <w:p w14:paraId="4302C1DC">
                  <w:pPr>
                    <w:pStyle w:val="49"/>
                    <w:keepNext w:val="0"/>
                    <w:keepLines w:val="0"/>
                    <w:suppressLineNumbers w:val="0"/>
                    <w:spacing w:before="0" w:beforeLines="0" w:beforeAutospacing="0" w:after="0" w:afterLines="0" w:afterAutospacing="0" w:line="240" w:lineRule="auto"/>
                    <w:ind w:left="0" w:leftChars="0" w:right="0"/>
                    <w:jc w:val="center"/>
                    <w:rPr>
                      <w:rFonts w:hint="default" w:ascii="Times New Roman" w:hAnsi="Times New Roman" w:cs="Times New Roman"/>
                      <w:b/>
                      <w:bCs/>
                      <w:color w:val="auto"/>
                      <w:sz w:val="21"/>
                      <w:szCs w:val="21"/>
                    </w:rPr>
                  </w:pPr>
                  <w:r>
                    <w:rPr>
                      <w:rFonts w:hint="default" w:ascii="Times New Roman" w:hAnsi="Times New Roman" w:eastAsia="宋体" w:cs="Times New Roman"/>
                      <w:b/>
                      <w:bCs/>
                      <w:color w:val="auto"/>
                      <w:sz w:val="21"/>
                      <w:szCs w:val="21"/>
                    </w:rPr>
                    <w:t>工序</w:t>
                  </w:r>
                </w:p>
              </w:tc>
              <w:tc>
                <w:tcPr>
                  <w:tcW w:w="245" w:type="pct"/>
                  <w:vMerge w:val="restart"/>
                  <w:tcBorders>
                    <w:tl2br w:val="nil"/>
                    <w:tr2bl w:val="nil"/>
                  </w:tcBorders>
                  <w:noWrap w:val="0"/>
                  <w:vAlign w:val="center"/>
                </w:tcPr>
                <w:p w14:paraId="7C0D0616">
                  <w:pPr>
                    <w:pStyle w:val="49"/>
                    <w:keepNext w:val="0"/>
                    <w:keepLines w:val="0"/>
                    <w:suppressLineNumbers w:val="0"/>
                    <w:spacing w:before="0" w:beforeLines="0" w:beforeAutospacing="0" w:after="0" w:afterLines="0" w:afterAutospacing="0" w:line="240" w:lineRule="auto"/>
                    <w:ind w:left="0" w:leftChars="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形态</w:t>
                  </w:r>
                </w:p>
              </w:tc>
              <w:tc>
                <w:tcPr>
                  <w:tcW w:w="547" w:type="pct"/>
                  <w:vMerge w:val="restart"/>
                  <w:tcBorders>
                    <w:tl2br w:val="nil"/>
                    <w:tr2bl w:val="nil"/>
                  </w:tcBorders>
                  <w:noWrap w:val="0"/>
                  <w:vAlign w:val="center"/>
                </w:tcPr>
                <w:p w14:paraId="2635B63D">
                  <w:pPr>
                    <w:pStyle w:val="49"/>
                    <w:keepNext w:val="0"/>
                    <w:keepLines w:val="0"/>
                    <w:suppressLineNumbers w:val="0"/>
                    <w:spacing w:before="0" w:beforeLines="0" w:beforeAutospacing="0" w:after="0" w:afterLines="0" w:afterAutospacing="0" w:line="240" w:lineRule="auto"/>
                    <w:ind w:left="0" w:leftChars="0" w:right="0"/>
                    <w:jc w:val="center"/>
                    <w:rPr>
                      <w:rFonts w:hint="default" w:ascii="Times New Roman" w:hAnsi="Times New Roman" w:cs="Times New Roman"/>
                      <w:b/>
                      <w:bCs/>
                      <w:color w:val="auto"/>
                      <w:sz w:val="21"/>
                      <w:szCs w:val="21"/>
                    </w:rPr>
                  </w:pPr>
                  <w:r>
                    <w:rPr>
                      <w:rFonts w:hint="default" w:ascii="Times New Roman" w:hAnsi="Times New Roman" w:eastAsia="宋体" w:cs="Times New Roman"/>
                      <w:b/>
                      <w:bCs/>
                      <w:color w:val="auto"/>
                      <w:sz w:val="21"/>
                      <w:szCs w:val="21"/>
                    </w:rPr>
                    <w:t>固废属性</w:t>
                  </w:r>
                </w:p>
              </w:tc>
              <w:tc>
                <w:tcPr>
                  <w:tcW w:w="567" w:type="pct"/>
                  <w:vMerge w:val="restart"/>
                  <w:tcBorders>
                    <w:tl2br w:val="nil"/>
                    <w:tr2bl w:val="nil"/>
                  </w:tcBorders>
                  <w:noWrap w:val="0"/>
                  <w:vAlign w:val="center"/>
                </w:tcPr>
                <w:p w14:paraId="41E664F6">
                  <w:pPr>
                    <w:pStyle w:val="49"/>
                    <w:keepNext w:val="0"/>
                    <w:keepLines w:val="0"/>
                    <w:suppressLineNumbers w:val="0"/>
                    <w:spacing w:before="0" w:beforeLines="0" w:beforeAutospacing="0" w:after="0" w:afterLines="0" w:afterAutospacing="0" w:line="240" w:lineRule="auto"/>
                    <w:ind w:left="0" w:leftChars="0" w:right="0"/>
                    <w:jc w:val="center"/>
                    <w:rPr>
                      <w:rFonts w:hint="default" w:ascii="Times New Roman" w:hAnsi="Times New Roman" w:cs="Times New Roman"/>
                      <w:b/>
                      <w:bCs/>
                      <w:color w:val="auto"/>
                      <w:sz w:val="21"/>
                      <w:szCs w:val="21"/>
                    </w:rPr>
                  </w:pPr>
                  <w:r>
                    <w:rPr>
                      <w:rFonts w:hint="default" w:ascii="Times New Roman" w:hAnsi="Times New Roman" w:eastAsia="宋体" w:cs="Times New Roman"/>
                      <w:b/>
                      <w:bCs/>
                      <w:color w:val="auto"/>
                      <w:sz w:val="21"/>
                      <w:szCs w:val="21"/>
                    </w:rPr>
                    <w:t>类别代码</w:t>
                  </w:r>
                </w:p>
              </w:tc>
              <w:tc>
                <w:tcPr>
                  <w:tcW w:w="271" w:type="pct"/>
                  <w:vMerge w:val="restart"/>
                  <w:tcBorders>
                    <w:tl2br w:val="nil"/>
                    <w:tr2bl w:val="nil"/>
                  </w:tcBorders>
                  <w:noWrap w:val="0"/>
                  <w:vAlign w:val="center"/>
                </w:tcPr>
                <w:p w14:paraId="0DC27D5A">
                  <w:pPr>
                    <w:pStyle w:val="49"/>
                    <w:keepNext w:val="0"/>
                    <w:keepLines w:val="0"/>
                    <w:suppressLineNumbers w:val="0"/>
                    <w:spacing w:before="0" w:beforeLines="0" w:beforeAutospacing="0" w:after="0" w:afterLines="0" w:afterAutospacing="0" w:line="240" w:lineRule="auto"/>
                    <w:ind w:left="0" w:leftChars="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w:t>
                  </w:r>
                </w:p>
                <w:p w14:paraId="0D255FF9">
                  <w:pPr>
                    <w:pStyle w:val="49"/>
                    <w:keepNext w:val="0"/>
                    <w:keepLines w:val="0"/>
                    <w:suppressLineNumbers w:val="0"/>
                    <w:spacing w:before="0" w:beforeLines="0" w:beforeAutospacing="0" w:after="0" w:afterLines="0" w:afterAutospacing="0" w:line="240" w:lineRule="auto"/>
                    <w:ind w:left="0" w:leftChars="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特性</w:t>
                  </w:r>
                </w:p>
              </w:tc>
              <w:tc>
                <w:tcPr>
                  <w:tcW w:w="921" w:type="pct"/>
                  <w:gridSpan w:val="2"/>
                  <w:tcBorders>
                    <w:tl2br w:val="nil"/>
                    <w:tr2bl w:val="nil"/>
                  </w:tcBorders>
                  <w:noWrap w:val="0"/>
                  <w:vAlign w:val="center"/>
                </w:tcPr>
                <w:p w14:paraId="1EF70CB7">
                  <w:pPr>
                    <w:pStyle w:val="409"/>
                    <w:keepNext w:val="0"/>
                    <w:keepLines w:val="0"/>
                    <w:suppressLineNumbers w:val="0"/>
                    <w:adjustRightInd w:val="0"/>
                    <w:snapToGrid w:val="0"/>
                    <w:spacing w:before="0" w:beforeLines="0" w:beforeAutospacing="0" w:after="0" w:afterLines="0" w:afterAutospacing="0" w:line="240" w:lineRule="auto"/>
                    <w:ind w:left="0" w:right="0"/>
                    <w:rPr>
                      <w:rFonts w:hint="default" w:ascii="Times New Roman" w:hAnsi="Times New Roman" w:cs="Times New Roman"/>
                      <w:b/>
                      <w:bCs/>
                      <w:color w:val="auto"/>
                      <w:sz w:val="21"/>
                      <w:szCs w:val="21"/>
                    </w:rPr>
                  </w:pPr>
                  <w:r>
                    <w:rPr>
                      <w:rFonts w:hint="default" w:ascii="Times New Roman" w:hAnsi="Times New Roman" w:eastAsia="宋体" w:cs="Times New Roman"/>
                      <w:b/>
                      <w:bCs/>
                      <w:color w:val="auto"/>
                      <w:sz w:val="21"/>
                      <w:szCs w:val="21"/>
                    </w:rPr>
                    <w:t>产生情况</w:t>
                  </w:r>
                </w:p>
              </w:tc>
              <w:tc>
                <w:tcPr>
                  <w:tcW w:w="406" w:type="pct"/>
                  <w:vMerge w:val="restart"/>
                  <w:tcBorders>
                    <w:tl2br w:val="nil"/>
                    <w:tr2bl w:val="nil"/>
                  </w:tcBorders>
                  <w:noWrap w:val="0"/>
                  <w:vAlign w:val="center"/>
                </w:tcPr>
                <w:p w14:paraId="22B92120">
                  <w:pPr>
                    <w:keepNext w:val="0"/>
                    <w:keepLines w:val="0"/>
                    <w:suppressLineNumbers w:val="0"/>
                    <w:adjustRightInd w:val="0"/>
                    <w:snapToGrid w:val="0"/>
                    <w:spacing w:before="0" w:beforeLines="0" w:beforeAutospacing="0" w:after="0" w:afterLines="0" w:afterAutospacing="0" w:line="240" w:lineRule="auto"/>
                    <w:ind w:left="0" w:right="0"/>
                    <w:jc w:val="center"/>
                    <w:rPr>
                      <w:rFonts w:hint="default" w:ascii="Times New Roman" w:hAnsi="Times New Roman" w:eastAsia="Times New Roman" w:cs="Times New Roman"/>
                      <w:b/>
                      <w:bCs/>
                      <w:color w:val="auto"/>
                      <w:sz w:val="21"/>
                      <w:szCs w:val="21"/>
                    </w:rPr>
                  </w:pPr>
                  <w:r>
                    <w:rPr>
                      <w:rFonts w:hint="default" w:ascii="Times New Roman" w:hAnsi="Times New Roman" w:eastAsia="宋体" w:cs="Times New Roman"/>
                      <w:b/>
                      <w:bCs/>
                      <w:color w:val="auto"/>
                      <w:sz w:val="21"/>
                      <w:szCs w:val="21"/>
                    </w:rPr>
                    <w:t>排放量</w:t>
                  </w:r>
                </w:p>
                <w:p w14:paraId="58B5A106">
                  <w:pPr>
                    <w:keepNext w:val="0"/>
                    <w:keepLines w:val="0"/>
                    <w:suppressLineNumbers w:val="0"/>
                    <w:adjustRightInd w:val="0"/>
                    <w:snapToGrid w:val="0"/>
                    <w:spacing w:before="0" w:beforeLines="0" w:beforeAutospacing="0" w:after="0" w:afterLines="0" w:afterAutospacing="0" w:line="240" w:lineRule="auto"/>
                    <w:ind w:left="0" w:right="0"/>
                    <w:jc w:val="center"/>
                    <w:rPr>
                      <w:rFonts w:hint="default" w:ascii="Times New Roman" w:hAnsi="Times New Roman" w:eastAsia="Times New Roman" w:cs="Times New Roman"/>
                      <w:b/>
                      <w:bCs/>
                      <w:color w:val="auto"/>
                      <w:sz w:val="21"/>
                      <w:szCs w:val="21"/>
                    </w:rPr>
                  </w:pPr>
                  <w:r>
                    <w:rPr>
                      <w:rFonts w:hint="eastAsia" w:ascii="Times New Roman" w:hAnsi="Times New Roman" w:cs="Times New Roman"/>
                      <w:b/>
                      <w:bCs/>
                      <w:color w:val="auto"/>
                      <w:sz w:val="21"/>
                      <w:szCs w:val="21"/>
                      <w:lang w:eastAsia="zh-CN"/>
                    </w:rPr>
                    <w:t>(</w:t>
                  </w:r>
                  <w:r>
                    <w:rPr>
                      <w:rFonts w:hint="default" w:ascii="Times New Roman" w:hAnsi="Times New Roman" w:eastAsia="宋体" w:cs="Times New Roman"/>
                      <w:b/>
                      <w:bCs/>
                      <w:color w:val="auto"/>
                      <w:sz w:val="21"/>
                      <w:szCs w:val="21"/>
                    </w:rPr>
                    <w:t>t/a</w:t>
                  </w:r>
                  <w:r>
                    <w:rPr>
                      <w:rFonts w:hint="eastAsia" w:ascii="Times New Roman" w:hAnsi="Times New Roman" w:cs="Times New Roman"/>
                      <w:b/>
                      <w:bCs/>
                      <w:color w:val="auto"/>
                      <w:sz w:val="21"/>
                      <w:szCs w:val="21"/>
                      <w:lang w:eastAsia="zh-CN"/>
                    </w:rPr>
                    <w:t>)</w:t>
                  </w:r>
                </w:p>
              </w:tc>
              <w:tc>
                <w:tcPr>
                  <w:tcW w:w="782" w:type="pct"/>
                  <w:vMerge w:val="restart"/>
                  <w:tcBorders>
                    <w:tl2br w:val="nil"/>
                    <w:tr2bl w:val="nil"/>
                  </w:tcBorders>
                  <w:noWrap w:val="0"/>
                  <w:vAlign w:val="center"/>
                </w:tcPr>
                <w:p w14:paraId="75DBB09D">
                  <w:pPr>
                    <w:keepNext w:val="0"/>
                    <w:keepLines w:val="0"/>
                    <w:suppressLineNumbers w:val="0"/>
                    <w:adjustRightInd w:val="0"/>
                    <w:snapToGrid w:val="0"/>
                    <w:spacing w:before="0" w:beforeLines="0" w:beforeAutospacing="0" w:after="0" w:afterLines="0" w:afterAutospacing="0" w:line="240" w:lineRule="auto"/>
                    <w:ind w:left="0" w:right="0"/>
                    <w:jc w:val="center"/>
                    <w:rPr>
                      <w:rFonts w:hint="default" w:ascii="Times New Roman" w:hAnsi="Times New Roman" w:eastAsia="Times New Roman" w:cs="Times New Roman"/>
                      <w:b/>
                      <w:bCs/>
                      <w:color w:val="auto"/>
                      <w:sz w:val="21"/>
                      <w:szCs w:val="21"/>
                    </w:rPr>
                  </w:pPr>
                  <w:r>
                    <w:rPr>
                      <w:rFonts w:hint="default" w:ascii="Times New Roman" w:hAnsi="Times New Roman" w:eastAsia="宋体" w:cs="Times New Roman"/>
                      <w:b/>
                      <w:bCs/>
                      <w:color w:val="auto"/>
                      <w:sz w:val="21"/>
                      <w:szCs w:val="21"/>
                    </w:rPr>
                    <w:t>最终去向</w:t>
                  </w:r>
                </w:p>
              </w:tc>
            </w:tr>
            <w:tr w14:paraId="76626E7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87" w:type="pct"/>
                  <w:vMerge w:val="continue"/>
                  <w:tcBorders>
                    <w:tl2br w:val="nil"/>
                    <w:tr2bl w:val="nil"/>
                  </w:tcBorders>
                  <w:noWrap w:val="0"/>
                  <w:vAlign w:val="center"/>
                </w:tcPr>
                <w:p w14:paraId="2A96425B">
                  <w:pPr>
                    <w:pStyle w:val="49"/>
                    <w:keepNext w:val="0"/>
                    <w:keepLines w:val="0"/>
                    <w:suppressLineNumbers w:val="0"/>
                    <w:spacing w:before="0" w:beforeLines="0" w:beforeAutospacing="0" w:after="0" w:afterLines="0" w:afterAutospacing="0" w:line="240" w:lineRule="auto"/>
                    <w:ind w:left="0" w:leftChars="0" w:right="0"/>
                    <w:rPr>
                      <w:rFonts w:hint="default" w:ascii="Times New Roman" w:hAnsi="Times New Roman" w:cs="Times New Roman"/>
                      <w:color w:val="auto"/>
                      <w:sz w:val="21"/>
                      <w:szCs w:val="21"/>
                    </w:rPr>
                  </w:pPr>
                </w:p>
              </w:tc>
              <w:tc>
                <w:tcPr>
                  <w:tcW w:w="557" w:type="pct"/>
                  <w:vMerge w:val="continue"/>
                  <w:tcBorders>
                    <w:tl2br w:val="nil"/>
                    <w:tr2bl w:val="nil"/>
                  </w:tcBorders>
                  <w:noWrap w:val="0"/>
                  <w:vAlign w:val="center"/>
                </w:tcPr>
                <w:p w14:paraId="11E2B97D">
                  <w:pPr>
                    <w:pStyle w:val="49"/>
                    <w:keepNext w:val="0"/>
                    <w:keepLines w:val="0"/>
                    <w:suppressLineNumbers w:val="0"/>
                    <w:spacing w:before="0" w:beforeLines="0" w:beforeAutospacing="0" w:after="0" w:afterLines="0" w:afterAutospacing="0" w:line="240" w:lineRule="auto"/>
                    <w:ind w:left="0" w:leftChars="0" w:right="0"/>
                    <w:jc w:val="center"/>
                    <w:rPr>
                      <w:rFonts w:hint="default" w:ascii="Times New Roman" w:hAnsi="Times New Roman" w:cs="Times New Roman"/>
                      <w:color w:val="auto"/>
                      <w:sz w:val="21"/>
                      <w:szCs w:val="21"/>
                    </w:rPr>
                  </w:pPr>
                </w:p>
              </w:tc>
              <w:tc>
                <w:tcPr>
                  <w:tcW w:w="511" w:type="pct"/>
                  <w:vMerge w:val="continue"/>
                  <w:tcBorders>
                    <w:tl2br w:val="nil"/>
                    <w:tr2bl w:val="nil"/>
                  </w:tcBorders>
                  <w:noWrap w:val="0"/>
                  <w:vAlign w:val="center"/>
                </w:tcPr>
                <w:p w14:paraId="4CE6229F">
                  <w:pPr>
                    <w:pStyle w:val="49"/>
                    <w:keepNext w:val="0"/>
                    <w:keepLines w:val="0"/>
                    <w:suppressLineNumbers w:val="0"/>
                    <w:spacing w:before="0" w:beforeLines="0" w:beforeAutospacing="0" w:after="0" w:afterLines="0" w:afterAutospacing="0" w:line="240" w:lineRule="auto"/>
                    <w:ind w:left="0" w:leftChars="0" w:right="0"/>
                    <w:jc w:val="center"/>
                    <w:rPr>
                      <w:rFonts w:hint="default" w:ascii="Times New Roman" w:hAnsi="Times New Roman" w:cs="Times New Roman"/>
                      <w:color w:val="auto"/>
                      <w:sz w:val="21"/>
                      <w:szCs w:val="21"/>
                    </w:rPr>
                  </w:pPr>
                </w:p>
              </w:tc>
              <w:tc>
                <w:tcPr>
                  <w:tcW w:w="245" w:type="pct"/>
                  <w:vMerge w:val="continue"/>
                  <w:tcBorders>
                    <w:tl2br w:val="nil"/>
                    <w:tr2bl w:val="nil"/>
                  </w:tcBorders>
                  <w:noWrap w:val="0"/>
                  <w:vAlign w:val="center"/>
                </w:tcPr>
                <w:p w14:paraId="408E5898">
                  <w:pPr>
                    <w:pStyle w:val="49"/>
                    <w:keepNext w:val="0"/>
                    <w:keepLines w:val="0"/>
                    <w:suppressLineNumbers w:val="0"/>
                    <w:spacing w:before="0" w:beforeLines="0" w:beforeAutospacing="0" w:after="0" w:afterLines="0" w:afterAutospacing="0" w:line="240" w:lineRule="auto"/>
                    <w:ind w:left="0" w:leftChars="0" w:right="0"/>
                    <w:jc w:val="center"/>
                    <w:rPr>
                      <w:rFonts w:hint="default" w:ascii="Times New Roman" w:hAnsi="Times New Roman" w:eastAsia="宋体" w:cs="Times New Roman"/>
                      <w:color w:val="auto"/>
                      <w:sz w:val="21"/>
                      <w:szCs w:val="21"/>
                    </w:rPr>
                  </w:pPr>
                </w:p>
              </w:tc>
              <w:tc>
                <w:tcPr>
                  <w:tcW w:w="547" w:type="pct"/>
                  <w:vMerge w:val="continue"/>
                  <w:tcBorders>
                    <w:tl2br w:val="nil"/>
                    <w:tr2bl w:val="nil"/>
                  </w:tcBorders>
                  <w:noWrap w:val="0"/>
                  <w:vAlign w:val="center"/>
                </w:tcPr>
                <w:p w14:paraId="6FD43B35">
                  <w:pPr>
                    <w:pStyle w:val="49"/>
                    <w:keepNext w:val="0"/>
                    <w:keepLines w:val="0"/>
                    <w:suppressLineNumbers w:val="0"/>
                    <w:spacing w:before="0" w:beforeLines="0" w:beforeAutospacing="0" w:after="0" w:afterLines="0" w:afterAutospacing="0" w:line="240" w:lineRule="auto"/>
                    <w:ind w:left="0" w:leftChars="0" w:right="0"/>
                    <w:jc w:val="center"/>
                    <w:rPr>
                      <w:rFonts w:hint="default" w:ascii="Times New Roman" w:hAnsi="Times New Roman" w:cs="Times New Roman"/>
                      <w:color w:val="auto"/>
                      <w:sz w:val="21"/>
                      <w:szCs w:val="21"/>
                    </w:rPr>
                  </w:pPr>
                </w:p>
              </w:tc>
              <w:tc>
                <w:tcPr>
                  <w:tcW w:w="567" w:type="pct"/>
                  <w:vMerge w:val="continue"/>
                  <w:tcBorders>
                    <w:tl2br w:val="nil"/>
                    <w:tr2bl w:val="nil"/>
                  </w:tcBorders>
                  <w:noWrap w:val="0"/>
                  <w:vAlign w:val="center"/>
                </w:tcPr>
                <w:p w14:paraId="74566FFA">
                  <w:pPr>
                    <w:pStyle w:val="49"/>
                    <w:keepNext w:val="0"/>
                    <w:keepLines w:val="0"/>
                    <w:suppressLineNumbers w:val="0"/>
                    <w:spacing w:before="0" w:beforeLines="0" w:beforeAutospacing="0" w:after="0" w:afterLines="0" w:afterAutospacing="0" w:line="240" w:lineRule="auto"/>
                    <w:ind w:left="0" w:leftChars="0" w:right="0"/>
                    <w:jc w:val="center"/>
                    <w:rPr>
                      <w:rFonts w:hint="default" w:ascii="Times New Roman" w:hAnsi="Times New Roman" w:cs="Times New Roman"/>
                      <w:color w:val="auto"/>
                      <w:sz w:val="21"/>
                      <w:szCs w:val="21"/>
                    </w:rPr>
                  </w:pPr>
                </w:p>
              </w:tc>
              <w:tc>
                <w:tcPr>
                  <w:tcW w:w="271" w:type="pct"/>
                  <w:vMerge w:val="continue"/>
                  <w:tcBorders>
                    <w:tl2br w:val="nil"/>
                    <w:tr2bl w:val="nil"/>
                  </w:tcBorders>
                  <w:noWrap w:val="0"/>
                  <w:vAlign w:val="center"/>
                </w:tcPr>
                <w:p w14:paraId="6CA1C61F">
                  <w:pPr>
                    <w:pStyle w:val="49"/>
                    <w:keepNext w:val="0"/>
                    <w:keepLines w:val="0"/>
                    <w:suppressLineNumbers w:val="0"/>
                    <w:spacing w:before="0" w:beforeLines="0" w:beforeAutospacing="0" w:after="0" w:afterLines="0" w:afterAutospacing="0" w:line="240" w:lineRule="auto"/>
                    <w:ind w:left="0" w:leftChars="0" w:right="0"/>
                    <w:jc w:val="center"/>
                    <w:rPr>
                      <w:rFonts w:hint="default" w:ascii="Times New Roman" w:hAnsi="Times New Roman" w:cs="Times New Roman"/>
                      <w:color w:val="auto"/>
                      <w:sz w:val="21"/>
                      <w:szCs w:val="21"/>
                    </w:rPr>
                  </w:pPr>
                </w:p>
              </w:tc>
              <w:tc>
                <w:tcPr>
                  <w:tcW w:w="541" w:type="pct"/>
                  <w:tcBorders>
                    <w:tl2br w:val="nil"/>
                    <w:tr2bl w:val="nil"/>
                  </w:tcBorders>
                  <w:noWrap w:val="0"/>
                  <w:vAlign w:val="center"/>
                </w:tcPr>
                <w:p w14:paraId="013EB971">
                  <w:pPr>
                    <w:keepNext w:val="0"/>
                    <w:keepLines w:val="0"/>
                    <w:suppressLineNumbers w:val="0"/>
                    <w:adjustRightInd w:val="0"/>
                    <w:snapToGrid w:val="0"/>
                    <w:spacing w:before="0" w:beforeLines="0" w:beforeAutospacing="0" w:after="0" w:afterLines="0" w:afterAutospacing="0" w:line="240" w:lineRule="auto"/>
                    <w:ind w:left="0" w:right="0"/>
                    <w:jc w:val="center"/>
                    <w:rPr>
                      <w:rFonts w:hint="default" w:ascii="Times New Roman" w:hAnsi="Times New Roman" w:eastAsia="Times New Roman" w:cs="Times New Roman"/>
                      <w:b/>
                      <w:bCs/>
                      <w:color w:val="auto"/>
                      <w:sz w:val="21"/>
                      <w:szCs w:val="21"/>
                    </w:rPr>
                  </w:pPr>
                  <w:r>
                    <w:rPr>
                      <w:rFonts w:hint="default" w:ascii="Times New Roman" w:hAnsi="Times New Roman" w:eastAsia="宋体" w:cs="Times New Roman"/>
                      <w:b/>
                      <w:bCs/>
                      <w:color w:val="auto"/>
                      <w:sz w:val="21"/>
                      <w:szCs w:val="21"/>
                    </w:rPr>
                    <w:t>核算方法</w:t>
                  </w:r>
                </w:p>
              </w:tc>
              <w:tc>
                <w:tcPr>
                  <w:tcW w:w="379" w:type="pct"/>
                  <w:tcBorders>
                    <w:tl2br w:val="nil"/>
                    <w:tr2bl w:val="nil"/>
                  </w:tcBorders>
                  <w:noWrap w:val="0"/>
                  <w:vAlign w:val="center"/>
                </w:tcPr>
                <w:p w14:paraId="1DFB8E37">
                  <w:pPr>
                    <w:keepNext w:val="0"/>
                    <w:keepLines w:val="0"/>
                    <w:suppressLineNumbers w:val="0"/>
                    <w:adjustRightInd w:val="0"/>
                    <w:snapToGrid w:val="0"/>
                    <w:spacing w:before="0" w:beforeLines="0" w:beforeAutospacing="0" w:after="0" w:afterLines="0" w:afterAutospacing="0" w:line="240" w:lineRule="auto"/>
                    <w:ind w:left="0" w:right="0"/>
                    <w:jc w:val="center"/>
                    <w:rPr>
                      <w:rFonts w:hint="default" w:ascii="Times New Roman" w:hAnsi="Times New Roman" w:eastAsia="Times New Roman" w:cs="Times New Roman"/>
                      <w:b/>
                      <w:bCs/>
                      <w:color w:val="auto"/>
                      <w:sz w:val="21"/>
                      <w:szCs w:val="21"/>
                    </w:rPr>
                  </w:pPr>
                  <w:r>
                    <w:rPr>
                      <w:rFonts w:hint="default" w:ascii="Times New Roman" w:hAnsi="Times New Roman" w:eastAsia="宋体" w:cs="Times New Roman"/>
                      <w:b/>
                      <w:bCs/>
                      <w:color w:val="auto"/>
                      <w:sz w:val="21"/>
                      <w:szCs w:val="21"/>
                    </w:rPr>
                    <w:t>产生量</w:t>
                  </w:r>
                </w:p>
              </w:tc>
              <w:tc>
                <w:tcPr>
                  <w:tcW w:w="406" w:type="pct"/>
                  <w:vMerge w:val="continue"/>
                  <w:tcBorders>
                    <w:tl2br w:val="nil"/>
                    <w:tr2bl w:val="nil"/>
                  </w:tcBorders>
                  <w:noWrap w:val="0"/>
                  <w:vAlign w:val="center"/>
                </w:tcPr>
                <w:p w14:paraId="1B6F747F">
                  <w:pPr>
                    <w:keepNext w:val="0"/>
                    <w:keepLines w:val="0"/>
                    <w:suppressLineNumbers w:val="0"/>
                    <w:adjustRightInd w:val="0"/>
                    <w:snapToGrid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p>
              </w:tc>
              <w:tc>
                <w:tcPr>
                  <w:tcW w:w="782" w:type="pct"/>
                  <w:vMerge w:val="continue"/>
                  <w:tcBorders>
                    <w:tl2br w:val="nil"/>
                    <w:tr2bl w:val="nil"/>
                  </w:tcBorders>
                  <w:noWrap w:val="0"/>
                  <w:vAlign w:val="center"/>
                </w:tcPr>
                <w:p w14:paraId="660B1F52">
                  <w:pPr>
                    <w:keepNext w:val="0"/>
                    <w:keepLines w:val="0"/>
                    <w:suppressLineNumbers w:val="0"/>
                    <w:adjustRightInd w:val="0"/>
                    <w:snapToGrid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p>
              </w:tc>
            </w:tr>
            <w:tr w14:paraId="5ED2C18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87" w:type="pct"/>
                  <w:tcBorders>
                    <w:tl2br w:val="nil"/>
                    <w:tr2bl w:val="nil"/>
                  </w:tcBorders>
                  <w:noWrap w:val="0"/>
                  <w:vAlign w:val="center"/>
                </w:tcPr>
                <w:p w14:paraId="439F13C6">
                  <w:pPr>
                    <w:keepNext w:val="0"/>
                    <w:keepLines w:val="0"/>
                    <w:suppressLineNumbers w:val="0"/>
                    <w:spacing w:before="0" w:beforeLines="0" w:beforeAutospacing="0" w:after="0" w:afterLines="0" w:afterAutospacing="0" w:line="240" w:lineRule="auto"/>
                    <w:ind w:left="0" w:right="0"/>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1</w:t>
                  </w:r>
                </w:p>
              </w:tc>
              <w:tc>
                <w:tcPr>
                  <w:tcW w:w="557" w:type="pct"/>
                  <w:tcBorders>
                    <w:tl2br w:val="nil"/>
                    <w:tr2bl w:val="nil"/>
                  </w:tcBorders>
                  <w:shd w:val="clear" w:color="auto" w:fill="auto"/>
                  <w:noWrap w:val="0"/>
                  <w:vAlign w:val="center"/>
                </w:tcPr>
                <w:p w14:paraId="19E2ABDC">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lang w:val="en-US" w:eastAsia="zh-CN" w:bidi="ar-SA"/>
                    </w:rPr>
                  </w:pPr>
                  <w:r>
                    <w:rPr>
                      <w:rFonts w:hint="default" w:ascii="Times New Roman" w:hAnsi="Times New Roman" w:eastAsia="宋体" w:cs="Times New Roman"/>
                      <w:color w:val="auto"/>
                      <w:sz w:val="21"/>
                      <w:szCs w:val="21"/>
                    </w:rPr>
                    <w:t>生活垃圾</w:t>
                  </w:r>
                </w:p>
              </w:tc>
              <w:tc>
                <w:tcPr>
                  <w:tcW w:w="511" w:type="pct"/>
                  <w:tcBorders>
                    <w:tl2br w:val="nil"/>
                    <w:tr2bl w:val="nil"/>
                  </w:tcBorders>
                  <w:shd w:val="clear" w:color="auto" w:fill="auto"/>
                  <w:noWrap w:val="0"/>
                  <w:vAlign w:val="center"/>
                </w:tcPr>
                <w:p w14:paraId="41D54430">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lang w:val="en-US" w:eastAsia="zh-CN" w:bidi="ar-SA"/>
                    </w:rPr>
                  </w:pPr>
                  <w:r>
                    <w:rPr>
                      <w:rFonts w:hint="default" w:ascii="Times New Roman" w:hAnsi="Times New Roman" w:eastAsia="宋体" w:cs="Times New Roman"/>
                      <w:color w:val="auto"/>
                      <w:sz w:val="21"/>
                      <w:szCs w:val="21"/>
                    </w:rPr>
                    <w:t>员工生活</w:t>
                  </w:r>
                </w:p>
              </w:tc>
              <w:tc>
                <w:tcPr>
                  <w:tcW w:w="245" w:type="pct"/>
                  <w:tcBorders>
                    <w:tl2br w:val="nil"/>
                    <w:tr2bl w:val="nil"/>
                  </w:tcBorders>
                  <w:shd w:val="clear" w:color="auto" w:fill="auto"/>
                  <w:noWrap w:val="0"/>
                  <w:vAlign w:val="center"/>
                </w:tcPr>
                <w:p w14:paraId="601811A1">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lang w:val="en-US" w:eastAsia="zh-CN" w:bidi="ar-SA"/>
                    </w:rPr>
                  </w:pPr>
                  <w:r>
                    <w:rPr>
                      <w:rFonts w:hint="default" w:ascii="Times New Roman" w:hAnsi="Times New Roman" w:eastAsia="宋体" w:cs="Times New Roman"/>
                      <w:color w:val="auto"/>
                      <w:sz w:val="21"/>
                      <w:szCs w:val="21"/>
                    </w:rPr>
                    <w:t>固体</w:t>
                  </w:r>
                </w:p>
              </w:tc>
              <w:tc>
                <w:tcPr>
                  <w:tcW w:w="547" w:type="pct"/>
                  <w:tcBorders>
                    <w:tl2br w:val="nil"/>
                    <w:tr2bl w:val="nil"/>
                  </w:tcBorders>
                  <w:shd w:val="clear" w:color="auto" w:fill="auto"/>
                  <w:noWrap w:val="0"/>
                  <w:vAlign w:val="center"/>
                </w:tcPr>
                <w:p w14:paraId="1D4A3118">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固体废物</w:t>
                  </w:r>
                </w:p>
              </w:tc>
              <w:tc>
                <w:tcPr>
                  <w:tcW w:w="567" w:type="pct"/>
                  <w:tcBorders>
                    <w:tl2br w:val="nil"/>
                    <w:tr2bl w:val="nil"/>
                  </w:tcBorders>
                  <w:shd w:val="clear" w:color="auto" w:fill="auto"/>
                  <w:noWrap w:val="0"/>
                  <w:vAlign w:val="center"/>
                </w:tcPr>
                <w:p w14:paraId="05536987">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 w:val="21"/>
                      <w:szCs w:val="21"/>
                    </w:rPr>
                    <w:t>/</w:t>
                  </w:r>
                </w:p>
              </w:tc>
              <w:tc>
                <w:tcPr>
                  <w:tcW w:w="271" w:type="pct"/>
                  <w:tcBorders>
                    <w:tl2br w:val="nil"/>
                    <w:tr2bl w:val="nil"/>
                  </w:tcBorders>
                  <w:shd w:val="clear" w:color="auto" w:fill="auto"/>
                  <w:noWrap w:val="0"/>
                  <w:vAlign w:val="center"/>
                </w:tcPr>
                <w:p w14:paraId="5DC5E023">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 w:val="21"/>
                      <w:szCs w:val="21"/>
                    </w:rPr>
                    <w:t>/</w:t>
                  </w:r>
                </w:p>
              </w:tc>
              <w:tc>
                <w:tcPr>
                  <w:tcW w:w="541" w:type="pct"/>
                  <w:tcBorders>
                    <w:tl2br w:val="nil"/>
                    <w:tr2bl w:val="nil"/>
                  </w:tcBorders>
                  <w:shd w:val="clear" w:color="auto" w:fill="auto"/>
                  <w:noWrap w:val="0"/>
                  <w:vAlign w:val="center"/>
                </w:tcPr>
                <w:p w14:paraId="258A8C40">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间断</w:t>
                  </w:r>
                </w:p>
              </w:tc>
              <w:tc>
                <w:tcPr>
                  <w:tcW w:w="379" w:type="pct"/>
                  <w:tcBorders>
                    <w:tl2br w:val="nil"/>
                    <w:tr2bl w:val="nil"/>
                  </w:tcBorders>
                  <w:shd w:val="clear" w:color="auto" w:fill="auto"/>
                  <w:noWrap w:val="0"/>
                  <w:vAlign w:val="center"/>
                </w:tcPr>
                <w:p w14:paraId="42C86DF9">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3.75</w:t>
                  </w:r>
                  <w:r>
                    <w:rPr>
                      <w:rFonts w:hint="default" w:ascii="Times New Roman" w:hAnsi="Times New Roman" w:eastAsia="宋体" w:cs="Times New Roman"/>
                      <w:color w:val="auto"/>
                      <w:sz w:val="21"/>
                      <w:szCs w:val="21"/>
                    </w:rPr>
                    <w:t>t/a</w:t>
                  </w:r>
                </w:p>
              </w:tc>
              <w:tc>
                <w:tcPr>
                  <w:tcW w:w="406" w:type="pct"/>
                  <w:tcBorders>
                    <w:tl2br w:val="nil"/>
                    <w:tr2bl w:val="nil"/>
                  </w:tcBorders>
                  <w:shd w:val="clear" w:color="auto" w:fill="auto"/>
                  <w:noWrap w:val="0"/>
                  <w:vAlign w:val="center"/>
                </w:tcPr>
                <w:p w14:paraId="494C3920">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0</w:t>
                  </w:r>
                </w:p>
              </w:tc>
              <w:tc>
                <w:tcPr>
                  <w:tcW w:w="782" w:type="pct"/>
                  <w:tcBorders>
                    <w:tl2br w:val="nil"/>
                    <w:tr2bl w:val="nil"/>
                  </w:tcBorders>
                  <w:shd w:val="clear" w:color="auto" w:fill="auto"/>
                  <w:noWrap w:val="0"/>
                  <w:vAlign w:val="center"/>
                </w:tcPr>
                <w:p w14:paraId="0E80B9F2">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lang w:val="en-US" w:eastAsia="zh-CN" w:bidi="ar-SA"/>
                    </w:rPr>
                  </w:pPr>
                  <w:r>
                    <w:rPr>
                      <w:rFonts w:hint="default" w:ascii="Times New Roman" w:hAnsi="Times New Roman" w:eastAsia="宋体" w:cs="Times New Roman"/>
                      <w:color w:val="auto"/>
                      <w:sz w:val="21"/>
                      <w:szCs w:val="21"/>
                    </w:rPr>
                    <w:t>交由市政环卫部门处理</w:t>
                  </w:r>
                </w:p>
              </w:tc>
            </w:tr>
            <w:tr w14:paraId="51C3F3B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87" w:type="pct"/>
                  <w:tcBorders>
                    <w:tl2br w:val="nil"/>
                    <w:tr2bl w:val="nil"/>
                  </w:tcBorders>
                  <w:noWrap w:val="0"/>
                  <w:vAlign w:val="center"/>
                </w:tcPr>
                <w:p w14:paraId="745F611A">
                  <w:pPr>
                    <w:keepNext w:val="0"/>
                    <w:keepLines w:val="0"/>
                    <w:suppressLineNumbers w:val="0"/>
                    <w:spacing w:before="0" w:beforeLines="0" w:beforeAutospacing="0" w:after="0" w:afterLines="0" w:afterAutospacing="0" w:line="240" w:lineRule="auto"/>
                    <w:ind w:left="0" w:right="0"/>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2</w:t>
                  </w:r>
                </w:p>
              </w:tc>
              <w:tc>
                <w:tcPr>
                  <w:tcW w:w="557" w:type="pct"/>
                  <w:tcBorders>
                    <w:tl2br w:val="nil"/>
                    <w:tr2bl w:val="nil"/>
                  </w:tcBorders>
                  <w:noWrap w:val="0"/>
                  <w:vAlign w:val="center"/>
                </w:tcPr>
                <w:p w14:paraId="138C5CD2">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lang w:val="en-US" w:eastAsia="zh-CN"/>
                    </w:rPr>
                    <w:t>分拣杂物</w:t>
                  </w:r>
                </w:p>
              </w:tc>
              <w:tc>
                <w:tcPr>
                  <w:tcW w:w="511" w:type="pct"/>
                  <w:tcBorders>
                    <w:tl2br w:val="nil"/>
                    <w:tr2bl w:val="nil"/>
                  </w:tcBorders>
                  <w:noWrap w:val="0"/>
                  <w:vAlign w:val="center"/>
                </w:tcPr>
                <w:p w14:paraId="76A91315">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lang w:val="en-US" w:eastAsia="zh-CN"/>
                    </w:rPr>
                    <w:t>分拣</w:t>
                  </w:r>
                </w:p>
              </w:tc>
              <w:tc>
                <w:tcPr>
                  <w:tcW w:w="245" w:type="pct"/>
                  <w:tcBorders>
                    <w:tl2br w:val="nil"/>
                    <w:tr2bl w:val="nil"/>
                  </w:tcBorders>
                  <w:noWrap w:val="0"/>
                  <w:vAlign w:val="center"/>
                </w:tcPr>
                <w:p w14:paraId="5CF45852">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固体</w:t>
                  </w:r>
                </w:p>
              </w:tc>
              <w:tc>
                <w:tcPr>
                  <w:tcW w:w="547" w:type="pct"/>
                  <w:tcBorders>
                    <w:tl2br w:val="nil"/>
                    <w:tr2bl w:val="nil"/>
                  </w:tcBorders>
                  <w:noWrap w:val="0"/>
                  <w:vAlign w:val="center"/>
                </w:tcPr>
                <w:p w14:paraId="7DB1C8B5">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一般工业固体废物</w:t>
                  </w:r>
                </w:p>
              </w:tc>
              <w:tc>
                <w:tcPr>
                  <w:tcW w:w="567" w:type="pct"/>
                  <w:tcBorders>
                    <w:tl2br w:val="nil"/>
                    <w:tr2bl w:val="nil"/>
                  </w:tcBorders>
                  <w:noWrap w:val="0"/>
                  <w:vAlign w:val="center"/>
                </w:tcPr>
                <w:p w14:paraId="2931AEBA">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900-099-S59</w:t>
                  </w:r>
                </w:p>
              </w:tc>
              <w:tc>
                <w:tcPr>
                  <w:tcW w:w="271" w:type="pct"/>
                  <w:tcBorders>
                    <w:tl2br w:val="nil"/>
                    <w:tr2bl w:val="nil"/>
                  </w:tcBorders>
                  <w:noWrap w:val="0"/>
                  <w:vAlign w:val="center"/>
                </w:tcPr>
                <w:p w14:paraId="2585D115">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541" w:type="pct"/>
                  <w:tcBorders>
                    <w:tl2br w:val="nil"/>
                    <w:tr2bl w:val="nil"/>
                  </w:tcBorders>
                  <w:noWrap w:val="0"/>
                  <w:vAlign w:val="center"/>
                </w:tcPr>
                <w:p w14:paraId="03EB85E8">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类比法</w:t>
                  </w:r>
                </w:p>
              </w:tc>
              <w:tc>
                <w:tcPr>
                  <w:tcW w:w="379" w:type="pct"/>
                  <w:tcBorders>
                    <w:tl2br w:val="nil"/>
                    <w:tr2bl w:val="nil"/>
                  </w:tcBorders>
                  <w:noWrap w:val="0"/>
                  <w:vAlign w:val="center"/>
                </w:tcPr>
                <w:p w14:paraId="78A12E11">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lang w:val="en-US" w:eastAsia="zh-CN"/>
                    </w:rPr>
                    <w:t>10t/a</w:t>
                  </w:r>
                </w:p>
              </w:tc>
              <w:tc>
                <w:tcPr>
                  <w:tcW w:w="406" w:type="pct"/>
                  <w:tcBorders>
                    <w:tl2br w:val="nil"/>
                    <w:tr2bl w:val="nil"/>
                  </w:tcBorders>
                  <w:noWrap w:val="0"/>
                  <w:vAlign w:val="center"/>
                </w:tcPr>
                <w:p w14:paraId="6CE4B8AD">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0</w:t>
                  </w:r>
                </w:p>
              </w:tc>
              <w:tc>
                <w:tcPr>
                  <w:tcW w:w="782" w:type="pct"/>
                  <w:tcBorders>
                    <w:tl2br w:val="nil"/>
                    <w:tr2bl w:val="nil"/>
                  </w:tcBorders>
                  <w:noWrap w:val="0"/>
                  <w:vAlign w:val="center"/>
                </w:tcPr>
                <w:p w14:paraId="2B3914D0">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集中收集交由市政部门处理</w:t>
                  </w:r>
                </w:p>
              </w:tc>
            </w:tr>
            <w:tr w14:paraId="6FA9E25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87" w:type="pct"/>
                  <w:tcBorders>
                    <w:tl2br w:val="nil"/>
                    <w:tr2bl w:val="nil"/>
                  </w:tcBorders>
                  <w:noWrap w:val="0"/>
                  <w:vAlign w:val="center"/>
                </w:tcPr>
                <w:p w14:paraId="34CC9A00">
                  <w:pPr>
                    <w:keepNext w:val="0"/>
                    <w:keepLines w:val="0"/>
                    <w:suppressLineNumbers w:val="0"/>
                    <w:spacing w:before="0" w:beforeLines="0" w:beforeAutospacing="0" w:after="0" w:afterLines="0" w:afterAutospacing="0" w:line="240" w:lineRule="auto"/>
                    <w:ind w:left="0" w:right="0"/>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3</w:t>
                  </w:r>
                </w:p>
              </w:tc>
              <w:tc>
                <w:tcPr>
                  <w:tcW w:w="557" w:type="pct"/>
                  <w:tcBorders>
                    <w:tl2br w:val="nil"/>
                    <w:tr2bl w:val="nil"/>
                  </w:tcBorders>
                  <w:noWrap w:val="0"/>
                  <w:vAlign w:val="center"/>
                </w:tcPr>
                <w:p w14:paraId="5290F5A7">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lang w:val="en-US" w:eastAsia="zh-CN"/>
                    </w:rPr>
                    <w:t>金属边角料</w:t>
                  </w:r>
                </w:p>
              </w:tc>
              <w:tc>
                <w:tcPr>
                  <w:tcW w:w="511" w:type="pct"/>
                  <w:tcBorders>
                    <w:tl2br w:val="nil"/>
                    <w:tr2bl w:val="nil"/>
                  </w:tcBorders>
                  <w:noWrap w:val="0"/>
                  <w:vAlign w:val="center"/>
                </w:tcPr>
                <w:p w14:paraId="5FCF42E5">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lang w:val="en-US" w:eastAsia="zh-CN"/>
                    </w:rPr>
                    <w:t>球帽分离</w:t>
                  </w:r>
                </w:p>
              </w:tc>
              <w:tc>
                <w:tcPr>
                  <w:tcW w:w="245" w:type="pct"/>
                  <w:tcBorders>
                    <w:tl2br w:val="nil"/>
                    <w:tr2bl w:val="nil"/>
                  </w:tcBorders>
                  <w:noWrap w:val="0"/>
                  <w:vAlign w:val="center"/>
                </w:tcPr>
                <w:p w14:paraId="0F5ABE76">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固体</w:t>
                  </w:r>
                </w:p>
              </w:tc>
              <w:tc>
                <w:tcPr>
                  <w:tcW w:w="547" w:type="pct"/>
                  <w:tcBorders>
                    <w:tl2br w:val="nil"/>
                    <w:tr2bl w:val="nil"/>
                  </w:tcBorders>
                  <w:noWrap w:val="0"/>
                  <w:vAlign w:val="center"/>
                </w:tcPr>
                <w:p w14:paraId="66507BD1">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一般工业固体废物</w:t>
                  </w:r>
                </w:p>
              </w:tc>
              <w:tc>
                <w:tcPr>
                  <w:tcW w:w="567" w:type="pct"/>
                  <w:tcBorders>
                    <w:tl2br w:val="nil"/>
                    <w:tr2bl w:val="nil"/>
                  </w:tcBorders>
                  <w:noWrap w:val="0"/>
                  <w:vAlign w:val="center"/>
                </w:tcPr>
                <w:p w14:paraId="1E0307B5">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900-001-S17</w:t>
                  </w:r>
                </w:p>
              </w:tc>
              <w:tc>
                <w:tcPr>
                  <w:tcW w:w="271" w:type="pct"/>
                  <w:tcBorders>
                    <w:tl2br w:val="nil"/>
                    <w:tr2bl w:val="nil"/>
                  </w:tcBorders>
                  <w:noWrap w:val="0"/>
                  <w:vAlign w:val="center"/>
                </w:tcPr>
                <w:p w14:paraId="041DE729">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w:t>
                  </w:r>
                </w:p>
              </w:tc>
              <w:tc>
                <w:tcPr>
                  <w:tcW w:w="541" w:type="pct"/>
                  <w:tcBorders>
                    <w:tl2br w:val="nil"/>
                    <w:tr2bl w:val="nil"/>
                  </w:tcBorders>
                  <w:shd w:val="clear" w:color="auto" w:fill="auto"/>
                  <w:noWrap w:val="0"/>
                  <w:vAlign w:val="center"/>
                </w:tcPr>
                <w:p w14:paraId="5B53D3E1">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类比法</w:t>
                  </w:r>
                </w:p>
              </w:tc>
              <w:tc>
                <w:tcPr>
                  <w:tcW w:w="379" w:type="pct"/>
                  <w:tcBorders>
                    <w:tl2br w:val="nil"/>
                    <w:tr2bl w:val="nil"/>
                  </w:tcBorders>
                  <w:shd w:val="clear" w:color="auto" w:fill="auto"/>
                  <w:noWrap w:val="0"/>
                  <w:vAlign w:val="center"/>
                </w:tcPr>
                <w:p w14:paraId="70FF1C98">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lang w:val="en-US" w:eastAsia="zh-CN"/>
                    </w:rPr>
                    <w:t>0t/a</w:t>
                  </w:r>
                </w:p>
              </w:tc>
              <w:tc>
                <w:tcPr>
                  <w:tcW w:w="406" w:type="pct"/>
                  <w:tcBorders>
                    <w:tl2br w:val="nil"/>
                    <w:tr2bl w:val="nil"/>
                  </w:tcBorders>
                  <w:shd w:val="clear" w:color="auto" w:fill="auto"/>
                  <w:noWrap w:val="0"/>
                  <w:vAlign w:val="center"/>
                </w:tcPr>
                <w:p w14:paraId="2649787E">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lang w:val="en-US" w:eastAsia="zh-CN" w:bidi="ar-SA"/>
                    </w:rPr>
                  </w:pPr>
                  <w:r>
                    <w:rPr>
                      <w:rFonts w:hint="default" w:ascii="Times New Roman" w:hAnsi="Times New Roman" w:eastAsia="宋体" w:cs="Times New Roman"/>
                      <w:color w:val="auto"/>
                      <w:sz w:val="21"/>
                      <w:szCs w:val="21"/>
                    </w:rPr>
                    <w:t>0</w:t>
                  </w:r>
                </w:p>
              </w:tc>
              <w:tc>
                <w:tcPr>
                  <w:tcW w:w="782" w:type="pct"/>
                  <w:tcBorders>
                    <w:tl2br w:val="nil"/>
                    <w:tr2bl w:val="nil"/>
                  </w:tcBorders>
                  <w:noWrap w:val="0"/>
                  <w:vAlign w:val="center"/>
                </w:tcPr>
                <w:p w14:paraId="4F425847">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集中收集后回炉重造</w:t>
                  </w:r>
                </w:p>
              </w:tc>
            </w:tr>
            <w:tr w14:paraId="61D211D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87" w:type="pct"/>
                  <w:tcBorders>
                    <w:tl2br w:val="nil"/>
                    <w:tr2bl w:val="nil"/>
                  </w:tcBorders>
                  <w:noWrap w:val="0"/>
                  <w:vAlign w:val="center"/>
                </w:tcPr>
                <w:p w14:paraId="28EDD5F2">
                  <w:pPr>
                    <w:keepNext w:val="0"/>
                    <w:keepLines w:val="0"/>
                    <w:suppressLineNumbers w:val="0"/>
                    <w:spacing w:before="0" w:beforeLines="0" w:beforeAutospacing="0" w:after="0" w:afterLines="0" w:afterAutospacing="0" w:line="240" w:lineRule="auto"/>
                    <w:ind w:left="0" w:right="0"/>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4</w:t>
                  </w:r>
                </w:p>
              </w:tc>
              <w:tc>
                <w:tcPr>
                  <w:tcW w:w="557" w:type="pct"/>
                  <w:tcBorders>
                    <w:tl2br w:val="nil"/>
                    <w:tr2bl w:val="nil"/>
                  </w:tcBorders>
                  <w:noWrap w:val="0"/>
                  <w:vAlign w:val="center"/>
                </w:tcPr>
                <w:p w14:paraId="06EFADDE">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lang w:val="en-US" w:eastAsia="zh-CN"/>
                    </w:rPr>
                    <w:t>废炉渣</w:t>
                  </w:r>
                </w:p>
              </w:tc>
              <w:tc>
                <w:tcPr>
                  <w:tcW w:w="511" w:type="pct"/>
                  <w:tcBorders>
                    <w:tl2br w:val="nil"/>
                    <w:tr2bl w:val="nil"/>
                  </w:tcBorders>
                  <w:noWrap w:val="0"/>
                  <w:vAlign w:val="center"/>
                </w:tcPr>
                <w:p w14:paraId="2EBBF75E">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熔炼</w:t>
                  </w:r>
                </w:p>
              </w:tc>
              <w:tc>
                <w:tcPr>
                  <w:tcW w:w="245" w:type="pct"/>
                  <w:tcBorders>
                    <w:tl2br w:val="nil"/>
                    <w:tr2bl w:val="nil"/>
                  </w:tcBorders>
                  <w:noWrap w:val="0"/>
                  <w:vAlign w:val="center"/>
                </w:tcPr>
                <w:p w14:paraId="29144E65">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固体</w:t>
                  </w:r>
                </w:p>
              </w:tc>
              <w:tc>
                <w:tcPr>
                  <w:tcW w:w="547" w:type="pct"/>
                  <w:tcBorders>
                    <w:tl2br w:val="nil"/>
                    <w:tr2bl w:val="nil"/>
                  </w:tcBorders>
                  <w:noWrap w:val="0"/>
                  <w:vAlign w:val="center"/>
                </w:tcPr>
                <w:p w14:paraId="2B45FDB1">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一般工业固体废物</w:t>
                  </w:r>
                </w:p>
              </w:tc>
              <w:tc>
                <w:tcPr>
                  <w:tcW w:w="567" w:type="pct"/>
                  <w:tcBorders>
                    <w:tl2br w:val="nil"/>
                    <w:tr2bl w:val="nil"/>
                  </w:tcBorders>
                  <w:noWrap w:val="0"/>
                  <w:vAlign w:val="center"/>
                </w:tcPr>
                <w:p w14:paraId="760A94C1">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900-099-S01</w:t>
                  </w:r>
                </w:p>
              </w:tc>
              <w:tc>
                <w:tcPr>
                  <w:tcW w:w="271" w:type="pct"/>
                  <w:tcBorders>
                    <w:tl2br w:val="nil"/>
                    <w:tr2bl w:val="nil"/>
                  </w:tcBorders>
                  <w:noWrap w:val="0"/>
                  <w:vAlign w:val="center"/>
                </w:tcPr>
                <w:p w14:paraId="6B2081E2">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541" w:type="pct"/>
                  <w:tcBorders>
                    <w:tl2br w:val="nil"/>
                    <w:tr2bl w:val="nil"/>
                  </w:tcBorders>
                  <w:noWrap w:val="0"/>
                  <w:vAlign w:val="center"/>
                </w:tcPr>
                <w:p w14:paraId="0655EE9B">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类比法</w:t>
                  </w:r>
                </w:p>
              </w:tc>
              <w:tc>
                <w:tcPr>
                  <w:tcW w:w="379" w:type="pct"/>
                  <w:tcBorders>
                    <w:tl2br w:val="nil"/>
                    <w:tr2bl w:val="nil"/>
                  </w:tcBorders>
                  <w:noWrap w:val="0"/>
                  <w:vAlign w:val="center"/>
                </w:tcPr>
                <w:p w14:paraId="355A5D38">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eastAsia" w:ascii="Times New Roman" w:hAnsi="Times New Roman" w:cs="Times New Roman"/>
                      <w:color w:val="auto"/>
                      <w:sz w:val="21"/>
                      <w:szCs w:val="21"/>
                      <w:lang w:val="en-US" w:eastAsia="zh-CN"/>
                    </w:rPr>
                    <w:t>5</w:t>
                  </w:r>
                  <w:r>
                    <w:rPr>
                      <w:rFonts w:hint="default" w:ascii="Times New Roman" w:hAnsi="Times New Roman" w:eastAsia="宋体" w:cs="Times New Roman"/>
                      <w:color w:val="auto"/>
                      <w:sz w:val="21"/>
                      <w:szCs w:val="21"/>
                    </w:rPr>
                    <w:t>t/a</w:t>
                  </w:r>
                </w:p>
              </w:tc>
              <w:tc>
                <w:tcPr>
                  <w:tcW w:w="406" w:type="pct"/>
                  <w:tcBorders>
                    <w:tl2br w:val="nil"/>
                    <w:tr2bl w:val="nil"/>
                  </w:tcBorders>
                  <w:noWrap w:val="0"/>
                  <w:vAlign w:val="center"/>
                </w:tcPr>
                <w:p w14:paraId="2693A435">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0</w:t>
                  </w:r>
                </w:p>
              </w:tc>
              <w:tc>
                <w:tcPr>
                  <w:tcW w:w="782" w:type="pct"/>
                  <w:tcBorders>
                    <w:tl2br w:val="nil"/>
                    <w:tr2bl w:val="nil"/>
                  </w:tcBorders>
                  <w:noWrap w:val="0"/>
                  <w:vAlign w:val="center"/>
                </w:tcPr>
                <w:p w14:paraId="1B552E38">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lang w:val="en-US" w:eastAsia="zh-CN"/>
                    </w:rPr>
                    <w:t>集中收集后外售综合利用</w:t>
                  </w:r>
                </w:p>
              </w:tc>
            </w:tr>
            <w:tr w14:paraId="5693AC6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87" w:type="pct"/>
                  <w:tcBorders>
                    <w:tl2br w:val="nil"/>
                    <w:tr2bl w:val="nil"/>
                  </w:tcBorders>
                  <w:noWrap w:val="0"/>
                  <w:vAlign w:val="center"/>
                </w:tcPr>
                <w:p w14:paraId="5E9DBFBD">
                  <w:pPr>
                    <w:keepNext w:val="0"/>
                    <w:keepLines w:val="0"/>
                    <w:suppressLineNumbers w:val="0"/>
                    <w:spacing w:before="0" w:beforeLines="0" w:beforeAutospacing="0" w:after="0" w:afterLines="0" w:afterAutospacing="0" w:line="240" w:lineRule="auto"/>
                    <w:ind w:left="0" w:right="0"/>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5</w:t>
                  </w:r>
                </w:p>
              </w:tc>
              <w:tc>
                <w:tcPr>
                  <w:tcW w:w="557" w:type="pct"/>
                  <w:tcBorders>
                    <w:tl2br w:val="nil"/>
                    <w:tr2bl w:val="nil"/>
                  </w:tcBorders>
                  <w:noWrap w:val="0"/>
                  <w:vAlign w:val="center"/>
                </w:tcPr>
                <w:p w14:paraId="599DA5FC">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lang w:val="en-US" w:eastAsia="zh-CN"/>
                    </w:rPr>
                    <w:t>废铁屑</w:t>
                  </w:r>
                </w:p>
              </w:tc>
              <w:tc>
                <w:tcPr>
                  <w:tcW w:w="511" w:type="pct"/>
                  <w:tcBorders>
                    <w:tl2br w:val="nil"/>
                    <w:tr2bl w:val="nil"/>
                  </w:tcBorders>
                  <w:noWrap w:val="0"/>
                  <w:vAlign w:val="center"/>
                </w:tcPr>
                <w:p w14:paraId="0858717D">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lang w:val="en-US" w:eastAsia="zh-CN"/>
                    </w:rPr>
                    <w:t>打磨清理</w:t>
                  </w:r>
                </w:p>
              </w:tc>
              <w:tc>
                <w:tcPr>
                  <w:tcW w:w="245" w:type="pct"/>
                  <w:tcBorders>
                    <w:tl2br w:val="nil"/>
                    <w:tr2bl w:val="nil"/>
                  </w:tcBorders>
                  <w:noWrap w:val="0"/>
                  <w:vAlign w:val="center"/>
                </w:tcPr>
                <w:p w14:paraId="4186ECA7">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固体</w:t>
                  </w:r>
                </w:p>
              </w:tc>
              <w:tc>
                <w:tcPr>
                  <w:tcW w:w="547" w:type="pct"/>
                  <w:tcBorders>
                    <w:tl2br w:val="nil"/>
                    <w:tr2bl w:val="nil"/>
                  </w:tcBorders>
                  <w:noWrap w:val="0"/>
                  <w:vAlign w:val="center"/>
                </w:tcPr>
                <w:p w14:paraId="04E70405">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一般工业固体废物</w:t>
                  </w:r>
                </w:p>
              </w:tc>
              <w:tc>
                <w:tcPr>
                  <w:tcW w:w="567" w:type="pct"/>
                  <w:tcBorders>
                    <w:tl2br w:val="nil"/>
                    <w:tr2bl w:val="nil"/>
                  </w:tcBorders>
                  <w:noWrap w:val="0"/>
                  <w:vAlign w:val="center"/>
                </w:tcPr>
                <w:p w14:paraId="3877695A">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900-099-S17</w:t>
                  </w:r>
                </w:p>
              </w:tc>
              <w:tc>
                <w:tcPr>
                  <w:tcW w:w="271" w:type="pct"/>
                  <w:tcBorders>
                    <w:tl2br w:val="nil"/>
                    <w:tr2bl w:val="nil"/>
                  </w:tcBorders>
                  <w:noWrap w:val="0"/>
                  <w:vAlign w:val="center"/>
                </w:tcPr>
                <w:p w14:paraId="0CBD9779">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w:t>
                  </w:r>
                </w:p>
              </w:tc>
              <w:tc>
                <w:tcPr>
                  <w:tcW w:w="541" w:type="pct"/>
                  <w:tcBorders>
                    <w:tl2br w:val="nil"/>
                    <w:tr2bl w:val="nil"/>
                  </w:tcBorders>
                  <w:noWrap w:val="0"/>
                  <w:vAlign w:val="center"/>
                </w:tcPr>
                <w:p w14:paraId="79896FF3">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类比法</w:t>
                  </w:r>
                </w:p>
              </w:tc>
              <w:tc>
                <w:tcPr>
                  <w:tcW w:w="379" w:type="pct"/>
                  <w:tcBorders>
                    <w:tl2br w:val="nil"/>
                    <w:tr2bl w:val="nil"/>
                  </w:tcBorders>
                  <w:noWrap w:val="0"/>
                  <w:vAlign w:val="center"/>
                </w:tcPr>
                <w:p w14:paraId="0A179F56">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eastAsia" w:ascii="Times New Roman" w:hAnsi="Times New Roman" w:cs="Times New Roman"/>
                      <w:color w:val="auto"/>
                      <w:sz w:val="21"/>
                      <w:szCs w:val="21"/>
                      <w:lang w:val="en-US" w:eastAsia="zh-CN"/>
                    </w:rPr>
                    <w:t>4</w:t>
                  </w:r>
                  <w:r>
                    <w:rPr>
                      <w:rFonts w:hint="default" w:ascii="Times New Roman" w:hAnsi="Times New Roman" w:eastAsia="宋体" w:cs="Times New Roman"/>
                      <w:color w:val="auto"/>
                      <w:sz w:val="21"/>
                      <w:szCs w:val="21"/>
                    </w:rPr>
                    <w:t>t/a</w:t>
                  </w:r>
                </w:p>
              </w:tc>
              <w:tc>
                <w:tcPr>
                  <w:tcW w:w="406" w:type="pct"/>
                  <w:tcBorders>
                    <w:tl2br w:val="nil"/>
                    <w:tr2bl w:val="nil"/>
                  </w:tcBorders>
                  <w:noWrap w:val="0"/>
                  <w:vAlign w:val="center"/>
                </w:tcPr>
                <w:p w14:paraId="1921ACAE">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2" w:type="pct"/>
                  <w:tcBorders>
                    <w:tl2br w:val="nil"/>
                    <w:tr2bl w:val="nil"/>
                  </w:tcBorders>
                  <w:noWrap w:val="0"/>
                  <w:vAlign w:val="center"/>
                </w:tcPr>
                <w:p w14:paraId="153CB52C">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集中收集后外售综合利用</w:t>
                  </w:r>
                </w:p>
              </w:tc>
            </w:tr>
            <w:tr w14:paraId="5C989AB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87" w:type="pct"/>
                  <w:tcBorders>
                    <w:tl2br w:val="nil"/>
                    <w:tr2bl w:val="nil"/>
                  </w:tcBorders>
                  <w:noWrap w:val="0"/>
                  <w:vAlign w:val="center"/>
                </w:tcPr>
                <w:p w14:paraId="64FF10D2">
                  <w:pPr>
                    <w:keepNext w:val="0"/>
                    <w:keepLines w:val="0"/>
                    <w:suppressLineNumbers w:val="0"/>
                    <w:spacing w:before="0" w:beforeLines="0" w:beforeAutospacing="0" w:after="0" w:afterLines="0" w:afterAutospacing="0" w:line="240" w:lineRule="auto"/>
                    <w:ind w:left="0" w:right="0"/>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6</w:t>
                  </w:r>
                </w:p>
              </w:tc>
              <w:tc>
                <w:tcPr>
                  <w:tcW w:w="557" w:type="pct"/>
                  <w:tcBorders>
                    <w:tl2br w:val="nil"/>
                    <w:tr2bl w:val="nil"/>
                  </w:tcBorders>
                  <w:noWrap w:val="0"/>
                  <w:vAlign w:val="center"/>
                </w:tcPr>
                <w:p w14:paraId="062DDF32">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lang w:val="en-US" w:eastAsia="zh-CN"/>
                    </w:rPr>
                    <w:t>废铁水包</w:t>
                  </w:r>
                </w:p>
              </w:tc>
              <w:tc>
                <w:tcPr>
                  <w:tcW w:w="511" w:type="pct"/>
                  <w:tcBorders>
                    <w:tl2br w:val="nil"/>
                    <w:tr2bl w:val="nil"/>
                  </w:tcBorders>
                  <w:noWrap w:val="0"/>
                  <w:vAlign w:val="center"/>
                </w:tcPr>
                <w:p w14:paraId="4A038AD1">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生产线</w:t>
                  </w:r>
                </w:p>
              </w:tc>
              <w:tc>
                <w:tcPr>
                  <w:tcW w:w="245" w:type="pct"/>
                  <w:tcBorders>
                    <w:tl2br w:val="nil"/>
                    <w:tr2bl w:val="nil"/>
                  </w:tcBorders>
                  <w:noWrap w:val="0"/>
                  <w:vAlign w:val="center"/>
                </w:tcPr>
                <w:p w14:paraId="77C7379A">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固体</w:t>
                  </w:r>
                </w:p>
              </w:tc>
              <w:tc>
                <w:tcPr>
                  <w:tcW w:w="547" w:type="pct"/>
                  <w:tcBorders>
                    <w:tl2br w:val="nil"/>
                    <w:tr2bl w:val="nil"/>
                  </w:tcBorders>
                  <w:noWrap w:val="0"/>
                  <w:vAlign w:val="center"/>
                </w:tcPr>
                <w:p w14:paraId="41909305">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一般工业固体废物</w:t>
                  </w:r>
                </w:p>
              </w:tc>
              <w:tc>
                <w:tcPr>
                  <w:tcW w:w="567" w:type="pct"/>
                  <w:tcBorders>
                    <w:tl2br w:val="nil"/>
                    <w:tr2bl w:val="nil"/>
                  </w:tcBorders>
                  <w:noWrap w:val="0"/>
                  <w:vAlign w:val="center"/>
                </w:tcPr>
                <w:p w14:paraId="5F2A9202">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900-099-S17</w:t>
                  </w:r>
                </w:p>
              </w:tc>
              <w:tc>
                <w:tcPr>
                  <w:tcW w:w="271" w:type="pct"/>
                  <w:tcBorders>
                    <w:tl2br w:val="nil"/>
                    <w:tr2bl w:val="nil"/>
                  </w:tcBorders>
                  <w:noWrap w:val="0"/>
                  <w:vAlign w:val="center"/>
                </w:tcPr>
                <w:p w14:paraId="0F5CEC4B">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541" w:type="pct"/>
                  <w:tcBorders>
                    <w:tl2br w:val="nil"/>
                    <w:tr2bl w:val="nil"/>
                  </w:tcBorders>
                  <w:noWrap w:val="0"/>
                  <w:vAlign w:val="center"/>
                </w:tcPr>
                <w:p w14:paraId="23482126">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类比法</w:t>
                  </w:r>
                </w:p>
              </w:tc>
              <w:tc>
                <w:tcPr>
                  <w:tcW w:w="379" w:type="pct"/>
                  <w:tcBorders>
                    <w:tl2br w:val="nil"/>
                    <w:tr2bl w:val="nil"/>
                  </w:tcBorders>
                  <w:noWrap w:val="0"/>
                  <w:vAlign w:val="center"/>
                </w:tcPr>
                <w:p w14:paraId="6FF109BC">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5t/a</w:t>
                  </w:r>
                </w:p>
              </w:tc>
              <w:tc>
                <w:tcPr>
                  <w:tcW w:w="406" w:type="pct"/>
                  <w:tcBorders>
                    <w:tl2br w:val="nil"/>
                    <w:tr2bl w:val="nil"/>
                  </w:tcBorders>
                  <w:noWrap w:val="0"/>
                  <w:vAlign w:val="center"/>
                </w:tcPr>
                <w:p w14:paraId="4A3F616F">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82" w:type="pct"/>
                  <w:tcBorders>
                    <w:tl2br w:val="nil"/>
                    <w:tr2bl w:val="nil"/>
                  </w:tcBorders>
                  <w:noWrap w:val="0"/>
                  <w:vAlign w:val="center"/>
                </w:tcPr>
                <w:p w14:paraId="4691E0EE">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外售给砖厂制砖</w:t>
                  </w:r>
                </w:p>
              </w:tc>
            </w:tr>
            <w:tr w14:paraId="1C79D17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87" w:type="pct"/>
                  <w:tcBorders>
                    <w:tl2br w:val="nil"/>
                    <w:tr2bl w:val="nil"/>
                  </w:tcBorders>
                  <w:noWrap w:val="0"/>
                  <w:vAlign w:val="center"/>
                </w:tcPr>
                <w:p w14:paraId="1A975305">
                  <w:pPr>
                    <w:keepNext w:val="0"/>
                    <w:keepLines w:val="0"/>
                    <w:suppressLineNumbers w:val="0"/>
                    <w:spacing w:before="0" w:beforeLines="0" w:beforeAutospacing="0" w:after="0" w:afterLines="0" w:afterAutospacing="0" w:line="240" w:lineRule="auto"/>
                    <w:ind w:left="0" w:right="0"/>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7</w:t>
                  </w:r>
                </w:p>
              </w:tc>
              <w:tc>
                <w:tcPr>
                  <w:tcW w:w="557" w:type="pct"/>
                  <w:tcBorders>
                    <w:tl2br w:val="nil"/>
                    <w:tr2bl w:val="nil"/>
                  </w:tcBorders>
                  <w:shd w:val="clear" w:color="auto" w:fill="auto"/>
                  <w:noWrap w:val="0"/>
                  <w:vAlign w:val="center"/>
                </w:tcPr>
                <w:p w14:paraId="1D5D49A6">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废砂</w:t>
                  </w:r>
                </w:p>
              </w:tc>
              <w:tc>
                <w:tcPr>
                  <w:tcW w:w="511" w:type="pct"/>
                  <w:tcBorders>
                    <w:tl2br w:val="nil"/>
                    <w:tr2bl w:val="nil"/>
                  </w:tcBorders>
                  <w:shd w:val="clear" w:color="auto" w:fill="auto"/>
                  <w:noWrap w:val="0"/>
                  <w:vAlign w:val="center"/>
                </w:tcPr>
                <w:p w14:paraId="55C8FBAB">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lang w:val="en-US" w:eastAsia="zh-CN" w:bidi="ar-SA"/>
                    </w:rPr>
                  </w:pPr>
                  <w:r>
                    <w:rPr>
                      <w:rFonts w:hint="eastAsia" w:ascii="Times New Roman" w:hAnsi="Times New Roman" w:eastAsia="Times New Roman" w:cs="Times New Roman"/>
                      <w:color w:val="auto"/>
                      <w:sz w:val="21"/>
                      <w:szCs w:val="21"/>
                      <w:lang w:val="en-US" w:eastAsia="zh-CN" w:bidi="ar-SA"/>
                    </w:rPr>
                    <w:t>砂处理</w:t>
                  </w:r>
                </w:p>
              </w:tc>
              <w:tc>
                <w:tcPr>
                  <w:tcW w:w="245" w:type="pct"/>
                  <w:tcBorders>
                    <w:tl2br w:val="nil"/>
                    <w:tr2bl w:val="nil"/>
                  </w:tcBorders>
                  <w:shd w:val="clear" w:color="auto" w:fill="auto"/>
                  <w:noWrap w:val="0"/>
                  <w:vAlign w:val="center"/>
                </w:tcPr>
                <w:p w14:paraId="1829E0D0">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lang w:val="en-US" w:eastAsia="zh-CN" w:bidi="ar-SA"/>
                    </w:rPr>
                  </w:pPr>
                  <w:r>
                    <w:rPr>
                      <w:rFonts w:hint="default" w:ascii="Times New Roman" w:hAnsi="Times New Roman" w:eastAsia="宋体" w:cs="Times New Roman"/>
                      <w:color w:val="auto"/>
                      <w:sz w:val="21"/>
                      <w:szCs w:val="21"/>
                    </w:rPr>
                    <w:t>固体</w:t>
                  </w:r>
                </w:p>
              </w:tc>
              <w:tc>
                <w:tcPr>
                  <w:tcW w:w="547" w:type="pct"/>
                  <w:tcBorders>
                    <w:tl2br w:val="nil"/>
                    <w:tr2bl w:val="nil"/>
                  </w:tcBorders>
                  <w:shd w:val="clear" w:color="auto" w:fill="auto"/>
                  <w:noWrap w:val="0"/>
                  <w:vAlign w:val="center"/>
                </w:tcPr>
                <w:p w14:paraId="66848DBB">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一般工业固体废物</w:t>
                  </w:r>
                </w:p>
              </w:tc>
              <w:tc>
                <w:tcPr>
                  <w:tcW w:w="567" w:type="pct"/>
                  <w:tcBorders>
                    <w:tl2br w:val="nil"/>
                    <w:tr2bl w:val="nil"/>
                  </w:tcBorders>
                  <w:shd w:val="clear" w:color="auto" w:fill="auto"/>
                  <w:noWrap w:val="0"/>
                  <w:vAlign w:val="center"/>
                </w:tcPr>
                <w:p w14:paraId="3D7152EA">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 w:val="21"/>
                      <w:szCs w:val="21"/>
                      <w:lang w:val="en-US" w:eastAsia="zh-CN"/>
                    </w:rPr>
                    <w:t>900-099-S17</w:t>
                  </w:r>
                </w:p>
              </w:tc>
              <w:tc>
                <w:tcPr>
                  <w:tcW w:w="271" w:type="pct"/>
                  <w:tcBorders>
                    <w:tl2br w:val="nil"/>
                    <w:tr2bl w:val="nil"/>
                  </w:tcBorders>
                  <w:shd w:val="clear" w:color="auto" w:fill="auto"/>
                  <w:noWrap w:val="0"/>
                  <w:vAlign w:val="center"/>
                </w:tcPr>
                <w:p w14:paraId="5223E172">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 w:val="21"/>
                      <w:szCs w:val="21"/>
                    </w:rPr>
                    <w:t>/</w:t>
                  </w:r>
                </w:p>
              </w:tc>
              <w:tc>
                <w:tcPr>
                  <w:tcW w:w="541" w:type="pct"/>
                  <w:tcBorders>
                    <w:tl2br w:val="nil"/>
                    <w:tr2bl w:val="nil"/>
                  </w:tcBorders>
                  <w:shd w:val="clear" w:color="auto" w:fill="auto"/>
                  <w:noWrap w:val="0"/>
                  <w:vAlign w:val="center"/>
                </w:tcPr>
                <w:p w14:paraId="3846AFF9">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类比法</w:t>
                  </w:r>
                </w:p>
              </w:tc>
              <w:tc>
                <w:tcPr>
                  <w:tcW w:w="379" w:type="pct"/>
                  <w:tcBorders>
                    <w:tl2br w:val="nil"/>
                    <w:tr2bl w:val="nil"/>
                  </w:tcBorders>
                  <w:shd w:val="clear" w:color="auto" w:fill="auto"/>
                  <w:noWrap w:val="0"/>
                  <w:vAlign w:val="center"/>
                </w:tcPr>
                <w:p w14:paraId="54C8D406">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300</w:t>
                  </w:r>
                  <w:r>
                    <w:rPr>
                      <w:rFonts w:hint="default" w:ascii="Times New Roman" w:hAnsi="Times New Roman" w:eastAsia="宋体" w:cs="Times New Roman"/>
                      <w:color w:val="auto"/>
                      <w:sz w:val="21"/>
                      <w:szCs w:val="21"/>
                    </w:rPr>
                    <w:t>t/a</w:t>
                  </w:r>
                </w:p>
              </w:tc>
              <w:tc>
                <w:tcPr>
                  <w:tcW w:w="406" w:type="pct"/>
                  <w:tcBorders>
                    <w:tl2br w:val="nil"/>
                    <w:tr2bl w:val="nil"/>
                  </w:tcBorders>
                  <w:shd w:val="clear" w:color="auto" w:fill="auto"/>
                  <w:noWrap w:val="0"/>
                  <w:vAlign w:val="center"/>
                </w:tcPr>
                <w:p w14:paraId="4469A8B9">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lang w:val="en-US" w:eastAsia="zh-CN" w:bidi="ar-SA"/>
                    </w:rPr>
                  </w:pPr>
                  <w:r>
                    <w:rPr>
                      <w:rFonts w:hint="default" w:ascii="Times New Roman" w:hAnsi="Times New Roman" w:eastAsia="宋体" w:cs="Times New Roman"/>
                      <w:color w:val="auto"/>
                      <w:sz w:val="21"/>
                      <w:szCs w:val="21"/>
                    </w:rPr>
                    <w:t>0</w:t>
                  </w:r>
                </w:p>
              </w:tc>
              <w:tc>
                <w:tcPr>
                  <w:tcW w:w="782" w:type="pct"/>
                  <w:tcBorders>
                    <w:tl2br w:val="nil"/>
                    <w:tr2bl w:val="nil"/>
                  </w:tcBorders>
                  <w:shd w:val="clear" w:color="auto" w:fill="auto"/>
                  <w:noWrap w:val="0"/>
                  <w:vAlign w:val="center"/>
                </w:tcPr>
                <w:p w14:paraId="7DF1BD1C">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外售给砖厂制砖</w:t>
                  </w:r>
                </w:p>
              </w:tc>
            </w:tr>
            <w:tr w14:paraId="682E2F6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87" w:type="pct"/>
                  <w:tcBorders>
                    <w:tl2br w:val="nil"/>
                    <w:tr2bl w:val="nil"/>
                  </w:tcBorders>
                  <w:noWrap w:val="0"/>
                  <w:vAlign w:val="center"/>
                </w:tcPr>
                <w:p w14:paraId="5276CDAC">
                  <w:pPr>
                    <w:keepNext w:val="0"/>
                    <w:keepLines w:val="0"/>
                    <w:suppressLineNumbers w:val="0"/>
                    <w:spacing w:before="0" w:beforeLines="0" w:beforeAutospacing="0" w:after="0" w:afterLines="0" w:afterAutospacing="0" w:line="240" w:lineRule="auto"/>
                    <w:ind w:left="0" w:right="0"/>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8</w:t>
                  </w:r>
                </w:p>
              </w:tc>
              <w:tc>
                <w:tcPr>
                  <w:tcW w:w="557" w:type="pct"/>
                  <w:tcBorders>
                    <w:tl2br w:val="nil"/>
                    <w:tr2bl w:val="nil"/>
                  </w:tcBorders>
                  <w:noWrap w:val="0"/>
                  <w:vAlign w:val="center"/>
                </w:tcPr>
                <w:p w14:paraId="46EC0021">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lang w:val="en-US" w:eastAsia="zh-CN"/>
                    </w:rPr>
                    <w:t>废布袋</w:t>
                  </w:r>
                </w:p>
              </w:tc>
              <w:tc>
                <w:tcPr>
                  <w:tcW w:w="511" w:type="pct"/>
                  <w:tcBorders>
                    <w:tl2br w:val="nil"/>
                    <w:tr2bl w:val="nil"/>
                  </w:tcBorders>
                  <w:shd w:val="clear" w:color="auto" w:fill="auto"/>
                  <w:noWrap w:val="0"/>
                  <w:vAlign w:val="center"/>
                </w:tcPr>
                <w:p w14:paraId="6D39A9B3">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lang w:val="en-US" w:eastAsia="zh-CN" w:bidi="ar-SA"/>
                    </w:rPr>
                  </w:pPr>
                  <w:r>
                    <w:rPr>
                      <w:rFonts w:hint="eastAsia" w:ascii="Times New Roman" w:hAnsi="Times New Roman" w:eastAsia="Times New Roman" w:cs="Times New Roman"/>
                      <w:color w:val="auto"/>
                      <w:sz w:val="21"/>
                      <w:szCs w:val="21"/>
                      <w:lang w:val="en-US" w:eastAsia="zh-CN" w:bidi="ar-SA"/>
                    </w:rPr>
                    <w:t>废气治理</w:t>
                  </w:r>
                </w:p>
              </w:tc>
              <w:tc>
                <w:tcPr>
                  <w:tcW w:w="245" w:type="pct"/>
                  <w:tcBorders>
                    <w:tl2br w:val="nil"/>
                    <w:tr2bl w:val="nil"/>
                  </w:tcBorders>
                  <w:shd w:val="clear" w:color="auto" w:fill="auto"/>
                  <w:noWrap w:val="0"/>
                  <w:vAlign w:val="center"/>
                </w:tcPr>
                <w:p w14:paraId="679E55EE">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lang w:val="en-US" w:eastAsia="zh-CN" w:bidi="ar-SA"/>
                    </w:rPr>
                  </w:pPr>
                  <w:r>
                    <w:rPr>
                      <w:rFonts w:hint="default" w:ascii="Times New Roman" w:hAnsi="Times New Roman" w:eastAsia="宋体" w:cs="Times New Roman"/>
                      <w:color w:val="auto"/>
                      <w:sz w:val="21"/>
                      <w:szCs w:val="21"/>
                    </w:rPr>
                    <w:t>固体</w:t>
                  </w:r>
                </w:p>
              </w:tc>
              <w:tc>
                <w:tcPr>
                  <w:tcW w:w="547" w:type="pct"/>
                  <w:tcBorders>
                    <w:tl2br w:val="nil"/>
                    <w:tr2bl w:val="nil"/>
                  </w:tcBorders>
                  <w:shd w:val="clear" w:color="auto" w:fill="auto"/>
                  <w:noWrap w:val="0"/>
                  <w:vAlign w:val="center"/>
                </w:tcPr>
                <w:p w14:paraId="51A6D103">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一般工业固体废物</w:t>
                  </w:r>
                </w:p>
              </w:tc>
              <w:tc>
                <w:tcPr>
                  <w:tcW w:w="567" w:type="pct"/>
                  <w:tcBorders>
                    <w:tl2br w:val="nil"/>
                    <w:tr2bl w:val="nil"/>
                  </w:tcBorders>
                  <w:noWrap w:val="0"/>
                  <w:vAlign w:val="center"/>
                </w:tcPr>
                <w:p w14:paraId="74D91092">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900-009-S59</w:t>
                  </w:r>
                </w:p>
              </w:tc>
              <w:tc>
                <w:tcPr>
                  <w:tcW w:w="271" w:type="pct"/>
                  <w:tcBorders>
                    <w:tl2br w:val="nil"/>
                    <w:tr2bl w:val="nil"/>
                  </w:tcBorders>
                  <w:noWrap w:val="0"/>
                  <w:vAlign w:val="center"/>
                </w:tcPr>
                <w:p w14:paraId="052CD3A9">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541" w:type="pct"/>
                  <w:tcBorders>
                    <w:tl2br w:val="nil"/>
                    <w:tr2bl w:val="nil"/>
                  </w:tcBorders>
                  <w:shd w:val="clear" w:color="auto" w:fill="auto"/>
                  <w:noWrap w:val="0"/>
                  <w:vAlign w:val="center"/>
                </w:tcPr>
                <w:p w14:paraId="5967E814">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类比法</w:t>
                  </w:r>
                </w:p>
              </w:tc>
              <w:tc>
                <w:tcPr>
                  <w:tcW w:w="379" w:type="pct"/>
                  <w:tcBorders>
                    <w:tl2br w:val="nil"/>
                    <w:tr2bl w:val="nil"/>
                  </w:tcBorders>
                  <w:shd w:val="clear" w:color="auto" w:fill="auto"/>
                  <w:noWrap w:val="0"/>
                  <w:vAlign w:val="center"/>
                </w:tcPr>
                <w:p w14:paraId="7BB8BBB7">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0.2</w:t>
                  </w:r>
                  <w:r>
                    <w:rPr>
                      <w:rFonts w:hint="default" w:ascii="Times New Roman" w:hAnsi="Times New Roman" w:eastAsia="宋体" w:cs="Times New Roman"/>
                      <w:color w:val="auto"/>
                      <w:sz w:val="21"/>
                      <w:szCs w:val="21"/>
                    </w:rPr>
                    <w:t>t/a</w:t>
                  </w:r>
                </w:p>
              </w:tc>
              <w:tc>
                <w:tcPr>
                  <w:tcW w:w="406" w:type="pct"/>
                  <w:tcBorders>
                    <w:tl2br w:val="nil"/>
                    <w:tr2bl w:val="nil"/>
                  </w:tcBorders>
                  <w:shd w:val="clear" w:color="auto" w:fill="auto"/>
                  <w:noWrap w:val="0"/>
                  <w:vAlign w:val="center"/>
                </w:tcPr>
                <w:p w14:paraId="5A93FDAA">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lang w:val="en-US" w:eastAsia="zh-CN" w:bidi="ar-SA"/>
                    </w:rPr>
                  </w:pPr>
                  <w:r>
                    <w:rPr>
                      <w:rFonts w:hint="default" w:ascii="Times New Roman" w:hAnsi="Times New Roman" w:eastAsia="宋体" w:cs="Times New Roman"/>
                      <w:color w:val="auto"/>
                      <w:sz w:val="21"/>
                      <w:szCs w:val="21"/>
                    </w:rPr>
                    <w:t>0</w:t>
                  </w:r>
                </w:p>
              </w:tc>
              <w:tc>
                <w:tcPr>
                  <w:tcW w:w="782" w:type="pct"/>
                  <w:tcBorders>
                    <w:tl2br w:val="nil"/>
                    <w:tr2bl w:val="nil"/>
                  </w:tcBorders>
                  <w:noWrap w:val="0"/>
                  <w:vAlign w:val="center"/>
                </w:tcPr>
                <w:p w14:paraId="658B6C34">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lang w:val="en-US" w:eastAsia="zh-CN"/>
                    </w:rPr>
                    <w:t>废布袋更换时直接交由厂家回收利用</w:t>
                  </w:r>
                </w:p>
              </w:tc>
            </w:tr>
            <w:tr w14:paraId="64A4F3F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87" w:type="pct"/>
                  <w:tcBorders>
                    <w:tl2br w:val="nil"/>
                    <w:tr2bl w:val="nil"/>
                  </w:tcBorders>
                  <w:noWrap w:val="0"/>
                  <w:vAlign w:val="center"/>
                </w:tcPr>
                <w:p w14:paraId="6BD68B88">
                  <w:pPr>
                    <w:keepNext w:val="0"/>
                    <w:keepLines w:val="0"/>
                    <w:suppressLineNumbers w:val="0"/>
                    <w:spacing w:before="0" w:beforeLines="0" w:beforeAutospacing="0" w:after="0" w:afterLines="0" w:afterAutospacing="0" w:line="240" w:lineRule="auto"/>
                    <w:ind w:left="0" w:right="0"/>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9</w:t>
                  </w:r>
                </w:p>
              </w:tc>
              <w:tc>
                <w:tcPr>
                  <w:tcW w:w="557" w:type="pct"/>
                  <w:tcBorders>
                    <w:tl2br w:val="nil"/>
                    <w:tr2bl w:val="nil"/>
                  </w:tcBorders>
                  <w:noWrap w:val="0"/>
                  <w:vAlign w:val="center"/>
                </w:tcPr>
                <w:p w14:paraId="13BA55FC">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lang w:val="en-US" w:eastAsia="zh-CN"/>
                    </w:rPr>
                    <w:t>废布袋除尘器收尘</w:t>
                  </w:r>
                </w:p>
              </w:tc>
              <w:tc>
                <w:tcPr>
                  <w:tcW w:w="511" w:type="pct"/>
                  <w:tcBorders>
                    <w:tl2br w:val="nil"/>
                    <w:tr2bl w:val="nil"/>
                  </w:tcBorders>
                  <w:noWrap w:val="0"/>
                  <w:vAlign w:val="center"/>
                </w:tcPr>
                <w:p w14:paraId="273B9298">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lang w:val="en-US" w:eastAsia="zh-CN"/>
                    </w:rPr>
                    <w:t>废气治理</w:t>
                  </w:r>
                </w:p>
              </w:tc>
              <w:tc>
                <w:tcPr>
                  <w:tcW w:w="245" w:type="pct"/>
                  <w:tcBorders>
                    <w:tl2br w:val="nil"/>
                    <w:tr2bl w:val="nil"/>
                  </w:tcBorders>
                  <w:noWrap w:val="0"/>
                  <w:vAlign w:val="center"/>
                </w:tcPr>
                <w:p w14:paraId="3EEF19C3">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固体</w:t>
                  </w:r>
                </w:p>
              </w:tc>
              <w:tc>
                <w:tcPr>
                  <w:tcW w:w="547" w:type="pct"/>
                  <w:tcBorders>
                    <w:tl2br w:val="nil"/>
                    <w:tr2bl w:val="nil"/>
                  </w:tcBorders>
                  <w:noWrap w:val="0"/>
                  <w:vAlign w:val="center"/>
                </w:tcPr>
                <w:p w14:paraId="2773A2A7">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一般工业固体废物</w:t>
                  </w:r>
                </w:p>
              </w:tc>
              <w:tc>
                <w:tcPr>
                  <w:tcW w:w="567" w:type="pct"/>
                  <w:tcBorders>
                    <w:tl2br w:val="nil"/>
                    <w:tr2bl w:val="nil"/>
                  </w:tcBorders>
                  <w:noWrap w:val="0"/>
                  <w:vAlign w:val="center"/>
                </w:tcPr>
                <w:p w14:paraId="7DD9E3F0">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900-099-S17</w:t>
                  </w:r>
                </w:p>
              </w:tc>
              <w:tc>
                <w:tcPr>
                  <w:tcW w:w="271" w:type="pct"/>
                  <w:tcBorders>
                    <w:tl2br w:val="nil"/>
                    <w:tr2bl w:val="nil"/>
                  </w:tcBorders>
                  <w:noWrap w:val="0"/>
                  <w:vAlign w:val="center"/>
                </w:tcPr>
                <w:p w14:paraId="39A8E90B">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541" w:type="pct"/>
                  <w:tcBorders>
                    <w:tl2br w:val="nil"/>
                    <w:tr2bl w:val="nil"/>
                  </w:tcBorders>
                  <w:noWrap w:val="0"/>
                  <w:vAlign w:val="center"/>
                </w:tcPr>
                <w:p w14:paraId="1626375F">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物料衡算法</w:t>
                  </w:r>
                </w:p>
              </w:tc>
              <w:tc>
                <w:tcPr>
                  <w:tcW w:w="379" w:type="pct"/>
                  <w:tcBorders>
                    <w:tl2br w:val="nil"/>
                    <w:tr2bl w:val="nil"/>
                  </w:tcBorders>
                  <w:noWrap w:val="0"/>
                  <w:vAlign w:val="center"/>
                </w:tcPr>
                <w:p w14:paraId="6623B425">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val="en-US" w:eastAsia="zh-CN"/>
                    </w:rPr>
                    <w:t>28.217</w:t>
                  </w:r>
                  <w:r>
                    <w:rPr>
                      <w:rFonts w:hint="default" w:ascii="Times New Roman" w:hAnsi="Times New Roman" w:eastAsia="宋体" w:cs="Times New Roman"/>
                      <w:color w:val="auto"/>
                      <w:sz w:val="21"/>
                      <w:szCs w:val="21"/>
                    </w:rPr>
                    <w:t>t/a</w:t>
                  </w:r>
                </w:p>
              </w:tc>
              <w:tc>
                <w:tcPr>
                  <w:tcW w:w="406" w:type="pct"/>
                  <w:tcBorders>
                    <w:tl2br w:val="nil"/>
                    <w:tr2bl w:val="nil"/>
                  </w:tcBorders>
                  <w:noWrap w:val="0"/>
                  <w:vAlign w:val="center"/>
                </w:tcPr>
                <w:p w14:paraId="4B802ADA">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0</w:t>
                  </w:r>
                </w:p>
              </w:tc>
              <w:tc>
                <w:tcPr>
                  <w:tcW w:w="782" w:type="pct"/>
                  <w:tcBorders>
                    <w:tl2br w:val="nil"/>
                    <w:tr2bl w:val="nil"/>
                  </w:tcBorders>
                  <w:noWrap w:val="0"/>
                  <w:vAlign w:val="center"/>
                </w:tcPr>
                <w:p w14:paraId="0F2443FF">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集中收集后外售综合利用</w:t>
                  </w:r>
                </w:p>
              </w:tc>
            </w:tr>
            <w:tr w14:paraId="7864350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87" w:type="pct"/>
                  <w:tcBorders>
                    <w:tl2br w:val="nil"/>
                    <w:tr2bl w:val="nil"/>
                  </w:tcBorders>
                  <w:noWrap w:val="0"/>
                  <w:vAlign w:val="center"/>
                </w:tcPr>
                <w:p w14:paraId="4778B049">
                  <w:pPr>
                    <w:keepNext w:val="0"/>
                    <w:keepLines w:val="0"/>
                    <w:suppressLineNumbers w:val="0"/>
                    <w:spacing w:before="0" w:beforeLines="0" w:beforeAutospacing="0" w:after="0" w:afterLines="0" w:afterAutospacing="0" w:line="240" w:lineRule="auto"/>
                    <w:ind w:left="0" w:right="0"/>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10</w:t>
                  </w:r>
                </w:p>
              </w:tc>
              <w:tc>
                <w:tcPr>
                  <w:tcW w:w="557" w:type="pct"/>
                  <w:tcBorders>
                    <w:tl2br w:val="nil"/>
                    <w:tr2bl w:val="nil"/>
                  </w:tcBorders>
                  <w:noWrap w:val="0"/>
                  <w:vAlign w:val="center"/>
                </w:tcPr>
                <w:p w14:paraId="7EED1293">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废</w:t>
                  </w:r>
                  <w:r>
                    <w:rPr>
                      <w:rFonts w:hint="default" w:ascii="Times New Roman" w:hAnsi="Times New Roman" w:eastAsia="Times New Roman" w:cs="Times New Roman"/>
                      <w:color w:val="auto"/>
                      <w:sz w:val="21"/>
                      <w:szCs w:val="21"/>
                      <w:lang w:val="en-US" w:eastAsia="zh-CN"/>
                    </w:rPr>
                    <w:t>机油</w:t>
                  </w:r>
                </w:p>
              </w:tc>
              <w:tc>
                <w:tcPr>
                  <w:tcW w:w="511" w:type="pct"/>
                  <w:tcBorders>
                    <w:tl2br w:val="nil"/>
                    <w:tr2bl w:val="nil"/>
                  </w:tcBorders>
                  <w:noWrap w:val="0"/>
                  <w:vAlign w:val="center"/>
                </w:tcPr>
                <w:p w14:paraId="77D755E5">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生产线</w:t>
                  </w:r>
                </w:p>
              </w:tc>
              <w:tc>
                <w:tcPr>
                  <w:tcW w:w="245" w:type="pct"/>
                  <w:tcBorders>
                    <w:tl2br w:val="nil"/>
                    <w:tr2bl w:val="nil"/>
                  </w:tcBorders>
                  <w:shd w:val="clear" w:color="auto" w:fill="auto"/>
                  <w:noWrap w:val="0"/>
                  <w:vAlign w:val="center"/>
                </w:tcPr>
                <w:p w14:paraId="74A0A1E2">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lang w:val="en-US" w:eastAsia="zh-CN" w:bidi="ar-SA"/>
                    </w:rPr>
                  </w:pPr>
                  <w:r>
                    <w:rPr>
                      <w:rFonts w:hint="default" w:ascii="Times New Roman" w:hAnsi="Times New Roman" w:eastAsia="宋体" w:cs="Times New Roman"/>
                      <w:color w:val="auto"/>
                      <w:sz w:val="21"/>
                      <w:szCs w:val="21"/>
                    </w:rPr>
                    <w:t>液态</w:t>
                  </w:r>
                </w:p>
              </w:tc>
              <w:tc>
                <w:tcPr>
                  <w:tcW w:w="547" w:type="pct"/>
                  <w:tcBorders>
                    <w:tl2br w:val="nil"/>
                    <w:tr2bl w:val="nil"/>
                  </w:tcBorders>
                  <w:shd w:val="clear" w:color="auto" w:fill="auto"/>
                  <w:noWrap w:val="0"/>
                  <w:vAlign w:val="center"/>
                </w:tcPr>
                <w:p w14:paraId="62B395B3">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危险废物</w:t>
                  </w:r>
                </w:p>
              </w:tc>
              <w:tc>
                <w:tcPr>
                  <w:tcW w:w="567" w:type="pct"/>
                  <w:tcBorders>
                    <w:tl2br w:val="nil"/>
                    <w:tr2bl w:val="nil"/>
                  </w:tcBorders>
                  <w:shd w:val="clear" w:color="auto" w:fill="auto"/>
                  <w:noWrap w:val="0"/>
                  <w:vAlign w:val="center"/>
                </w:tcPr>
                <w:p w14:paraId="6FCB4025">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 w:val="21"/>
                      <w:szCs w:val="21"/>
                    </w:rPr>
                    <w:t>HW08</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900-249-08</w:t>
                  </w:r>
                  <w:r>
                    <w:rPr>
                      <w:rFonts w:hint="eastAsia" w:ascii="Times New Roman" w:hAnsi="Times New Roman" w:cs="Times New Roman"/>
                      <w:color w:val="auto"/>
                      <w:sz w:val="21"/>
                      <w:szCs w:val="21"/>
                      <w:lang w:eastAsia="zh-CN"/>
                    </w:rPr>
                    <w:t>)</w:t>
                  </w:r>
                </w:p>
              </w:tc>
              <w:tc>
                <w:tcPr>
                  <w:tcW w:w="271" w:type="pct"/>
                  <w:tcBorders>
                    <w:tl2br w:val="nil"/>
                    <w:tr2bl w:val="nil"/>
                  </w:tcBorders>
                  <w:shd w:val="clear" w:color="auto" w:fill="auto"/>
                  <w:noWrap w:val="0"/>
                  <w:vAlign w:val="center"/>
                </w:tcPr>
                <w:p w14:paraId="296E4F1A">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 w:val="21"/>
                      <w:szCs w:val="21"/>
                    </w:rPr>
                    <w:t>T, I</w:t>
                  </w:r>
                </w:p>
              </w:tc>
              <w:tc>
                <w:tcPr>
                  <w:tcW w:w="541" w:type="pct"/>
                  <w:tcBorders>
                    <w:tl2br w:val="nil"/>
                    <w:tr2bl w:val="nil"/>
                  </w:tcBorders>
                  <w:shd w:val="clear" w:color="auto" w:fill="auto"/>
                  <w:noWrap w:val="0"/>
                  <w:vAlign w:val="center"/>
                </w:tcPr>
                <w:p w14:paraId="23F8C983">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类比法</w:t>
                  </w:r>
                </w:p>
              </w:tc>
              <w:tc>
                <w:tcPr>
                  <w:tcW w:w="379" w:type="pct"/>
                  <w:tcBorders>
                    <w:tl2br w:val="nil"/>
                    <w:tr2bl w:val="nil"/>
                  </w:tcBorders>
                  <w:shd w:val="clear" w:color="auto" w:fill="auto"/>
                  <w:noWrap w:val="0"/>
                  <w:vAlign w:val="center"/>
                </w:tcPr>
                <w:p w14:paraId="3A875614">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0.1</w:t>
                  </w:r>
                  <w:r>
                    <w:rPr>
                      <w:rFonts w:hint="default" w:ascii="Times New Roman" w:hAnsi="Times New Roman" w:eastAsia="宋体" w:cs="Times New Roman"/>
                      <w:color w:val="auto"/>
                      <w:sz w:val="21"/>
                      <w:szCs w:val="21"/>
                    </w:rPr>
                    <w:t>t/a</w:t>
                  </w:r>
                </w:p>
              </w:tc>
              <w:tc>
                <w:tcPr>
                  <w:tcW w:w="406" w:type="pct"/>
                  <w:tcBorders>
                    <w:tl2br w:val="nil"/>
                    <w:tr2bl w:val="nil"/>
                  </w:tcBorders>
                  <w:shd w:val="clear" w:color="auto" w:fill="auto"/>
                  <w:noWrap w:val="0"/>
                  <w:vAlign w:val="center"/>
                </w:tcPr>
                <w:p w14:paraId="0D70A48E">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0</w:t>
                  </w:r>
                </w:p>
              </w:tc>
              <w:tc>
                <w:tcPr>
                  <w:tcW w:w="782" w:type="pct"/>
                  <w:tcBorders>
                    <w:tl2br w:val="nil"/>
                    <w:tr2bl w:val="nil"/>
                  </w:tcBorders>
                  <w:shd w:val="clear" w:color="auto" w:fill="auto"/>
                  <w:noWrap w:val="0"/>
                  <w:vAlign w:val="center"/>
                </w:tcPr>
                <w:p w14:paraId="4EED3AF1">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lang w:val="en-US" w:eastAsia="zh-CN" w:bidi="ar-SA"/>
                    </w:rPr>
                  </w:pPr>
                  <w:r>
                    <w:rPr>
                      <w:rFonts w:hint="default" w:ascii="Times New Roman" w:hAnsi="Times New Roman" w:eastAsia="宋体" w:cs="Times New Roman"/>
                      <w:color w:val="auto"/>
                      <w:sz w:val="21"/>
                      <w:szCs w:val="21"/>
                    </w:rPr>
                    <w:t>交由有资质单位处置</w:t>
                  </w:r>
                </w:p>
              </w:tc>
            </w:tr>
            <w:tr w14:paraId="4C8881B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87" w:type="pct"/>
                  <w:tcBorders>
                    <w:tl2br w:val="nil"/>
                    <w:tr2bl w:val="nil"/>
                  </w:tcBorders>
                  <w:noWrap w:val="0"/>
                  <w:vAlign w:val="center"/>
                </w:tcPr>
                <w:p w14:paraId="2EDC979A">
                  <w:pPr>
                    <w:keepNext w:val="0"/>
                    <w:keepLines w:val="0"/>
                    <w:suppressLineNumbers w:val="0"/>
                    <w:spacing w:before="0" w:beforeLines="0" w:beforeAutospacing="0" w:after="0" w:afterLines="0" w:afterAutospacing="0" w:line="240" w:lineRule="auto"/>
                    <w:ind w:left="0" w:right="0"/>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11</w:t>
                  </w:r>
                </w:p>
              </w:tc>
              <w:tc>
                <w:tcPr>
                  <w:tcW w:w="557" w:type="pct"/>
                  <w:tcBorders>
                    <w:tl2br w:val="nil"/>
                    <w:tr2bl w:val="nil"/>
                  </w:tcBorders>
                  <w:shd w:val="clear" w:color="auto" w:fill="auto"/>
                  <w:noWrap w:val="0"/>
                  <w:vAlign w:val="center"/>
                </w:tcPr>
                <w:p w14:paraId="2950ED93">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lang w:val="en-US" w:eastAsia="zh-CN" w:bidi="ar-SA"/>
                    </w:rPr>
                  </w:pPr>
                  <w:r>
                    <w:rPr>
                      <w:rFonts w:hint="default" w:ascii="Times New Roman" w:hAnsi="Times New Roman" w:eastAsia="Times New Roman" w:cs="Times New Roman"/>
                      <w:color w:val="auto"/>
                      <w:sz w:val="21"/>
                      <w:szCs w:val="21"/>
                    </w:rPr>
                    <w:t>废</w:t>
                  </w:r>
                  <w:r>
                    <w:rPr>
                      <w:rFonts w:hint="default" w:ascii="Times New Roman" w:hAnsi="Times New Roman" w:eastAsia="Times New Roman" w:cs="Times New Roman"/>
                      <w:color w:val="auto"/>
                      <w:sz w:val="21"/>
                      <w:szCs w:val="21"/>
                      <w:lang w:val="en-US" w:eastAsia="zh-CN"/>
                    </w:rPr>
                    <w:t>机油</w:t>
                  </w:r>
                  <w:r>
                    <w:rPr>
                      <w:rFonts w:hint="eastAsia" w:ascii="Times New Roman" w:hAnsi="Times New Roman" w:eastAsia="Times New Roman" w:cs="Times New Roman"/>
                      <w:color w:val="auto"/>
                      <w:sz w:val="21"/>
                      <w:szCs w:val="21"/>
                      <w:lang w:val="en-US" w:eastAsia="zh-CN"/>
                    </w:rPr>
                    <w:t>桶</w:t>
                  </w:r>
                </w:p>
              </w:tc>
              <w:tc>
                <w:tcPr>
                  <w:tcW w:w="511" w:type="pct"/>
                  <w:tcBorders>
                    <w:tl2br w:val="nil"/>
                    <w:tr2bl w:val="nil"/>
                  </w:tcBorders>
                  <w:shd w:val="clear" w:color="auto" w:fill="auto"/>
                  <w:noWrap w:val="0"/>
                  <w:vAlign w:val="center"/>
                </w:tcPr>
                <w:p w14:paraId="1CC01A82">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维修</w:t>
                  </w:r>
                </w:p>
              </w:tc>
              <w:tc>
                <w:tcPr>
                  <w:tcW w:w="245" w:type="pct"/>
                  <w:tcBorders>
                    <w:tl2br w:val="nil"/>
                    <w:tr2bl w:val="nil"/>
                  </w:tcBorders>
                  <w:shd w:val="clear" w:color="auto" w:fill="auto"/>
                  <w:noWrap w:val="0"/>
                  <w:vAlign w:val="center"/>
                </w:tcPr>
                <w:p w14:paraId="1CED15E0">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固体</w:t>
                  </w:r>
                </w:p>
              </w:tc>
              <w:tc>
                <w:tcPr>
                  <w:tcW w:w="547" w:type="pct"/>
                  <w:tcBorders>
                    <w:tl2br w:val="nil"/>
                    <w:tr2bl w:val="nil"/>
                  </w:tcBorders>
                  <w:shd w:val="clear" w:color="auto" w:fill="auto"/>
                  <w:noWrap w:val="0"/>
                  <w:vAlign w:val="center"/>
                </w:tcPr>
                <w:p w14:paraId="797A038C">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危险废物</w:t>
                  </w:r>
                </w:p>
              </w:tc>
              <w:tc>
                <w:tcPr>
                  <w:tcW w:w="567" w:type="pct"/>
                  <w:tcBorders>
                    <w:tl2br w:val="nil"/>
                    <w:tr2bl w:val="nil"/>
                  </w:tcBorders>
                  <w:shd w:val="clear" w:color="auto" w:fill="auto"/>
                  <w:noWrap w:val="0"/>
                  <w:vAlign w:val="center"/>
                </w:tcPr>
                <w:p w14:paraId="7651E420">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 w:val="21"/>
                      <w:szCs w:val="21"/>
                    </w:rPr>
                    <w:t>HW08</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900-249-08</w:t>
                  </w:r>
                  <w:r>
                    <w:rPr>
                      <w:rFonts w:hint="eastAsia" w:ascii="Times New Roman" w:hAnsi="Times New Roman" w:cs="Times New Roman"/>
                      <w:color w:val="auto"/>
                      <w:sz w:val="21"/>
                      <w:szCs w:val="21"/>
                      <w:lang w:eastAsia="zh-CN"/>
                    </w:rPr>
                    <w:t>)</w:t>
                  </w:r>
                </w:p>
              </w:tc>
              <w:tc>
                <w:tcPr>
                  <w:tcW w:w="271" w:type="pct"/>
                  <w:tcBorders>
                    <w:tl2br w:val="nil"/>
                    <w:tr2bl w:val="nil"/>
                  </w:tcBorders>
                  <w:shd w:val="clear" w:color="auto" w:fill="auto"/>
                  <w:noWrap w:val="0"/>
                  <w:vAlign w:val="center"/>
                </w:tcPr>
                <w:p w14:paraId="6EF6E66E">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 w:val="21"/>
                      <w:szCs w:val="21"/>
                    </w:rPr>
                    <w:t>T, I</w:t>
                  </w:r>
                </w:p>
              </w:tc>
              <w:tc>
                <w:tcPr>
                  <w:tcW w:w="541" w:type="pct"/>
                  <w:tcBorders>
                    <w:tl2br w:val="nil"/>
                    <w:tr2bl w:val="nil"/>
                  </w:tcBorders>
                  <w:shd w:val="clear" w:color="auto" w:fill="auto"/>
                  <w:noWrap w:val="0"/>
                  <w:vAlign w:val="center"/>
                </w:tcPr>
                <w:p w14:paraId="507ECD68">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类比法</w:t>
                  </w:r>
                </w:p>
              </w:tc>
              <w:tc>
                <w:tcPr>
                  <w:tcW w:w="379" w:type="pct"/>
                  <w:tcBorders>
                    <w:tl2br w:val="nil"/>
                    <w:tr2bl w:val="nil"/>
                  </w:tcBorders>
                  <w:shd w:val="clear" w:color="auto" w:fill="auto"/>
                  <w:noWrap w:val="0"/>
                  <w:vAlign w:val="center"/>
                </w:tcPr>
                <w:p w14:paraId="519F2719">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0.01</w:t>
                  </w:r>
                  <w:r>
                    <w:rPr>
                      <w:rFonts w:hint="default" w:ascii="Times New Roman" w:hAnsi="Times New Roman" w:eastAsia="宋体" w:cs="Times New Roman"/>
                      <w:color w:val="auto"/>
                      <w:sz w:val="21"/>
                      <w:szCs w:val="21"/>
                    </w:rPr>
                    <w:t>t/a</w:t>
                  </w:r>
                </w:p>
              </w:tc>
              <w:tc>
                <w:tcPr>
                  <w:tcW w:w="406" w:type="pct"/>
                  <w:tcBorders>
                    <w:tl2br w:val="nil"/>
                    <w:tr2bl w:val="nil"/>
                  </w:tcBorders>
                  <w:shd w:val="clear" w:color="auto" w:fill="auto"/>
                  <w:noWrap w:val="0"/>
                  <w:vAlign w:val="center"/>
                </w:tcPr>
                <w:p w14:paraId="645B9B3B">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0</w:t>
                  </w:r>
                </w:p>
              </w:tc>
              <w:tc>
                <w:tcPr>
                  <w:tcW w:w="782" w:type="pct"/>
                  <w:tcBorders>
                    <w:tl2br w:val="nil"/>
                    <w:tr2bl w:val="nil"/>
                  </w:tcBorders>
                  <w:shd w:val="clear" w:color="auto" w:fill="auto"/>
                  <w:noWrap w:val="0"/>
                  <w:vAlign w:val="center"/>
                </w:tcPr>
                <w:p w14:paraId="0AEB3209">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lang w:val="en-US" w:eastAsia="zh-CN" w:bidi="ar-SA"/>
                    </w:rPr>
                  </w:pPr>
                  <w:r>
                    <w:rPr>
                      <w:rFonts w:hint="default" w:ascii="Times New Roman" w:hAnsi="Times New Roman" w:eastAsia="宋体" w:cs="Times New Roman"/>
                      <w:color w:val="auto"/>
                      <w:sz w:val="21"/>
                      <w:szCs w:val="21"/>
                    </w:rPr>
                    <w:t>交由有资质单位处置</w:t>
                  </w:r>
                </w:p>
              </w:tc>
            </w:tr>
            <w:tr w14:paraId="605BC4C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87" w:type="pct"/>
                  <w:tcBorders>
                    <w:tl2br w:val="nil"/>
                    <w:tr2bl w:val="nil"/>
                  </w:tcBorders>
                  <w:noWrap w:val="0"/>
                  <w:vAlign w:val="center"/>
                </w:tcPr>
                <w:p w14:paraId="0971D88C">
                  <w:pPr>
                    <w:keepNext w:val="0"/>
                    <w:keepLines w:val="0"/>
                    <w:suppressLineNumbers w:val="0"/>
                    <w:spacing w:before="0" w:beforeLines="0" w:beforeAutospacing="0" w:after="0" w:afterLines="0" w:afterAutospacing="0" w:line="240" w:lineRule="auto"/>
                    <w:ind w:left="0" w:right="0"/>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12</w:t>
                  </w:r>
                </w:p>
              </w:tc>
              <w:tc>
                <w:tcPr>
                  <w:tcW w:w="557" w:type="pct"/>
                  <w:tcBorders>
                    <w:tl2br w:val="nil"/>
                    <w:tr2bl w:val="nil"/>
                  </w:tcBorders>
                  <w:noWrap w:val="0"/>
                  <w:vAlign w:val="center"/>
                </w:tcPr>
                <w:p w14:paraId="143424A1">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lang w:val="en-US"/>
                    </w:rPr>
                  </w:pPr>
                  <w:r>
                    <w:rPr>
                      <w:rFonts w:hint="default" w:ascii="Times New Roman" w:hAnsi="Times New Roman" w:eastAsia="宋体" w:cs="Times New Roman"/>
                      <w:color w:val="auto"/>
                      <w:sz w:val="21"/>
                      <w:szCs w:val="21"/>
                      <w:lang w:val="en-US" w:eastAsia="zh-CN"/>
                    </w:rPr>
                    <w:t>废淬火油</w:t>
                  </w:r>
                  <w:r>
                    <w:rPr>
                      <w:rFonts w:hint="eastAsia" w:ascii="Times New Roman" w:hAnsi="Times New Roman" w:cs="Times New Roman"/>
                      <w:color w:val="auto"/>
                      <w:sz w:val="21"/>
                      <w:szCs w:val="21"/>
                      <w:lang w:val="en-US" w:eastAsia="zh-CN"/>
                    </w:rPr>
                    <w:t>及淬火废渣</w:t>
                  </w:r>
                </w:p>
              </w:tc>
              <w:tc>
                <w:tcPr>
                  <w:tcW w:w="511" w:type="pct"/>
                  <w:tcBorders>
                    <w:tl2br w:val="nil"/>
                    <w:tr2bl w:val="nil"/>
                  </w:tcBorders>
                  <w:noWrap w:val="0"/>
                  <w:vAlign w:val="center"/>
                </w:tcPr>
                <w:p w14:paraId="7054D9EE">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淬火</w:t>
                  </w:r>
                </w:p>
              </w:tc>
              <w:tc>
                <w:tcPr>
                  <w:tcW w:w="245" w:type="pct"/>
                  <w:tcBorders>
                    <w:tl2br w:val="nil"/>
                    <w:tr2bl w:val="nil"/>
                  </w:tcBorders>
                  <w:noWrap w:val="0"/>
                  <w:vAlign w:val="center"/>
                </w:tcPr>
                <w:p w14:paraId="7B25DB58">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液态</w:t>
                  </w:r>
                </w:p>
              </w:tc>
              <w:tc>
                <w:tcPr>
                  <w:tcW w:w="547" w:type="pct"/>
                  <w:tcBorders>
                    <w:tl2br w:val="nil"/>
                    <w:tr2bl w:val="nil"/>
                  </w:tcBorders>
                  <w:noWrap w:val="0"/>
                  <w:vAlign w:val="center"/>
                </w:tcPr>
                <w:p w14:paraId="6B9F9871">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危险废物</w:t>
                  </w:r>
                </w:p>
              </w:tc>
              <w:tc>
                <w:tcPr>
                  <w:tcW w:w="567" w:type="pct"/>
                  <w:tcBorders>
                    <w:tl2br w:val="nil"/>
                    <w:tr2bl w:val="nil"/>
                  </w:tcBorders>
                  <w:noWrap w:val="0"/>
                  <w:vAlign w:val="center"/>
                </w:tcPr>
                <w:p w14:paraId="6D3E0788">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HW08</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900-2</w:t>
                  </w:r>
                  <w:r>
                    <w:rPr>
                      <w:rFonts w:hint="eastAsia" w:ascii="Times New Roman" w:hAnsi="Times New Roman" w:cs="Times New Roman"/>
                      <w:color w:val="auto"/>
                      <w:sz w:val="21"/>
                      <w:szCs w:val="21"/>
                      <w:lang w:val="en-US" w:eastAsia="zh-CN"/>
                    </w:rPr>
                    <w:t>03</w:t>
                  </w:r>
                  <w:r>
                    <w:rPr>
                      <w:rFonts w:hint="default" w:ascii="Times New Roman" w:hAnsi="Times New Roman" w:cs="Times New Roman"/>
                      <w:color w:val="auto"/>
                      <w:sz w:val="21"/>
                      <w:szCs w:val="21"/>
                    </w:rPr>
                    <w:t>-08</w:t>
                  </w:r>
                  <w:r>
                    <w:rPr>
                      <w:rFonts w:hint="eastAsia" w:ascii="Times New Roman" w:hAnsi="Times New Roman" w:cs="Times New Roman"/>
                      <w:color w:val="auto"/>
                      <w:sz w:val="21"/>
                      <w:szCs w:val="21"/>
                      <w:lang w:eastAsia="zh-CN"/>
                    </w:rPr>
                    <w:t>)</w:t>
                  </w:r>
                </w:p>
              </w:tc>
              <w:tc>
                <w:tcPr>
                  <w:tcW w:w="271" w:type="pct"/>
                  <w:tcBorders>
                    <w:tl2br w:val="nil"/>
                    <w:tr2bl w:val="nil"/>
                  </w:tcBorders>
                  <w:noWrap w:val="0"/>
                  <w:vAlign w:val="center"/>
                </w:tcPr>
                <w:p w14:paraId="1AA9DCF7">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T/C/I/R</w:t>
                  </w:r>
                </w:p>
              </w:tc>
              <w:tc>
                <w:tcPr>
                  <w:tcW w:w="541" w:type="pct"/>
                  <w:tcBorders>
                    <w:tl2br w:val="nil"/>
                    <w:tr2bl w:val="nil"/>
                  </w:tcBorders>
                  <w:noWrap w:val="0"/>
                  <w:vAlign w:val="center"/>
                </w:tcPr>
                <w:p w14:paraId="6C7C14B1">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类比法</w:t>
                  </w:r>
                </w:p>
              </w:tc>
              <w:tc>
                <w:tcPr>
                  <w:tcW w:w="379" w:type="pct"/>
                  <w:tcBorders>
                    <w:tl2br w:val="nil"/>
                    <w:tr2bl w:val="nil"/>
                  </w:tcBorders>
                  <w:noWrap w:val="0"/>
                  <w:vAlign w:val="center"/>
                </w:tcPr>
                <w:p w14:paraId="2A5F38A7">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eastAsia" w:ascii="Times New Roman" w:hAnsi="Times New Roman" w:cs="Times New Roman"/>
                      <w:color w:val="auto"/>
                      <w:sz w:val="21"/>
                      <w:szCs w:val="21"/>
                      <w:lang w:val="en-US" w:eastAsia="zh-CN"/>
                    </w:rPr>
                    <w:t>0.8</w:t>
                  </w:r>
                  <w:r>
                    <w:rPr>
                      <w:rFonts w:hint="default" w:ascii="Times New Roman" w:hAnsi="Times New Roman" w:eastAsia="宋体" w:cs="Times New Roman"/>
                      <w:color w:val="auto"/>
                      <w:sz w:val="21"/>
                      <w:szCs w:val="21"/>
                    </w:rPr>
                    <w:t>t/a</w:t>
                  </w:r>
                </w:p>
              </w:tc>
              <w:tc>
                <w:tcPr>
                  <w:tcW w:w="406" w:type="pct"/>
                  <w:tcBorders>
                    <w:tl2br w:val="nil"/>
                    <w:tr2bl w:val="nil"/>
                  </w:tcBorders>
                  <w:noWrap w:val="0"/>
                  <w:vAlign w:val="center"/>
                </w:tcPr>
                <w:p w14:paraId="75ECBE6C">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rPr>
                    <w:t>0</w:t>
                  </w:r>
                </w:p>
              </w:tc>
              <w:tc>
                <w:tcPr>
                  <w:tcW w:w="782" w:type="pct"/>
                  <w:tcBorders>
                    <w:tl2br w:val="nil"/>
                    <w:tr2bl w:val="nil"/>
                  </w:tcBorders>
                  <w:noWrap w:val="0"/>
                  <w:vAlign w:val="center"/>
                </w:tcPr>
                <w:p w14:paraId="0F404C23">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交由有资质单位处置</w:t>
                  </w:r>
                </w:p>
              </w:tc>
            </w:tr>
          </w:tbl>
          <w:p w14:paraId="707C10C5">
            <w:pPr>
              <w:pStyle w:val="403"/>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sz w:val="21"/>
                <w:szCs w:val="21"/>
                <w:u w:val="none" w:color="auto"/>
                <w:lang w:val="en-US" w:eastAsia="zh-CN"/>
              </w:rPr>
            </w:pPr>
            <w:r>
              <w:rPr>
                <w:rFonts w:hint="default" w:ascii="Times New Roman" w:hAnsi="Times New Roman" w:eastAsia="宋体" w:cs="Times New Roman"/>
                <w:b/>
                <w:color w:val="auto"/>
                <w:sz w:val="21"/>
                <w:szCs w:val="21"/>
                <w:u w:val="none" w:color="auto"/>
                <w:lang w:val="en-US" w:eastAsia="zh-CN"/>
              </w:rPr>
              <w:t>表</w:t>
            </w:r>
            <w:r>
              <w:rPr>
                <w:rFonts w:hint="eastAsia" w:ascii="Times New Roman" w:hAnsi="Times New Roman" w:eastAsia="宋体" w:cs="Times New Roman"/>
                <w:b/>
                <w:color w:val="auto"/>
                <w:sz w:val="21"/>
                <w:szCs w:val="21"/>
                <w:u w:val="none" w:color="auto"/>
                <w:lang w:val="en-US" w:eastAsia="zh-CN"/>
              </w:rPr>
              <w:t>4-22</w:t>
            </w:r>
            <w:r>
              <w:rPr>
                <w:rFonts w:hint="default" w:ascii="Times New Roman" w:hAnsi="Times New Roman" w:eastAsia="宋体" w:cs="Times New Roman"/>
                <w:b/>
                <w:color w:val="auto"/>
                <w:sz w:val="21"/>
                <w:szCs w:val="21"/>
                <w:u w:val="none" w:color="auto"/>
                <w:lang w:val="en-US" w:eastAsia="zh-CN"/>
              </w:rPr>
              <w:t xml:space="preserve"> 运营期固体废物贮存、处置方式表</w:t>
            </w:r>
          </w:p>
          <w:tbl>
            <w:tblPr>
              <w:tblStyle w:val="56"/>
              <w:tblW w:w="4998"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386"/>
              <w:gridCol w:w="2031"/>
              <w:gridCol w:w="725"/>
              <w:gridCol w:w="830"/>
              <w:gridCol w:w="833"/>
              <w:gridCol w:w="891"/>
              <w:gridCol w:w="701"/>
              <w:gridCol w:w="606"/>
              <w:gridCol w:w="825"/>
              <w:gridCol w:w="451"/>
            </w:tblGrid>
            <w:tr w14:paraId="443138E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33" w:type="pct"/>
                  <w:vMerge w:val="restart"/>
                  <w:tcBorders>
                    <w:tl2br w:val="nil"/>
                    <w:tr2bl w:val="nil"/>
                  </w:tcBorders>
                  <w:noWrap w:val="0"/>
                  <w:vAlign w:val="center"/>
                </w:tcPr>
                <w:p w14:paraId="30B97805">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1226" w:type="pct"/>
                  <w:vMerge w:val="restart"/>
                  <w:tcBorders>
                    <w:tl2br w:val="nil"/>
                    <w:tr2bl w:val="nil"/>
                  </w:tcBorders>
                  <w:noWrap w:val="0"/>
                  <w:vAlign w:val="center"/>
                </w:tcPr>
                <w:p w14:paraId="419B9FAD">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贮存物质名称</w:t>
                  </w:r>
                </w:p>
              </w:tc>
              <w:tc>
                <w:tcPr>
                  <w:tcW w:w="437" w:type="pct"/>
                  <w:vMerge w:val="restart"/>
                  <w:tcBorders>
                    <w:tl2br w:val="nil"/>
                    <w:tr2bl w:val="nil"/>
                  </w:tcBorders>
                  <w:noWrap w:val="0"/>
                  <w:vAlign w:val="center"/>
                </w:tcPr>
                <w:p w14:paraId="682704F7">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产生量</w:t>
                  </w:r>
                </w:p>
              </w:tc>
              <w:tc>
                <w:tcPr>
                  <w:tcW w:w="501" w:type="pct"/>
                  <w:vMerge w:val="restart"/>
                  <w:tcBorders>
                    <w:tl2br w:val="nil"/>
                    <w:tr2bl w:val="nil"/>
                  </w:tcBorders>
                  <w:noWrap w:val="0"/>
                  <w:vAlign w:val="center"/>
                </w:tcPr>
                <w:p w14:paraId="344C7759">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所需贮存能力核算（m2）</w:t>
                  </w:r>
                </w:p>
              </w:tc>
              <w:tc>
                <w:tcPr>
                  <w:tcW w:w="503" w:type="pct"/>
                  <w:vMerge w:val="restart"/>
                  <w:tcBorders>
                    <w:tl2br w:val="nil"/>
                    <w:tr2bl w:val="nil"/>
                  </w:tcBorders>
                  <w:noWrap w:val="0"/>
                  <w:vAlign w:val="center"/>
                </w:tcPr>
                <w:p w14:paraId="4BF10B0C">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贮存周期</w:t>
                  </w:r>
                </w:p>
              </w:tc>
              <w:tc>
                <w:tcPr>
                  <w:tcW w:w="538" w:type="pct"/>
                  <w:vMerge w:val="restart"/>
                  <w:tcBorders>
                    <w:tl2br w:val="nil"/>
                    <w:tr2bl w:val="nil"/>
                  </w:tcBorders>
                  <w:noWrap w:val="0"/>
                  <w:vAlign w:val="center"/>
                </w:tcPr>
                <w:p w14:paraId="64466F5E">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合计所需贮存能力（m2）</w:t>
                  </w:r>
                </w:p>
              </w:tc>
              <w:tc>
                <w:tcPr>
                  <w:tcW w:w="1287" w:type="pct"/>
                  <w:gridSpan w:val="3"/>
                  <w:tcBorders>
                    <w:tl2br w:val="nil"/>
                    <w:tr2bl w:val="nil"/>
                  </w:tcBorders>
                  <w:noWrap w:val="0"/>
                  <w:vAlign w:val="center"/>
                </w:tcPr>
                <w:p w14:paraId="61E3188B">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本项目贮存能力</w:t>
                  </w:r>
                </w:p>
              </w:tc>
              <w:tc>
                <w:tcPr>
                  <w:tcW w:w="272" w:type="pct"/>
                  <w:vMerge w:val="restart"/>
                  <w:tcBorders>
                    <w:tl2br w:val="nil"/>
                    <w:tr2bl w:val="nil"/>
                  </w:tcBorders>
                  <w:noWrap w:val="0"/>
                  <w:vAlign w:val="center"/>
                </w:tcPr>
                <w:p w14:paraId="736A91DD">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是否合理</w:t>
                  </w:r>
                </w:p>
              </w:tc>
            </w:tr>
            <w:tr w14:paraId="2933731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33" w:type="pct"/>
                  <w:vMerge w:val="continue"/>
                  <w:tcBorders>
                    <w:tl2br w:val="nil"/>
                    <w:tr2bl w:val="nil"/>
                  </w:tcBorders>
                  <w:noWrap w:val="0"/>
                  <w:vAlign w:val="center"/>
                </w:tcPr>
                <w:p w14:paraId="7C88FFE4">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p>
              </w:tc>
              <w:tc>
                <w:tcPr>
                  <w:tcW w:w="1226" w:type="pct"/>
                  <w:vMerge w:val="continue"/>
                  <w:tcBorders>
                    <w:tl2br w:val="nil"/>
                    <w:tr2bl w:val="nil"/>
                  </w:tcBorders>
                  <w:noWrap w:val="0"/>
                  <w:vAlign w:val="center"/>
                </w:tcPr>
                <w:p w14:paraId="30351187">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p>
              </w:tc>
              <w:tc>
                <w:tcPr>
                  <w:tcW w:w="437" w:type="pct"/>
                  <w:vMerge w:val="continue"/>
                  <w:tcBorders>
                    <w:tl2br w:val="nil"/>
                    <w:tr2bl w:val="nil"/>
                  </w:tcBorders>
                  <w:noWrap w:val="0"/>
                  <w:vAlign w:val="center"/>
                </w:tcPr>
                <w:p w14:paraId="670E25EB">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p>
              </w:tc>
              <w:tc>
                <w:tcPr>
                  <w:tcW w:w="501" w:type="pct"/>
                  <w:vMerge w:val="continue"/>
                  <w:tcBorders>
                    <w:tl2br w:val="nil"/>
                    <w:tr2bl w:val="nil"/>
                  </w:tcBorders>
                  <w:noWrap w:val="0"/>
                  <w:vAlign w:val="center"/>
                </w:tcPr>
                <w:p w14:paraId="21853CD6">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p>
              </w:tc>
              <w:tc>
                <w:tcPr>
                  <w:tcW w:w="503" w:type="pct"/>
                  <w:vMerge w:val="continue"/>
                  <w:tcBorders>
                    <w:tl2br w:val="nil"/>
                    <w:tr2bl w:val="nil"/>
                  </w:tcBorders>
                  <w:noWrap w:val="0"/>
                  <w:vAlign w:val="center"/>
                </w:tcPr>
                <w:p w14:paraId="151AE605">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p>
              </w:tc>
              <w:tc>
                <w:tcPr>
                  <w:tcW w:w="538" w:type="pct"/>
                  <w:vMerge w:val="continue"/>
                  <w:tcBorders>
                    <w:tl2br w:val="nil"/>
                    <w:tr2bl w:val="nil"/>
                  </w:tcBorders>
                  <w:noWrap w:val="0"/>
                  <w:vAlign w:val="center"/>
                </w:tcPr>
                <w:p w14:paraId="2F282DF8">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p>
              </w:tc>
              <w:tc>
                <w:tcPr>
                  <w:tcW w:w="423" w:type="pct"/>
                  <w:tcBorders>
                    <w:tl2br w:val="nil"/>
                    <w:tr2bl w:val="nil"/>
                  </w:tcBorders>
                  <w:noWrap w:val="0"/>
                  <w:vAlign w:val="center"/>
                </w:tcPr>
                <w:p w14:paraId="2415499D">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贮存设施名称</w:t>
                  </w:r>
                </w:p>
              </w:tc>
              <w:tc>
                <w:tcPr>
                  <w:tcW w:w="365" w:type="pct"/>
                  <w:tcBorders>
                    <w:tl2br w:val="nil"/>
                    <w:tr2bl w:val="nil"/>
                  </w:tcBorders>
                  <w:noWrap w:val="0"/>
                  <w:vAlign w:val="center"/>
                </w:tcPr>
                <w:p w14:paraId="665B5F07">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面积</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m</w:t>
                  </w:r>
                  <w:r>
                    <w:rPr>
                      <w:rFonts w:hint="eastAsia" w:ascii="Times New Roman" w:hAnsi="Times New Roman" w:eastAsia="宋体" w:cs="Times New Roman"/>
                      <w:color w:val="auto"/>
                      <w:sz w:val="21"/>
                      <w:szCs w:val="21"/>
                      <w:vertAlign w:val="superscript"/>
                    </w:rPr>
                    <w:t>2</w:t>
                  </w:r>
                  <w:r>
                    <w:rPr>
                      <w:rFonts w:hint="eastAsia" w:ascii="Times New Roman" w:hAnsi="Times New Roman" w:cs="Times New Roman"/>
                      <w:color w:val="auto"/>
                      <w:sz w:val="21"/>
                      <w:szCs w:val="21"/>
                      <w:vertAlign w:val="superscript"/>
                      <w:lang w:eastAsia="zh-CN"/>
                    </w:rPr>
                    <w:t>）</w:t>
                  </w:r>
                </w:p>
              </w:tc>
              <w:tc>
                <w:tcPr>
                  <w:tcW w:w="498" w:type="pct"/>
                  <w:tcBorders>
                    <w:tl2br w:val="nil"/>
                    <w:tr2bl w:val="nil"/>
                  </w:tcBorders>
                  <w:noWrap w:val="0"/>
                  <w:vAlign w:val="center"/>
                </w:tcPr>
                <w:p w14:paraId="0C83E463">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能力（m</w:t>
                  </w:r>
                  <w:r>
                    <w:rPr>
                      <w:rFonts w:hint="eastAsia"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272" w:type="pct"/>
                  <w:vMerge w:val="continue"/>
                  <w:tcBorders>
                    <w:tl2br w:val="nil"/>
                    <w:tr2bl w:val="nil"/>
                  </w:tcBorders>
                  <w:noWrap w:val="0"/>
                  <w:vAlign w:val="center"/>
                </w:tcPr>
                <w:p w14:paraId="13122633">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p>
              </w:tc>
            </w:tr>
            <w:tr w14:paraId="3C764AA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33" w:type="pct"/>
                  <w:tcBorders>
                    <w:tl2br w:val="nil"/>
                    <w:tr2bl w:val="nil"/>
                  </w:tcBorders>
                  <w:noWrap w:val="0"/>
                  <w:vAlign w:val="center"/>
                </w:tcPr>
                <w:p w14:paraId="34DFF427">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1</w:t>
                  </w:r>
                </w:p>
              </w:tc>
              <w:tc>
                <w:tcPr>
                  <w:tcW w:w="1226" w:type="pct"/>
                  <w:tcBorders>
                    <w:tl2br w:val="nil"/>
                    <w:tr2bl w:val="nil"/>
                  </w:tcBorders>
                  <w:shd w:val="clear" w:color="auto" w:fill="auto"/>
                  <w:noWrap w:val="0"/>
                  <w:vAlign w:val="center"/>
                </w:tcPr>
                <w:p w14:paraId="5685DBE3">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Times New Roman" w:cs="Times New Roman"/>
                      <w:color w:val="auto"/>
                      <w:sz w:val="21"/>
                      <w:szCs w:val="21"/>
                      <w:lang w:val="en-US" w:eastAsia="zh-CN" w:bidi="ar-SA"/>
                    </w:rPr>
                  </w:pPr>
                  <w:r>
                    <w:rPr>
                      <w:rFonts w:hint="default" w:ascii="Times New Roman" w:hAnsi="Times New Roman" w:eastAsia="Times New Roman" w:cs="Times New Roman"/>
                      <w:color w:val="auto"/>
                      <w:sz w:val="21"/>
                      <w:szCs w:val="21"/>
                    </w:rPr>
                    <w:t>废</w:t>
                  </w:r>
                  <w:r>
                    <w:rPr>
                      <w:rFonts w:hint="default" w:ascii="Times New Roman" w:hAnsi="Times New Roman" w:eastAsia="Times New Roman" w:cs="Times New Roman"/>
                      <w:color w:val="auto"/>
                      <w:sz w:val="21"/>
                      <w:szCs w:val="21"/>
                      <w:lang w:val="en-US" w:eastAsia="zh-CN"/>
                    </w:rPr>
                    <w:t>机油</w:t>
                  </w:r>
                </w:p>
              </w:tc>
              <w:tc>
                <w:tcPr>
                  <w:tcW w:w="437" w:type="pct"/>
                  <w:tcBorders>
                    <w:tl2br w:val="nil"/>
                    <w:tr2bl w:val="nil"/>
                  </w:tcBorders>
                  <w:shd w:val="clear" w:color="auto" w:fill="auto"/>
                  <w:noWrap w:val="0"/>
                  <w:vAlign w:val="center"/>
                </w:tcPr>
                <w:p w14:paraId="0064187C">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0.1</w:t>
                  </w:r>
                  <w:r>
                    <w:rPr>
                      <w:rFonts w:hint="default" w:ascii="Times New Roman" w:hAnsi="Times New Roman" w:eastAsia="宋体" w:cs="Times New Roman"/>
                      <w:color w:val="auto"/>
                      <w:sz w:val="21"/>
                      <w:szCs w:val="21"/>
                    </w:rPr>
                    <w:t>t/a</w:t>
                  </w:r>
                </w:p>
              </w:tc>
              <w:tc>
                <w:tcPr>
                  <w:tcW w:w="501" w:type="pct"/>
                  <w:tcBorders>
                    <w:tl2br w:val="nil"/>
                    <w:tr2bl w:val="nil"/>
                  </w:tcBorders>
                  <w:noWrap w:val="0"/>
                  <w:vAlign w:val="center"/>
                </w:tcPr>
                <w:p w14:paraId="4E34C7FC">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w:t>
                  </w:r>
                </w:p>
              </w:tc>
              <w:tc>
                <w:tcPr>
                  <w:tcW w:w="503" w:type="pct"/>
                  <w:tcBorders>
                    <w:tl2br w:val="nil"/>
                    <w:tr2bl w:val="nil"/>
                  </w:tcBorders>
                  <w:noWrap w:val="0"/>
                  <w:vAlign w:val="center"/>
                </w:tcPr>
                <w:p w14:paraId="4BB2A985">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0.5</w:t>
                  </w:r>
                  <w:r>
                    <w:rPr>
                      <w:rFonts w:hint="default" w:ascii="Times New Roman" w:hAnsi="Times New Roman" w:eastAsia="宋体" w:cs="Times New Roman"/>
                      <w:color w:val="auto"/>
                      <w:sz w:val="21"/>
                      <w:szCs w:val="21"/>
                    </w:rPr>
                    <w:t>年</w:t>
                  </w:r>
                </w:p>
              </w:tc>
              <w:tc>
                <w:tcPr>
                  <w:tcW w:w="538" w:type="pct"/>
                  <w:vMerge w:val="restart"/>
                  <w:tcBorders>
                    <w:tl2br w:val="nil"/>
                    <w:tr2bl w:val="nil"/>
                  </w:tcBorders>
                  <w:noWrap w:val="0"/>
                  <w:vAlign w:val="center"/>
                </w:tcPr>
                <w:p w14:paraId="7AC74E6E">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2</w:t>
                  </w:r>
                </w:p>
              </w:tc>
              <w:tc>
                <w:tcPr>
                  <w:tcW w:w="423" w:type="pct"/>
                  <w:vMerge w:val="restart"/>
                  <w:tcBorders>
                    <w:tl2br w:val="nil"/>
                    <w:tr2bl w:val="nil"/>
                  </w:tcBorders>
                  <w:noWrap w:val="0"/>
                  <w:vAlign w:val="center"/>
                </w:tcPr>
                <w:p w14:paraId="6DB6217F">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危险废物贮存库</w:t>
                  </w:r>
                </w:p>
              </w:tc>
              <w:tc>
                <w:tcPr>
                  <w:tcW w:w="365" w:type="pct"/>
                  <w:vMerge w:val="restart"/>
                  <w:tcBorders>
                    <w:tl2br w:val="nil"/>
                    <w:tr2bl w:val="nil"/>
                  </w:tcBorders>
                  <w:noWrap w:val="0"/>
                  <w:vAlign w:val="center"/>
                </w:tcPr>
                <w:p w14:paraId="24DCBC8D">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5</w:t>
                  </w:r>
                </w:p>
              </w:tc>
              <w:tc>
                <w:tcPr>
                  <w:tcW w:w="498" w:type="pct"/>
                  <w:vMerge w:val="restart"/>
                  <w:tcBorders>
                    <w:tl2br w:val="nil"/>
                    <w:tr2bl w:val="nil"/>
                  </w:tcBorders>
                  <w:noWrap w:val="0"/>
                  <w:vAlign w:val="center"/>
                </w:tcPr>
                <w:p w14:paraId="1B5F7795">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5</w:t>
                  </w:r>
                </w:p>
              </w:tc>
              <w:tc>
                <w:tcPr>
                  <w:tcW w:w="272" w:type="pct"/>
                  <w:vMerge w:val="restart"/>
                  <w:tcBorders>
                    <w:tl2br w:val="nil"/>
                    <w:tr2bl w:val="nil"/>
                  </w:tcBorders>
                  <w:noWrap w:val="0"/>
                  <w:vAlign w:val="center"/>
                </w:tcPr>
                <w:p w14:paraId="67F8B326">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合理</w:t>
                  </w:r>
                </w:p>
              </w:tc>
            </w:tr>
            <w:tr w14:paraId="30E9CDE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33" w:type="pct"/>
                  <w:tcBorders>
                    <w:tl2br w:val="nil"/>
                    <w:tr2bl w:val="nil"/>
                  </w:tcBorders>
                  <w:noWrap w:val="0"/>
                  <w:vAlign w:val="center"/>
                </w:tcPr>
                <w:p w14:paraId="11412884">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w:t>
                  </w:r>
                </w:p>
              </w:tc>
              <w:tc>
                <w:tcPr>
                  <w:tcW w:w="1226" w:type="pct"/>
                  <w:tcBorders>
                    <w:tl2br w:val="nil"/>
                    <w:tr2bl w:val="nil"/>
                  </w:tcBorders>
                  <w:shd w:val="clear" w:color="auto" w:fill="auto"/>
                  <w:noWrap w:val="0"/>
                  <w:vAlign w:val="center"/>
                </w:tcPr>
                <w:p w14:paraId="585EA154">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Times New Roman" w:cs="Times New Roman"/>
                      <w:color w:val="auto"/>
                      <w:sz w:val="21"/>
                      <w:szCs w:val="21"/>
                      <w:lang w:val="en-US" w:eastAsia="zh-CN" w:bidi="ar-SA"/>
                    </w:rPr>
                  </w:pPr>
                  <w:r>
                    <w:rPr>
                      <w:rFonts w:hint="default" w:ascii="Times New Roman" w:hAnsi="Times New Roman" w:eastAsia="Times New Roman" w:cs="Times New Roman"/>
                      <w:color w:val="auto"/>
                      <w:sz w:val="21"/>
                      <w:szCs w:val="21"/>
                    </w:rPr>
                    <w:t>废</w:t>
                  </w:r>
                  <w:r>
                    <w:rPr>
                      <w:rFonts w:hint="default" w:ascii="Times New Roman" w:hAnsi="Times New Roman" w:eastAsia="Times New Roman" w:cs="Times New Roman"/>
                      <w:color w:val="auto"/>
                      <w:sz w:val="21"/>
                      <w:szCs w:val="21"/>
                      <w:lang w:val="en-US" w:eastAsia="zh-CN"/>
                    </w:rPr>
                    <w:t>机油</w:t>
                  </w:r>
                  <w:r>
                    <w:rPr>
                      <w:rFonts w:hint="eastAsia" w:ascii="Times New Roman" w:hAnsi="Times New Roman" w:eastAsia="Times New Roman" w:cs="Times New Roman"/>
                      <w:color w:val="auto"/>
                      <w:sz w:val="21"/>
                      <w:szCs w:val="21"/>
                      <w:lang w:val="en-US" w:eastAsia="zh-CN"/>
                    </w:rPr>
                    <w:t>桶</w:t>
                  </w:r>
                </w:p>
              </w:tc>
              <w:tc>
                <w:tcPr>
                  <w:tcW w:w="437" w:type="pct"/>
                  <w:tcBorders>
                    <w:tl2br w:val="nil"/>
                    <w:tr2bl w:val="nil"/>
                  </w:tcBorders>
                  <w:shd w:val="clear" w:color="auto" w:fill="auto"/>
                  <w:noWrap w:val="0"/>
                  <w:vAlign w:val="center"/>
                </w:tcPr>
                <w:p w14:paraId="48C4E6CC">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0.01</w:t>
                  </w:r>
                  <w:r>
                    <w:rPr>
                      <w:rFonts w:hint="default" w:ascii="Times New Roman" w:hAnsi="Times New Roman" w:eastAsia="宋体" w:cs="Times New Roman"/>
                      <w:color w:val="auto"/>
                      <w:sz w:val="21"/>
                      <w:szCs w:val="21"/>
                    </w:rPr>
                    <w:t>t/a</w:t>
                  </w:r>
                </w:p>
              </w:tc>
              <w:tc>
                <w:tcPr>
                  <w:tcW w:w="501" w:type="pct"/>
                  <w:tcBorders>
                    <w:tl2br w:val="nil"/>
                    <w:tr2bl w:val="nil"/>
                  </w:tcBorders>
                  <w:noWrap w:val="0"/>
                  <w:vAlign w:val="center"/>
                </w:tcPr>
                <w:p w14:paraId="1CF9507A">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w:t>
                  </w:r>
                </w:p>
              </w:tc>
              <w:tc>
                <w:tcPr>
                  <w:tcW w:w="503" w:type="pct"/>
                  <w:tcBorders>
                    <w:tl2br w:val="nil"/>
                    <w:tr2bl w:val="nil"/>
                  </w:tcBorders>
                  <w:noWrap w:val="0"/>
                  <w:vAlign w:val="center"/>
                </w:tcPr>
                <w:p w14:paraId="5327F087">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0.5</w:t>
                  </w:r>
                  <w:r>
                    <w:rPr>
                      <w:rFonts w:hint="default" w:ascii="Times New Roman" w:hAnsi="Times New Roman" w:eastAsia="宋体" w:cs="Times New Roman"/>
                      <w:color w:val="auto"/>
                      <w:sz w:val="21"/>
                      <w:szCs w:val="21"/>
                    </w:rPr>
                    <w:t>年</w:t>
                  </w:r>
                </w:p>
              </w:tc>
              <w:tc>
                <w:tcPr>
                  <w:tcW w:w="538" w:type="pct"/>
                  <w:vMerge w:val="continue"/>
                  <w:tcBorders>
                    <w:tl2br w:val="nil"/>
                    <w:tr2bl w:val="nil"/>
                  </w:tcBorders>
                  <w:noWrap w:val="0"/>
                  <w:vAlign w:val="center"/>
                </w:tcPr>
                <w:p w14:paraId="1ACF36A4">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p>
              </w:tc>
              <w:tc>
                <w:tcPr>
                  <w:tcW w:w="423" w:type="pct"/>
                  <w:vMerge w:val="continue"/>
                  <w:tcBorders>
                    <w:tl2br w:val="nil"/>
                    <w:tr2bl w:val="nil"/>
                  </w:tcBorders>
                  <w:noWrap w:val="0"/>
                  <w:vAlign w:val="center"/>
                </w:tcPr>
                <w:p w14:paraId="7D8F9151">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p>
              </w:tc>
              <w:tc>
                <w:tcPr>
                  <w:tcW w:w="365" w:type="pct"/>
                  <w:vMerge w:val="continue"/>
                  <w:tcBorders>
                    <w:tl2br w:val="nil"/>
                    <w:tr2bl w:val="nil"/>
                  </w:tcBorders>
                  <w:noWrap w:val="0"/>
                  <w:vAlign w:val="center"/>
                </w:tcPr>
                <w:p w14:paraId="2CF9D579">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p>
              </w:tc>
              <w:tc>
                <w:tcPr>
                  <w:tcW w:w="498" w:type="pct"/>
                  <w:vMerge w:val="continue"/>
                  <w:tcBorders>
                    <w:tl2br w:val="nil"/>
                    <w:tr2bl w:val="nil"/>
                  </w:tcBorders>
                  <w:noWrap w:val="0"/>
                  <w:vAlign w:val="center"/>
                </w:tcPr>
                <w:p w14:paraId="76E6E5D5">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p>
              </w:tc>
              <w:tc>
                <w:tcPr>
                  <w:tcW w:w="272" w:type="pct"/>
                  <w:vMerge w:val="continue"/>
                  <w:tcBorders>
                    <w:tl2br w:val="nil"/>
                    <w:tr2bl w:val="nil"/>
                  </w:tcBorders>
                  <w:noWrap w:val="0"/>
                  <w:vAlign w:val="center"/>
                </w:tcPr>
                <w:p w14:paraId="61C5107D">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p>
              </w:tc>
            </w:tr>
            <w:tr w14:paraId="5439D55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33" w:type="pct"/>
                  <w:tcBorders>
                    <w:tl2br w:val="nil"/>
                    <w:tr2bl w:val="nil"/>
                  </w:tcBorders>
                  <w:noWrap w:val="0"/>
                  <w:vAlign w:val="center"/>
                </w:tcPr>
                <w:p w14:paraId="7D0C51FF">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3</w:t>
                  </w:r>
                </w:p>
              </w:tc>
              <w:tc>
                <w:tcPr>
                  <w:tcW w:w="1226" w:type="pct"/>
                  <w:tcBorders>
                    <w:tl2br w:val="nil"/>
                    <w:tr2bl w:val="nil"/>
                  </w:tcBorders>
                  <w:shd w:val="clear" w:color="auto" w:fill="auto"/>
                  <w:noWrap w:val="0"/>
                  <w:vAlign w:val="center"/>
                </w:tcPr>
                <w:p w14:paraId="4554C5AF">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Times New Roman"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废淬火油</w:t>
                  </w:r>
                  <w:r>
                    <w:rPr>
                      <w:rFonts w:hint="eastAsia" w:ascii="Times New Roman" w:hAnsi="Times New Roman" w:cs="Times New Roman"/>
                      <w:color w:val="auto"/>
                      <w:sz w:val="21"/>
                      <w:szCs w:val="21"/>
                      <w:lang w:val="en-US" w:eastAsia="zh-CN"/>
                    </w:rPr>
                    <w:t>及淬火废渣</w:t>
                  </w:r>
                </w:p>
              </w:tc>
              <w:tc>
                <w:tcPr>
                  <w:tcW w:w="437" w:type="pct"/>
                  <w:tcBorders>
                    <w:tl2br w:val="nil"/>
                    <w:tr2bl w:val="nil"/>
                  </w:tcBorders>
                  <w:shd w:val="clear" w:color="auto" w:fill="auto"/>
                  <w:noWrap w:val="0"/>
                  <w:vAlign w:val="center"/>
                </w:tcPr>
                <w:p w14:paraId="6A90D52A">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Times New Roman" w:cs="Times New Roman"/>
                      <w:color w:val="auto"/>
                      <w:sz w:val="21"/>
                      <w:szCs w:val="21"/>
                      <w:lang w:val="en-US" w:eastAsia="zh-CN" w:bidi="ar-SA"/>
                    </w:rPr>
                  </w:pPr>
                  <w:r>
                    <w:rPr>
                      <w:rFonts w:hint="eastAsia" w:ascii="Times New Roman" w:hAnsi="Times New Roman" w:cs="Times New Roman"/>
                      <w:color w:val="auto"/>
                      <w:sz w:val="21"/>
                      <w:szCs w:val="21"/>
                      <w:lang w:val="en-US" w:eastAsia="zh-CN"/>
                    </w:rPr>
                    <w:t>0.8</w:t>
                  </w:r>
                  <w:r>
                    <w:rPr>
                      <w:rFonts w:hint="default" w:ascii="Times New Roman" w:hAnsi="Times New Roman" w:eastAsia="宋体" w:cs="Times New Roman"/>
                      <w:color w:val="auto"/>
                      <w:sz w:val="21"/>
                      <w:szCs w:val="21"/>
                    </w:rPr>
                    <w:t>t/a</w:t>
                  </w:r>
                </w:p>
              </w:tc>
              <w:tc>
                <w:tcPr>
                  <w:tcW w:w="501" w:type="pct"/>
                  <w:tcBorders>
                    <w:tl2br w:val="nil"/>
                    <w:tr2bl w:val="nil"/>
                  </w:tcBorders>
                  <w:noWrap w:val="0"/>
                  <w:vAlign w:val="center"/>
                </w:tcPr>
                <w:p w14:paraId="181DB2CC">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503" w:type="pct"/>
                  <w:tcBorders>
                    <w:tl2br w:val="nil"/>
                    <w:tr2bl w:val="nil"/>
                  </w:tcBorders>
                  <w:noWrap w:val="0"/>
                  <w:vAlign w:val="center"/>
                </w:tcPr>
                <w:p w14:paraId="40F31224">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0.5</w:t>
                  </w:r>
                  <w:r>
                    <w:rPr>
                      <w:rFonts w:hint="default" w:ascii="Times New Roman" w:hAnsi="Times New Roman" w:eastAsia="宋体" w:cs="Times New Roman"/>
                      <w:color w:val="auto"/>
                      <w:sz w:val="21"/>
                      <w:szCs w:val="21"/>
                    </w:rPr>
                    <w:t>年</w:t>
                  </w:r>
                </w:p>
              </w:tc>
              <w:tc>
                <w:tcPr>
                  <w:tcW w:w="538" w:type="pct"/>
                  <w:vMerge w:val="continue"/>
                  <w:tcBorders>
                    <w:tl2br w:val="nil"/>
                    <w:tr2bl w:val="nil"/>
                  </w:tcBorders>
                  <w:noWrap w:val="0"/>
                  <w:vAlign w:val="center"/>
                </w:tcPr>
                <w:p w14:paraId="3A465E6C">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p>
              </w:tc>
              <w:tc>
                <w:tcPr>
                  <w:tcW w:w="423" w:type="pct"/>
                  <w:vMerge w:val="continue"/>
                  <w:tcBorders>
                    <w:tl2br w:val="nil"/>
                    <w:tr2bl w:val="nil"/>
                  </w:tcBorders>
                  <w:noWrap w:val="0"/>
                  <w:vAlign w:val="center"/>
                </w:tcPr>
                <w:p w14:paraId="31CAF972">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p>
              </w:tc>
              <w:tc>
                <w:tcPr>
                  <w:tcW w:w="365" w:type="pct"/>
                  <w:vMerge w:val="continue"/>
                  <w:tcBorders>
                    <w:tl2br w:val="nil"/>
                    <w:tr2bl w:val="nil"/>
                  </w:tcBorders>
                  <w:noWrap w:val="0"/>
                  <w:vAlign w:val="center"/>
                </w:tcPr>
                <w:p w14:paraId="27AE3745">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p>
              </w:tc>
              <w:tc>
                <w:tcPr>
                  <w:tcW w:w="498" w:type="pct"/>
                  <w:vMerge w:val="continue"/>
                  <w:tcBorders>
                    <w:tl2br w:val="nil"/>
                    <w:tr2bl w:val="nil"/>
                  </w:tcBorders>
                  <w:noWrap w:val="0"/>
                  <w:vAlign w:val="center"/>
                </w:tcPr>
                <w:p w14:paraId="3CDF0514">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p>
              </w:tc>
              <w:tc>
                <w:tcPr>
                  <w:tcW w:w="272" w:type="pct"/>
                  <w:vMerge w:val="continue"/>
                  <w:tcBorders>
                    <w:tl2br w:val="nil"/>
                    <w:tr2bl w:val="nil"/>
                  </w:tcBorders>
                  <w:noWrap w:val="0"/>
                  <w:vAlign w:val="center"/>
                </w:tcPr>
                <w:p w14:paraId="7121F51A">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rPr>
                  </w:pPr>
                </w:p>
              </w:tc>
            </w:tr>
          </w:tbl>
          <w:p w14:paraId="5F99117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50" w:beforeAutospacing="0" w:after="0" w:afterAutospacing="0"/>
              <w:ind w:left="0" w:right="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5</w:t>
            </w:r>
            <w:r>
              <w:rPr>
                <w:rFonts w:hint="eastAsia" w:ascii="Times New Roman" w:hAnsi="Times New Roman"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lang w:val="en-US" w:eastAsia="zh-CN"/>
              </w:rPr>
              <w:t>土壤和地下水环境</w:t>
            </w:r>
          </w:p>
          <w:p w14:paraId="79EAD84C">
            <w:pPr>
              <w:pStyle w:val="405"/>
              <w:keepNext w:val="0"/>
              <w:keepLines w:val="0"/>
              <w:suppressLineNumbers w:val="0"/>
              <w:spacing w:before="0" w:beforeAutospacing="0" w:after="0" w:afterAutospacing="0"/>
              <w:ind w:left="0" w:right="0" w:firstLine="480"/>
              <w:rPr>
                <w:rFonts w:hint="default" w:ascii="Times New Roman" w:hAnsi="Times New Roman" w:cs="Times New Roman"/>
                <w:color w:val="auto"/>
                <w:kern w:val="0"/>
                <w:szCs w:val="20"/>
                <w:highlight w:val="none"/>
                <w:u w:val="none" w:color="auto"/>
              </w:rPr>
            </w:pPr>
            <w:r>
              <w:rPr>
                <w:rFonts w:hint="eastAsia" w:cs="Times New Roman"/>
                <w:color w:val="auto"/>
                <w:kern w:val="0"/>
                <w:szCs w:val="20"/>
                <w:highlight w:val="none"/>
                <w:u w:val="none" w:color="auto"/>
                <w:lang w:val="en-US" w:eastAsia="zh-CN"/>
              </w:rPr>
              <w:t>本项目</w:t>
            </w:r>
            <w:r>
              <w:rPr>
                <w:rFonts w:hint="default" w:ascii="Times New Roman" w:hAnsi="Times New Roman" w:cs="Times New Roman"/>
                <w:color w:val="auto"/>
                <w:kern w:val="0"/>
                <w:szCs w:val="20"/>
                <w:highlight w:val="none"/>
                <w:u w:val="none" w:color="auto"/>
              </w:rPr>
              <w:t>危险废物贮存库建设地面与裙脚采用2mm厚高密度聚乙烯膜等人工防渗材料（渗透系数不大于10</w:t>
            </w:r>
            <w:r>
              <w:rPr>
                <w:rFonts w:hint="default" w:ascii="Times New Roman" w:hAnsi="Times New Roman" w:cs="Times New Roman"/>
                <w:color w:val="auto"/>
                <w:kern w:val="0"/>
                <w:szCs w:val="20"/>
                <w:highlight w:val="none"/>
                <w:u w:val="none" w:color="auto"/>
                <w:vertAlign w:val="superscript"/>
              </w:rPr>
              <w:t>-10</w:t>
            </w:r>
            <w:r>
              <w:rPr>
                <w:rFonts w:hint="default" w:ascii="Times New Roman" w:hAnsi="Times New Roman" w:cs="Times New Roman"/>
                <w:color w:val="auto"/>
                <w:kern w:val="0"/>
                <w:szCs w:val="20"/>
                <w:highlight w:val="none"/>
                <w:u w:val="none" w:color="auto"/>
              </w:rPr>
              <w:t>cm/s），贮存设施或贮存分区内地面、墙面裙脚、堵截</w:t>
            </w:r>
            <w:r>
              <w:rPr>
                <w:rFonts w:hint="eastAsia" w:cs="Times New Roman"/>
                <w:color w:val="auto"/>
                <w:kern w:val="0"/>
                <w:szCs w:val="20"/>
                <w:highlight w:val="none"/>
                <w:u w:val="none" w:color="auto"/>
                <w:lang w:eastAsia="zh-CN"/>
              </w:rPr>
              <w:t>泄漏</w:t>
            </w:r>
            <w:r>
              <w:rPr>
                <w:rFonts w:hint="default" w:ascii="Times New Roman" w:hAnsi="Times New Roman" w:cs="Times New Roman"/>
                <w:color w:val="auto"/>
                <w:kern w:val="0"/>
                <w:szCs w:val="20"/>
                <w:highlight w:val="none"/>
                <w:u w:val="none" w:color="auto"/>
              </w:rPr>
              <w:t>的围堰、接触危险废物的隔板和墙体等应采用坚固的材料建造，表面无裂缝。防渗技术要求符合《危险废物贮存污染控制标准》（GB18597-2023）中有关防渗要求。油水分离池、化粪池防渗技术要求满足《环境影响评价技术导则 地下水环境》（HJ610-2016）中等效黏土防渗层Mb≥1.5m，K≤1.0×10</w:t>
            </w:r>
            <w:r>
              <w:rPr>
                <w:rFonts w:hint="default" w:ascii="Times New Roman" w:hAnsi="Times New Roman" w:cs="Times New Roman"/>
                <w:color w:val="auto"/>
                <w:kern w:val="0"/>
                <w:szCs w:val="20"/>
                <w:highlight w:val="none"/>
                <w:u w:val="none" w:color="auto"/>
                <w:vertAlign w:val="superscript"/>
              </w:rPr>
              <w:t>-7</w:t>
            </w:r>
            <w:r>
              <w:rPr>
                <w:rFonts w:hint="default" w:ascii="Times New Roman" w:hAnsi="Times New Roman" w:cs="Times New Roman"/>
                <w:color w:val="auto"/>
                <w:kern w:val="0"/>
                <w:szCs w:val="20"/>
                <w:highlight w:val="none"/>
                <w:u w:val="none" w:color="auto"/>
              </w:rPr>
              <w:t>cm/s；除去重点防渗区、一般防渗区和绿化区以外的地面，做一般地面硬化。厂区各区域均做好有效的防渗措施，正常生产情况对土壤和地下水无影响，为避免废水泄漏污染土壤、地下水环境，在废水和废物储存及处理构筑物采取相应措施，防止和降低污染物跑、冒、滴、漏，将污染物泄漏的环境风险事故降到最低程度。加强对污水管道的巡视、管理及水量监测，及时掌握水量变化以便污水渗漏时</w:t>
            </w:r>
            <w:r>
              <w:rPr>
                <w:rFonts w:hint="eastAsia" w:cs="Times New Roman"/>
                <w:color w:val="auto"/>
                <w:kern w:val="0"/>
                <w:szCs w:val="20"/>
                <w:highlight w:val="none"/>
                <w:u w:val="none" w:color="auto"/>
                <w:lang w:eastAsia="zh-CN"/>
              </w:rPr>
              <w:t>做出判断</w:t>
            </w:r>
            <w:r>
              <w:rPr>
                <w:rFonts w:hint="default" w:ascii="Times New Roman" w:hAnsi="Times New Roman" w:cs="Times New Roman"/>
                <w:color w:val="auto"/>
                <w:kern w:val="0"/>
                <w:szCs w:val="20"/>
                <w:highlight w:val="none"/>
                <w:u w:val="none" w:color="auto"/>
              </w:rPr>
              <w:t>并采取相应措施，做到污染物“早发现、早处理”，减少由于埋地管道泄漏而造成的地下水、土壤污染。</w:t>
            </w:r>
          </w:p>
          <w:p w14:paraId="53C11F84">
            <w:pPr>
              <w:keepNext w:val="0"/>
              <w:keepLines w:val="0"/>
              <w:widowControl/>
              <w:suppressLineNumbers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0"/>
                <w:sz w:val="24"/>
                <w:szCs w:val="20"/>
                <w:highlight w:val="none"/>
                <w:u w:val="none" w:color="auto"/>
                <w:lang w:val="en-US" w:eastAsia="zh-CN" w:bidi="ar-SA"/>
              </w:rPr>
            </w:pPr>
            <w:r>
              <w:rPr>
                <w:rFonts w:hint="default" w:ascii="Times New Roman" w:hAnsi="Times New Roman" w:eastAsia="宋体" w:cs="Times New Roman"/>
                <w:color w:val="auto"/>
                <w:kern w:val="0"/>
                <w:sz w:val="24"/>
                <w:szCs w:val="20"/>
                <w:highlight w:val="none"/>
                <w:u w:val="none" w:color="auto"/>
                <w:lang w:val="en-US" w:eastAsia="zh-CN" w:bidi="ar-SA"/>
              </w:rPr>
              <w:t>本项目运营期无土壤、地下水污染途径，在采取以上措施后，对周围土壤、地下水环境影响较小。</w:t>
            </w:r>
          </w:p>
          <w:p w14:paraId="09742E0D">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6</w:t>
            </w:r>
            <w:r>
              <w:rPr>
                <w:rFonts w:hint="eastAsia" w:ascii="Times New Roman" w:hAnsi="Times New Roman"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lang w:val="en-US" w:eastAsia="zh-CN"/>
              </w:rPr>
              <w:t>生态环境</w:t>
            </w:r>
          </w:p>
          <w:p w14:paraId="0692ED8A">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0"/>
                <w:sz w:val="24"/>
                <w:highlight w:val="none"/>
                <w:u w:val="none" w:color="auto"/>
              </w:rPr>
            </w:pPr>
            <w:r>
              <w:rPr>
                <w:rFonts w:hint="default" w:ascii="Times New Roman" w:hAnsi="Times New Roman" w:cs="Times New Roman"/>
                <w:color w:val="auto"/>
                <w:kern w:val="0"/>
                <w:sz w:val="24"/>
                <w:highlight w:val="none"/>
                <w:u w:val="none" w:color="auto"/>
              </w:rPr>
              <w:t>本项目</w:t>
            </w:r>
            <w:r>
              <w:rPr>
                <w:rFonts w:hint="default" w:ascii="Times New Roman" w:hAnsi="Times New Roman" w:cs="Times New Roman"/>
                <w:color w:val="auto"/>
                <w:kern w:val="2"/>
                <w:sz w:val="24"/>
                <w:szCs w:val="22"/>
                <w:highlight w:val="none"/>
                <w:u w:val="none" w:color="auto"/>
              </w:rPr>
              <w:t>位于</w:t>
            </w:r>
            <w:r>
              <w:rPr>
                <w:rFonts w:hint="eastAsia" w:ascii="Times New Roman" w:hAnsi="Times New Roman" w:cs="Times New Roman"/>
                <w:color w:val="auto"/>
                <w:kern w:val="2"/>
                <w:sz w:val="24"/>
                <w:szCs w:val="22"/>
                <w:highlight w:val="none"/>
                <w:u w:val="none" w:color="auto"/>
                <w:lang w:val="en-US" w:eastAsia="zh-CN"/>
              </w:rPr>
              <w:t>铁力市经济开发区内</w:t>
            </w:r>
            <w:r>
              <w:rPr>
                <w:rFonts w:hint="default" w:ascii="Times New Roman" w:hAnsi="Times New Roman" w:cs="Times New Roman"/>
                <w:color w:val="auto"/>
                <w:kern w:val="2"/>
                <w:sz w:val="24"/>
                <w:szCs w:val="22"/>
                <w:highlight w:val="none"/>
                <w:u w:val="none" w:color="auto"/>
              </w:rPr>
              <w:t>，厂房</w:t>
            </w:r>
            <w:r>
              <w:rPr>
                <w:rFonts w:hint="eastAsia" w:ascii="Times New Roman" w:hAnsi="Times New Roman" w:cs="Times New Roman"/>
                <w:color w:val="auto"/>
                <w:kern w:val="2"/>
                <w:sz w:val="24"/>
                <w:szCs w:val="22"/>
                <w:highlight w:val="none"/>
                <w:u w:val="none" w:color="auto"/>
                <w:lang w:val="en-US" w:eastAsia="zh-CN"/>
              </w:rPr>
              <w:t>利旧</w:t>
            </w:r>
            <w:r>
              <w:rPr>
                <w:rFonts w:hint="default" w:ascii="Times New Roman" w:hAnsi="Times New Roman" w:cs="Times New Roman"/>
                <w:color w:val="auto"/>
                <w:kern w:val="0"/>
                <w:sz w:val="24"/>
                <w:highlight w:val="none"/>
                <w:u w:val="none" w:color="auto"/>
              </w:rPr>
              <w:t>。目前项目所在区域为平坦地势，周边为</w:t>
            </w:r>
            <w:r>
              <w:rPr>
                <w:rFonts w:hint="default" w:ascii="Times New Roman" w:hAnsi="Times New Roman" w:cs="Times New Roman"/>
                <w:color w:val="auto"/>
                <w:kern w:val="0"/>
                <w:sz w:val="24"/>
                <w:highlight w:val="none"/>
                <w:u w:val="none" w:color="auto"/>
                <w:lang w:val="en-US" w:eastAsia="zh-CN"/>
              </w:rPr>
              <w:t>工业企业</w:t>
            </w:r>
            <w:r>
              <w:rPr>
                <w:rFonts w:hint="default" w:ascii="Times New Roman" w:hAnsi="Times New Roman" w:cs="Times New Roman"/>
                <w:color w:val="auto"/>
                <w:kern w:val="0"/>
                <w:sz w:val="24"/>
                <w:highlight w:val="none"/>
                <w:u w:val="none" w:color="auto"/>
              </w:rPr>
              <w:t>，项目周围500m范围内无特殊、重要生态环境敏感目标，未发现生态破坏遗留问题，同时该区域人类活动频繁，无珍稀保护动植物，</w:t>
            </w:r>
            <w:r>
              <w:rPr>
                <w:rFonts w:hint="eastAsia" w:ascii="Times New Roman" w:hAnsi="Times New Roman" w:cs="Times New Roman"/>
                <w:color w:val="auto"/>
                <w:kern w:val="0"/>
                <w:sz w:val="24"/>
                <w:highlight w:val="none"/>
                <w:u w:val="none" w:color="auto"/>
                <w:lang w:val="en-US" w:eastAsia="zh-CN"/>
              </w:rPr>
              <w:t>本项目不会对</w:t>
            </w:r>
            <w:r>
              <w:rPr>
                <w:rFonts w:hint="default" w:ascii="Times New Roman" w:hAnsi="Times New Roman" w:cs="Times New Roman"/>
                <w:color w:val="auto"/>
                <w:kern w:val="0"/>
                <w:sz w:val="24"/>
                <w:highlight w:val="none"/>
                <w:u w:val="none" w:color="auto"/>
              </w:rPr>
              <w:t>项目周围生态环境造成影响。</w:t>
            </w:r>
          </w:p>
          <w:p w14:paraId="17606A92">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7</w:t>
            </w:r>
            <w:r>
              <w:rPr>
                <w:rFonts w:hint="eastAsia" w:ascii="Times New Roman" w:hAnsi="Times New Roman"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lang w:val="en-US" w:eastAsia="zh-CN"/>
              </w:rPr>
              <w:t>环境风险分析</w:t>
            </w:r>
          </w:p>
          <w:p w14:paraId="61D6D43C">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i w:val="0"/>
                <w:iCs/>
                <w:color w:val="auto"/>
                <w:kern w:val="2"/>
                <w:sz w:val="24"/>
                <w:szCs w:val="24"/>
                <w:u w:val="none" w:color="auto"/>
                <w:lang w:val="en-US" w:eastAsia="zh-CN" w:bidi="ar-SA"/>
              </w:rPr>
            </w:pPr>
            <w:r>
              <w:rPr>
                <w:rFonts w:hint="eastAsia" w:ascii="Times New Roman" w:hAnsi="Times New Roman" w:cs="Times New Roman"/>
                <w:b w:val="0"/>
                <w:bCs/>
                <w:i w:val="0"/>
                <w:iCs/>
                <w:color w:val="auto"/>
                <w:kern w:val="2"/>
                <w:sz w:val="24"/>
                <w:szCs w:val="24"/>
                <w:u w:val="none" w:color="auto"/>
                <w:lang w:val="en-US" w:eastAsia="zh-CN" w:bidi="ar-SA"/>
              </w:rPr>
              <w:t>本</w:t>
            </w:r>
            <w:r>
              <w:rPr>
                <w:rFonts w:hint="default" w:ascii="Times New Roman" w:hAnsi="Times New Roman" w:eastAsia="宋体" w:cs="Times New Roman"/>
                <w:b w:val="0"/>
                <w:bCs/>
                <w:i w:val="0"/>
                <w:iCs/>
                <w:color w:val="auto"/>
                <w:kern w:val="2"/>
                <w:sz w:val="24"/>
                <w:szCs w:val="24"/>
                <w:u w:val="none" w:color="auto"/>
                <w:lang w:val="en-US" w:eastAsia="zh-CN" w:bidi="ar-SA"/>
              </w:rPr>
              <w:t>项目在营运过程中，由于自然或人为因素出现造成突发性和非突发性事故。</w:t>
            </w:r>
          </w:p>
          <w:p w14:paraId="196F8038">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i w:val="0"/>
                <w:iCs/>
                <w:color w:val="auto"/>
                <w:kern w:val="2"/>
                <w:sz w:val="24"/>
                <w:szCs w:val="24"/>
                <w:u w:val="none" w:color="auto"/>
                <w:lang w:val="en-US" w:eastAsia="zh-CN" w:bidi="ar-SA"/>
              </w:rPr>
            </w:pPr>
            <w:r>
              <w:rPr>
                <w:rFonts w:hint="default" w:ascii="Times New Roman" w:hAnsi="Times New Roman" w:eastAsia="宋体" w:cs="Times New Roman"/>
                <w:b w:val="0"/>
                <w:bCs/>
                <w:i w:val="0"/>
                <w:iCs/>
                <w:color w:val="auto"/>
                <w:kern w:val="2"/>
                <w:sz w:val="24"/>
                <w:szCs w:val="24"/>
                <w:u w:val="none" w:color="auto"/>
                <w:lang w:val="en-US" w:eastAsia="zh-CN" w:bidi="ar-SA"/>
              </w:rPr>
              <w:t>风险分析及评价的目的就是分析潜在事故发生的诱发因素，通过控制这些事故因素出现的条件，将综合风险降到尽可能低的水平，并有针对性地提出相应的事故应急措施，从而尽可能地减少事故造成的损失。</w:t>
            </w:r>
          </w:p>
          <w:p w14:paraId="07B985B1">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i w:val="0"/>
                <w:iCs/>
                <w:color w:val="auto"/>
                <w:kern w:val="2"/>
                <w:sz w:val="24"/>
                <w:szCs w:val="24"/>
                <w:u w:val="none" w:color="auto"/>
                <w:lang w:val="en-US" w:eastAsia="zh-CN" w:bidi="ar-SA"/>
              </w:rPr>
            </w:pPr>
            <w:r>
              <w:rPr>
                <w:rFonts w:hint="default" w:ascii="Times New Roman" w:hAnsi="Times New Roman" w:eastAsia="宋体" w:cs="Times New Roman"/>
                <w:b w:val="0"/>
                <w:bCs/>
                <w:i w:val="0"/>
                <w:iCs/>
                <w:color w:val="auto"/>
                <w:kern w:val="2"/>
                <w:sz w:val="24"/>
                <w:szCs w:val="24"/>
                <w:u w:val="none" w:color="auto"/>
                <w:lang w:val="en-US" w:eastAsia="zh-CN" w:bidi="ar-SA"/>
              </w:rPr>
              <w:t>（1）评价依据</w:t>
            </w:r>
          </w:p>
          <w:p w14:paraId="28F97B09">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i w:val="0"/>
                <w:iCs/>
                <w:color w:val="auto"/>
                <w:kern w:val="2"/>
                <w:sz w:val="24"/>
                <w:szCs w:val="24"/>
                <w:u w:val="none" w:color="auto"/>
                <w:lang w:val="en-US" w:eastAsia="zh-CN" w:bidi="ar-SA"/>
              </w:rPr>
            </w:pPr>
            <w:r>
              <w:rPr>
                <w:rFonts w:hint="default" w:ascii="Times New Roman" w:hAnsi="Times New Roman" w:eastAsia="宋体" w:cs="Times New Roman"/>
                <w:b w:val="0"/>
                <w:bCs/>
                <w:i w:val="0"/>
                <w:iCs/>
                <w:color w:val="auto"/>
                <w:kern w:val="2"/>
                <w:sz w:val="24"/>
                <w:szCs w:val="24"/>
                <w:u w:val="none" w:color="auto"/>
                <w:lang w:val="en-US" w:eastAsia="zh-CN" w:bidi="ar-SA"/>
              </w:rPr>
              <w:t>根据《建设项目环境风险评价技术导则》（HJ169-2018）中相关规定，风险调查主要包括危险物质数量和分布情况、生产工艺特点，收集危险物质安全技术说明书（MSDS）等基础资料。</w:t>
            </w:r>
          </w:p>
          <w:p w14:paraId="56DA9960">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i w:val="0"/>
                <w:iCs/>
                <w:color w:val="auto"/>
                <w:kern w:val="2"/>
                <w:sz w:val="24"/>
                <w:szCs w:val="24"/>
                <w:u w:val="none" w:color="auto"/>
                <w:lang w:val="en-US" w:eastAsia="zh-CN" w:bidi="ar-SA"/>
              </w:rPr>
            </w:pPr>
            <w:r>
              <w:rPr>
                <w:rFonts w:hint="default" w:ascii="Times New Roman" w:hAnsi="Times New Roman" w:eastAsia="宋体" w:cs="Times New Roman"/>
                <w:b w:val="0"/>
                <w:bCs/>
                <w:i w:val="0"/>
                <w:iCs/>
                <w:color w:val="auto"/>
                <w:kern w:val="2"/>
                <w:sz w:val="24"/>
                <w:szCs w:val="24"/>
                <w:u w:val="none" w:color="auto"/>
                <w:lang w:val="en-US" w:eastAsia="zh-CN" w:bidi="ar-SA"/>
              </w:rPr>
              <w:t>（2）风险潜势初判</w:t>
            </w:r>
          </w:p>
          <w:p w14:paraId="3C1D13F5">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i w:val="0"/>
                <w:iCs/>
                <w:color w:val="auto"/>
                <w:kern w:val="2"/>
                <w:sz w:val="24"/>
                <w:szCs w:val="24"/>
                <w:u w:val="none" w:color="auto"/>
                <w:lang w:val="en-US" w:eastAsia="zh-CN" w:bidi="ar-SA"/>
              </w:rPr>
            </w:pPr>
            <w:r>
              <w:rPr>
                <w:rFonts w:hint="default" w:ascii="Times New Roman" w:hAnsi="Times New Roman" w:eastAsia="宋体" w:cs="Times New Roman"/>
                <w:b w:val="0"/>
                <w:bCs/>
                <w:i w:val="0"/>
                <w:iCs/>
                <w:color w:val="auto"/>
                <w:kern w:val="2"/>
                <w:sz w:val="24"/>
                <w:szCs w:val="24"/>
                <w:u w:val="none" w:color="auto"/>
                <w:lang w:val="en-US" w:eastAsia="zh-CN" w:bidi="ar-SA"/>
              </w:rPr>
              <w:t>根据《建设项目环境风险评价技术导则》（HJ169-2018），依据建设项目涉及的物质及工艺系统危险性和所在地环境敏感性确定环境风险潜势。根据《建设项目环境风险评价技术导则》（HJ169-2018）附录B所列出的物质，本项目风险主要来源于危险废物，主要分布于危险废物暂存间，项目主要风险为危险物质贮存的泄漏事故。</w:t>
            </w:r>
            <w:r>
              <w:rPr>
                <w:rFonts w:hint="default" w:ascii="Times New Roman" w:hAnsi="Times New Roman" w:eastAsia="宋体" w:cs="Times New Roman"/>
                <w:b w:val="0"/>
                <w:bCs/>
                <w:i w:val="0"/>
                <w:iCs/>
                <w:color w:val="auto"/>
                <w:kern w:val="2"/>
                <w:sz w:val="24"/>
                <w:szCs w:val="24"/>
                <w:u w:val="none" w:color="auto"/>
                <w:lang w:val="en-US" w:eastAsia="zh-CN" w:bidi="ar-SA"/>
              </w:rPr>
              <w:t>对照《生态环境重大事故隐患判定标准》（环办应急函〔2025〕441 号）的相关规定，识别本项目不存在生态环境重大事故隐患</w:t>
            </w:r>
            <w:r>
              <w:rPr>
                <w:rFonts w:hint="eastAsia" w:ascii="Times New Roman" w:hAnsi="Times New Roman" w:cs="Times New Roman"/>
                <w:b w:val="0"/>
                <w:bCs/>
                <w:i w:val="0"/>
                <w:iCs/>
                <w:color w:val="auto"/>
                <w:kern w:val="2"/>
                <w:sz w:val="24"/>
                <w:szCs w:val="24"/>
                <w:u w:val="none" w:color="auto"/>
                <w:lang w:val="en-US" w:eastAsia="zh-CN" w:bidi="ar-SA"/>
              </w:rPr>
              <w:t>。</w:t>
            </w:r>
          </w:p>
          <w:p w14:paraId="705F9612">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i w:val="0"/>
                <w:iCs/>
                <w:color w:val="auto"/>
                <w:kern w:val="2"/>
                <w:sz w:val="24"/>
                <w:szCs w:val="24"/>
                <w:u w:val="none" w:color="auto"/>
                <w:lang w:val="en-US" w:eastAsia="zh-CN" w:bidi="ar-SA"/>
              </w:rPr>
            </w:pPr>
            <w:r>
              <w:rPr>
                <w:rFonts w:hint="default" w:ascii="Times New Roman" w:hAnsi="Times New Roman" w:eastAsia="宋体" w:cs="Times New Roman"/>
                <w:b w:val="0"/>
                <w:bCs/>
                <w:i w:val="0"/>
                <w:iCs/>
                <w:color w:val="auto"/>
                <w:kern w:val="2"/>
                <w:sz w:val="24"/>
                <w:szCs w:val="24"/>
                <w:u w:val="none" w:color="auto"/>
                <w:lang w:val="en-US" w:eastAsia="zh-CN" w:bidi="ar-SA"/>
              </w:rPr>
              <w:t>本项目主要原料存储量及临界量详见表4-</w:t>
            </w:r>
            <w:r>
              <w:rPr>
                <w:rFonts w:hint="eastAsia" w:ascii="Times New Roman" w:hAnsi="Times New Roman" w:cs="Times New Roman"/>
                <w:b w:val="0"/>
                <w:bCs/>
                <w:i w:val="0"/>
                <w:iCs/>
                <w:color w:val="auto"/>
                <w:kern w:val="2"/>
                <w:sz w:val="24"/>
                <w:szCs w:val="24"/>
                <w:u w:val="none" w:color="auto"/>
                <w:lang w:val="en-US" w:eastAsia="zh-CN" w:bidi="ar-SA"/>
              </w:rPr>
              <w:t>23</w:t>
            </w:r>
            <w:r>
              <w:rPr>
                <w:rFonts w:hint="default" w:ascii="Times New Roman" w:hAnsi="Times New Roman" w:eastAsia="宋体" w:cs="Times New Roman"/>
                <w:b w:val="0"/>
                <w:bCs/>
                <w:i w:val="0"/>
                <w:iCs/>
                <w:color w:val="auto"/>
                <w:kern w:val="2"/>
                <w:sz w:val="24"/>
                <w:szCs w:val="24"/>
                <w:u w:val="none" w:color="auto"/>
                <w:lang w:val="en-US" w:eastAsia="zh-CN" w:bidi="ar-SA"/>
              </w:rPr>
              <w:t>。</w:t>
            </w:r>
          </w:p>
          <w:p w14:paraId="3F9A160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kern w:val="2"/>
                <w:sz w:val="21"/>
                <w:szCs w:val="21"/>
                <w:u w:val="none" w:color="auto"/>
              </w:rPr>
            </w:pPr>
          </w:p>
          <w:p w14:paraId="4560209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kern w:val="2"/>
                <w:sz w:val="21"/>
                <w:szCs w:val="21"/>
                <w:u w:val="none" w:color="auto"/>
              </w:rPr>
            </w:pPr>
            <w:r>
              <w:rPr>
                <w:rFonts w:hint="default" w:ascii="Times New Roman" w:hAnsi="Times New Roman" w:cs="Times New Roman"/>
                <w:b/>
                <w:color w:val="auto"/>
                <w:kern w:val="2"/>
                <w:sz w:val="21"/>
                <w:szCs w:val="21"/>
                <w:u w:val="none" w:color="auto"/>
              </w:rPr>
              <w:t>表</w:t>
            </w:r>
            <w:r>
              <w:rPr>
                <w:rFonts w:hint="default" w:ascii="Times New Roman" w:hAnsi="Times New Roman" w:eastAsia="宋体" w:cs="Times New Roman"/>
                <w:b/>
                <w:color w:val="auto"/>
                <w:kern w:val="2"/>
                <w:sz w:val="21"/>
                <w:szCs w:val="21"/>
                <w:u w:val="none" w:color="auto"/>
                <w:lang w:val="en-US" w:eastAsia="zh-CN"/>
              </w:rPr>
              <w:t>4</w:t>
            </w:r>
            <w:r>
              <w:rPr>
                <w:rFonts w:hint="default" w:ascii="Times New Roman" w:hAnsi="Times New Roman" w:cs="Times New Roman"/>
                <w:b/>
                <w:color w:val="auto"/>
                <w:kern w:val="2"/>
                <w:sz w:val="21"/>
                <w:szCs w:val="21"/>
                <w:u w:val="none" w:color="auto"/>
              </w:rPr>
              <w:t>-</w:t>
            </w:r>
            <w:r>
              <w:rPr>
                <w:rFonts w:hint="eastAsia" w:ascii="Times New Roman" w:hAnsi="Times New Roman" w:cs="Times New Roman"/>
                <w:b/>
                <w:color w:val="auto"/>
                <w:kern w:val="2"/>
                <w:sz w:val="21"/>
                <w:szCs w:val="21"/>
                <w:u w:val="none" w:color="auto"/>
                <w:lang w:val="en-US" w:eastAsia="zh-CN"/>
              </w:rPr>
              <w:t>23</w:t>
            </w:r>
            <w:r>
              <w:rPr>
                <w:rFonts w:hint="default" w:ascii="Times New Roman" w:hAnsi="Times New Roman" w:eastAsia="宋体" w:cs="Times New Roman"/>
                <w:b/>
                <w:color w:val="auto"/>
                <w:kern w:val="2"/>
                <w:sz w:val="21"/>
                <w:szCs w:val="21"/>
                <w:u w:val="none" w:color="auto"/>
                <w:lang w:val="en-US" w:eastAsia="zh-CN"/>
              </w:rPr>
              <w:t xml:space="preserve"> </w:t>
            </w:r>
            <w:r>
              <w:rPr>
                <w:rFonts w:hint="default" w:ascii="Times New Roman" w:hAnsi="Times New Roman" w:cs="Times New Roman"/>
                <w:b/>
                <w:color w:val="auto"/>
                <w:kern w:val="2"/>
                <w:sz w:val="21"/>
                <w:szCs w:val="21"/>
                <w:u w:val="none" w:color="auto"/>
              </w:rPr>
              <w:t>评价工作等级划分</w:t>
            </w:r>
          </w:p>
          <w:tbl>
            <w:tblPr>
              <w:tblStyle w:val="56"/>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580"/>
              <w:gridCol w:w="911"/>
              <w:gridCol w:w="1400"/>
              <w:gridCol w:w="1584"/>
              <w:gridCol w:w="1365"/>
              <w:gridCol w:w="1172"/>
              <w:gridCol w:w="1350"/>
            </w:tblGrid>
            <w:tr w14:paraId="3D422BD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80" w:type="dxa"/>
                  <w:tcBorders>
                    <w:tl2br w:val="nil"/>
                    <w:tr2bl w:val="nil"/>
                  </w:tcBorders>
                  <w:noWrap w:val="0"/>
                  <w:vAlign w:val="center"/>
                </w:tcPr>
                <w:p w14:paraId="29FD4C0F">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序号</w:t>
                  </w:r>
                </w:p>
              </w:tc>
              <w:tc>
                <w:tcPr>
                  <w:tcW w:w="911" w:type="dxa"/>
                  <w:tcBorders>
                    <w:tl2br w:val="nil"/>
                    <w:tr2bl w:val="nil"/>
                  </w:tcBorders>
                  <w:noWrap w:val="0"/>
                  <w:vAlign w:val="center"/>
                </w:tcPr>
                <w:p w14:paraId="19B82F44">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功能单元</w:t>
                  </w:r>
                </w:p>
              </w:tc>
              <w:tc>
                <w:tcPr>
                  <w:tcW w:w="1400" w:type="dxa"/>
                  <w:tcBorders>
                    <w:tl2br w:val="nil"/>
                    <w:tr2bl w:val="nil"/>
                  </w:tcBorders>
                  <w:noWrap w:val="0"/>
                  <w:vAlign w:val="center"/>
                </w:tcPr>
                <w:p w14:paraId="75019907">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危险化学品</w:t>
                  </w:r>
                </w:p>
              </w:tc>
              <w:tc>
                <w:tcPr>
                  <w:tcW w:w="1584" w:type="dxa"/>
                  <w:tcBorders>
                    <w:tl2br w:val="nil"/>
                    <w:tr2bl w:val="nil"/>
                  </w:tcBorders>
                  <w:noWrap w:val="0"/>
                  <w:vAlign w:val="center"/>
                </w:tcPr>
                <w:p w14:paraId="71628501">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u w:val="none" w:color="auto"/>
                      <w:lang w:val="en-US" w:eastAsia="zh-CN"/>
                    </w:rPr>
                  </w:pPr>
                  <w:r>
                    <w:rPr>
                      <w:rFonts w:hint="default" w:ascii="Times New Roman" w:hAnsi="Times New Roman" w:eastAsia="宋体" w:cs="Times New Roman"/>
                      <w:b/>
                      <w:bCs/>
                      <w:color w:val="auto"/>
                      <w:kern w:val="2"/>
                      <w:sz w:val="21"/>
                      <w:szCs w:val="21"/>
                      <w:u w:val="none" w:color="auto"/>
                      <w:lang w:val="en-US" w:eastAsia="zh-CN"/>
                    </w:rPr>
                    <w:t>最大储存量q（t）</w:t>
                  </w:r>
                </w:p>
              </w:tc>
              <w:tc>
                <w:tcPr>
                  <w:tcW w:w="1365" w:type="dxa"/>
                  <w:tcBorders>
                    <w:tl2br w:val="nil"/>
                    <w:tr2bl w:val="nil"/>
                  </w:tcBorders>
                  <w:noWrap w:val="0"/>
                  <w:vAlign w:val="center"/>
                </w:tcPr>
                <w:p w14:paraId="718F1ADD">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临界量</w:t>
                  </w:r>
                  <w:r>
                    <w:rPr>
                      <w:rFonts w:hint="default" w:ascii="Times New Roman" w:hAnsi="Times New Roman" w:eastAsia="微软雅黑" w:cs="Times New Roman"/>
                      <w:b/>
                      <w:bCs/>
                      <w:color w:val="auto"/>
                      <w:kern w:val="2"/>
                      <w:sz w:val="21"/>
                      <w:szCs w:val="21"/>
                      <w:u w:val="none" w:color="auto"/>
                    </w:rPr>
                    <w:t>*Q</w:t>
                  </w:r>
                  <w:r>
                    <w:rPr>
                      <w:rFonts w:hint="default" w:ascii="Times New Roman" w:hAnsi="Times New Roman" w:cs="Times New Roman"/>
                      <w:b/>
                      <w:bCs/>
                      <w:color w:val="auto"/>
                      <w:kern w:val="2"/>
                      <w:sz w:val="21"/>
                      <w:szCs w:val="21"/>
                      <w:u w:val="none" w:color="auto"/>
                    </w:rPr>
                    <w:t>（t）</w:t>
                  </w:r>
                </w:p>
              </w:tc>
              <w:tc>
                <w:tcPr>
                  <w:tcW w:w="1172" w:type="dxa"/>
                  <w:tcBorders>
                    <w:tl2br w:val="nil"/>
                    <w:tr2bl w:val="nil"/>
                  </w:tcBorders>
                  <w:noWrap w:val="0"/>
                  <w:vAlign w:val="center"/>
                </w:tcPr>
                <w:p w14:paraId="78C4297A">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cs="Times New Roman"/>
                      <w:b/>
                      <w:bCs/>
                      <w:color w:val="auto"/>
                      <w:kern w:val="2"/>
                      <w:sz w:val="21"/>
                      <w:szCs w:val="21"/>
                      <w:u w:val="none" w:color="auto"/>
                    </w:rPr>
                  </w:pPr>
                  <w:r>
                    <w:rPr>
                      <w:rFonts w:hint="default" w:ascii="Times New Roman" w:hAnsi="Times New Roman" w:eastAsia="微软雅黑" w:cs="Times New Roman"/>
                      <w:b/>
                      <w:bCs/>
                      <w:color w:val="auto"/>
                      <w:kern w:val="2"/>
                      <w:sz w:val="21"/>
                      <w:szCs w:val="21"/>
                      <w:u w:val="none" w:color="auto"/>
                    </w:rPr>
                    <w:t>q/Q</w:t>
                  </w:r>
                </w:p>
              </w:tc>
              <w:tc>
                <w:tcPr>
                  <w:tcW w:w="1350" w:type="dxa"/>
                  <w:tcBorders>
                    <w:tl2br w:val="nil"/>
                    <w:tr2bl w:val="nil"/>
                  </w:tcBorders>
                  <w:noWrap w:val="0"/>
                  <w:vAlign w:val="center"/>
                </w:tcPr>
                <w:p w14:paraId="09697EC9">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是否重大危险源</w:t>
                  </w:r>
                </w:p>
              </w:tc>
            </w:tr>
            <w:tr w14:paraId="1DA7DF9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80" w:type="dxa"/>
                  <w:tcBorders>
                    <w:tl2br w:val="nil"/>
                    <w:tr2bl w:val="nil"/>
                  </w:tcBorders>
                  <w:noWrap w:val="0"/>
                  <w:vAlign w:val="center"/>
                </w:tcPr>
                <w:p w14:paraId="52595BC2">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cs="Times New Roman"/>
                      <w:b/>
                      <w:bCs/>
                      <w:color w:val="auto"/>
                      <w:kern w:val="2"/>
                      <w:sz w:val="21"/>
                      <w:szCs w:val="21"/>
                      <w:u w:val="none" w:color="auto"/>
                    </w:rPr>
                  </w:pPr>
                  <w:r>
                    <w:rPr>
                      <w:rFonts w:hint="default" w:ascii="Times New Roman" w:hAnsi="Times New Roman" w:cs="Times New Roman"/>
                      <w:color w:val="auto"/>
                      <w:kern w:val="2"/>
                      <w:sz w:val="21"/>
                      <w:szCs w:val="21"/>
                      <w:u w:val="none" w:color="auto"/>
                    </w:rPr>
                    <w:t>1</w:t>
                  </w:r>
                </w:p>
              </w:tc>
              <w:tc>
                <w:tcPr>
                  <w:tcW w:w="911" w:type="dxa"/>
                  <w:vMerge w:val="restart"/>
                  <w:tcBorders>
                    <w:tl2br w:val="nil"/>
                    <w:tr2bl w:val="nil"/>
                  </w:tcBorders>
                  <w:noWrap w:val="0"/>
                  <w:vAlign w:val="center"/>
                </w:tcPr>
                <w:p w14:paraId="7350275D">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u w:val="none" w:color="auto"/>
                      <w:lang w:val="en-US" w:eastAsia="zh-CN"/>
                    </w:rPr>
                  </w:pPr>
                  <w:r>
                    <w:rPr>
                      <w:rFonts w:hint="eastAsia" w:ascii="Times New Roman" w:hAnsi="Times New Roman" w:cs="Times New Roman"/>
                      <w:b w:val="0"/>
                      <w:bCs w:val="0"/>
                      <w:color w:val="auto"/>
                      <w:kern w:val="2"/>
                      <w:sz w:val="21"/>
                      <w:szCs w:val="21"/>
                      <w:u w:val="none" w:color="auto"/>
                      <w:lang w:val="en-US" w:eastAsia="zh-CN"/>
                    </w:rPr>
                    <w:t>危废库</w:t>
                  </w:r>
                </w:p>
              </w:tc>
              <w:tc>
                <w:tcPr>
                  <w:tcW w:w="1400" w:type="dxa"/>
                  <w:tcBorders>
                    <w:tl2br w:val="nil"/>
                    <w:tr2bl w:val="nil"/>
                  </w:tcBorders>
                  <w:noWrap w:val="0"/>
                  <w:vAlign w:val="center"/>
                </w:tcPr>
                <w:p w14:paraId="55CC3BA1">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u w:val="none" w:color="auto"/>
                      <w:lang w:val="en-US" w:eastAsia="zh-CN"/>
                    </w:rPr>
                  </w:pPr>
                  <w:r>
                    <w:rPr>
                      <w:rFonts w:hint="default" w:ascii="Times New Roman" w:hAnsi="Times New Roman" w:eastAsia="宋体" w:cs="Times New Roman"/>
                      <w:b w:val="0"/>
                      <w:bCs w:val="0"/>
                      <w:color w:val="auto"/>
                      <w:kern w:val="2"/>
                      <w:sz w:val="21"/>
                      <w:szCs w:val="21"/>
                      <w:u w:val="none" w:color="auto"/>
                      <w:lang w:val="en-US" w:eastAsia="zh-CN"/>
                    </w:rPr>
                    <w:t>废机油</w:t>
                  </w:r>
                </w:p>
              </w:tc>
              <w:tc>
                <w:tcPr>
                  <w:tcW w:w="1584" w:type="dxa"/>
                  <w:tcBorders>
                    <w:tl2br w:val="nil"/>
                    <w:tr2bl w:val="nil"/>
                  </w:tcBorders>
                  <w:noWrap w:val="0"/>
                  <w:vAlign w:val="center"/>
                </w:tcPr>
                <w:p w14:paraId="4B06232A">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u w:val="none" w:color="auto"/>
                      <w:lang w:val="en-US" w:eastAsia="zh-CN"/>
                    </w:rPr>
                  </w:pPr>
                  <w:r>
                    <w:rPr>
                      <w:rFonts w:hint="default" w:ascii="Times New Roman" w:hAnsi="Times New Roman" w:eastAsia="宋体" w:cs="Times New Roman"/>
                      <w:b w:val="0"/>
                      <w:bCs w:val="0"/>
                      <w:color w:val="auto"/>
                      <w:kern w:val="2"/>
                      <w:sz w:val="21"/>
                      <w:szCs w:val="21"/>
                      <w:u w:val="none" w:color="auto"/>
                      <w:lang w:val="en-US" w:eastAsia="zh-CN"/>
                    </w:rPr>
                    <w:t>0.1</w:t>
                  </w:r>
                </w:p>
              </w:tc>
              <w:tc>
                <w:tcPr>
                  <w:tcW w:w="1365" w:type="dxa"/>
                  <w:tcBorders>
                    <w:tl2br w:val="nil"/>
                    <w:tr2bl w:val="nil"/>
                  </w:tcBorders>
                  <w:noWrap w:val="0"/>
                  <w:vAlign w:val="center"/>
                </w:tcPr>
                <w:p w14:paraId="6FACCE11">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u w:val="none" w:color="auto"/>
                      <w:lang w:val="en-US" w:eastAsia="zh-CN"/>
                    </w:rPr>
                  </w:pPr>
                  <w:r>
                    <w:rPr>
                      <w:rFonts w:hint="default" w:ascii="Times New Roman" w:hAnsi="Times New Roman" w:eastAsia="宋体" w:cs="Times New Roman"/>
                      <w:b w:val="0"/>
                      <w:bCs w:val="0"/>
                      <w:color w:val="auto"/>
                      <w:kern w:val="2"/>
                      <w:sz w:val="21"/>
                      <w:szCs w:val="21"/>
                      <w:u w:val="none" w:color="auto"/>
                      <w:lang w:val="en-US" w:eastAsia="zh-CN"/>
                    </w:rPr>
                    <w:t>2500</w:t>
                  </w:r>
                </w:p>
              </w:tc>
              <w:tc>
                <w:tcPr>
                  <w:tcW w:w="1172" w:type="dxa"/>
                  <w:tcBorders>
                    <w:tl2br w:val="nil"/>
                    <w:tr2bl w:val="nil"/>
                  </w:tcBorders>
                  <w:noWrap w:val="0"/>
                  <w:vAlign w:val="center"/>
                </w:tcPr>
                <w:p w14:paraId="66482E1D">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u w:val="none" w:color="auto"/>
                      <w:lang w:val="en-US" w:eastAsia="zh-CN"/>
                    </w:rPr>
                  </w:pPr>
                  <w:r>
                    <w:rPr>
                      <w:rFonts w:hint="default" w:ascii="Times New Roman" w:hAnsi="Times New Roman" w:eastAsia="宋体" w:cs="Times New Roman"/>
                      <w:b w:val="0"/>
                      <w:bCs w:val="0"/>
                      <w:color w:val="auto"/>
                      <w:kern w:val="2"/>
                      <w:sz w:val="21"/>
                      <w:szCs w:val="21"/>
                      <w:u w:val="none" w:color="auto"/>
                      <w:lang w:val="en-US" w:eastAsia="zh-CN"/>
                    </w:rPr>
                    <w:t>0.00004</w:t>
                  </w:r>
                </w:p>
              </w:tc>
              <w:tc>
                <w:tcPr>
                  <w:tcW w:w="1350" w:type="dxa"/>
                  <w:vMerge w:val="restart"/>
                  <w:tcBorders>
                    <w:tl2br w:val="nil"/>
                    <w:tr2bl w:val="nil"/>
                  </w:tcBorders>
                  <w:noWrap w:val="0"/>
                  <w:vAlign w:val="center"/>
                </w:tcPr>
                <w:p w14:paraId="1CDCC5E1">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21"/>
                      <w:u w:val="none" w:color="auto"/>
                    </w:rPr>
                  </w:pPr>
                  <w:r>
                    <w:rPr>
                      <w:rFonts w:hint="default" w:ascii="Times New Roman" w:hAnsi="Times New Roman" w:eastAsia="宋体" w:cs="Times New Roman"/>
                      <w:color w:val="auto"/>
                      <w:kern w:val="2"/>
                      <w:sz w:val="21"/>
                      <w:u w:val="none" w:color="auto"/>
                    </w:rPr>
                    <w:t>否</w:t>
                  </w:r>
                </w:p>
              </w:tc>
            </w:tr>
            <w:tr w14:paraId="663F2F5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80" w:type="dxa"/>
                  <w:tcBorders>
                    <w:tl2br w:val="nil"/>
                    <w:tr2bl w:val="nil"/>
                  </w:tcBorders>
                  <w:noWrap w:val="0"/>
                  <w:vAlign w:val="center"/>
                </w:tcPr>
                <w:p w14:paraId="36A89E58">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21"/>
                      <w:szCs w:val="21"/>
                      <w:u w:val="none" w:color="auto"/>
                      <w:lang w:val="en-US" w:eastAsia="zh-CN"/>
                    </w:rPr>
                  </w:pPr>
                  <w:r>
                    <w:rPr>
                      <w:rFonts w:hint="default" w:ascii="Times New Roman" w:hAnsi="Times New Roman" w:eastAsia="宋体" w:cs="Times New Roman"/>
                      <w:color w:val="auto"/>
                      <w:kern w:val="2"/>
                      <w:sz w:val="21"/>
                      <w:szCs w:val="21"/>
                      <w:u w:val="none" w:color="auto"/>
                      <w:lang w:val="en-US" w:eastAsia="zh-CN"/>
                    </w:rPr>
                    <w:t>2</w:t>
                  </w:r>
                </w:p>
              </w:tc>
              <w:tc>
                <w:tcPr>
                  <w:tcW w:w="911" w:type="dxa"/>
                  <w:vMerge w:val="continue"/>
                  <w:tcBorders>
                    <w:tl2br w:val="nil"/>
                    <w:tr2bl w:val="nil"/>
                  </w:tcBorders>
                  <w:noWrap w:val="0"/>
                  <w:vAlign w:val="center"/>
                </w:tcPr>
                <w:p w14:paraId="3D686747">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u w:val="none" w:color="auto"/>
                    </w:rPr>
                  </w:pPr>
                </w:p>
              </w:tc>
              <w:tc>
                <w:tcPr>
                  <w:tcW w:w="1400" w:type="dxa"/>
                  <w:tcBorders>
                    <w:tl2br w:val="nil"/>
                    <w:tr2bl w:val="nil"/>
                  </w:tcBorders>
                  <w:noWrap w:val="0"/>
                  <w:vAlign w:val="center"/>
                </w:tcPr>
                <w:p w14:paraId="534E00C7">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u w:val="none" w:color="auto"/>
                      <w:lang w:val="en-US" w:eastAsia="zh-CN"/>
                    </w:rPr>
                  </w:pPr>
                  <w:r>
                    <w:rPr>
                      <w:rFonts w:hint="default" w:ascii="Times New Roman" w:hAnsi="Times New Roman" w:eastAsia="宋体" w:cs="Times New Roman"/>
                      <w:b w:val="0"/>
                      <w:bCs w:val="0"/>
                      <w:color w:val="auto"/>
                      <w:kern w:val="2"/>
                      <w:sz w:val="21"/>
                      <w:szCs w:val="21"/>
                      <w:u w:val="none" w:color="auto"/>
                      <w:lang w:val="en-US" w:eastAsia="zh-CN"/>
                    </w:rPr>
                    <w:t>废机油桶</w:t>
                  </w:r>
                </w:p>
              </w:tc>
              <w:tc>
                <w:tcPr>
                  <w:tcW w:w="1584" w:type="dxa"/>
                  <w:tcBorders>
                    <w:tl2br w:val="nil"/>
                    <w:tr2bl w:val="nil"/>
                  </w:tcBorders>
                  <w:noWrap w:val="0"/>
                  <w:vAlign w:val="center"/>
                </w:tcPr>
                <w:p w14:paraId="49A0CF12">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u w:val="none" w:color="auto"/>
                      <w:lang w:val="en-US" w:eastAsia="zh-CN"/>
                    </w:rPr>
                  </w:pPr>
                  <w:r>
                    <w:rPr>
                      <w:rFonts w:hint="default" w:ascii="Times New Roman" w:hAnsi="Times New Roman" w:eastAsia="宋体" w:cs="Times New Roman"/>
                      <w:b w:val="0"/>
                      <w:bCs w:val="0"/>
                      <w:color w:val="auto"/>
                      <w:kern w:val="2"/>
                      <w:sz w:val="21"/>
                      <w:szCs w:val="21"/>
                      <w:u w:val="none" w:color="auto"/>
                      <w:lang w:val="en-US" w:eastAsia="zh-CN"/>
                    </w:rPr>
                    <w:t>0.01</w:t>
                  </w:r>
                </w:p>
              </w:tc>
              <w:tc>
                <w:tcPr>
                  <w:tcW w:w="1365" w:type="dxa"/>
                  <w:tcBorders>
                    <w:tl2br w:val="nil"/>
                    <w:tr2bl w:val="nil"/>
                  </w:tcBorders>
                  <w:noWrap w:val="0"/>
                  <w:vAlign w:val="center"/>
                </w:tcPr>
                <w:p w14:paraId="14A2ACE0">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u w:val="none" w:color="auto"/>
                    </w:rPr>
                  </w:pPr>
                  <w:r>
                    <w:rPr>
                      <w:rFonts w:hint="default" w:ascii="Times New Roman" w:hAnsi="Times New Roman" w:eastAsia="宋体" w:cs="Times New Roman"/>
                      <w:b w:val="0"/>
                      <w:bCs w:val="0"/>
                      <w:color w:val="auto"/>
                      <w:kern w:val="2"/>
                      <w:sz w:val="21"/>
                      <w:szCs w:val="21"/>
                      <w:u w:val="none" w:color="auto"/>
                      <w:lang w:val="en-US" w:eastAsia="zh-CN"/>
                    </w:rPr>
                    <w:t>2500</w:t>
                  </w:r>
                </w:p>
              </w:tc>
              <w:tc>
                <w:tcPr>
                  <w:tcW w:w="1172" w:type="dxa"/>
                  <w:tcBorders>
                    <w:tl2br w:val="nil"/>
                    <w:tr2bl w:val="nil"/>
                  </w:tcBorders>
                  <w:noWrap w:val="0"/>
                  <w:vAlign w:val="center"/>
                </w:tcPr>
                <w:p w14:paraId="634187B1">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u w:val="none" w:color="auto"/>
                      <w:lang w:val="en-US" w:eastAsia="zh-CN"/>
                    </w:rPr>
                  </w:pPr>
                  <w:r>
                    <w:rPr>
                      <w:rFonts w:hint="default" w:ascii="Times New Roman" w:hAnsi="Times New Roman" w:eastAsia="宋体" w:cs="Times New Roman"/>
                      <w:b w:val="0"/>
                      <w:bCs w:val="0"/>
                      <w:color w:val="auto"/>
                      <w:kern w:val="2"/>
                      <w:sz w:val="21"/>
                      <w:szCs w:val="21"/>
                      <w:u w:val="none" w:color="auto"/>
                      <w:lang w:val="en-US" w:eastAsia="zh-CN"/>
                    </w:rPr>
                    <w:t>0.000004</w:t>
                  </w:r>
                </w:p>
              </w:tc>
              <w:tc>
                <w:tcPr>
                  <w:tcW w:w="1350" w:type="dxa"/>
                  <w:vMerge w:val="continue"/>
                  <w:tcBorders>
                    <w:tl2br w:val="nil"/>
                    <w:tr2bl w:val="nil"/>
                  </w:tcBorders>
                  <w:noWrap w:val="0"/>
                  <w:vAlign w:val="center"/>
                </w:tcPr>
                <w:p w14:paraId="260DB461">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21"/>
                      <w:u w:val="none" w:color="auto"/>
                    </w:rPr>
                  </w:pPr>
                </w:p>
              </w:tc>
            </w:tr>
            <w:tr w14:paraId="4101D78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80" w:type="dxa"/>
                  <w:tcBorders>
                    <w:tl2br w:val="nil"/>
                    <w:tr2bl w:val="nil"/>
                  </w:tcBorders>
                  <w:noWrap w:val="0"/>
                  <w:vAlign w:val="center"/>
                </w:tcPr>
                <w:p w14:paraId="6CDB3ACC">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cs="Times New Roman"/>
                      <w:color w:val="auto"/>
                      <w:kern w:val="2"/>
                      <w:sz w:val="21"/>
                      <w:szCs w:val="21"/>
                      <w:u w:val="none" w:color="auto"/>
                      <w:lang w:val="en-US" w:eastAsia="zh-CN"/>
                    </w:rPr>
                  </w:pPr>
                  <w:r>
                    <w:rPr>
                      <w:rFonts w:hint="default" w:ascii="Times New Roman" w:hAnsi="Times New Roman" w:eastAsia="宋体" w:cs="Times New Roman"/>
                      <w:color w:val="auto"/>
                      <w:kern w:val="2"/>
                      <w:sz w:val="21"/>
                      <w:szCs w:val="21"/>
                      <w:u w:val="none" w:color="auto"/>
                      <w:lang w:val="en-US" w:eastAsia="zh-CN"/>
                    </w:rPr>
                    <w:t>3</w:t>
                  </w:r>
                </w:p>
              </w:tc>
              <w:tc>
                <w:tcPr>
                  <w:tcW w:w="911" w:type="dxa"/>
                  <w:vMerge w:val="continue"/>
                  <w:tcBorders>
                    <w:tl2br w:val="nil"/>
                    <w:tr2bl w:val="nil"/>
                  </w:tcBorders>
                  <w:noWrap w:val="0"/>
                  <w:vAlign w:val="center"/>
                </w:tcPr>
                <w:p w14:paraId="2EB2C3AB">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u w:val="none" w:color="auto"/>
                    </w:rPr>
                  </w:pPr>
                </w:p>
              </w:tc>
              <w:tc>
                <w:tcPr>
                  <w:tcW w:w="1400" w:type="dxa"/>
                  <w:tcBorders>
                    <w:tl2br w:val="nil"/>
                    <w:tr2bl w:val="nil"/>
                  </w:tcBorders>
                  <w:noWrap w:val="0"/>
                  <w:vAlign w:val="center"/>
                </w:tcPr>
                <w:p w14:paraId="4614913F">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u w:val="none" w:color="auto"/>
                      <w:lang w:val="en-US" w:eastAsia="zh-CN"/>
                    </w:rPr>
                  </w:pPr>
                  <w:r>
                    <w:rPr>
                      <w:rFonts w:hint="default" w:ascii="Times New Roman" w:hAnsi="Times New Roman" w:eastAsia="宋体" w:cs="Times New Roman"/>
                      <w:b w:val="0"/>
                      <w:bCs w:val="0"/>
                      <w:color w:val="auto"/>
                      <w:kern w:val="2"/>
                      <w:sz w:val="21"/>
                      <w:szCs w:val="21"/>
                      <w:u w:val="none" w:color="auto"/>
                      <w:lang w:val="en-US" w:eastAsia="zh-CN"/>
                    </w:rPr>
                    <w:t>废淬火油及淬火废渣</w:t>
                  </w:r>
                </w:p>
              </w:tc>
              <w:tc>
                <w:tcPr>
                  <w:tcW w:w="1584" w:type="dxa"/>
                  <w:tcBorders>
                    <w:tl2br w:val="nil"/>
                    <w:tr2bl w:val="nil"/>
                  </w:tcBorders>
                  <w:noWrap w:val="0"/>
                  <w:vAlign w:val="center"/>
                </w:tcPr>
                <w:p w14:paraId="754BB522">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u w:val="none" w:color="auto"/>
                      <w:lang w:val="en-US" w:eastAsia="zh-CN"/>
                    </w:rPr>
                  </w:pPr>
                  <w:r>
                    <w:rPr>
                      <w:rFonts w:hint="eastAsia" w:ascii="Times New Roman" w:hAnsi="Times New Roman" w:cs="Times New Roman"/>
                      <w:b w:val="0"/>
                      <w:bCs w:val="0"/>
                      <w:color w:val="auto"/>
                      <w:kern w:val="2"/>
                      <w:sz w:val="21"/>
                      <w:szCs w:val="21"/>
                      <w:u w:val="none" w:color="auto"/>
                      <w:lang w:val="en-US" w:eastAsia="zh-CN"/>
                    </w:rPr>
                    <w:t>0.8</w:t>
                  </w:r>
                </w:p>
              </w:tc>
              <w:tc>
                <w:tcPr>
                  <w:tcW w:w="1365" w:type="dxa"/>
                  <w:tcBorders>
                    <w:tl2br w:val="nil"/>
                    <w:tr2bl w:val="nil"/>
                  </w:tcBorders>
                  <w:noWrap w:val="0"/>
                  <w:vAlign w:val="center"/>
                </w:tcPr>
                <w:p w14:paraId="6D1531B8">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u w:val="none" w:color="auto"/>
                      <w:lang w:val="en-US" w:eastAsia="zh-CN"/>
                    </w:rPr>
                  </w:pPr>
                  <w:r>
                    <w:rPr>
                      <w:rFonts w:hint="eastAsia" w:ascii="Times New Roman" w:hAnsi="Times New Roman" w:cs="Times New Roman"/>
                      <w:b w:val="0"/>
                      <w:bCs w:val="0"/>
                      <w:color w:val="auto"/>
                      <w:kern w:val="2"/>
                      <w:sz w:val="21"/>
                      <w:szCs w:val="21"/>
                      <w:u w:val="none" w:color="auto"/>
                      <w:lang w:val="en-US" w:eastAsia="zh-CN"/>
                    </w:rPr>
                    <w:t>2500</w:t>
                  </w:r>
                </w:p>
              </w:tc>
              <w:tc>
                <w:tcPr>
                  <w:tcW w:w="1172" w:type="dxa"/>
                  <w:tcBorders>
                    <w:tl2br w:val="nil"/>
                    <w:tr2bl w:val="nil"/>
                  </w:tcBorders>
                  <w:noWrap w:val="0"/>
                  <w:vAlign w:val="center"/>
                </w:tcPr>
                <w:p w14:paraId="46596B99">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u w:val="none" w:color="auto"/>
                      <w:lang w:val="en-US" w:eastAsia="zh-CN"/>
                    </w:rPr>
                  </w:pPr>
                  <w:r>
                    <w:rPr>
                      <w:rFonts w:hint="default" w:ascii="Times New Roman" w:hAnsi="Times New Roman" w:eastAsia="宋体" w:cs="Times New Roman"/>
                      <w:b w:val="0"/>
                      <w:bCs w:val="0"/>
                      <w:color w:val="auto"/>
                      <w:kern w:val="2"/>
                      <w:sz w:val="21"/>
                      <w:szCs w:val="21"/>
                      <w:u w:val="none" w:color="auto"/>
                      <w:lang w:val="en-US" w:eastAsia="zh-CN"/>
                    </w:rPr>
                    <w:t>0.0</w:t>
                  </w:r>
                  <w:r>
                    <w:rPr>
                      <w:rFonts w:hint="eastAsia" w:ascii="Times New Roman" w:hAnsi="Times New Roman" w:cs="Times New Roman"/>
                      <w:b w:val="0"/>
                      <w:bCs w:val="0"/>
                      <w:color w:val="auto"/>
                      <w:kern w:val="2"/>
                      <w:sz w:val="21"/>
                      <w:szCs w:val="21"/>
                      <w:u w:val="none" w:color="auto"/>
                      <w:lang w:val="en-US" w:eastAsia="zh-CN"/>
                    </w:rPr>
                    <w:t>0032</w:t>
                  </w:r>
                </w:p>
              </w:tc>
              <w:tc>
                <w:tcPr>
                  <w:tcW w:w="1350" w:type="dxa"/>
                  <w:vMerge w:val="continue"/>
                  <w:tcBorders>
                    <w:tl2br w:val="nil"/>
                    <w:tr2bl w:val="nil"/>
                  </w:tcBorders>
                  <w:noWrap w:val="0"/>
                  <w:vAlign w:val="center"/>
                </w:tcPr>
                <w:p w14:paraId="7DDA0A09">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kern w:val="2"/>
                      <w:sz w:val="21"/>
                      <w:u w:val="none" w:color="auto"/>
                    </w:rPr>
                  </w:pPr>
                </w:p>
              </w:tc>
            </w:tr>
            <w:tr w14:paraId="557CF9D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840" w:type="dxa"/>
                  <w:gridSpan w:val="5"/>
                  <w:tcBorders>
                    <w:tl2br w:val="nil"/>
                    <w:tr2bl w:val="nil"/>
                  </w:tcBorders>
                  <w:noWrap w:val="0"/>
                  <w:vAlign w:val="center"/>
                </w:tcPr>
                <w:p w14:paraId="5B2AF81C">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总计（∑qn/Qn）</w:t>
                  </w:r>
                </w:p>
              </w:tc>
              <w:tc>
                <w:tcPr>
                  <w:tcW w:w="1172" w:type="dxa"/>
                  <w:tcBorders>
                    <w:tl2br w:val="nil"/>
                    <w:tr2bl w:val="nil"/>
                  </w:tcBorders>
                  <w:noWrap w:val="0"/>
                  <w:vAlign w:val="center"/>
                </w:tcPr>
                <w:p w14:paraId="7740D38C">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kern w:val="2"/>
                      <w:sz w:val="21"/>
                      <w:szCs w:val="21"/>
                      <w:u w:val="none" w:color="auto"/>
                      <w:lang w:val="en-US" w:eastAsia="zh-CN"/>
                    </w:rPr>
                  </w:pPr>
                  <w:r>
                    <w:rPr>
                      <w:rFonts w:hint="default" w:ascii="Times New Roman" w:hAnsi="Times New Roman" w:eastAsia="宋体" w:cs="Times New Roman"/>
                      <w:b w:val="0"/>
                      <w:bCs w:val="0"/>
                      <w:color w:val="auto"/>
                      <w:kern w:val="2"/>
                      <w:sz w:val="21"/>
                      <w:szCs w:val="21"/>
                      <w:u w:val="none" w:color="auto"/>
                      <w:lang w:val="en-US" w:eastAsia="zh-CN"/>
                    </w:rPr>
                    <w:t>0.0</w:t>
                  </w:r>
                  <w:r>
                    <w:rPr>
                      <w:rFonts w:hint="eastAsia" w:ascii="Times New Roman" w:hAnsi="Times New Roman" w:cs="Times New Roman"/>
                      <w:b w:val="0"/>
                      <w:bCs w:val="0"/>
                      <w:color w:val="auto"/>
                      <w:kern w:val="2"/>
                      <w:sz w:val="21"/>
                      <w:szCs w:val="21"/>
                      <w:u w:val="none" w:color="auto"/>
                      <w:lang w:val="en-US" w:eastAsia="zh-CN"/>
                    </w:rPr>
                    <w:t>000364</w:t>
                  </w:r>
                </w:p>
              </w:tc>
              <w:tc>
                <w:tcPr>
                  <w:tcW w:w="1350" w:type="dxa"/>
                  <w:vMerge w:val="continue"/>
                  <w:tcBorders>
                    <w:tl2br w:val="nil"/>
                    <w:tr2bl w:val="nil"/>
                  </w:tcBorders>
                  <w:noWrap w:val="0"/>
                  <w:vAlign w:val="center"/>
                </w:tcPr>
                <w:p w14:paraId="0AC85E93">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cs="Times New Roman"/>
                      <w:color w:val="auto"/>
                      <w:kern w:val="2"/>
                      <w:sz w:val="21"/>
                      <w:szCs w:val="21"/>
                      <w:u w:val="none" w:color="auto"/>
                    </w:rPr>
                  </w:pPr>
                </w:p>
              </w:tc>
            </w:tr>
          </w:tbl>
          <w:p w14:paraId="0F27C3BD">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i w:val="0"/>
                <w:iCs/>
                <w:color w:val="auto"/>
                <w:kern w:val="2"/>
                <w:sz w:val="24"/>
                <w:szCs w:val="24"/>
                <w:u w:val="none" w:color="auto"/>
                <w:lang w:val="en-US" w:eastAsia="zh-CN" w:bidi="ar-SA"/>
              </w:rPr>
            </w:pPr>
            <w:r>
              <w:rPr>
                <w:rFonts w:hint="default" w:ascii="Times New Roman" w:hAnsi="Times New Roman" w:eastAsia="宋体" w:cs="Times New Roman"/>
                <w:b w:val="0"/>
                <w:bCs/>
                <w:i w:val="0"/>
                <w:iCs/>
                <w:color w:val="auto"/>
                <w:kern w:val="2"/>
                <w:sz w:val="24"/>
                <w:szCs w:val="24"/>
                <w:u w:val="none" w:color="auto"/>
                <w:lang w:val="en-US" w:eastAsia="zh-CN" w:bidi="ar-SA"/>
              </w:rPr>
              <w:t>根据《建设项目环境风险评价技术导则》</w:t>
            </w:r>
            <w:r>
              <w:rPr>
                <w:rFonts w:hint="eastAsia" w:ascii="Times New Roman" w:hAnsi="Times New Roman" w:cs="Times New Roman"/>
                <w:b w:val="0"/>
                <w:bCs/>
                <w:i w:val="0"/>
                <w:iCs/>
                <w:color w:val="auto"/>
                <w:kern w:val="2"/>
                <w:sz w:val="24"/>
                <w:szCs w:val="24"/>
                <w:u w:val="none" w:color="auto"/>
                <w:lang w:val="en-US" w:eastAsia="zh-CN" w:bidi="ar-SA"/>
              </w:rPr>
              <w:t>（</w:t>
            </w:r>
            <w:r>
              <w:rPr>
                <w:rFonts w:hint="default" w:ascii="Times New Roman" w:hAnsi="Times New Roman" w:eastAsia="宋体" w:cs="Times New Roman"/>
                <w:b w:val="0"/>
                <w:bCs/>
                <w:i w:val="0"/>
                <w:iCs/>
                <w:color w:val="auto"/>
                <w:kern w:val="2"/>
                <w:sz w:val="24"/>
                <w:szCs w:val="24"/>
                <w:u w:val="none" w:color="auto"/>
                <w:lang w:val="en-US" w:eastAsia="zh-CN" w:bidi="ar-SA"/>
              </w:rPr>
              <w:t>HJ169－2018）附录B表中有毒和爆炸物质名称及临界量识别，本建设项目涉及风险物质Q＜1，项目环境风险潜势为Ⅰ，本项目不存在重大危险源。</w:t>
            </w:r>
          </w:p>
          <w:p w14:paraId="7FCACDA3">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i w:val="0"/>
                <w:iCs/>
                <w:color w:val="auto"/>
                <w:kern w:val="2"/>
                <w:sz w:val="24"/>
                <w:szCs w:val="24"/>
                <w:u w:val="none" w:color="auto"/>
                <w:lang w:val="en-US" w:eastAsia="zh-CN" w:bidi="ar-SA"/>
              </w:rPr>
            </w:pPr>
            <w:r>
              <w:rPr>
                <w:rFonts w:hint="default" w:ascii="Times New Roman" w:hAnsi="Times New Roman" w:eastAsia="宋体" w:cs="Times New Roman"/>
                <w:b w:val="0"/>
                <w:bCs/>
                <w:i w:val="0"/>
                <w:iCs/>
                <w:color w:val="auto"/>
                <w:kern w:val="2"/>
                <w:sz w:val="24"/>
                <w:szCs w:val="24"/>
                <w:u w:val="none" w:color="auto"/>
                <w:lang w:val="en-US" w:eastAsia="zh-CN" w:bidi="ar-SA"/>
              </w:rPr>
              <w:t>（3）评价等级</w:t>
            </w:r>
          </w:p>
          <w:p w14:paraId="212F2945">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i w:val="0"/>
                <w:iCs/>
                <w:color w:val="auto"/>
                <w:kern w:val="2"/>
                <w:sz w:val="24"/>
                <w:szCs w:val="24"/>
                <w:u w:val="none" w:color="auto"/>
                <w:lang w:val="en-US" w:eastAsia="zh-CN" w:bidi="ar-SA"/>
              </w:rPr>
            </w:pPr>
            <w:r>
              <w:rPr>
                <w:rFonts w:hint="default" w:ascii="Times New Roman" w:hAnsi="Times New Roman" w:eastAsia="宋体" w:cs="Times New Roman"/>
                <w:b w:val="0"/>
                <w:bCs/>
                <w:i w:val="0"/>
                <w:iCs/>
                <w:color w:val="auto"/>
                <w:kern w:val="2"/>
                <w:sz w:val="24"/>
                <w:szCs w:val="24"/>
                <w:u w:val="none" w:color="auto"/>
                <w:lang w:val="en-US" w:eastAsia="zh-CN" w:bidi="ar-SA"/>
              </w:rPr>
              <w:t>根据项目风险潜势初判，项目环境风险潜势为Ⅰ。根据《建设项目环境风险评价技术导则》（</w:t>
            </w:r>
            <w:r>
              <w:rPr>
                <w:rFonts w:hint="eastAsia" w:ascii="Times New Roman" w:hAnsi="Times New Roman" w:cs="Times New Roman"/>
                <w:b w:val="0"/>
                <w:bCs/>
                <w:i w:val="0"/>
                <w:iCs/>
                <w:color w:val="auto"/>
                <w:kern w:val="2"/>
                <w:sz w:val="24"/>
                <w:szCs w:val="24"/>
                <w:u w:val="none" w:color="auto"/>
                <w:lang w:val="en-US" w:eastAsia="zh-CN" w:bidi="ar-SA"/>
              </w:rPr>
              <w:t>HJ 169-2018</w:t>
            </w:r>
            <w:r>
              <w:rPr>
                <w:rFonts w:hint="default" w:ascii="Times New Roman" w:hAnsi="Times New Roman" w:eastAsia="宋体" w:cs="Times New Roman"/>
                <w:b w:val="0"/>
                <w:bCs/>
                <w:i w:val="0"/>
                <w:iCs/>
                <w:color w:val="auto"/>
                <w:kern w:val="2"/>
                <w:sz w:val="24"/>
                <w:szCs w:val="24"/>
                <w:u w:val="none" w:color="auto"/>
                <w:lang w:val="en-US" w:eastAsia="zh-CN" w:bidi="ar-SA"/>
              </w:rPr>
              <w:t>）项目环境风险潜势为Ⅰ，评价工作等级划分见表4-</w:t>
            </w:r>
            <w:r>
              <w:rPr>
                <w:rFonts w:hint="eastAsia" w:ascii="Times New Roman" w:hAnsi="Times New Roman" w:cs="Times New Roman"/>
                <w:b w:val="0"/>
                <w:bCs/>
                <w:i w:val="0"/>
                <w:iCs/>
                <w:color w:val="auto"/>
                <w:kern w:val="2"/>
                <w:sz w:val="24"/>
                <w:szCs w:val="24"/>
                <w:u w:val="none" w:color="auto"/>
                <w:lang w:val="en-US" w:eastAsia="zh-CN" w:bidi="ar-SA"/>
              </w:rPr>
              <w:t>24</w:t>
            </w:r>
            <w:r>
              <w:rPr>
                <w:rFonts w:hint="default" w:ascii="Times New Roman" w:hAnsi="Times New Roman" w:eastAsia="宋体" w:cs="Times New Roman"/>
                <w:b w:val="0"/>
                <w:bCs/>
                <w:i w:val="0"/>
                <w:iCs/>
                <w:color w:val="auto"/>
                <w:kern w:val="2"/>
                <w:sz w:val="24"/>
                <w:szCs w:val="24"/>
                <w:u w:val="none" w:color="auto"/>
                <w:lang w:val="en-US" w:eastAsia="zh-CN" w:bidi="ar-SA"/>
              </w:rPr>
              <w:t>，环境风险按评价等级仅需简单分析。</w:t>
            </w:r>
          </w:p>
          <w:p w14:paraId="07FE1B6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kern w:val="2"/>
                <w:sz w:val="21"/>
                <w:szCs w:val="21"/>
                <w:u w:val="none" w:color="auto"/>
              </w:rPr>
            </w:pPr>
            <w:r>
              <w:rPr>
                <w:rFonts w:hint="default" w:ascii="Times New Roman" w:hAnsi="Times New Roman" w:cs="Times New Roman"/>
                <w:b/>
                <w:color w:val="auto"/>
                <w:kern w:val="2"/>
                <w:sz w:val="21"/>
                <w:szCs w:val="21"/>
                <w:u w:val="none" w:color="auto"/>
              </w:rPr>
              <w:t>表</w:t>
            </w:r>
            <w:r>
              <w:rPr>
                <w:rFonts w:hint="default" w:ascii="Times New Roman" w:hAnsi="Times New Roman" w:eastAsia="宋体" w:cs="Times New Roman"/>
                <w:b/>
                <w:color w:val="auto"/>
                <w:kern w:val="2"/>
                <w:sz w:val="21"/>
                <w:szCs w:val="21"/>
                <w:u w:val="none" w:color="auto"/>
                <w:lang w:val="en-US" w:eastAsia="zh-CN"/>
              </w:rPr>
              <w:t>4-</w:t>
            </w:r>
            <w:r>
              <w:rPr>
                <w:rFonts w:hint="eastAsia" w:ascii="Times New Roman" w:hAnsi="Times New Roman" w:cs="Times New Roman"/>
                <w:b/>
                <w:color w:val="auto"/>
                <w:kern w:val="2"/>
                <w:sz w:val="21"/>
                <w:szCs w:val="21"/>
                <w:u w:val="none" w:color="auto"/>
                <w:lang w:val="en-US" w:eastAsia="zh-CN"/>
              </w:rPr>
              <w:t>24</w:t>
            </w:r>
            <w:r>
              <w:rPr>
                <w:rFonts w:hint="default" w:ascii="Times New Roman" w:hAnsi="Times New Roman" w:eastAsia="宋体" w:cs="Times New Roman"/>
                <w:b/>
                <w:color w:val="auto"/>
                <w:kern w:val="2"/>
                <w:sz w:val="21"/>
                <w:szCs w:val="21"/>
                <w:u w:val="none" w:color="auto"/>
                <w:lang w:val="en-US" w:eastAsia="zh-CN"/>
              </w:rPr>
              <w:t xml:space="preserve"> </w:t>
            </w:r>
            <w:r>
              <w:rPr>
                <w:rFonts w:hint="default" w:ascii="Times New Roman" w:hAnsi="Times New Roman" w:cs="Times New Roman"/>
                <w:b/>
                <w:color w:val="auto"/>
                <w:kern w:val="2"/>
                <w:sz w:val="21"/>
                <w:szCs w:val="21"/>
                <w:u w:val="none" w:color="auto"/>
              </w:rPr>
              <w:t>评价工作等级划分</w:t>
            </w:r>
          </w:p>
          <w:tbl>
            <w:tblPr>
              <w:tblStyle w:val="56"/>
              <w:tblW w:w="4998"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647"/>
              <w:gridCol w:w="1657"/>
              <w:gridCol w:w="1657"/>
              <w:gridCol w:w="1658"/>
              <w:gridCol w:w="1660"/>
            </w:tblGrid>
            <w:tr w14:paraId="11CC738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995" w:type="pct"/>
                  <w:tcBorders>
                    <w:tl2br w:val="nil"/>
                    <w:tr2bl w:val="nil"/>
                  </w:tcBorders>
                  <w:noWrap w:val="0"/>
                  <w:vAlign w:val="center"/>
                </w:tcPr>
                <w:p w14:paraId="5FBF4D51">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环境风险潜势</w:t>
                  </w:r>
                </w:p>
              </w:tc>
              <w:tc>
                <w:tcPr>
                  <w:tcW w:w="1001" w:type="pct"/>
                  <w:tcBorders>
                    <w:tl2br w:val="nil"/>
                    <w:tr2bl w:val="nil"/>
                  </w:tcBorders>
                  <w:noWrap w:val="0"/>
                  <w:vAlign w:val="center"/>
                </w:tcPr>
                <w:p w14:paraId="47011BB2">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fldChar w:fldCharType="begin"/>
                  </w:r>
                  <w:r>
                    <w:rPr>
                      <w:rFonts w:hint="default" w:ascii="Times New Roman" w:hAnsi="Times New Roman" w:cs="Times New Roman"/>
                      <w:b/>
                      <w:bCs/>
                      <w:color w:val="auto"/>
                      <w:kern w:val="2"/>
                      <w:sz w:val="21"/>
                      <w:szCs w:val="21"/>
                      <w:u w:val="none" w:color="auto"/>
                    </w:rPr>
                    <w:instrText xml:space="preserve"> = 4 \* ROMAN \* MERGEFORMAT </w:instrText>
                  </w:r>
                  <w:r>
                    <w:rPr>
                      <w:rFonts w:hint="default" w:ascii="Times New Roman" w:hAnsi="Times New Roman" w:cs="Times New Roman"/>
                      <w:b/>
                      <w:bCs/>
                      <w:color w:val="auto"/>
                      <w:kern w:val="2"/>
                      <w:sz w:val="21"/>
                      <w:szCs w:val="21"/>
                      <w:u w:val="none" w:color="auto"/>
                    </w:rPr>
                    <w:fldChar w:fldCharType="separate"/>
                  </w:r>
                  <w:r>
                    <w:rPr>
                      <w:rFonts w:hint="default" w:ascii="Times New Roman" w:hAnsi="Times New Roman" w:cs="Times New Roman"/>
                      <w:color w:val="auto"/>
                      <w:kern w:val="2"/>
                      <w:sz w:val="21"/>
                      <w:u w:val="none" w:color="auto"/>
                    </w:rPr>
                    <w:t>IV</w:t>
                  </w:r>
                  <w:r>
                    <w:rPr>
                      <w:rFonts w:hint="default" w:ascii="Times New Roman" w:hAnsi="Times New Roman" w:cs="Times New Roman"/>
                      <w:b/>
                      <w:bCs/>
                      <w:color w:val="auto"/>
                      <w:kern w:val="2"/>
                      <w:sz w:val="21"/>
                      <w:szCs w:val="21"/>
                      <w:u w:val="none" w:color="auto"/>
                    </w:rPr>
                    <w:fldChar w:fldCharType="end"/>
                  </w:r>
                  <w:r>
                    <w:rPr>
                      <w:rFonts w:hint="default" w:ascii="Times New Roman" w:hAnsi="Times New Roman" w:cs="Times New Roman"/>
                      <w:b/>
                      <w:bCs/>
                      <w:color w:val="auto"/>
                      <w:kern w:val="2"/>
                      <w:sz w:val="21"/>
                      <w:szCs w:val="21"/>
                      <w:u w:val="none" w:color="auto"/>
                    </w:rPr>
                    <w:fldChar w:fldCharType="begin"/>
                  </w:r>
                  <w:r>
                    <w:rPr>
                      <w:rFonts w:hint="default" w:ascii="Times New Roman" w:hAnsi="Times New Roman" w:cs="Times New Roman"/>
                      <w:b/>
                      <w:bCs/>
                      <w:color w:val="auto"/>
                      <w:kern w:val="2"/>
                      <w:sz w:val="21"/>
                      <w:szCs w:val="21"/>
                      <w:u w:val="none" w:color="auto"/>
                    </w:rPr>
                    <w:instrText xml:space="preserve"> = 4 \* ROMAN \* MERGEFORMAT </w:instrText>
                  </w:r>
                  <w:r>
                    <w:rPr>
                      <w:rFonts w:hint="default" w:ascii="Times New Roman" w:hAnsi="Times New Roman" w:cs="Times New Roman"/>
                      <w:b/>
                      <w:bCs/>
                      <w:color w:val="auto"/>
                      <w:kern w:val="2"/>
                      <w:sz w:val="21"/>
                      <w:szCs w:val="21"/>
                      <w:u w:val="none" w:color="auto"/>
                    </w:rPr>
                    <w:fldChar w:fldCharType="separate"/>
                  </w:r>
                  <w:r>
                    <w:rPr>
                      <w:rFonts w:hint="default" w:ascii="Times New Roman" w:hAnsi="Times New Roman" w:cs="Times New Roman"/>
                      <w:color w:val="auto"/>
                      <w:kern w:val="2"/>
                      <w:sz w:val="21"/>
                      <w:u w:val="none" w:color="auto"/>
                    </w:rPr>
                    <w:t>IV</w:t>
                  </w:r>
                  <w:r>
                    <w:rPr>
                      <w:rFonts w:hint="default" w:ascii="Times New Roman" w:hAnsi="Times New Roman" w:cs="Times New Roman"/>
                      <w:b/>
                      <w:bCs/>
                      <w:color w:val="auto"/>
                      <w:kern w:val="2"/>
                      <w:sz w:val="21"/>
                      <w:szCs w:val="21"/>
                      <w:u w:val="none" w:color="auto"/>
                    </w:rPr>
                    <w:fldChar w:fldCharType="end"/>
                  </w:r>
                  <w:r>
                    <w:rPr>
                      <w:rFonts w:hint="default" w:ascii="Times New Roman" w:hAnsi="Times New Roman" w:cs="Times New Roman"/>
                      <w:b/>
                      <w:bCs/>
                      <w:color w:val="auto"/>
                      <w:kern w:val="2"/>
                      <w:sz w:val="21"/>
                      <w:szCs w:val="21"/>
                      <w:u w:val="none" w:color="auto"/>
                      <w:vertAlign w:val="superscript"/>
                    </w:rPr>
                    <w:t>+</w:t>
                  </w:r>
                </w:p>
              </w:tc>
              <w:tc>
                <w:tcPr>
                  <w:tcW w:w="1001" w:type="pct"/>
                  <w:tcBorders>
                    <w:tl2br w:val="nil"/>
                    <w:tr2bl w:val="nil"/>
                  </w:tcBorders>
                  <w:noWrap w:val="0"/>
                  <w:vAlign w:val="center"/>
                </w:tcPr>
                <w:p w14:paraId="4BC87F9B">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fldChar w:fldCharType="begin"/>
                  </w:r>
                  <w:r>
                    <w:rPr>
                      <w:rFonts w:hint="default" w:ascii="Times New Roman" w:hAnsi="Times New Roman" w:cs="Times New Roman"/>
                      <w:b/>
                      <w:bCs/>
                      <w:color w:val="auto"/>
                      <w:kern w:val="2"/>
                      <w:sz w:val="21"/>
                      <w:szCs w:val="21"/>
                      <w:u w:val="none" w:color="auto"/>
                    </w:rPr>
                    <w:instrText xml:space="preserve"> = 3 \* ROMAN \* MERGEFORMAT </w:instrText>
                  </w:r>
                  <w:r>
                    <w:rPr>
                      <w:rFonts w:hint="default" w:ascii="Times New Roman" w:hAnsi="Times New Roman" w:cs="Times New Roman"/>
                      <w:b/>
                      <w:bCs/>
                      <w:color w:val="auto"/>
                      <w:kern w:val="2"/>
                      <w:sz w:val="21"/>
                      <w:szCs w:val="21"/>
                      <w:u w:val="none" w:color="auto"/>
                    </w:rPr>
                    <w:fldChar w:fldCharType="separate"/>
                  </w:r>
                  <w:r>
                    <w:rPr>
                      <w:rFonts w:hint="eastAsia" w:ascii="Times New Roman" w:hAnsi="Times New Roman" w:cs="Times New Roman"/>
                      <w:b/>
                      <w:bCs/>
                      <w:color w:val="auto"/>
                      <w:kern w:val="2"/>
                      <w:sz w:val="21"/>
                      <w:szCs w:val="21"/>
                      <w:u w:val="none" w:color="auto"/>
                      <w:lang w:eastAsia="zh-CN"/>
                    </w:rPr>
                    <w:t>Ⅲ</w:t>
                  </w:r>
                  <w:r>
                    <w:rPr>
                      <w:rFonts w:hint="default" w:ascii="Times New Roman" w:hAnsi="Times New Roman" w:cs="Times New Roman"/>
                      <w:b/>
                      <w:bCs/>
                      <w:color w:val="auto"/>
                      <w:kern w:val="2"/>
                      <w:sz w:val="21"/>
                      <w:szCs w:val="21"/>
                      <w:u w:val="none" w:color="auto"/>
                    </w:rPr>
                    <w:fldChar w:fldCharType="end"/>
                  </w:r>
                </w:p>
              </w:tc>
              <w:tc>
                <w:tcPr>
                  <w:tcW w:w="1001" w:type="pct"/>
                  <w:tcBorders>
                    <w:tl2br w:val="nil"/>
                    <w:tr2bl w:val="nil"/>
                  </w:tcBorders>
                  <w:noWrap w:val="0"/>
                  <w:vAlign w:val="center"/>
                </w:tcPr>
                <w:p w14:paraId="7EB9080D">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fldChar w:fldCharType="begin"/>
                  </w:r>
                  <w:r>
                    <w:rPr>
                      <w:rFonts w:hint="default" w:ascii="Times New Roman" w:hAnsi="Times New Roman" w:cs="Times New Roman"/>
                      <w:b/>
                      <w:bCs/>
                      <w:color w:val="auto"/>
                      <w:kern w:val="2"/>
                      <w:sz w:val="21"/>
                      <w:szCs w:val="21"/>
                      <w:u w:val="none" w:color="auto"/>
                    </w:rPr>
                    <w:instrText xml:space="preserve"> = 2 \* ROMAN \* MERGEFORMAT </w:instrText>
                  </w:r>
                  <w:r>
                    <w:rPr>
                      <w:rFonts w:hint="default" w:ascii="Times New Roman" w:hAnsi="Times New Roman" w:cs="Times New Roman"/>
                      <w:b/>
                      <w:bCs/>
                      <w:color w:val="auto"/>
                      <w:kern w:val="2"/>
                      <w:sz w:val="21"/>
                      <w:szCs w:val="21"/>
                      <w:u w:val="none" w:color="auto"/>
                    </w:rPr>
                    <w:fldChar w:fldCharType="separate"/>
                  </w:r>
                  <w:r>
                    <w:rPr>
                      <w:rFonts w:hint="default" w:ascii="Times New Roman" w:hAnsi="Times New Roman" w:cs="Times New Roman"/>
                      <w:color w:val="auto"/>
                      <w:kern w:val="2"/>
                      <w:sz w:val="21"/>
                      <w:u w:val="none" w:color="auto"/>
                    </w:rPr>
                    <w:t>II</w:t>
                  </w:r>
                  <w:r>
                    <w:rPr>
                      <w:rFonts w:hint="default" w:ascii="Times New Roman" w:hAnsi="Times New Roman" w:cs="Times New Roman"/>
                      <w:b/>
                      <w:bCs/>
                      <w:color w:val="auto"/>
                      <w:kern w:val="2"/>
                      <w:sz w:val="21"/>
                      <w:szCs w:val="21"/>
                      <w:u w:val="none" w:color="auto"/>
                    </w:rPr>
                    <w:fldChar w:fldCharType="end"/>
                  </w:r>
                </w:p>
              </w:tc>
              <w:tc>
                <w:tcPr>
                  <w:tcW w:w="1001" w:type="pct"/>
                  <w:tcBorders>
                    <w:tl2br w:val="nil"/>
                    <w:tr2bl w:val="nil"/>
                  </w:tcBorders>
                  <w:noWrap w:val="0"/>
                  <w:vAlign w:val="center"/>
                </w:tcPr>
                <w:p w14:paraId="3C6B416C">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fldChar w:fldCharType="begin"/>
                  </w:r>
                  <w:r>
                    <w:rPr>
                      <w:rFonts w:hint="default" w:ascii="Times New Roman" w:hAnsi="Times New Roman" w:cs="Times New Roman"/>
                      <w:b/>
                      <w:bCs/>
                      <w:color w:val="auto"/>
                      <w:kern w:val="2"/>
                      <w:sz w:val="21"/>
                      <w:szCs w:val="21"/>
                      <w:u w:val="none" w:color="auto"/>
                    </w:rPr>
                    <w:instrText xml:space="preserve"> = 1 \* ROMAN \* MERGEFORMAT </w:instrText>
                  </w:r>
                  <w:r>
                    <w:rPr>
                      <w:rFonts w:hint="default" w:ascii="Times New Roman" w:hAnsi="Times New Roman" w:cs="Times New Roman"/>
                      <w:b/>
                      <w:bCs/>
                      <w:color w:val="auto"/>
                      <w:kern w:val="2"/>
                      <w:sz w:val="21"/>
                      <w:szCs w:val="21"/>
                      <w:u w:val="none" w:color="auto"/>
                    </w:rPr>
                    <w:fldChar w:fldCharType="separate"/>
                  </w:r>
                  <w:r>
                    <w:rPr>
                      <w:rFonts w:hint="default" w:ascii="Times New Roman" w:hAnsi="Times New Roman" w:cs="Times New Roman"/>
                      <w:color w:val="auto"/>
                      <w:kern w:val="2"/>
                      <w:sz w:val="21"/>
                      <w:u w:val="none" w:color="auto"/>
                    </w:rPr>
                    <w:t>I</w:t>
                  </w:r>
                  <w:r>
                    <w:rPr>
                      <w:rFonts w:hint="default" w:ascii="Times New Roman" w:hAnsi="Times New Roman" w:cs="Times New Roman"/>
                      <w:b/>
                      <w:bCs/>
                      <w:color w:val="auto"/>
                      <w:kern w:val="2"/>
                      <w:sz w:val="21"/>
                      <w:szCs w:val="21"/>
                      <w:u w:val="none" w:color="auto"/>
                    </w:rPr>
                    <w:fldChar w:fldCharType="end"/>
                  </w:r>
                </w:p>
              </w:tc>
            </w:tr>
            <w:tr w14:paraId="614758F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995" w:type="pct"/>
                  <w:tcBorders>
                    <w:tl2br w:val="nil"/>
                    <w:tr2bl w:val="nil"/>
                  </w:tcBorders>
                  <w:noWrap w:val="0"/>
                  <w:vAlign w:val="center"/>
                </w:tcPr>
                <w:p w14:paraId="62B177F7">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评价工作等级</w:t>
                  </w:r>
                </w:p>
              </w:tc>
              <w:tc>
                <w:tcPr>
                  <w:tcW w:w="1001" w:type="pct"/>
                  <w:tcBorders>
                    <w:tl2br w:val="nil"/>
                    <w:tr2bl w:val="nil"/>
                  </w:tcBorders>
                  <w:noWrap w:val="0"/>
                  <w:vAlign w:val="center"/>
                </w:tcPr>
                <w:p w14:paraId="7BD3DA8F">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一</w:t>
                  </w:r>
                </w:p>
              </w:tc>
              <w:tc>
                <w:tcPr>
                  <w:tcW w:w="1001" w:type="pct"/>
                  <w:tcBorders>
                    <w:tl2br w:val="nil"/>
                    <w:tr2bl w:val="nil"/>
                  </w:tcBorders>
                  <w:noWrap w:val="0"/>
                  <w:vAlign w:val="center"/>
                </w:tcPr>
                <w:p w14:paraId="1EB40834">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二</w:t>
                  </w:r>
                </w:p>
              </w:tc>
              <w:tc>
                <w:tcPr>
                  <w:tcW w:w="1001" w:type="pct"/>
                  <w:tcBorders>
                    <w:tl2br w:val="nil"/>
                    <w:tr2bl w:val="nil"/>
                  </w:tcBorders>
                  <w:noWrap w:val="0"/>
                  <w:vAlign w:val="center"/>
                </w:tcPr>
                <w:p w14:paraId="7FAA42A4">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三</w:t>
                  </w:r>
                </w:p>
              </w:tc>
              <w:tc>
                <w:tcPr>
                  <w:tcW w:w="1001" w:type="pct"/>
                  <w:tcBorders>
                    <w:tl2br w:val="nil"/>
                    <w:tr2bl w:val="nil"/>
                  </w:tcBorders>
                  <w:noWrap w:val="0"/>
                  <w:vAlign w:val="center"/>
                </w:tcPr>
                <w:p w14:paraId="148363EB">
                  <w:pPr>
                    <w:keepNext w:val="0"/>
                    <w:keepLines w:val="0"/>
                    <w:suppressLineNumbers w:val="0"/>
                    <w:autoSpaceDE w:val="0"/>
                    <w:autoSpaceDN w:val="0"/>
                    <w:spacing w:before="0" w:beforeAutospacing="0" w:after="0" w:afterAutospacing="0" w:line="240" w:lineRule="auto"/>
                    <w:ind w:left="0" w:right="0"/>
                    <w:jc w:val="center"/>
                    <w:textAlignment w:val="baseline"/>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简单分析a</w:t>
                  </w:r>
                </w:p>
              </w:tc>
            </w:tr>
            <w:tr w14:paraId="1463F79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000" w:type="pct"/>
                  <w:gridSpan w:val="5"/>
                  <w:tcBorders>
                    <w:tl2br w:val="nil"/>
                    <w:tr2bl w:val="nil"/>
                  </w:tcBorders>
                  <w:noWrap w:val="0"/>
                  <w:vAlign w:val="center"/>
                </w:tcPr>
                <w:p w14:paraId="2E8A3A9C">
                  <w:pPr>
                    <w:keepNext w:val="0"/>
                    <w:keepLines w:val="0"/>
                    <w:suppressLineNumbers w:val="0"/>
                    <w:autoSpaceDE w:val="0"/>
                    <w:autoSpaceDN w:val="0"/>
                    <w:spacing w:before="0" w:beforeAutospacing="0" w:after="0" w:afterAutospacing="0" w:line="240" w:lineRule="auto"/>
                    <w:ind w:left="0" w:right="0"/>
                    <w:jc w:val="both"/>
                    <w:textAlignment w:val="baseline"/>
                    <w:rPr>
                      <w:rFonts w:hint="default" w:ascii="Times New Roman" w:hAnsi="Times New Roman" w:cs="Times New Roman"/>
                      <w:color w:val="auto"/>
                      <w:kern w:val="2"/>
                      <w:sz w:val="21"/>
                      <w:szCs w:val="21"/>
                      <w:u w:val="none" w:color="auto"/>
                    </w:rPr>
                  </w:pPr>
                  <w:r>
                    <w:rPr>
                      <w:rFonts w:hint="default" w:ascii="Times New Roman" w:hAnsi="Times New Roman" w:cs="Times New Roman"/>
                      <w:color w:val="auto"/>
                      <w:kern w:val="2"/>
                      <w:sz w:val="21"/>
                      <w:szCs w:val="21"/>
                      <w:u w:val="none" w:color="auto"/>
                    </w:rPr>
                    <w:t>a是相对于详细评价工作内容而言，在描述危险物质、环境影响途径、环境危害后果、风险防范措施等方面给出定性的说明。见附录A。</w:t>
                  </w:r>
                </w:p>
              </w:tc>
            </w:tr>
          </w:tbl>
          <w:p w14:paraId="014B05FD">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i w:val="0"/>
                <w:iCs/>
                <w:color w:val="auto"/>
                <w:kern w:val="2"/>
                <w:sz w:val="24"/>
                <w:szCs w:val="24"/>
                <w:u w:val="none" w:color="auto"/>
                <w:lang w:val="en-US" w:eastAsia="zh-CN" w:bidi="ar-SA"/>
              </w:rPr>
            </w:pPr>
            <w:r>
              <w:rPr>
                <w:rFonts w:hint="default" w:ascii="Times New Roman" w:hAnsi="Times New Roman" w:eastAsia="宋体" w:cs="Times New Roman"/>
                <w:b w:val="0"/>
                <w:bCs/>
                <w:i w:val="0"/>
                <w:iCs/>
                <w:color w:val="auto"/>
                <w:kern w:val="2"/>
                <w:sz w:val="24"/>
                <w:szCs w:val="24"/>
                <w:u w:val="none" w:color="auto"/>
                <w:lang w:val="en-US" w:eastAsia="zh-CN" w:bidi="ar-SA"/>
              </w:rPr>
              <w:t>（4）环境风险简单分析内容</w:t>
            </w:r>
          </w:p>
          <w:p w14:paraId="3AFC6EBC">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i w:val="0"/>
                <w:iCs/>
                <w:color w:val="auto"/>
                <w:kern w:val="2"/>
                <w:sz w:val="24"/>
                <w:szCs w:val="24"/>
                <w:u w:val="none" w:color="auto"/>
                <w:lang w:val="en-US" w:eastAsia="zh-CN" w:bidi="ar-SA"/>
              </w:rPr>
            </w:pPr>
            <w:r>
              <w:rPr>
                <w:rFonts w:hint="default" w:ascii="Times New Roman" w:hAnsi="Times New Roman" w:eastAsia="宋体" w:cs="Times New Roman"/>
                <w:b w:val="0"/>
                <w:bCs/>
                <w:i w:val="0"/>
                <w:iCs/>
                <w:color w:val="auto"/>
                <w:kern w:val="2"/>
                <w:sz w:val="24"/>
                <w:szCs w:val="24"/>
                <w:u w:val="none" w:color="auto"/>
                <w:lang w:val="en-US" w:eastAsia="zh-CN" w:bidi="ar-SA"/>
              </w:rPr>
              <w:t>建设项目环境风险简单分析内容见表4-</w:t>
            </w:r>
            <w:r>
              <w:rPr>
                <w:rFonts w:hint="eastAsia" w:ascii="Times New Roman" w:hAnsi="Times New Roman" w:cs="Times New Roman"/>
                <w:b w:val="0"/>
                <w:bCs/>
                <w:i w:val="0"/>
                <w:iCs/>
                <w:color w:val="auto"/>
                <w:kern w:val="2"/>
                <w:sz w:val="24"/>
                <w:szCs w:val="24"/>
                <w:u w:val="none" w:color="auto"/>
                <w:lang w:val="en-US" w:eastAsia="zh-CN" w:bidi="ar-SA"/>
              </w:rPr>
              <w:t>25</w:t>
            </w:r>
            <w:r>
              <w:rPr>
                <w:rFonts w:hint="default" w:ascii="Times New Roman" w:hAnsi="Times New Roman" w:eastAsia="宋体" w:cs="Times New Roman"/>
                <w:b w:val="0"/>
                <w:bCs/>
                <w:i w:val="0"/>
                <w:iCs/>
                <w:color w:val="auto"/>
                <w:kern w:val="2"/>
                <w:sz w:val="24"/>
                <w:szCs w:val="24"/>
                <w:u w:val="none" w:color="auto"/>
                <w:lang w:val="en-US" w:eastAsia="zh-CN" w:bidi="ar-SA"/>
              </w:rPr>
              <w:t>。</w:t>
            </w:r>
          </w:p>
          <w:p w14:paraId="3D70CAAD">
            <w:pPr>
              <w:keepNext w:val="0"/>
              <w:keepLines w:val="0"/>
              <w:suppressLineNumbers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p>
          <w:p w14:paraId="61C1E57B">
            <w:pPr>
              <w:keepNext w:val="0"/>
              <w:keepLines w:val="0"/>
              <w:suppressLineNumbers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color="auto"/>
              </w:rPr>
            </w:pPr>
            <w:r>
              <w:rPr>
                <w:rFonts w:hint="default" w:ascii="Times New Roman" w:hAnsi="Times New Roman" w:cs="Times New Roman"/>
                <w:b/>
                <w:bCs/>
                <w:color w:val="auto"/>
                <w:kern w:val="2"/>
                <w:sz w:val="21"/>
                <w:szCs w:val="21"/>
                <w:u w:val="none" w:color="auto"/>
              </w:rPr>
              <w:t>表</w:t>
            </w:r>
            <w:r>
              <w:rPr>
                <w:rFonts w:hint="default" w:ascii="Times New Roman" w:hAnsi="Times New Roman" w:eastAsia="宋体" w:cs="Times New Roman"/>
                <w:b/>
                <w:bCs/>
                <w:color w:val="auto"/>
                <w:kern w:val="2"/>
                <w:sz w:val="21"/>
                <w:szCs w:val="21"/>
                <w:u w:val="none" w:color="auto"/>
                <w:lang w:val="en-US" w:eastAsia="zh-CN"/>
              </w:rPr>
              <w:t>4-</w:t>
            </w:r>
            <w:r>
              <w:rPr>
                <w:rFonts w:hint="eastAsia" w:ascii="Times New Roman" w:hAnsi="Times New Roman" w:cs="Times New Roman"/>
                <w:b/>
                <w:bCs/>
                <w:color w:val="auto"/>
                <w:kern w:val="2"/>
                <w:sz w:val="21"/>
                <w:szCs w:val="21"/>
                <w:u w:val="none" w:color="auto"/>
                <w:lang w:val="en-US" w:eastAsia="zh-CN"/>
              </w:rPr>
              <w:t>25</w:t>
            </w:r>
            <w:r>
              <w:rPr>
                <w:rFonts w:hint="default" w:ascii="Times New Roman" w:hAnsi="Times New Roman" w:eastAsia="宋体" w:cs="Times New Roman"/>
                <w:b/>
                <w:bCs/>
                <w:color w:val="auto"/>
                <w:kern w:val="2"/>
                <w:sz w:val="21"/>
                <w:szCs w:val="21"/>
                <w:u w:val="none" w:color="auto"/>
                <w:lang w:val="en-US" w:eastAsia="zh-CN"/>
              </w:rPr>
              <w:t xml:space="preserve"> </w:t>
            </w:r>
            <w:r>
              <w:rPr>
                <w:rFonts w:hint="default" w:ascii="Times New Roman" w:hAnsi="Times New Roman" w:cs="Times New Roman"/>
                <w:b/>
                <w:bCs/>
                <w:color w:val="auto"/>
                <w:kern w:val="2"/>
                <w:sz w:val="21"/>
                <w:szCs w:val="21"/>
                <w:u w:val="none" w:color="auto"/>
              </w:rPr>
              <w:t>建设项目环境风险简单分析内容表</w:t>
            </w:r>
          </w:p>
          <w:tbl>
            <w:tblPr>
              <w:tblStyle w:val="56"/>
              <w:tblW w:w="5000"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690"/>
              <w:gridCol w:w="1315"/>
              <w:gridCol w:w="885"/>
              <w:gridCol w:w="1768"/>
              <w:gridCol w:w="850"/>
              <w:gridCol w:w="1774"/>
            </w:tblGrid>
            <w:tr w14:paraId="15E0500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1734" w:type="dxa"/>
                  <w:tcBorders>
                    <w:tl2br w:val="nil"/>
                    <w:tr2bl w:val="nil"/>
                  </w:tcBorders>
                  <w:noWrap w:val="0"/>
                  <w:vAlign w:val="center"/>
                </w:tcPr>
                <w:p w14:paraId="62A630EA">
                  <w:pPr>
                    <w:keepNext w:val="0"/>
                    <w:keepLines w:val="0"/>
                    <w:widowControl w:val="0"/>
                    <w:suppressLineNumbers w:val="0"/>
                    <w:adjustRightInd w:val="0"/>
                    <w:snapToGrid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建设项目名称</w:t>
                  </w:r>
                </w:p>
              </w:tc>
              <w:tc>
                <w:tcPr>
                  <w:tcW w:w="6755" w:type="dxa"/>
                  <w:gridSpan w:val="5"/>
                  <w:tcBorders>
                    <w:tl2br w:val="nil"/>
                    <w:tr2bl w:val="nil"/>
                  </w:tcBorders>
                  <w:noWrap w:val="0"/>
                  <w:vAlign w:val="center"/>
                </w:tcPr>
                <w:p w14:paraId="4026766F">
                  <w:pPr>
                    <w:keepNext w:val="0"/>
                    <w:keepLines w:val="0"/>
                    <w:widowControl w:val="0"/>
                    <w:suppressLineNumbers w:val="0"/>
                    <w:adjustRightInd w:val="0"/>
                    <w:snapToGrid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铁力泓旭机械制造有限公司年产5000万吨耐磨铸件生产线项目</w:t>
                  </w:r>
                </w:p>
              </w:tc>
            </w:tr>
            <w:tr w14:paraId="2402E51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1734" w:type="dxa"/>
                  <w:tcBorders>
                    <w:tl2br w:val="nil"/>
                    <w:tr2bl w:val="nil"/>
                  </w:tcBorders>
                  <w:noWrap w:val="0"/>
                  <w:vAlign w:val="center"/>
                </w:tcPr>
                <w:p w14:paraId="11259D14">
                  <w:pPr>
                    <w:keepNext w:val="0"/>
                    <w:keepLines w:val="0"/>
                    <w:widowControl w:val="0"/>
                    <w:suppressLineNumbers w:val="0"/>
                    <w:adjustRightInd w:val="0"/>
                    <w:snapToGrid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建设地点</w:t>
                  </w:r>
                </w:p>
              </w:tc>
              <w:tc>
                <w:tcPr>
                  <w:tcW w:w="1348" w:type="dxa"/>
                  <w:tcBorders>
                    <w:tl2br w:val="nil"/>
                    <w:tr2bl w:val="nil"/>
                  </w:tcBorders>
                  <w:noWrap w:val="0"/>
                  <w:vAlign w:val="center"/>
                </w:tcPr>
                <w:p w14:paraId="47FD7655">
                  <w:pPr>
                    <w:keepNext w:val="0"/>
                    <w:keepLines w:val="0"/>
                    <w:widowControl w:val="0"/>
                    <w:suppressLineNumbers w:val="0"/>
                    <w:adjustRightInd w:val="0"/>
                    <w:snapToGrid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eastAsia" w:ascii="Times New Roman" w:hAnsi="Times New Roman" w:cs="Times New Roman"/>
                      <w:color w:val="auto"/>
                      <w:kern w:val="0"/>
                      <w:sz w:val="21"/>
                      <w:szCs w:val="21"/>
                      <w:u w:val="none" w:color="auto"/>
                      <w:lang w:val="en-US" w:eastAsia="zh-CN" w:bidi="ar-SA"/>
                    </w:rPr>
                    <w:t>黑龙江</w:t>
                  </w:r>
                  <w:r>
                    <w:rPr>
                      <w:rFonts w:hint="default" w:ascii="Times New Roman" w:hAnsi="Times New Roman" w:eastAsia="宋体" w:cs="Times New Roman"/>
                      <w:color w:val="auto"/>
                      <w:kern w:val="0"/>
                      <w:sz w:val="21"/>
                      <w:szCs w:val="21"/>
                      <w:u w:val="none" w:color="auto"/>
                      <w:lang w:val="en-US" w:eastAsia="zh-CN" w:bidi="ar-SA"/>
                    </w:rPr>
                    <w:t>省</w:t>
                  </w:r>
                </w:p>
              </w:tc>
              <w:tc>
                <w:tcPr>
                  <w:tcW w:w="905" w:type="dxa"/>
                  <w:tcBorders>
                    <w:tl2br w:val="nil"/>
                    <w:tr2bl w:val="nil"/>
                  </w:tcBorders>
                  <w:noWrap w:val="0"/>
                  <w:vAlign w:val="center"/>
                </w:tcPr>
                <w:p w14:paraId="54A26C11">
                  <w:pPr>
                    <w:keepNext w:val="0"/>
                    <w:keepLines w:val="0"/>
                    <w:widowControl w:val="0"/>
                    <w:suppressLineNumbers w:val="0"/>
                    <w:adjustRightInd w:val="0"/>
                    <w:snapToGrid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eastAsia" w:ascii="Times New Roman" w:hAnsi="Times New Roman" w:cs="Times New Roman"/>
                      <w:color w:val="auto"/>
                      <w:kern w:val="0"/>
                      <w:sz w:val="21"/>
                      <w:szCs w:val="21"/>
                      <w:u w:val="none" w:color="auto"/>
                      <w:lang w:val="en-US" w:eastAsia="zh-CN" w:bidi="ar-SA"/>
                    </w:rPr>
                    <w:t>铁力</w:t>
                  </w:r>
                  <w:r>
                    <w:rPr>
                      <w:rFonts w:hint="default" w:ascii="Times New Roman" w:hAnsi="Times New Roman" w:eastAsia="宋体" w:cs="Times New Roman"/>
                      <w:color w:val="auto"/>
                      <w:kern w:val="0"/>
                      <w:sz w:val="21"/>
                      <w:szCs w:val="21"/>
                      <w:u w:val="none" w:color="auto"/>
                      <w:lang w:val="en-US" w:eastAsia="zh-CN" w:bidi="ar-SA"/>
                    </w:rPr>
                    <w:t>市</w:t>
                  </w:r>
                </w:p>
              </w:tc>
              <w:tc>
                <w:tcPr>
                  <w:tcW w:w="1814" w:type="dxa"/>
                  <w:tcBorders>
                    <w:tl2br w:val="nil"/>
                    <w:tr2bl w:val="nil"/>
                  </w:tcBorders>
                  <w:noWrap w:val="0"/>
                  <w:vAlign w:val="center"/>
                </w:tcPr>
                <w:p w14:paraId="6D12DD39">
                  <w:pPr>
                    <w:keepNext w:val="0"/>
                    <w:keepLines w:val="0"/>
                    <w:widowControl w:val="0"/>
                    <w:suppressLineNumbers w:val="0"/>
                    <w:adjustRightInd w:val="0"/>
                    <w:snapToGrid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铁力经济开发区</w:t>
                  </w:r>
                </w:p>
              </w:tc>
              <w:tc>
                <w:tcPr>
                  <w:tcW w:w="2688" w:type="dxa"/>
                  <w:gridSpan w:val="2"/>
                  <w:tcBorders>
                    <w:tl2br w:val="nil"/>
                    <w:tr2bl w:val="nil"/>
                  </w:tcBorders>
                  <w:noWrap w:val="0"/>
                  <w:vAlign w:val="center"/>
                </w:tcPr>
                <w:p w14:paraId="3964EAC8">
                  <w:pPr>
                    <w:keepNext w:val="0"/>
                    <w:keepLines w:val="0"/>
                    <w:widowControl w:val="0"/>
                    <w:suppressLineNumbers w:val="0"/>
                    <w:adjustRightInd w:val="0"/>
                    <w:snapToGrid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color w:val="auto"/>
                      <w:kern w:val="0"/>
                      <w:sz w:val="21"/>
                      <w:szCs w:val="21"/>
                      <w:u w:val="none" w:color="auto"/>
                      <w:lang w:val="en-US" w:eastAsia="zh-CN" w:bidi="ar-SA"/>
                    </w:rPr>
                  </w:pPr>
                </w:p>
              </w:tc>
            </w:tr>
            <w:tr w14:paraId="0A61DD1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1734" w:type="dxa"/>
                  <w:tcBorders>
                    <w:tl2br w:val="nil"/>
                    <w:tr2bl w:val="nil"/>
                  </w:tcBorders>
                  <w:noWrap w:val="0"/>
                  <w:vAlign w:val="center"/>
                </w:tcPr>
                <w:p w14:paraId="5FC4095C">
                  <w:pPr>
                    <w:keepNext w:val="0"/>
                    <w:keepLines w:val="0"/>
                    <w:widowControl w:val="0"/>
                    <w:suppressLineNumbers w:val="0"/>
                    <w:adjustRightInd w:val="0"/>
                    <w:snapToGrid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地理坐标</w:t>
                  </w:r>
                </w:p>
              </w:tc>
              <w:tc>
                <w:tcPr>
                  <w:tcW w:w="1348" w:type="dxa"/>
                  <w:tcBorders>
                    <w:tl2br w:val="nil"/>
                    <w:tr2bl w:val="nil"/>
                  </w:tcBorders>
                  <w:noWrap w:val="0"/>
                  <w:vAlign w:val="center"/>
                </w:tcPr>
                <w:p w14:paraId="345CE129">
                  <w:pPr>
                    <w:keepNext w:val="0"/>
                    <w:keepLines w:val="0"/>
                    <w:widowControl w:val="0"/>
                    <w:suppressLineNumbers w:val="0"/>
                    <w:adjustRightInd w:val="0"/>
                    <w:snapToGrid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经度</w:t>
                  </w:r>
                </w:p>
              </w:tc>
              <w:tc>
                <w:tcPr>
                  <w:tcW w:w="2719" w:type="dxa"/>
                  <w:gridSpan w:val="2"/>
                  <w:tcBorders>
                    <w:tl2br w:val="nil"/>
                    <w:tr2bl w:val="nil"/>
                  </w:tcBorders>
                  <w:noWrap w:val="0"/>
                  <w:vAlign w:val="center"/>
                </w:tcPr>
                <w:p w14:paraId="42C0765B">
                  <w:pPr>
                    <w:keepNext w:val="0"/>
                    <w:keepLines w:val="0"/>
                    <w:widowControl w:val="0"/>
                    <w:suppressLineNumbers w:val="0"/>
                    <w:adjustRightInd w:val="0"/>
                    <w:snapToGrid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 xml:space="preserve">128°06′20.95″ E, </w:t>
                  </w:r>
                </w:p>
              </w:tc>
              <w:tc>
                <w:tcPr>
                  <w:tcW w:w="869" w:type="dxa"/>
                  <w:tcBorders>
                    <w:tl2br w:val="nil"/>
                    <w:tr2bl w:val="nil"/>
                  </w:tcBorders>
                  <w:noWrap w:val="0"/>
                  <w:vAlign w:val="center"/>
                </w:tcPr>
                <w:p w14:paraId="3E919E6E">
                  <w:pPr>
                    <w:keepNext w:val="0"/>
                    <w:keepLines w:val="0"/>
                    <w:widowControl w:val="0"/>
                    <w:suppressLineNumbers w:val="0"/>
                    <w:adjustRightInd w:val="0"/>
                    <w:snapToGrid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纬度</w:t>
                  </w:r>
                </w:p>
              </w:tc>
              <w:tc>
                <w:tcPr>
                  <w:tcW w:w="1819" w:type="dxa"/>
                  <w:tcBorders>
                    <w:tl2br w:val="nil"/>
                    <w:tr2bl w:val="nil"/>
                  </w:tcBorders>
                  <w:noWrap w:val="0"/>
                  <w:vAlign w:val="center"/>
                </w:tcPr>
                <w:p w14:paraId="13AB06A2">
                  <w:pPr>
                    <w:keepNext w:val="0"/>
                    <w:keepLines w:val="0"/>
                    <w:widowControl w:val="0"/>
                    <w:suppressLineNumbers w:val="0"/>
                    <w:adjustRightInd w:val="0"/>
                    <w:snapToGrid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46°58′4.97″ N</w:t>
                  </w:r>
                </w:p>
              </w:tc>
            </w:tr>
            <w:tr w14:paraId="214A040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1734" w:type="dxa"/>
                  <w:tcBorders>
                    <w:tl2br w:val="nil"/>
                    <w:tr2bl w:val="nil"/>
                  </w:tcBorders>
                  <w:noWrap w:val="0"/>
                  <w:vAlign w:val="center"/>
                </w:tcPr>
                <w:p w14:paraId="6D809AAC">
                  <w:pPr>
                    <w:keepNext w:val="0"/>
                    <w:keepLines w:val="0"/>
                    <w:widowControl w:val="0"/>
                    <w:suppressLineNumbers w:val="0"/>
                    <w:adjustRightInd w:val="0"/>
                    <w:snapToGrid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主要危险物质分布</w:t>
                  </w:r>
                </w:p>
              </w:tc>
              <w:tc>
                <w:tcPr>
                  <w:tcW w:w="6755" w:type="dxa"/>
                  <w:gridSpan w:val="5"/>
                  <w:tcBorders>
                    <w:tl2br w:val="nil"/>
                    <w:tr2bl w:val="nil"/>
                  </w:tcBorders>
                  <w:noWrap w:val="0"/>
                  <w:vAlign w:val="center"/>
                </w:tcPr>
                <w:p w14:paraId="3B867082">
                  <w:pPr>
                    <w:keepNext w:val="0"/>
                    <w:keepLines w:val="0"/>
                    <w:widowControl w:val="0"/>
                    <w:suppressLineNumbers w:val="0"/>
                    <w:adjustRightInd w:val="0"/>
                    <w:snapToGrid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危险废物分布于危险废物</w:t>
                  </w:r>
                  <w:r>
                    <w:rPr>
                      <w:rFonts w:hint="eastAsia" w:ascii="Times New Roman" w:hAnsi="Times New Roman" w:cs="Times New Roman"/>
                      <w:color w:val="auto"/>
                      <w:kern w:val="0"/>
                      <w:sz w:val="21"/>
                      <w:szCs w:val="21"/>
                      <w:u w:val="none" w:color="auto"/>
                      <w:lang w:val="en-US" w:eastAsia="zh-CN" w:bidi="ar-SA"/>
                    </w:rPr>
                    <w:t>贮存库</w:t>
                  </w:r>
                </w:p>
              </w:tc>
            </w:tr>
            <w:tr w14:paraId="37E092D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1734" w:type="dxa"/>
                  <w:tcBorders>
                    <w:tl2br w:val="nil"/>
                    <w:tr2bl w:val="nil"/>
                  </w:tcBorders>
                  <w:noWrap w:val="0"/>
                  <w:vAlign w:val="center"/>
                </w:tcPr>
                <w:p w14:paraId="15C26C75">
                  <w:pPr>
                    <w:keepNext w:val="0"/>
                    <w:keepLines w:val="0"/>
                    <w:widowControl w:val="0"/>
                    <w:suppressLineNumbers w:val="0"/>
                    <w:adjustRightInd w:val="0"/>
                    <w:snapToGrid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环境影响途径及危害后果</w:t>
                  </w:r>
                </w:p>
              </w:tc>
              <w:tc>
                <w:tcPr>
                  <w:tcW w:w="6755" w:type="dxa"/>
                  <w:gridSpan w:val="5"/>
                  <w:tcBorders>
                    <w:tl2br w:val="nil"/>
                    <w:tr2bl w:val="nil"/>
                  </w:tcBorders>
                  <w:noWrap w:val="0"/>
                  <w:vAlign w:val="center"/>
                </w:tcPr>
                <w:p w14:paraId="4877F533">
                  <w:pPr>
                    <w:keepNext w:val="0"/>
                    <w:keepLines w:val="0"/>
                    <w:widowControl w:val="0"/>
                    <w:suppressLineNumbers w:val="0"/>
                    <w:adjustRightInd w:val="0"/>
                    <w:snapToGrid w:val="0"/>
                    <w:spacing w:before="24" w:beforeLines="10" w:beforeAutospacing="0" w:after="24" w:afterLines="10" w:afterAutospacing="0" w:line="240" w:lineRule="auto"/>
                    <w:ind w:left="0" w:right="0" w:firstLine="420" w:firstLineChars="200"/>
                    <w:jc w:val="left"/>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本项目环境风险主要为</w:t>
                  </w:r>
                </w:p>
                <w:p w14:paraId="3DE1F608">
                  <w:pPr>
                    <w:keepNext w:val="0"/>
                    <w:keepLines w:val="0"/>
                    <w:widowControl w:val="0"/>
                    <w:suppressLineNumbers w:val="0"/>
                    <w:adjustRightInd w:val="0"/>
                    <w:snapToGrid w:val="0"/>
                    <w:spacing w:before="24" w:beforeLines="10" w:beforeAutospacing="0" w:after="24" w:afterLines="10" w:afterAutospacing="0" w:line="240" w:lineRule="auto"/>
                    <w:ind w:left="0" w:right="0" w:firstLine="420" w:firstLineChars="200"/>
                    <w:jc w:val="left"/>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（1）危险废物泄漏，污染空气、造成地表水、地下水环境污染；</w:t>
                  </w:r>
                </w:p>
                <w:p w14:paraId="605F4487">
                  <w:pPr>
                    <w:keepNext w:val="0"/>
                    <w:keepLines w:val="0"/>
                    <w:widowControl w:val="0"/>
                    <w:suppressLineNumbers w:val="0"/>
                    <w:adjustRightInd w:val="0"/>
                    <w:snapToGrid w:val="0"/>
                    <w:spacing w:before="24" w:beforeLines="10" w:beforeAutospacing="0" w:after="24" w:afterLines="10" w:afterAutospacing="0" w:line="240" w:lineRule="auto"/>
                    <w:ind w:left="0" w:right="0" w:firstLine="420" w:firstLineChars="200"/>
                    <w:jc w:val="left"/>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（2）废气处置装置故障导致废气事故排放；</w:t>
                  </w:r>
                </w:p>
                <w:p w14:paraId="7EF03260">
                  <w:pPr>
                    <w:keepNext w:val="0"/>
                    <w:keepLines w:val="0"/>
                    <w:widowControl w:val="0"/>
                    <w:suppressLineNumbers w:val="0"/>
                    <w:adjustRightInd w:val="0"/>
                    <w:snapToGrid w:val="0"/>
                    <w:spacing w:before="24" w:beforeLines="10" w:beforeAutospacing="0" w:after="24" w:afterLines="10" w:afterAutospacing="0" w:line="240" w:lineRule="auto"/>
                    <w:ind w:left="0" w:right="0" w:firstLine="420" w:firstLineChars="200"/>
                    <w:jc w:val="left"/>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3）当项目厂区内部发生火灾事故时，可能产生的大量CO、烟尘等，对大气环境产生不良影响，同时灭火过程中产生的消防废水未截留在厂区内，可能会随着地面径流进入雨水管网，直接进入外部水体环境中，污染地表水环境。</w:t>
                  </w:r>
                </w:p>
              </w:tc>
            </w:tr>
            <w:tr w14:paraId="6573236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1734" w:type="dxa"/>
                  <w:tcBorders>
                    <w:tl2br w:val="nil"/>
                    <w:tr2bl w:val="nil"/>
                  </w:tcBorders>
                  <w:noWrap w:val="0"/>
                  <w:vAlign w:val="center"/>
                </w:tcPr>
                <w:p w14:paraId="22C9E757">
                  <w:pPr>
                    <w:keepNext w:val="0"/>
                    <w:keepLines w:val="0"/>
                    <w:widowControl w:val="0"/>
                    <w:suppressLineNumbers w:val="0"/>
                    <w:adjustRightInd w:val="0"/>
                    <w:snapToGrid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风险防范措施要求</w:t>
                  </w:r>
                </w:p>
              </w:tc>
              <w:tc>
                <w:tcPr>
                  <w:tcW w:w="6755" w:type="dxa"/>
                  <w:gridSpan w:val="5"/>
                  <w:tcBorders>
                    <w:tl2br w:val="nil"/>
                    <w:tr2bl w:val="nil"/>
                  </w:tcBorders>
                  <w:noWrap w:val="0"/>
                  <w:vAlign w:val="center"/>
                </w:tcPr>
                <w:p w14:paraId="35D29D15">
                  <w:pPr>
                    <w:keepNext w:val="0"/>
                    <w:keepLines w:val="0"/>
                    <w:widowControl w:val="0"/>
                    <w:suppressLineNumbers w:val="0"/>
                    <w:adjustRightInd w:val="0"/>
                    <w:snapToGrid w:val="0"/>
                    <w:spacing w:before="0" w:beforeLines="0" w:beforeAutospacing="0" w:after="0" w:afterLines="0" w:afterAutospacing="0" w:line="240" w:lineRule="auto"/>
                    <w:ind w:left="0" w:right="0" w:firstLine="420" w:firstLineChars="200"/>
                    <w:jc w:val="both"/>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（1）危险废物</w:t>
                  </w:r>
                </w:p>
                <w:p w14:paraId="02544F33">
                  <w:pPr>
                    <w:keepNext w:val="0"/>
                    <w:keepLines w:val="0"/>
                    <w:widowControl w:val="0"/>
                    <w:suppressLineNumbers w:val="0"/>
                    <w:adjustRightInd w:val="0"/>
                    <w:snapToGrid w:val="0"/>
                    <w:spacing w:before="0" w:beforeLines="0" w:beforeAutospacing="0" w:after="0" w:afterLines="0" w:afterAutospacing="0" w:line="240" w:lineRule="auto"/>
                    <w:ind w:left="0" w:right="0" w:firstLine="420" w:firstLineChars="200"/>
                    <w:jc w:val="both"/>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①地面防渗、防漏；设置醒目的防火、禁止吸烟及明火标志；配备完整的灭火装置；②危险废物以密封胶桶储存，明确各类废弃物标识，分类包装，分类堆放，收集，暂存在危废暂存区内，暂存间做好“三防”措施；③危险化学品发生泄漏时及时收集并转移到空置的容器内；或及时用抹布或专用醮布进行擦洗，并开启通风系统。泄漏事故风险防范措施。</w:t>
                  </w:r>
                </w:p>
                <w:p w14:paraId="3E123189">
                  <w:pPr>
                    <w:keepNext w:val="0"/>
                    <w:keepLines w:val="0"/>
                    <w:widowControl w:val="0"/>
                    <w:suppressLineNumbers w:val="0"/>
                    <w:adjustRightInd w:val="0"/>
                    <w:snapToGrid w:val="0"/>
                    <w:spacing w:before="0" w:beforeLines="0" w:beforeAutospacing="0" w:after="0" w:afterLines="0" w:afterAutospacing="0" w:line="240" w:lineRule="auto"/>
                    <w:ind w:left="0" w:right="0" w:firstLine="420" w:firstLineChars="200"/>
                    <w:jc w:val="both"/>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（2）废气事故</w:t>
                  </w:r>
                </w:p>
                <w:p w14:paraId="4BF0471D">
                  <w:pPr>
                    <w:keepNext w:val="0"/>
                    <w:keepLines w:val="0"/>
                    <w:widowControl w:val="0"/>
                    <w:suppressLineNumbers w:val="0"/>
                    <w:adjustRightInd w:val="0"/>
                    <w:snapToGrid w:val="0"/>
                    <w:spacing w:before="0" w:beforeLines="0" w:beforeAutospacing="0" w:after="0" w:afterLines="0" w:afterAutospacing="0" w:line="240" w:lineRule="auto"/>
                    <w:ind w:left="0" w:right="0" w:firstLine="420" w:firstLineChars="200"/>
                    <w:jc w:val="both"/>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①废气处理设备制定严格的操作规程，严格按操作规程进行运行控制，防止误操作导致废气事故排放，操作规程上墙，并在各危险区域张贴应急联系电话；②废气处理设备定期检查，以保证废气的处理效果符合排放标准；③管理人员每天对各废气处理设施巡检一次，查看废气处理设施运转是否正常，运行控制是否到位，不定时对各记录表进行检查；</w:t>
                  </w:r>
                  <w:r>
                    <w:rPr>
                      <w:rFonts w:hint="default" w:ascii="Times New Roman" w:hAnsi="Times New Roman" w:eastAsia="宋体" w:cs="Times New Roman"/>
                      <w:color w:val="auto"/>
                      <w:kern w:val="0"/>
                      <w:sz w:val="21"/>
                      <w:szCs w:val="21"/>
                      <w:u w:val="none" w:color="auto"/>
                      <w:lang w:val="en-US" w:eastAsia="zh-CN" w:bidi="ar-SA"/>
                    </w:rPr>
                    <w:fldChar w:fldCharType="begin"/>
                  </w:r>
                  <w:r>
                    <w:rPr>
                      <w:rFonts w:hint="default" w:ascii="Times New Roman" w:hAnsi="Times New Roman" w:eastAsia="宋体" w:cs="Times New Roman"/>
                      <w:color w:val="auto"/>
                      <w:kern w:val="0"/>
                      <w:sz w:val="21"/>
                      <w:szCs w:val="21"/>
                      <w:u w:val="none" w:color="auto"/>
                      <w:lang w:val="en-US" w:eastAsia="zh-CN" w:bidi="ar-SA"/>
                    </w:rPr>
                    <w:instrText xml:space="preserve"> = 4 \* GB3 \* MERGEFORMAT </w:instrText>
                  </w:r>
                  <w:r>
                    <w:rPr>
                      <w:rFonts w:hint="default" w:ascii="Times New Roman" w:hAnsi="Times New Roman" w:eastAsia="宋体" w:cs="Times New Roman"/>
                      <w:color w:val="auto"/>
                      <w:kern w:val="0"/>
                      <w:sz w:val="21"/>
                      <w:szCs w:val="21"/>
                      <w:u w:val="none" w:color="auto"/>
                      <w:lang w:val="en-US" w:eastAsia="zh-CN" w:bidi="ar-SA"/>
                    </w:rPr>
                    <w:fldChar w:fldCharType="separate"/>
                  </w:r>
                  <w:r>
                    <w:rPr>
                      <w:rFonts w:hint="default" w:ascii="Times New Roman" w:hAnsi="Times New Roman" w:eastAsia="宋体" w:cs="Times New Roman"/>
                      <w:color w:val="auto"/>
                      <w:kern w:val="0"/>
                      <w:sz w:val="21"/>
                      <w:szCs w:val="21"/>
                      <w:u w:val="none" w:color="auto"/>
                      <w:lang w:val="en-US" w:eastAsia="zh-CN" w:bidi="ar-SA"/>
                    </w:rPr>
                    <w:t>④</w:t>
                  </w:r>
                  <w:r>
                    <w:rPr>
                      <w:rFonts w:hint="default" w:ascii="Times New Roman" w:hAnsi="Times New Roman" w:eastAsia="宋体" w:cs="Times New Roman"/>
                      <w:color w:val="auto"/>
                      <w:kern w:val="0"/>
                      <w:sz w:val="21"/>
                      <w:szCs w:val="21"/>
                      <w:u w:val="none" w:color="auto"/>
                      <w:lang w:val="en-US" w:eastAsia="zh-CN" w:bidi="ar-SA"/>
                    </w:rPr>
                    <w:fldChar w:fldCharType="end"/>
                  </w:r>
                  <w:r>
                    <w:rPr>
                      <w:rFonts w:hint="default" w:ascii="Times New Roman" w:hAnsi="Times New Roman" w:eastAsia="宋体" w:cs="Times New Roman"/>
                      <w:color w:val="auto"/>
                      <w:kern w:val="0"/>
                      <w:sz w:val="21"/>
                      <w:szCs w:val="21"/>
                      <w:u w:val="none" w:color="auto"/>
                      <w:lang w:val="en-US" w:eastAsia="zh-CN" w:bidi="ar-SA"/>
                    </w:rPr>
                    <w:t>生产车间空气中有害物质的允许浓度按《工业设计卫生制度》执行，由区职业健康监护所每年对全厂尘、毒、噪音进行监测，每年不少于一次，并在监测牌上登记公布，并建立台账。</w:t>
                  </w:r>
                </w:p>
                <w:p w14:paraId="7317E92B">
                  <w:pPr>
                    <w:keepNext w:val="0"/>
                    <w:keepLines w:val="0"/>
                    <w:widowControl w:val="0"/>
                    <w:suppressLineNumbers w:val="0"/>
                    <w:adjustRightInd w:val="0"/>
                    <w:snapToGrid w:val="0"/>
                    <w:spacing w:before="0" w:beforeLines="0" w:beforeAutospacing="0" w:after="0" w:afterLines="0" w:afterAutospacing="0" w:line="240" w:lineRule="auto"/>
                    <w:ind w:left="0" w:right="0" w:firstLine="420" w:firstLineChars="200"/>
                    <w:jc w:val="both"/>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（3）厂区火灾</w:t>
                  </w:r>
                </w:p>
                <w:p w14:paraId="4A4155AE">
                  <w:pPr>
                    <w:keepNext w:val="0"/>
                    <w:keepLines w:val="0"/>
                    <w:widowControl w:val="0"/>
                    <w:suppressLineNumbers w:val="0"/>
                    <w:adjustRightInd w:val="0"/>
                    <w:snapToGrid w:val="0"/>
                    <w:spacing w:before="0" w:beforeLines="0" w:beforeAutospacing="0" w:after="0" w:afterLines="0" w:afterAutospacing="0" w:line="240" w:lineRule="auto"/>
                    <w:ind w:left="0" w:right="0" w:firstLine="420" w:firstLineChars="200"/>
                    <w:jc w:val="both"/>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①完善安全生产制度，严格管理，提高操作人员素质和水平，操作人员必须培训上岗，以避免事故的发生；②项目必须配备相应的消防设施、设备和灭火剂，并定期检查灭火器等设施设备是否完好，配备经过培训的兼职消防人员。各类作业人员按规定配备必要的劳动防护用具。</w:t>
                  </w:r>
                </w:p>
              </w:tc>
            </w:tr>
            <w:tr w14:paraId="5250A96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8489" w:type="dxa"/>
                  <w:gridSpan w:val="6"/>
                  <w:tcBorders>
                    <w:tl2br w:val="nil"/>
                    <w:tr2bl w:val="nil"/>
                  </w:tcBorders>
                  <w:noWrap w:val="0"/>
                  <w:vAlign w:val="center"/>
                </w:tcPr>
                <w:p w14:paraId="5123FFDD">
                  <w:pPr>
                    <w:keepNext w:val="0"/>
                    <w:keepLines w:val="0"/>
                    <w:widowControl w:val="0"/>
                    <w:suppressLineNumbers w:val="0"/>
                    <w:adjustRightInd w:val="0"/>
                    <w:snapToGrid w:val="0"/>
                    <w:spacing w:before="24" w:beforeLines="10" w:beforeAutospacing="0" w:after="24" w:afterLines="10" w:afterAutospacing="0" w:line="240" w:lineRule="auto"/>
                    <w:ind w:left="0" w:right="0"/>
                    <w:jc w:val="left"/>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填表说明：本项目成品区域、原料区域有专人负责管理，在加强厂区防火管理、完善事故应急预案的基础上，事故发生概率很低，事故一旦发生立即启动应急预案，可以使事故造成的后果影响控制在很小的范围内，本项目的风险水平是可以接受的。</w:t>
                  </w:r>
                </w:p>
              </w:tc>
            </w:tr>
          </w:tbl>
          <w:p w14:paraId="4C833963">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8.</w:t>
            </w:r>
            <w:r>
              <w:rPr>
                <w:rFonts w:hint="default" w:ascii="Times New Roman" w:hAnsi="Times New Roman" w:eastAsia="宋体" w:cs="Times New Roman"/>
                <w:b/>
                <w:bCs/>
                <w:color w:val="auto"/>
                <w:sz w:val="24"/>
                <w:szCs w:val="24"/>
                <w:highlight w:val="none"/>
                <w:lang w:val="en-US" w:eastAsia="zh-CN"/>
              </w:rPr>
              <w:t>环境管理</w:t>
            </w:r>
          </w:p>
          <w:p w14:paraId="5C867EFC">
            <w:pPr>
              <w:keepNext w:val="0"/>
              <w:keepLines w:val="0"/>
              <w:widowControl/>
              <w:suppressLineNumbers w:val="0"/>
              <w:snapToGrid w:val="0"/>
              <w:spacing w:before="0" w:beforeAutospacing="0" w:after="0" w:afterAutospacing="0" w:line="360" w:lineRule="auto"/>
              <w:ind w:left="0" w:right="0" w:firstLine="480" w:firstLineChars="200"/>
              <w:jc w:val="both"/>
              <w:rPr>
                <w:rFonts w:hint="default" w:ascii="Times New Roman" w:hAnsi="Times New Roman" w:cs="Times New Roman"/>
                <w:color w:val="auto"/>
                <w:kern w:val="0"/>
                <w:sz w:val="24"/>
                <w:u w:val="none" w:color="auto"/>
              </w:rPr>
            </w:pPr>
            <w:r>
              <w:rPr>
                <w:rFonts w:hint="eastAsia" w:ascii="Times New Roman" w:hAnsi="Times New Roman" w:cs="Times New Roman"/>
                <w:color w:val="auto"/>
                <w:kern w:val="0"/>
                <w:sz w:val="24"/>
                <w:u w:val="none" w:color="auto"/>
                <w:lang w:eastAsia="zh-CN"/>
              </w:rPr>
              <w:t>（1）</w:t>
            </w:r>
            <w:r>
              <w:rPr>
                <w:rFonts w:hint="default" w:ascii="Times New Roman" w:hAnsi="Times New Roman" w:cs="Times New Roman"/>
                <w:color w:val="auto"/>
                <w:kern w:val="0"/>
                <w:sz w:val="24"/>
                <w:u w:val="none" w:color="auto"/>
              </w:rPr>
              <w:t>加强对管理人员的教育</w:t>
            </w:r>
          </w:p>
          <w:p w14:paraId="794B148C">
            <w:pPr>
              <w:keepNext w:val="0"/>
              <w:keepLines w:val="0"/>
              <w:widowControl/>
              <w:suppressLineNumbers w:val="0"/>
              <w:snapToGrid w:val="0"/>
              <w:spacing w:before="0" w:beforeAutospacing="0" w:after="0" w:afterAutospacing="0" w:line="360" w:lineRule="auto"/>
              <w:ind w:left="0" w:right="0" w:firstLine="480" w:firstLineChars="200"/>
              <w:jc w:val="both"/>
              <w:rPr>
                <w:rFonts w:hint="default" w:ascii="Times New Roman" w:hAnsi="Times New Roman" w:cs="Times New Roman"/>
                <w:color w:val="auto"/>
                <w:kern w:val="0"/>
                <w:sz w:val="24"/>
                <w:u w:val="none" w:color="auto"/>
              </w:rPr>
            </w:pPr>
            <w:r>
              <w:rPr>
                <w:rFonts w:hint="default" w:ascii="Times New Roman" w:hAnsi="Times New Roman" w:cs="Times New Roman"/>
                <w:color w:val="auto"/>
                <w:kern w:val="0"/>
                <w:sz w:val="24"/>
                <w:u w:val="none" w:color="auto"/>
              </w:rPr>
              <w:t>要经常加强对环保管理人员的教育，包括业务能力、操作技术、环保管理知识的教育，以增强他们的环保意识，提高管理水平。</w:t>
            </w:r>
          </w:p>
          <w:p w14:paraId="4C611459">
            <w:pPr>
              <w:keepNext w:val="0"/>
              <w:keepLines w:val="0"/>
              <w:widowControl/>
              <w:suppressLineNumbers w:val="0"/>
              <w:snapToGrid w:val="0"/>
              <w:spacing w:before="0" w:beforeAutospacing="0" w:after="0" w:afterAutospacing="0" w:line="360" w:lineRule="auto"/>
              <w:ind w:left="0" w:right="0" w:firstLine="480" w:firstLineChars="200"/>
              <w:jc w:val="both"/>
              <w:rPr>
                <w:rFonts w:hint="default" w:ascii="Times New Roman" w:hAnsi="Times New Roman" w:cs="Times New Roman"/>
                <w:color w:val="auto"/>
                <w:kern w:val="0"/>
                <w:sz w:val="24"/>
                <w:u w:val="none" w:color="auto"/>
              </w:rPr>
            </w:pPr>
            <w:r>
              <w:rPr>
                <w:rFonts w:hint="eastAsia" w:ascii="Times New Roman" w:hAnsi="Times New Roman" w:cs="Times New Roman"/>
                <w:color w:val="auto"/>
                <w:kern w:val="0"/>
                <w:sz w:val="24"/>
                <w:u w:val="none" w:color="auto"/>
                <w:lang w:eastAsia="zh-CN"/>
              </w:rPr>
              <w:t>（2）</w:t>
            </w:r>
            <w:r>
              <w:rPr>
                <w:rFonts w:hint="default" w:ascii="Times New Roman" w:hAnsi="Times New Roman" w:cs="Times New Roman"/>
                <w:color w:val="auto"/>
                <w:kern w:val="0"/>
                <w:sz w:val="24"/>
                <w:u w:val="none" w:color="auto"/>
              </w:rPr>
              <w:t>加强生产全过程的环境管理</w:t>
            </w:r>
          </w:p>
          <w:p w14:paraId="565A5374">
            <w:pPr>
              <w:keepNext w:val="0"/>
              <w:keepLines w:val="0"/>
              <w:widowControl/>
              <w:suppressLineNumbers w:val="0"/>
              <w:snapToGrid w:val="0"/>
              <w:spacing w:before="0" w:beforeAutospacing="0" w:after="0" w:afterAutospacing="0" w:line="360" w:lineRule="auto"/>
              <w:ind w:left="0" w:right="0" w:firstLine="480" w:firstLineChars="200"/>
              <w:jc w:val="both"/>
              <w:rPr>
                <w:rFonts w:hint="default" w:ascii="Times New Roman" w:hAnsi="Times New Roman" w:cs="Times New Roman"/>
                <w:color w:val="auto"/>
                <w:kern w:val="0"/>
                <w:sz w:val="24"/>
                <w:u w:val="none" w:color="auto"/>
              </w:rPr>
            </w:pPr>
            <w:r>
              <w:rPr>
                <w:rFonts w:hint="default" w:ascii="Times New Roman" w:hAnsi="Times New Roman" w:cs="Times New Roman"/>
                <w:color w:val="auto"/>
                <w:kern w:val="0"/>
                <w:sz w:val="24"/>
                <w:u w:val="none" w:color="auto"/>
              </w:rPr>
              <w:t>建设单位应加强生产全过程的环境管理，始终贯彻清洁生产，节约原材料和能源，减少所有废弃物的数量</w:t>
            </w:r>
            <w:r>
              <w:rPr>
                <w:rFonts w:hint="eastAsia" w:ascii="Times New Roman" w:hAnsi="Times New Roman" w:cs="Times New Roman"/>
                <w:color w:val="auto"/>
                <w:kern w:val="0"/>
                <w:sz w:val="24"/>
                <w:u w:val="none" w:color="auto"/>
                <w:lang w:eastAsia="zh-CN"/>
              </w:rPr>
              <w:t>：</w:t>
            </w:r>
            <w:r>
              <w:rPr>
                <w:rFonts w:hint="default" w:ascii="Times New Roman" w:hAnsi="Times New Roman" w:cs="Times New Roman"/>
                <w:color w:val="auto"/>
                <w:kern w:val="0"/>
                <w:sz w:val="24"/>
                <w:u w:val="none" w:color="auto"/>
              </w:rPr>
              <w:t>减少从原材料选择到产品品终处置的全生命周期的不利影响尽量采用本行业先进的生产工艺、生产设备，</w:t>
            </w:r>
            <w:r>
              <w:rPr>
                <w:rFonts w:hint="eastAsia" w:ascii="Times New Roman" w:hAnsi="Times New Roman" w:cs="Times New Roman"/>
                <w:color w:val="auto"/>
                <w:kern w:val="0"/>
                <w:sz w:val="24"/>
                <w:u w:val="none" w:color="auto"/>
                <w:lang w:eastAsia="zh-CN"/>
              </w:rPr>
              <w:t>杜绝</w:t>
            </w:r>
            <w:r>
              <w:rPr>
                <w:rFonts w:hint="default" w:ascii="Times New Roman" w:hAnsi="Times New Roman" w:cs="Times New Roman"/>
                <w:color w:val="auto"/>
                <w:kern w:val="0"/>
                <w:sz w:val="24"/>
                <w:u w:val="none" w:color="auto"/>
              </w:rPr>
              <w:t>废水的排放。</w:t>
            </w:r>
          </w:p>
          <w:p w14:paraId="58659333">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u w:val="none" w:color="auto"/>
              </w:rPr>
            </w:pPr>
            <w:r>
              <w:rPr>
                <w:rFonts w:hint="eastAsia" w:ascii="Times New Roman" w:hAnsi="Times New Roman" w:cs="Times New Roman"/>
                <w:color w:val="auto"/>
                <w:kern w:val="2"/>
                <w:sz w:val="24"/>
                <w:u w:val="none" w:color="auto"/>
                <w:lang w:eastAsia="zh-CN"/>
              </w:rPr>
              <w:t>（3）</w:t>
            </w:r>
            <w:r>
              <w:rPr>
                <w:rFonts w:hint="default" w:ascii="Times New Roman" w:hAnsi="Times New Roman" w:cs="Times New Roman"/>
                <w:color w:val="auto"/>
                <w:kern w:val="2"/>
                <w:sz w:val="24"/>
                <w:u w:val="none" w:color="auto"/>
              </w:rPr>
              <w:t>加强污染物处置装置的管理</w:t>
            </w:r>
          </w:p>
          <w:p w14:paraId="23756BA2">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0"/>
                <w:sz w:val="24"/>
                <w:u w:val="none" w:color="auto"/>
              </w:rPr>
            </w:pPr>
            <w:r>
              <w:rPr>
                <w:rFonts w:hint="default" w:ascii="Times New Roman" w:hAnsi="Times New Roman" w:cs="Times New Roman"/>
                <w:color w:val="auto"/>
                <w:kern w:val="0"/>
                <w:sz w:val="24"/>
                <w:u w:val="none" w:color="auto"/>
              </w:rPr>
              <w:t>项目建成投产前，必须切实做好各项处理设备的选型、安装、调试</w:t>
            </w:r>
            <w:r>
              <w:rPr>
                <w:rFonts w:hint="eastAsia" w:ascii="Times New Roman" w:hAnsi="Times New Roman" w:cs="Times New Roman"/>
                <w:color w:val="auto"/>
                <w:kern w:val="0"/>
                <w:sz w:val="24"/>
                <w:u w:val="none" w:color="auto"/>
                <w:lang w:eastAsia="zh-CN"/>
              </w:rPr>
              <w:t>：</w:t>
            </w:r>
            <w:r>
              <w:rPr>
                <w:rFonts w:hint="default" w:ascii="Times New Roman" w:hAnsi="Times New Roman" w:cs="Times New Roman"/>
                <w:color w:val="auto"/>
                <w:kern w:val="0"/>
                <w:sz w:val="24"/>
                <w:u w:val="none" w:color="auto"/>
              </w:rPr>
              <w:t>确保环保设施与主体工程同时设计、同时施工、同时投产</w:t>
            </w:r>
            <w:r>
              <w:rPr>
                <w:rFonts w:hint="eastAsia" w:ascii="Times New Roman" w:hAnsi="Times New Roman" w:cs="Times New Roman"/>
                <w:color w:val="auto"/>
                <w:kern w:val="0"/>
                <w:sz w:val="24"/>
                <w:u w:val="none" w:color="auto"/>
                <w:lang w:eastAsia="zh-CN"/>
              </w:rPr>
              <w:t>：</w:t>
            </w:r>
            <w:r>
              <w:rPr>
                <w:rFonts w:hint="default" w:ascii="Times New Roman" w:hAnsi="Times New Roman" w:cs="Times New Roman"/>
                <w:color w:val="auto"/>
                <w:kern w:val="0"/>
                <w:sz w:val="24"/>
                <w:u w:val="none" w:color="auto"/>
              </w:rPr>
              <w:t>对各环保处理设施，要加强管理，及时维修、定期保养，保证处理设施正常运行。</w:t>
            </w:r>
          </w:p>
          <w:p w14:paraId="5EB16931">
            <w:pPr>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1"/>
              <w:rPr>
                <w:rFonts w:hint="default" w:ascii="Times New Roman" w:hAnsi="Times New Roman" w:eastAsia="宋体" w:cs="Times New Roman"/>
                <w:b w:val="0"/>
                <w:bCs/>
                <w:color w:val="auto"/>
                <w:kern w:val="2"/>
                <w:sz w:val="24"/>
                <w:szCs w:val="32"/>
                <w:u w:val="none" w:color="auto"/>
                <w:lang w:val="en-US" w:eastAsia="zh-CN" w:bidi="ar-SA"/>
              </w:rPr>
            </w:pPr>
            <w:r>
              <w:rPr>
                <w:rFonts w:hint="eastAsia" w:ascii="Times New Roman" w:hAnsi="Times New Roman" w:cs="Times New Roman"/>
                <w:b w:val="0"/>
                <w:bCs/>
                <w:color w:val="auto"/>
                <w:kern w:val="2"/>
                <w:sz w:val="24"/>
                <w:szCs w:val="32"/>
                <w:u w:val="none" w:color="auto"/>
                <w:lang w:val="en-US" w:eastAsia="zh-CN" w:bidi="ar-SA"/>
              </w:rPr>
              <w:t>（4）</w:t>
            </w:r>
            <w:r>
              <w:rPr>
                <w:rFonts w:hint="default" w:ascii="Times New Roman" w:hAnsi="Times New Roman" w:eastAsia="宋体" w:cs="Times New Roman"/>
                <w:b w:val="0"/>
                <w:bCs/>
                <w:color w:val="auto"/>
                <w:kern w:val="2"/>
                <w:sz w:val="24"/>
                <w:szCs w:val="32"/>
                <w:u w:val="none" w:color="auto"/>
                <w:lang w:val="en-US" w:eastAsia="zh-CN" w:bidi="ar-SA"/>
              </w:rPr>
              <w:t>排污许可证管理</w:t>
            </w:r>
          </w:p>
          <w:p w14:paraId="64B10A02">
            <w:pPr>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1"/>
              <w:rPr>
                <w:rFonts w:hint="default" w:ascii="Times New Roman" w:hAnsi="Times New Roman" w:eastAsia="宋体" w:cs="Times New Roman"/>
                <w:b w:val="0"/>
                <w:bCs/>
                <w:color w:val="auto"/>
                <w:kern w:val="2"/>
                <w:sz w:val="24"/>
                <w:szCs w:val="32"/>
                <w:u w:val="none" w:color="auto"/>
                <w:lang w:val="en-US" w:eastAsia="zh-CN" w:bidi="ar-SA"/>
              </w:rPr>
            </w:pPr>
            <w:r>
              <w:rPr>
                <w:rFonts w:hint="default" w:ascii="Times New Roman" w:hAnsi="Times New Roman" w:eastAsia="宋体" w:cs="Times New Roman"/>
                <w:b w:val="0"/>
                <w:bCs/>
                <w:color w:val="auto"/>
                <w:kern w:val="2"/>
                <w:sz w:val="24"/>
                <w:szCs w:val="32"/>
                <w:u w:val="none" w:color="auto"/>
                <w:lang w:val="en-US" w:eastAsia="zh-CN" w:bidi="ar-SA"/>
              </w:rPr>
              <w:t>本项目应严格按照国家排污许可证制度的要求依法申领排污许可证，按证排污。根据《排污许可管理办法（试行）》及《固定污染源排污许可分类管理名录（2019年版）》，本项目属于“二十八、金属制品业 33铸造及其他金属制品制造339”，本项目不使用冲天炉，属于“除重点管理以外的黑色金属铸造 3391、有色金属铸造3392”，因此实行简化管理。</w:t>
            </w:r>
          </w:p>
          <w:p w14:paraId="76181474">
            <w:pPr>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1"/>
              <w:rPr>
                <w:rFonts w:hint="default" w:ascii="Times New Roman" w:hAnsi="Times New Roman" w:eastAsia="宋体" w:cs="Times New Roman"/>
                <w:b/>
                <w:bCs/>
                <w:color w:val="auto"/>
                <w:kern w:val="2"/>
                <w:sz w:val="21"/>
                <w:szCs w:val="32"/>
                <w:u w:val="none" w:color="auto"/>
                <w:lang w:val="en-US" w:eastAsia="zh-CN" w:bidi="ar-SA"/>
              </w:rPr>
            </w:pPr>
            <w:r>
              <w:rPr>
                <w:rFonts w:hint="eastAsia" w:ascii="Times New Roman" w:hAnsi="Times New Roman" w:cs="Times New Roman"/>
                <w:b w:val="0"/>
                <w:bCs/>
                <w:color w:val="auto"/>
                <w:kern w:val="2"/>
                <w:sz w:val="24"/>
                <w:szCs w:val="32"/>
                <w:u w:val="none" w:color="auto"/>
                <w:lang w:val="en-US" w:eastAsia="zh-CN" w:bidi="ar-SA"/>
              </w:rPr>
              <w:t>（5）</w:t>
            </w:r>
            <w:r>
              <w:rPr>
                <w:rFonts w:hint="default" w:ascii="Times New Roman" w:hAnsi="Times New Roman" w:eastAsia="宋体" w:cs="Times New Roman"/>
                <w:b w:val="0"/>
                <w:bCs/>
                <w:color w:val="auto"/>
                <w:kern w:val="2"/>
                <w:sz w:val="24"/>
                <w:szCs w:val="32"/>
                <w:u w:val="none" w:color="auto"/>
                <w:lang w:val="en-US" w:eastAsia="zh-CN" w:bidi="ar-SA"/>
              </w:rPr>
              <w:t>应急管理</w:t>
            </w:r>
          </w:p>
          <w:p w14:paraId="51C1C06B">
            <w:pPr>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1"/>
              <w:rPr>
                <w:rFonts w:hint="default" w:ascii="Times New Roman" w:hAnsi="Times New Roman" w:eastAsia="宋体" w:cs="Times New Roman"/>
                <w:b w:val="0"/>
                <w:bCs/>
                <w:color w:val="auto"/>
                <w:kern w:val="2"/>
                <w:sz w:val="24"/>
                <w:szCs w:val="32"/>
                <w:u w:val="none" w:color="auto"/>
                <w:lang w:val="en-US" w:eastAsia="zh-CN" w:bidi="ar-SA"/>
              </w:rPr>
            </w:pPr>
            <w:r>
              <w:rPr>
                <w:rFonts w:hint="default" w:ascii="Times New Roman" w:hAnsi="Times New Roman" w:eastAsia="宋体" w:cs="Times New Roman"/>
                <w:b w:val="0"/>
                <w:bCs/>
                <w:color w:val="auto"/>
                <w:kern w:val="2"/>
                <w:sz w:val="24"/>
                <w:szCs w:val="32"/>
                <w:u w:val="none" w:color="auto"/>
                <w:lang w:val="en-US" w:eastAsia="zh-CN" w:bidi="ar-SA"/>
              </w:rPr>
              <w:t>开展编制突发环境事件应急预案管理工作。</w:t>
            </w:r>
          </w:p>
          <w:p w14:paraId="795C33B2">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9.</w:t>
            </w:r>
            <w:r>
              <w:rPr>
                <w:rFonts w:hint="default" w:ascii="Times New Roman" w:hAnsi="Times New Roman" w:cs="Times New Roman"/>
                <w:b/>
                <w:bCs/>
                <w:color w:val="auto"/>
                <w:sz w:val="24"/>
                <w:szCs w:val="24"/>
                <w:highlight w:val="none"/>
                <w:lang w:val="en-US" w:eastAsia="zh-CN"/>
              </w:rPr>
              <w:t>环保投资一览表</w:t>
            </w:r>
          </w:p>
          <w:p w14:paraId="64EE5909">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u w:val="none" w:color="auto"/>
              </w:rPr>
            </w:pPr>
            <w:r>
              <w:rPr>
                <w:rFonts w:hint="default" w:ascii="Times New Roman" w:hAnsi="Times New Roman" w:eastAsia="宋体" w:cs="Times New Roman"/>
                <w:b/>
                <w:bCs/>
                <w:color w:val="auto"/>
                <w:kern w:val="2"/>
                <w:sz w:val="21"/>
                <w:szCs w:val="21"/>
                <w:u w:val="none" w:color="auto"/>
              </w:rPr>
              <w:t>表4-</w:t>
            </w:r>
            <w:r>
              <w:rPr>
                <w:rFonts w:hint="eastAsia" w:ascii="Times New Roman" w:hAnsi="Times New Roman" w:cs="Times New Roman"/>
                <w:b/>
                <w:bCs/>
                <w:color w:val="auto"/>
                <w:kern w:val="2"/>
                <w:sz w:val="21"/>
                <w:szCs w:val="21"/>
                <w:u w:val="none" w:color="auto"/>
                <w:lang w:val="en-US" w:eastAsia="zh-CN"/>
              </w:rPr>
              <w:t>26</w:t>
            </w:r>
            <w:r>
              <w:rPr>
                <w:rFonts w:hint="default" w:ascii="Times New Roman" w:hAnsi="Times New Roman" w:eastAsia="宋体" w:cs="Times New Roman"/>
                <w:b/>
                <w:bCs/>
                <w:color w:val="auto"/>
                <w:kern w:val="2"/>
                <w:sz w:val="21"/>
                <w:szCs w:val="21"/>
                <w:u w:val="none" w:color="auto"/>
                <w:lang w:val="en-US" w:eastAsia="zh-CN"/>
              </w:rPr>
              <w:t xml:space="preserve"> </w:t>
            </w:r>
            <w:r>
              <w:rPr>
                <w:rFonts w:hint="default" w:ascii="Times New Roman" w:hAnsi="Times New Roman" w:eastAsia="宋体" w:cs="Times New Roman"/>
                <w:b/>
                <w:bCs/>
                <w:color w:val="auto"/>
                <w:kern w:val="2"/>
                <w:sz w:val="21"/>
                <w:szCs w:val="21"/>
                <w:u w:val="none" w:color="auto"/>
              </w:rPr>
              <w:t>环保投资一览表</w:t>
            </w:r>
          </w:p>
          <w:tbl>
            <w:tblPr>
              <w:tblStyle w:val="56"/>
              <w:tblW w:w="4998"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09"/>
              <w:gridCol w:w="1857"/>
              <w:gridCol w:w="3754"/>
              <w:gridCol w:w="1860"/>
            </w:tblGrid>
            <w:tr w14:paraId="41F2898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75EE98B9">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b/>
                      <w:bCs/>
                      <w:color w:val="auto"/>
                      <w:kern w:val="2"/>
                      <w:sz w:val="21"/>
                      <w:szCs w:val="21"/>
                      <w:u w:val="none" w:color="auto"/>
                      <w:lang w:val="en-US" w:eastAsia="zh-CN" w:bidi="ar-SA"/>
                    </w:rPr>
                    <w:t>类别</w:t>
                  </w:r>
                </w:p>
              </w:tc>
              <w:tc>
                <w:tcPr>
                  <w:tcW w:w="1121" w:type="pct"/>
                  <w:tcBorders>
                    <w:tl2br w:val="nil"/>
                    <w:tr2bl w:val="nil"/>
                  </w:tcBorders>
                  <w:noWrap w:val="0"/>
                  <w:vAlign w:val="center"/>
                </w:tcPr>
                <w:p w14:paraId="79CEBC20">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b/>
                      <w:bCs/>
                      <w:color w:val="auto"/>
                      <w:kern w:val="2"/>
                      <w:sz w:val="21"/>
                      <w:szCs w:val="21"/>
                      <w:u w:val="none" w:color="auto"/>
                      <w:lang w:val="en-US" w:eastAsia="zh-CN" w:bidi="ar-SA"/>
                    </w:rPr>
                    <w:t>污染源</w:t>
                  </w:r>
                </w:p>
              </w:tc>
              <w:tc>
                <w:tcPr>
                  <w:tcW w:w="2266" w:type="pct"/>
                  <w:tcBorders>
                    <w:tl2br w:val="nil"/>
                    <w:tr2bl w:val="nil"/>
                  </w:tcBorders>
                  <w:noWrap w:val="0"/>
                  <w:vAlign w:val="center"/>
                </w:tcPr>
                <w:p w14:paraId="12729F31">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b/>
                      <w:bCs/>
                      <w:color w:val="auto"/>
                      <w:kern w:val="2"/>
                      <w:sz w:val="21"/>
                      <w:szCs w:val="21"/>
                      <w:u w:val="none" w:color="auto"/>
                      <w:lang w:val="en-US" w:eastAsia="zh-CN" w:bidi="ar-SA"/>
                    </w:rPr>
                    <w:t>环保设施设备</w:t>
                  </w:r>
                </w:p>
              </w:tc>
              <w:tc>
                <w:tcPr>
                  <w:tcW w:w="1123" w:type="pct"/>
                  <w:tcBorders>
                    <w:tl2br w:val="nil"/>
                    <w:tr2bl w:val="nil"/>
                  </w:tcBorders>
                  <w:noWrap w:val="0"/>
                  <w:vAlign w:val="center"/>
                </w:tcPr>
                <w:p w14:paraId="5B3801BD">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b/>
                      <w:bCs/>
                      <w:color w:val="auto"/>
                      <w:kern w:val="2"/>
                      <w:sz w:val="21"/>
                      <w:szCs w:val="21"/>
                      <w:u w:val="none" w:color="auto"/>
                      <w:lang w:val="en-US" w:eastAsia="zh-CN" w:bidi="ar-SA"/>
                    </w:rPr>
                    <w:t>环保投资（万元）</w:t>
                  </w:r>
                </w:p>
              </w:tc>
            </w:tr>
            <w:tr w14:paraId="520F388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88" w:type="pct"/>
                  <w:vMerge w:val="restart"/>
                  <w:tcBorders>
                    <w:tl2br w:val="nil"/>
                    <w:tr2bl w:val="nil"/>
                  </w:tcBorders>
                  <w:noWrap w:val="0"/>
                  <w:vAlign w:val="center"/>
                </w:tcPr>
                <w:p w14:paraId="29B88811">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b w:val="0"/>
                      <w:bCs w:val="0"/>
                      <w:color w:val="auto"/>
                      <w:kern w:val="2"/>
                      <w:sz w:val="21"/>
                      <w:szCs w:val="21"/>
                      <w:u w:val="none" w:color="auto"/>
                      <w:lang w:val="en-US" w:eastAsia="zh-CN" w:bidi="ar-SA"/>
                    </w:rPr>
                  </w:pPr>
                  <w:r>
                    <w:rPr>
                      <w:rFonts w:hint="default" w:ascii="Times New Roman" w:hAnsi="Times New Roman" w:eastAsia="宋体" w:cs="Times New Roman"/>
                      <w:b w:val="0"/>
                      <w:bCs w:val="0"/>
                      <w:color w:val="auto"/>
                      <w:kern w:val="2"/>
                      <w:sz w:val="21"/>
                      <w:szCs w:val="21"/>
                      <w:u w:val="none" w:color="auto"/>
                      <w:lang w:val="en-US" w:eastAsia="zh-CN" w:bidi="ar-SA"/>
                    </w:rPr>
                    <w:t>废水</w:t>
                  </w:r>
                </w:p>
              </w:tc>
              <w:tc>
                <w:tcPr>
                  <w:tcW w:w="1121" w:type="pct"/>
                  <w:tcBorders>
                    <w:tl2br w:val="nil"/>
                    <w:tr2bl w:val="nil"/>
                  </w:tcBorders>
                  <w:noWrap w:val="0"/>
                  <w:vAlign w:val="center"/>
                </w:tcPr>
                <w:p w14:paraId="4BE4FC1D">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工件清洗水</w:t>
                  </w:r>
                </w:p>
              </w:tc>
              <w:tc>
                <w:tcPr>
                  <w:tcW w:w="2266" w:type="pct"/>
                  <w:tcBorders>
                    <w:tl2br w:val="nil"/>
                    <w:tr2bl w:val="nil"/>
                  </w:tcBorders>
                  <w:noWrap w:val="0"/>
                  <w:vAlign w:val="center"/>
                </w:tcPr>
                <w:p w14:paraId="7ACF3885">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经油水分离装置</w:t>
                  </w:r>
                </w:p>
              </w:tc>
              <w:tc>
                <w:tcPr>
                  <w:tcW w:w="1123" w:type="pct"/>
                  <w:tcBorders>
                    <w:tl2br w:val="nil"/>
                    <w:tr2bl w:val="nil"/>
                  </w:tcBorders>
                  <w:noWrap w:val="0"/>
                  <w:vAlign w:val="center"/>
                </w:tcPr>
                <w:p w14:paraId="60196FF9">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cs="Times New Roman"/>
                      <w:color w:val="auto"/>
                      <w:kern w:val="2"/>
                      <w:sz w:val="21"/>
                      <w:szCs w:val="21"/>
                      <w:u w:val="none" w:color="auto"/>
                      <w:lang w:val="en-US" w:eastAsia="zh-CN" w:bidi="ar-SA"/>
                    </w:rPr>
                  </w:pPr>
                  <w:r>
                    <w:rPr>
                      <w:rFonts w:hint="eastAsia" w:ascii="Times New Roman" w:hAnsi="Times New Roman" w:cs="Times New Roman"/>
                      <w:color w:val="auto"/>
                      <w:kern w:val="2"/>
                      <w:sz w:val="21"/>
                      <w:szCs w:val="21"/>
                      <w:u w:val="none" w:color="auto"/>
                      <w:lang w:val="en-US" w:eastAsia="zh-CN" w:bidi="ar-SA"/>
                    </w:rPr>
                    <w:t>0.5</w:t>
                  </w:r>
                </w:p>
              </w:tc>
            </w:tr>
            <w:tr w14:paraId="4C5103C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88" w:type="pct"/>
                  <w:vMerge w:val="continue"/>
                  <w:tcBorders>
                    <w:tl2br w:val="nil"/>
                    <w:tr2bl w:val="nil"/>
                  </w:tcBorders>
                  <w:noWrap w:val="0"/>
                  <w:vAlign w:val="center"/>
                </w:tcPr>
                <w:p w14:paraId="55117524">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b w:val="0"/>
                      <w:bCs w:val="0"/>
                      <w:color w:val="auto"/>
                      <w:kern w:val="2"/>
                      <w:sz w:val="21"/>
                      <w:szCs w:val="21"/>
                      <w:u w:val="none" w:color="auto"/>
                      <w:lang w:val="en-US" w:eastAsia="zh-CN" w:bidi="ar-SA"/>
                    </w:rPr>
                  </w:pPr>
                </w:p>
              </w:tc>
              <w:tc>
                <w:tcPr>
                  <w:tcW w:w="1121" w:type="pct"/>
                  <w:tcBorders>
                    <w:tl2br w:val="nil"/>
                    <w:tr2bl w:val="nil"/>
                  </w:tcBorders>
                  <w:noWrap w:val="0"/>
                  <w:vAlign w:val="center"/>
                </w:tcPr>
                <w:p w14:paraId="22A383A4">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生活污水</w:t>
                  </w:r>
                </w:p>
              </w:tc>
              <w:tc>
                <w:tcPr>
                  <w:tcW w:w="2266" w:type="pct"/>
                  <w:tcBorders>
                    <w:tl2br w:val="nil"/>
                    <w:tr2bl w:val="nil"/>
                  </w:tcBorders>
                  <w:noWrap w:val="0"/>
                  <w:vAlign w:val="center"/>
                </w:tcPr>
                <w:p w14:paraId="67A5645A">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化粪池及管道</w:t>
                  </w:r>
                  <w:r>
                    <w:rPr>
                      <w:rFonts w:hint="eastAsia" w:ascii="Times New Roman" w:hAnsi="Times New Roman" w:cs="Times New Roman"/>
                      <w:color w:val="auto"/>
                      <w:kern w:val="2"/>
                      <w:sz w:val="21"/>
                      <w:szCs w:val="21"/>
                      <w:u w:val="none" w:color="auto"/>
                      <w:lang w:val="en-US" w:eastAsia="zh-CN" w:bidi="ar-SA"/>
                    </w:rPr>
                    <w:t>（利旧）</w:t>
                  </w:r>
                </w:p>
              </w:tc>
              <w:tc>
                <w:tcPr>
                  <w:tcW w:w="1123" w:type="pct"/>
                  <w:tcBorders>
                    <w:tl2br w:val="nil"/>
                    <w:tr2bl w:val="nil"/>
                  </w:tcBorders>
                  <w:noWrap w:val="0"/>
                  <w:vAlign w:val="center"/>
                </w:tcPr>
                <w:p w14:paraId="1D021B30">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eastAsia" w:ascii="Times New Roman" w:hAnsi="Times New Roman" w:cs="Times New Roman"/>
                      <w:color w:val="auto"/>
                      <w:kern w:val="2"/>
                      <w:sz w:val="21"/>
                      <w:szCs w:val="21"/>
                      <w:u w:val="none" w:color="auto"/>
                      <w:lang w:val="en-US" w:eastAsia="zh-CN" w:bidi="ar-SA"/>
                    </w:rPr>
                    <w:t>0</w:t>
                  </w:r>
                </w:p>
              </w:tc>
            </w:tr>
            <w:tr w14:paraId="2DC5E1B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88" w:type="pct"/>
                  <w:vMerge w:val="restart"/>
                  <w:tcBorders>
                    <w:tl2br w:val="nil"/>
                    <w:tr2bl w:val="nil"/>
                  </w:tcBorders>
                  <w:noWrap w:val="0"/>
                  <w:vAlign w:val="center"/>
                </w:tcPr>
                <w:p w14:paraId="1226AA80">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b w:val="0"/>
                      <w:bCs w:val="0"/>
                      <w:color w:val="auto"/>
                      <w:kern w:val="2"/>
                      <w:sz w:val="21"/>
                      <w:szCs w:val="21"/>
                      <w:u w:val="none" w:color="auto"/>
                      <w:lang w:val="en-US" w:eastAsia="zh-CN" w:bidi="ar-SA"/>
                    </w:rPr>
                  </w:pPr>
                  <w:r>
                    <w:rPr>
                      <w:rFonts w:hint="default" w:ascii="Times New Roman" w:hAnsi="Times New Roman" w:eastAsia="宋体" w:cs="Times New Roman"/>
                      <w:b w:val="0"/>
                      <w:bCs w:val="0"/>
                      <w:color w:val="auto"/>
                      <w:kern w:val="2"/>
                      <w:sz w:val="21"/>
                      <w:szCs w:val="21"/>
                      <w:u w:val="none" w:color="auto"/>
                      <w:lang w:val="en-US" w:eastAsia="zh-CN" w:bidi="ar-SA"/>
                    </w:rPr>
                    <w:t>废气</w:t>
                  </w:r>
                </w:p>
              </w:tc>
              <w:tc>
                <w:tcPr>
                  <w:tcW w:w="1121" w:type="pct"/>
                  <w:tcBorders>
                    <w:tl2br w:val="nil"/>
                    <w:tr2bl w:val="nil"/>
                  </w:tcBorders>
                  <w:shd w:val="clear" w:color="auto" w:fill="auto"/>
                  <w:noWrap w:val="0"/>
                  <w:vAlign w:val="center"/>
                </w:tcPr>
                <w:p w14:paraId="77978860">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eastAsia="zh-CN"/>
                    </w:rPr>
                  </w:pPr>
                  <w:r>
                    <w:rPr>
                      <w:rFonts w:hint="default" w:ascii="Times New Roman" w:hAnsi="Times New Roman" w:cs="Times New Roman"/>
                      <w:color w:val="auto"/>
                      <w:kern w:val="2"/>
                      <w:sz w:val="21"/>
                      <w:szCs w:val="21"/>
                      <w:u w:val="none" w:color="auto"/>
                      <w:lang w:val="en-US" w:eastAsia="zh-CN"/>
                    </w:rPr>
                    <w:t>熔炼废气</w:t>
                  </w:r>
                </w:p>
                <w:p w14:paraId="1C08AE57">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eastAsia="zh-CN"/>
                    </w:rPr>
                  </w:pPr>
                  <w:r>
                    <w:rPr>
                      <w:rFonts w:hint="default" w:ascii="Times New Roman" w:hAnsi="Times New Roman" w:cs="Times New Roman"/>
                      <w:color w:val="auto"/>
                      <w:kern w:val="2"/>
                      <w:sz w:val="21"/>
                      <w:szCs w:val="21"/>
                      <w:u w:val="none" w:color="auto"/>
                      <w:lang w:val="en-US" w:eastAsia="zh-CN"/>
                    </w:rPr>
                    <w:t>造型废气</w:t>
                  </w:r>
                </w:p>
                <w:p w14:paraId="514576C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u w:val="none" w:color="auto"/>
                      <w:lang w:val="en-US" w:eastAsia="zh-CN"/>
                    </w:rPr>
                  </w:pPr>
                  <w:r>
                    <w:rPr>
                      <w:rFonts w:hint="default" w:ascii="Times New Roman" w:hAnsi="Times New Roman" w:cs="Times New Roman"/>
                      <w:color w:val="auto"/>
                      <w:kern w:val="2"/>
                      <w:sz w:val="21"/>
                      <w:szCs w:val="21"/>
                      <w:u w:val="none" w:color="auto"/>
                      <w:lang w:val="en-US" w:eastAsia="zh-CN"/>
                    </w:rPr>
                    <w:t>打磨清理废气</w:t>
                  </w:r>
                </w:p>
                <w:p w14:paraId="0419BA00">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lang w:val="en-US" w:eastAsia="zh-CN"/>
                    </w:rPr>
                    <w:t>砂处理</w:t>
                  </w:r>
                </w:p>
              </w:tc>
              <w:tc>
                <w:tcPr>
                  <w:tcW w:w="2266" w:type="pct"/>
                  <w:tcBorders>
                    <w:tl2br w:val="nil"/>
                    <w:tr2bl w:val="nil"/>
                  </w:tcBorders>
                  <w:shd w:val="clear" w:color="auto" w:fill="auto"/>
                  <w:noWrap w:val="0"/>
                  <w:vAlign w:val="center"/>
                </w:tcPr>
                <w:p w14:paraId="1C72AE78">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0"/>
                      <w:sz w:val="21"/>
                      <w:szCs w:val="21"/>
                      <w:u w:val="none" w:color="auto"/>
                      <w:lang w:val="en-US" w:eastAsia="zh-CN" w:bidi="ar-SA"/>
                    </w:rPr>
                  </w:pPr>
                  <w:r>
                    <w:rPr>
                      <w:rFonts w:hint="default" w:ascii="Times New Roman" w:hAnsi="Times New Roman" w:cs="Times New Roman"/>
                      <w:bCs/>
                      <w:color w:val="auto"/>
                      <w:kern w:val="0"/>
                      <w:sz w:val="21"/>
                      <w:szCs w:val="21"/>
                      <w:u w:val="none" w:color="auto"/>
                      <w:lang w:val="en-US" w:eastAsia="zh-CN"/>
                    </w:rPr>
                    <w:t>熔炼废气经炉盖一体化装置收集、造型废气经集气罩收集、打磨清理废气经密闭管道收集、砂处理废气经密闭管道收集后经一台脉冲布袋除尘器处理后通过15m高DA001排气筒排放</w:t>
                  </w:r>
                </w:p>
              </w:tc>
              <w:tc>
                <w:tcPr>
                  <w:tcW w:w="1123" w:type="pct"/>
                  <w:vMerge w:val="restart"/>
                  <w:tcBorders>
                    <w:tl2br w:val="nil"/>
                    <w:tr2bl w:val="nil"/>
                  </w:tcBorders>
                  <w:noWrap w:val="0"/>
                  <w:vAlign w:val="center"/>
                </w:tcPr>
                <w:p w14:paraId="1178114F">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r>
                    <w:rPr>
                      <w:rFonts w:hint="default" w:ascii="Times New Roman" w:hAnsi="Times New Roman" w:eastAsia="宋体" w:cs="Times New Roman"/>
                      <w:color w:val="auto"/>
                      <w:kern w:val="2"/>
                      <w:sz w:val="21"/>
                      <w:szCs w:val="21"/>
                      <w:u w:val="none" w:color="auto"/>
                      <w:lang w:val="en-US" w:eastAsia="zh-CN"/>
                    </w:rPr>
                    <w:t>25</w:t>
                  </w:r>
                </w:p>
              </w:tc>
            </w:tr>
            <w:tr w14:paraId="16654AE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88" w:type="pct"/>
                  <w:vMerge w:val="continue"/>
                  <w:tcBorders>
                    <w:tl2br w:val="nil"/>
                    <w:tr2bl w:val="nil"/>
                  </w:tcBorders>
                  <w:noWrap w:val="0"/>
                  <w:vAlign w:val="center"/>
                </w:tcPr>
                <w:p w14:paraId="3524E64A">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b w:val="0"/>
                      <w:bCs w:val="0"/>
                      <w:color w:val="auto"/>
                      <w:kern w:val="2"/>
                      <w:sz w:val="21"/>
                      <w:szCs w:val="21"/>
                      <w:u w:val="none" w:color="auto"/>
                      <w:lang w:val="en-US" w:eastAsia="zh-CN" w:bidi="ar-SA"/>
                    </w:rPr>
                  </w:pPr>
                </w:p>
              </w:tc>
              <w:tc>
                <w:tcPr>
                  <w:tcW w:w="1121" w:type="pct"/>
                  <w:tcBorders>
                    <w:tl2br w:val="nil"/>
                    <w:tr2bl w:val="nil"/>
                  </w:tcBorders>
                  <w:shd w:val="clear" w:color="auto" w:fill="auto"/>
                  <w:noWrap w:val="0"/>
                  <w:vAlign w:val="center"/>
                </w:tcPr>
                <w:p w14:paraId="7CCF3F42">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szCs w:val="21"/>
                      <w:u w:val="none" w:color="auto"/>
                      <w:lang w:val="en-US" w:eastAsia="zh-CN"/>
                    </w:rPr>
                    <w:t>浇注废气、模具清理废气、球冒分离废气</w:t>
                  </w:r>
                </w:p>
              </w:tc>
              <w:tc>
                <w:tcPr>
                  <w:tcW w:w="2266" w:type="pct"/>
                  <w:tcBorders>
                    <w:tl2br w:val="nil"/>
                    <w:tr2bl w:val="nil"/>
                  </w:tcBorders>
                  <w:shd w:val="clear" w:color="auto" w:fill="auto"/>
                  <w:noWrap w:val="0"/>
                  <w:vAlign w:val="center"/>
                </w:tcPr>
                <w:p w14:paraId="0F62EC05">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color w:val="auto"/>
                      <w:kern w:val="2"/>
                      <w:sz w:val="21"/>
                      <w:u w:val="none" w:color="auto"/>
                      <w:lang w:val="en-US" w:eastAsia="zh-CN"/>
                    </w:rPr>
                    <w:t>集气罩收集后经1台脉冲布袋除尘器处理后通过15m高DA002排气筒排放</w:t>
                  </w:r>
                </w:p>
              </w:tc>
              <w:tc>
                <w:tcPr>
                  <w:tcW w:w="1123" w:type="pct"/>
                  <w:vMerge w:val="continue"/>
                  <w:tcBorders>
                    <w:tl2br w:val="nil"/>
                    <w:tr2bl w:val="nil"/>
                  </w:tcBorders>
                  <w:noWrap w:val="0"/>
                  <w:vAlign w:val="center"/>
                </w:tcPr>
                <w:p w14:paraId="5287E0ED">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r>
            <w:tr w14:paraId="2633AD9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88" w:type="pct"/>
                  <w:vMerge w:val="continue"/>
                  <w:tcBorders>
                    <w:tl2br w:val="nil"/>
                    <w:tr2bl w:val="nil"/>
                  </w:tcBorders>
                  <w:noWrap w:val="0"/>
                  <w:vAlign w:val="center"/>
                </w:tcPr>
                <w:p w14:paraId="1A71D666">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b w:val="0"/>
                      <w:bCs w:val="0"/>
                      <w:color w:val="auto"/>
                      <w:kern w:val="2"/>
                      <w:sz w:val="21"/>
                      <w:szCs w:val="21"/>
                      <w:u w:val="none" w:color="auto"/>
                      <w:lang w:val="en-US" w:eastAsia="zh-CN" w:bidi="ar-SA"/>
                    </w:rPr>
                  </w:pPr>
                </w:p>
              </w:tc>
              <w:tc>
                <w:tcPr>
                  <w:tcW w:w="1121" w:type="pct"/>
                  <w:tcBorders>
                    <w:tl2br w:val="nil"/>
                    <w:tr2bl w:val="nil"/>
                  </w:tcBorders>
                  <w:noWrap w:val="0"/>
                  <w:vAlign w:val="center"/>
                </w:tcPr>
                <w:p w14:paraId="32C6252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rPr>
                  </w:pPr>
                  <w:r>
                    <w:rPr>
                      <w:rFonts w:hint="default" w:ascii="Times New Roman" w:hAnsi="Times New Roman" w:cs="Times New Roman"/>
                      <w:color w:val="auto"/>
                      <w:kern w:val="2"/>
                      <w:sz w:val="21"/>
                      <w:szCs w:val="21"/>
                      <w:u w:val="none" w:color="auto"/>
                      <w:lang w:val="en-US" w:eastAsia="zh-CN"/>
                    </w:rPr>
                    <w:t>热处理废气</w:t>
                  </w:r>
                </w:p>
              </w:tc>
              <w:tc>
                <w:tcPr>
                  <w:tcW w:w="2266" w:type="pct"/>
                  <w:tcBorders>
                    <w:tl2br w:val="nil"/>
                    <w:tr2bl w:val="nil"/>
                  </w:tcBorders>
                  <w:noWrap w:val="0"/>
                  <w:vAlign w:val="center"/>
                </w:tcPr>
                <w:p w14:paraId="19B7C63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1"/>
                      <w:u w:val="none" w:color="auto"/>
                    </w:rPr>
                  </w:pPr>
                  <w:r>
                    <w:rPr>
                      <w:rFonts w:hint="default" w:ascii="Times New Roman" w:hAnsi="Times New Roman" w:cs="Times New Roman"/>
                      <w:bCs/>
                      <w:color w:val="auto"/>
                      <w:kern w:val="0"/>
                      <w:sz w:val="21"/>
                      <w:szCs w:val="21"/>
                      <w:u w:val="none" w:color="auto"/>
                      <w:lang w:val="en-US" w:eastAsia="zh-CN"/>
                    </w:rPr>
                    <w:t>集气罩收集后经高压静电油烟净化处理后通过15m高DA003排气筒排放</w:t>
                  </w:r>
                </w:p>
              </w:tc>
              <w:tc>
                <w:tcPr>
                  <w:tcW w:w="1123" w:type="pct"/>
                  <w:vMerge w:val="continue"/>
                  <w:tcBorders>
                    <w:tl2br w:val="nil"/>
                    <w:tr2bl w:val="nil"/>
                  </w:tcBorders>
                  <w:noWrap w:val="0"/>
                  <w:vAlign w:val="center"/>
                </w:tcPr>
                <w:p w14:paraId="6CFF7862">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rPr>
                  </w:pPr>
                </w:p>
              </w:tc>
            </w:tr>
            <w:tr w14:paraId="42464BC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88" w:type="pct"/>
                  <w:tcBorders>
                    <w:tl2br w:val="nil"/>
                    <w:tr2bl w:val="nil"/>
                  </w:tcBorders>
                  <w:noWrap w:val="0"/>
                  <w:vAlign w:val="center"/>
                </w:tcPr>
                <w:p w14:paraId="44B32991">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b w:val="0"/>
                      <w:bCs w:val="0"/>
                      <w:color w:val="auto"/>
                      <w:kern w:val="2"/>
                      <w:sz w:val="21"/>
                      <w:szCs w:val="21"/>
                      <w:u w:val="none" w:color="auto"/>
                      <w:lang w:val="en-US" w:eastAsia="zh-CN" w:bidi="ar-SA"/>
                    </w:rPr>
                  </w:pPr>
                  <w:r>
                    <w:rPr>
                      <w:rFonts w:hint="default" w:ascii="Times New Roman" w:hAnsi="Times New Roman" w:eastAsia="宋体" w:cs="Times New Roman"/>
                      <w:b w:val="0"/>
                      <w:bCs w:val="0"/>
                      <w:color w:val="auto"/>
                      <w:kern w:val="2"/>
                      <w:sz w:val="21"/>
                      <w:szCs w:val="21"/>
                      <w:u w:val="none" w:color="auto"/>
                      <w:lang w:val="en-US" w:eastAsia="zh-CN" w:bidi="ar-SA"/>
                    </w:rPr>
                    <w:t>噪声</w:t>
                  </w:r>
                </w:p>
              </w:tc>
              <w:tc>
                <w:tcPr>
                  <w:tcW w:w="1121" w:type="pct"/>
                  <w:tcBorders>
                    <w:tl2br w:val="nil"/>
                    <w:tr2bl w:val="nil"/>
                  </w:tcBorders>
                  <w:noWrap w:val="0"/>
                  <w:vAlign w:val="center"/>
                </w:tcPr>
                <w:p w14:paraId="38EE600B">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设备噪声</w:t>
                  </w:r>
                </w:p>
              </w:tc>
              <w:tc>
                <w:tcPr>
                  <w:tcW w:w="2266" w:type="pct"/>
                  <w:tcBorders>
                    <w:tl2br w:val="nil"/>
                    <w:tr2bl w:val="nil"/>
                  </w:tcBorders>
                  <w:noWrap w:val="0"/>
                  <w:vAlign w:val="center"/>
                </w:tcPr>
                <w:p w14:paraId="040FE90C">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基础减震、隔声</w:t>
                  </w:r>
                </w:p>
              </w:tc>
              <w:tc>
                <w:tcPr>
                  <w:tcW w:w="1123" w:type="pct"/>
                  <w:tcBorders>
                    <w:tl2br w:val="nil"/>
                    <w:tr2bl w:val="nil"/>
                  </w:tcBorders>
                  <w:noWrap w:val="0"/>
                  <w:vAlign w:val="center"/>
                </w:tcPr>
                <w:p w14:paraId="6E2ACA3E">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3</w:t>
                  </w:r>
                </w:p>
              </w:tc>
            </w:tr>
            <w:tr w14:paraId="3533DAF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88" w:type="pct"/>
                  <w:vMerge w:val="restart"/>
                  <w:tcBorders>
                    <w:tl2br w:val="nil"/>
                    <w:tr2bl w:val="nil"/>
                  </w:tcBorders>
                  <w:noWrap w:val="0"/>
                  <w:vAlign w:val="center"/>
                </w:tcPr>
                <w:p w14:paraId="1564A520">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b w:val="0"/>
                      <w:bCs w:val="0"/>
                      <w:color w:val="auto"/>
                      <w:kern w:val="2"/>
                      <w:sz w:val="21"/>
                      <w:szCs w:val="21"/>
                      <w:u w:val="none" w:color="auto"/>
                      <w:lang w:val="en-US" w:eastAsia="zh-CN" w:bidi="ar-SA"/>
                    </w:rPr>
                  </w:pPr>
                  <w:r>
                    <w:rPr>
                      <w:rFonts w:hint="default" w:ascii="Times New Roman" w:hAnsi="Times New Roman" w:eastAsia="宋体" w:cs="Times New Roman"/>
                      <w:b w:val="0"/>
                      <w:bCs w:val="0"/>
                      <w:color w:val="auto"/>
                      <w:kern w:val="2"/>
                      <w:sz w:val="21"/>
                      <w:szCs w:val="21"/>
                      <w:u w:val="none" w:color="auto"/>
                      <w:lang w:val="en-US" w:eastAsia="zh-CN" w:bidi="ar-SA"/>
                    </w:rPr>
                    <w:t>固废</w:t>
                  </w:r>
                </w:p>
              </w:tc>
              <w:tc>
                <w:tcPr>
                  <w:tcW w:w="1121" w:type="pct"/>
                  <w:tcBorders>
                    <w:tl2br w:val="nil"/>
                    <w:tr2bl w:val="nil"/>
                  </w:tcBorders>
                  <w:noWrap w:val="0"/>
                  <w:vAlign w:val="center"/>
                </w:tcPr>
                <w:p w14:paraId="066F284B">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固废暂存间</w:t>
                  </w:r>
                </w:p>
              </w:tc>
              <w:tc>
                <w:tcPr>
                  <w:tcW w:w="2266" w:type="pct"/>
                  <w:tcBorders>
                    <w:tl2br w:val="nil"/>
                    <w:tr2bl w:val="nil"/>
                  </w:tcBorders>
                  <w:noWrap w:val="0"/>
                  <w:vAlign w:val="center"/>
                </w:tcPr>
                <w:p w14:paraId="4995E730">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固废暂存间</w:t>
                  </w:r>
                </w:p>
              </w:tc>
              <w:tc>
                <w:tcPr>
                  <w:tcW w:w="1123" w:type="pct"/>
                  <w:tcBorders>
                    <w:tl2br w:val="nil"/>
                    <w:tr2bl w:val="nil"/>
                  </w:tcBorders>
                  <w:noWrap w:val="0"/>
                  <w:vAlign w:val="center"/>
                </w:tcPr>
                <w:p w14:paraId="32E91BE3">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0.5</w:t>
                  </w:r>
                </w:p>
              </w:tc>
            </w:tr>
            <w:tr w14:paraId="35456C0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88" w:type="pct"/>
                  <w:vMerge w:val="continue"/>
                  <w:tcBorders>
                    <w:tl2br w:val="nil"/>
                    <w:tr2bl w:val="nil"/>
                  </w:tcBorders>
                  <w:noWrap w:val="0"/>
                  <w:vAlign w:val="center"/>
                </w:tcPr>
                <w:p w14:paraId="1A343098">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b w:val="0"/>
                      <w:bCs w:val="0"/>
                      <w:color w:val="auto"/>
                      <w:kern w:val="2"/>
                      <w:sz w:val="21"/>
                      <w:szCs w:val="21"/>
                      <w:u w:val="none" w:color="auto"/>
                      <w:lang w:val="en-US" w:eastAsia="zh-CN" w:bidi="ar-SA"/>
                    </w:rPr>
                  </w:pPr>
                </w:p>
              </w:tc>
              <w:tc>
                <w:tcPr>
                  <w:tcW w:w="1121" w:type="pct"/>
                  <w:tcBorders>
                    <w:tl2br w:val="nil"/>
                    <w:tr2bl w:val="nil"/>
                  </w:tcBorders>
                  <w:noWrap w:val="0"/>
                  <w:vAlign w:val="center"/>
                </w:tcPr>
                <w:p w14:paraId="549DF53F">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危险废物暂存间</w:t>
                  </w:r>
                </w:p>
              </w:tc>
              <w:tc>
                <w:tcPr>
                  <w:tcW w:w="2266" w:type="pct"/>
                  <w:tcBorders>
                    <w:tl2br w:val="nil"/>
                    <w:tr2bl w:val="nil"/>
                  </w:tcBorders>
                  <w:noWrap w:val="0"/>
                  <w:vAlign w:val="center"/>
                </w:tcPr>
                <w:p w14:paraId="3D73A9EF">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危险废物</w:t>
                  </w:r>
                  <w:r>
                    <w:rPr>
                      <w:rFonts w:hint="eastAsia" w:ascii="Times New Roman" w:hAnsi="Times New Roman" w:cs="Times New Roman"/>
                      <w:color w:val="auto"/>
                      <w:kern w:val="2"/>
                      <w:sz w:val="21"/>
                      <w:szCs w:val="21"/>
                      <w:u w:val="none" w:color="auto"/>
                      <w:lang w:val="en-US" w:eastAsia="zh-CN" w:bidi="ar-SA"/>
                    </w:rPr>
                    <w:t>贮存库，危险废物使用密闭容器包装</w:t>
                  </w:r>
                </w:p>
              </w:tc>
              <w:tc>
                <w:tcPr>
                  <w:tcW w:w="1123" w:type="pct"/>
                  <w:tcBorders>
                    <w:tl2br w:val="nil"/>
                    <w:tr2bl w:val="nil"/>
                  </w:tcBorders>
                  <w:noWrap w:val="0"/>
                  <w:vAlign w:val="center"/>
                </w:tcPr>
                <w:p w14:paraId="32E125E0">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eastAsia" w:ascii="Times New Roman" w:hAnsi="Times New Roman" w:cs="Times New Roman"/>
                      <w:color w:val="auto"/>
                      <w:kern w:val="2"/>
                      <w:sz w:val="21"/>
                      <w:szCs w:val="21"/>
                      <w:u w:val="none" w:color="auto"/>
                      <w:lang w:val="en-US" w:eastAsia="zh-CN" w:bidi="ar-SA"/>
                    </w:rPr>
                    <w:t>1</w:t>
                  </w:r>
                </w:p>
              </w:tc>
            </w:tr>
            <w:tr w14:paraId="0F218A0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876" w:type="pct"/>
                  <w:gridSpan w:val="3"/>
                  <w:tcBorders>
                    <w:tl2br w:val="nil"/>
                    <w:tr2bl w:val="nil"/>
                  </w:tcBorders>
                  <w:noWrap w:val="0"/>
                  <w:vAlign w:val="center"/>
                </w:tcPr>
                <w:p w14:paraId="54051C9A">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总计</w:t>
                  </w:r>
                </w:p>
              </w:tc>
              <w:tc>
                <w:tcPr>
                  <w:tcW w:w="1123" w:type="pct"/>
                  <w:tcBorders>
                    <w:tl2br w:val="nil"/>
                    <w:tr2bl w:val="nil"/>
                  </w:tcBorders>
                  <w:noWrap w:val="0"/>
                  <w:vAlign w:val="center"/>
                </w:tcPr>
                <w:p w14:paraId="2DB077ED">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eastAsia" w:ascii="Times New Roman" w:hAnsi="Times New Roman" w:cs="Times New Roman"/>
                      <w:color w:val="auto"/>
                      <w:kern w:val="2"/>
                      <w:sz w:val="21"/>
                      <w:szCs w:val="21"/>
                      <w:u w:val="none" w:color="auto"/>
                      <w:lang w:val="en-US" w:eastAsia="zh-CN" w:bidi="ar-SA"/>
                    </w:rPr>
                  </w:pPr>
                  <w:r>
                    <w:rPr>
                      <w:rFonts w:hint="eastAsia" w:ascii="Times New Roman" w:hAnsi="Times New Roman" w:cs="Times New Roman"/>
                      <w:color w:val="auto"/>
                      <w:kern w:val="2"/>
                      <w:sz w:val="21"/>
                      <w:szCs w:val="21"/>
                      <w:u w:val="none" w:color="auto"/>
                      <w:lang w:val="en-US" w:eastAsia="zh-CN" w:bidi="ar-SA"/>
                    </w:rPr>
                    <w:t>30</w:t>
                  </w:r>
                </w:p>
              </w:tc>
            </w:tr>
            <w:tr w14:paraId="0CB1A2A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876" w:type="pct"/>
                  <w:gridSpan w:val="3"/>
                  <w:tcBorders>
                    <w:tl2br w:val="nil"/>
                    <w:tr2bl w:val="nil"/>
                  </w:tcBorders>
                  <w:noWrap w:val="0"/>
                  <w:vAlign w:val="center"/>
                </w:tcPr>
                <w:p w14:paraId="51F4154C">
                  <w:pPr>
                    <w:keepNext w:val="0"/>
                    <w:keepLines w:val="0"/>
                    <w:widowControl w:val="0"/>
                    <w:suppressLineNumbers w:val="0"/>
                    <w:adjustRightInd/>
                    <w:snapToGrid/>
                    <w:spacing w:before="0" w:beforeLines="0" w:beforeAutospacing="0" w:after="0" w:afterLines="0" w:afterAutospacing="0" w:line="240" w:lineRule="auto"/>
                    <w:ind w:left="0" w:right="0"/>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eastAsia" w:ascii="Times New Roman" w:hAnsi="Times New Roman" w:cs="Times New Roman"/>
                      <w:color w:val="auto"/>
                      <w:kern w:val="2"/>
                      <w:sz w:val="21"/>
                      <w:szCs w:val="21"/>
                      <w:u w:val="none" w:color="auto"/>
                      <w:lang w:val="en-US" w:eastAsia="zh-CN" w:bidi="ar-SA"/>
                    </w:rPr>
                    <w:t>总投资</w:t>
                  </w:r>
                </w:p>
              </w:tc>
              <w:tc>
                <w:tcPr>
                  <w:tcW w:w="1123" w:type="pct"/>
                  <w:tcBorders>
                    <w:tl2br w:val="nil"/>
                    <w:tr2bl w:val="nil"/>
                  </w:tcBorders>
                  <w:noWrap w:val="0"/>
                  <w:vAlign w:val="center"/>
                </w:tcPr>
                <w:p w14:paraId="508019E4">
                  <w:pPr>
                    <w:keepNext w:val="0"/>
                    <w:keepLines w:val="0"/>
                    <w:widowControl w:val="0"/>
                    <w:suppressLineNumbers w:val="0"/>
                    <w:adjustRightInd/>
                    <w:snapToGrid/>
                    <w:spacing w:before="0" w:beforeLines="0" w:beforeAutospacing="0" w:after="0" w:afterLines="0" w:afterAutospacing="0" w:line="240" w:lineRule="auto"/>
                    <w:ind w:left="0" w:right="0" w:firstLine="0" w:firstLineChars="0"/>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eastAsia" w:ascii="Times New Roman" w:hAnsi="Times New Roman" w:cs="Times New Roman"/>
                      <w:color w:val="auto"/>
                      <w:kern w:val="2"/>
                      <w:sz w:val="21"/>
                      <w:szCs w:val="21"/>
                      <w:u w:val="none" w:color="auto"/>
                      <w:lang w:val="en-US" w:eastAsia="zh-CN" w:bidi="ar-SA"/>
                    </w:rPr>
                    <w:t>505</w:t>
                  </w:r>
                </w:p>
              </w:tc>
            </w:tr>
          </w:tbl>
          <w:p w14:paraId="4FE82B2C">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5584EA1E">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6E8E2C31">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39097577">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74AC859A">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5C23E72A">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42327E46">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549B27D9">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26B566DC">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7358B04C">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636CE142">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6F11188B">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457412F8">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2288C036">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79C571F7">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5EDA3C3F">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4F6033D5">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7D07E3A4">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769B890A">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741E1218">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1D6E4B99">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5FDAD832">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32EA55F5">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03D224D4">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0B046838">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30FA1ABC">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7203A346">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15851584">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49D3B83D">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11EEFC91">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7058A103">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13B893E8">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06E58323">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62D3CA98">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74711E48">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17A7064B">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629B01F1">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6E27ACB2">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1A6AA207">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527FC1BC">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1648457E">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028C3791">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227188F8">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50C2A1DD">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661CA1D1">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6728F219">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6860C0CD">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7D7A939C">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2B4908E4">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49917510">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492F9A21">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p w14:paraId="5A6EE6A6">
            <w:pPr>
              <w:keepNext w:val="0"/>
              <w:keepLines w:val="0"/>
              <w:suppressLineNumbers w:val="0"/>
              <w:spacing w:before="0" w:beforeAutospacing="0" w:after="0" w:afterAutospacing="0" w:line="240" w:lineRule="auto"/>
              <w:ind w:left="0" w:right="0"/>
              <w:jc w:val="both"/>
              <w:rPr>
                <w:rFonts w:hint="default" w:ascii="Times New Roman" w:hAnsi="Times New Roman" w:cs="Times New Roman"/>
                <w:color w:val="auto"/>
                <w:kern w:val="2"/>
                <w:sz w:val="21"/>
                <w:u w:val="none" w:color="auto"/>
              </w:rPr>
            </w:pPr>
          </w:p>
        </w:tc>
      </w:tr>
    </w:tbl>
    <w:p w14:paraId="5488E878">
      <w:pPr>
        <w:spacing w:line="440" w:lineRule="exact"/>
        <w:jc w:val="both"/>
        <w:rPr>
          <w:rFonts w:hint="default" w:ascii="Times New Roman" w:hAnsi="Times New Roman" w:eastAsia="宋体" w:cs="Times New Roman"/>
          <w:color w:val="auto"/>
          <w:highlight w:val="none"/>
        </w:rPr>
        <w:sectPr>
          <w:footerReference r:id="rId12" w:type="default"/>
          <w:pgSz w:w="11907" w:h="16840" w:orient="landscape"/>
          <w:pgMar w:top="1440" w:right="1440" w:bottom="1389" w:left="1440" w:header="851" w:footer="850" w:gutter="0"/>
          <w:pgBorders>
            <w:top w:val="none" w:sz="0" w:space="0"/>
            <w:left w:val="none" w:sz="0" w:space="0"/>
            <w:bottom w:val="none" w:sz="0" w:space="0"/>
            <w:right w:val="none" w:sz="0" w:space="0"/>
          </w:pgBorders>
          <w:pgNumType w:fmt="decimal"/>
          <w:cols w:space="720" w:num="1"/>
        </w:sectPr>
      </w:pPr>
    </w:p>
    <w:p w14:paraId="552DBC89">
      <w:pPr>
        <w:spacing w:line="440" w:lineRule="exact"/>
        <w:jc w:val="center"/>
        <w:rPr>
          <w:rFonts w:hint="default" w:ascii="Times New Roman" w:hAnsi="Times New Roman" w:eastAsia="宋体" w:cs="Times New Roman"/>
          <w:bCs/>
          <w:color w:val="auto"/>
          <w:highlight w:val="none"/>
        </w:rPr>
        <w:sectPr>
          <w:type w:val="continuous"/>
          <w:pgSz w:w="11907" w:h="16840" w:orient="landscape"/>
          <w:pgMar w:top="1440" w:right="1440" w:bottom="1389" w:left="1440" w:header="851" w:footer="850" w:gutter="0"/>
          <w:pgBorders>
            <w:top w:val="none" w:sz="0" w:space="0"/>
            <w:left w:val="none" w:sz="0" w:space="0"/>
            <w:bottom w:val="none" w:sz="0" w:space="0"/>
            <w:right w:val="none" w:sz="0" w:space="0"/>
          </w:pgBorders>
          <w:pgNumType w:fmt="decimal"/>
          <w:cols w:space="720" w:num="1"/>
        </w:sectPr>
      </w:pPr>
    </w:p>
    <w:p w14:paraId="74E0D1BF">
      <w:pPr>
        <w:pStyle w:val="53"/>
        <w:numPr>
          <w:ilvl w:val="0"/>
          <w:numId w:val="8"/>
        </w:numPr>
        <w:spacing w:before="120" w:beforeAutospacing="0" w:after="0" w:afterAutospacing="0"/>
        <w:ind w:left="0" w:leftChars="0" w:firstLine="0" w:firstLineChars="0"/>
        <w:jc w:val="center"/>
        <w:outlineLvl w:val="0"/>
        <w:rPr>
          <w:rFonts w:hint="default" w:ascii="Times New Roman" w:hAnsi="Times New Roman" w:eastAsia="宋体" w:cs="Times New Roman"/>
          <w:b/>
          <w:bCs/>
          <w:color w:val="auto"/>
          <w:sz w:val="28"/>
          <w:szCs w:val="28"/>
          <w:highlight w:val="none"/>
        </w:rPr>
      </w:pPr>
      <w:bookmarkStart w:id="14" w:name="_Hlk54167917"/>
      <w:bookmarkStart w:id="15" w:name="_Toc4821"/>
      <w:r>
        <w:rPr>
          <w:rFonts w:hint="default" w:ascii="Times New Roman" w:hAnsi="Times New Roman" w:eastAsia="宋体" w:cs="Times New Roman"/>
          <w:b/>
          <w:bCs/>
          <w:color w:val="auto"/>
          <w:sz w:val="28"/>
          <w:szCs w:val="28"/>
          <w:highlight w:val="none"/>
        </w:rPr>
        <w:t>环境保护措施监督检查清单</w:t>
      </w:r>
      <w:bookmarkEnd w:id="14"/>
      <w:bookmarkEnd w:id="15"/>
    </w:p>
    <w:tbl>
      <w:tblPr>
        <w:tblStyle w:val="56"/>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258"/>
        <w:gridCol w:w="1809"/>
        <w:gridCol w:w="1125"/>
        <w:gridCol w:w="2406"/>
        <w:gridCol w:w="2202"/>
      </w:tblGrid>
      <w:tr w14:paraId="0566472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562" w:hRule="atLeast"/>
          <w:jc w:val="center"/>
        </w:trPr>
        <w:tc>
          <w:tcPr>
            <w:tcW w:w="1258" w:type="dxa"/>
            <w:tcBorders>
              <w:tl2br w:val="nil"/>
              <w:tr2bl w:val="nil"/>
            </w:tcBorders>
            <w:noWrap w:val="0"/>
            <w:vAlign w:val="top"/>
            <mc:AlternateContent>
              <mc:Choice Requires="wpsCustomData">
                <wpsCustomData:diagonals>
                  <wpsCustomData:diagonal from="30000" to="10000">
                    <wpsCustomData:border w:val="single" w:color="auto" w:sz="8" w:space="0"/>
                  </wpsCustomData:diagonal>
                </wpsCustomData:diagonals>
              </mc:Choice>
            </mc:AlternateContent>
          </w:tcPr>
          <w:p w14:paraId="627CB82E">
            <w:pPr>
              <w:keepNext w:val="0"/>
              <w:keepLines w:val="0"/>
              <w:suppressLineNumbers w:val="0"/>
              <w:adjustRightInd w:val="0"/>
              <w:snapToGrid w:val="0"/>
              <w:spacing w:before="0" w:beforeAutospacing="0" w:after="0" w:afterAutospacing="0" w:line="240" w:lineRule="auto"/>
              <w:ind w:left="0" w:right="0"/>
              <w:jc w:val="both"/>
              <w:rPr>
                <w:rFonts w:hint="default" w:ascii="Times New Roman" w:hAnsi="Times New Roman" w:cs="Times New Roman"/>
                <w:b/>
                <w:bCs/>
                <w:color w:val="auto"/>
                <w:kern w:val="2"/>
                <w:sz w:val="24"/>
                <w:szCs w:val="24"/>
                <w:u w:val="none" w:color="auto"/>
              </w:rPr>
            </w:pPr>
          </w:p>
          <w:p w14:paraId="30CF1AFB">
            <w:pPr>
              <w:keepNext w:val="0"/>
              <w:keepLines w:val="0"/>
              <w:suppressLineNumbers w:val="0"/>
              <w:adjustRightInd w:val="0"/>
              <w:snapToGrid w:val="0"/>
              <w:spacing w:before="0" w:beforeAutospacing="0" w:after="0" w:afterAutospacing="0" w:line="240" w:lineRule="auto"/>
              <w:ind w:left="0" w:right="0"/>
              <w:jc w:val="both"/>
              <w:rPr>
                <w:rFonts w:hint="default" w:ascii="Times New Roman" w:hAnsi="Times New Roman" w:cs="Times New Roman"/>
                <w:b/>
                <w:bCs/>
                <w:color w:val="auto"/>
                <w:kern w:val="2"/>
                <w:sz w:val="24"/>
                <w:szCs w:val="24"/>
                <w:u w:val="none" w:color="auto"/>
              </w:rPr>
            </w:pPr>
          </w:p>
          <w:p w14:paraId="747F17FA">
            <w:pPr>
              <w:keepNext w:val="0"/>
              <w:keepLines w:val="0"/>
              <w:suppressLineNumbers w:val="0"/>
              <w:adjustRightInd w:val="0"/>
              <w:snapToGrid w:val="0"/>
              <w:spacing w:before="0" w:beforeAutospacing="0" w:after="0" w:afterAutospacing="0" w:line="240" w:lineRule="auto"/>
              <w:ind w:left="0" w:right="0"/>
              <w:jc w:val="both"/>
              <mc:AlternateContent>
                <mc:Choice Requires="wpsCustomData">
                  <wpsCustomData:diagonalParaType/>
                </mc:Choice>
              </mc:AlternateContent>
              <w:rPr>
                <w:rFonts w:hint="default" w:ascii="Times New Roman" w:hAnsi="Times New Roman" w:cs="Times New Roman"/>
                <w:b/>
                <w:bCs/>
                <w:color w:val="auto"/>
                <w:kern w:val="2"/>
                <w:sz w:val="24"/>
                <w:szCs w:val="24"/>
                <w:u w:val="none" w:color="auto"/>
              </w:rPr>
            </w:pPr>
            <w:r>
              <w:rPr>
                <w:rFonts w:hint="default" w:ascii="Times New Roman" w:hAnsi="Times New Roman" w:cs="Times New Roman"/>
                <w:b/>
                <w:bCs/>
                <w:color w:val="auto"/>
                <w:kern w:val="2"/>
                <w:sz w:val="24"/>
                <w:szCs w:val="24"/>
                <w:u w:val="none" w:color="auto"/>
              </w:rPr>
              <w:t>要素</w:t>
            </w:r>
          </w:p>
          <w:p w14:paraId="31444EB8">
            <w:pPr>
              <w:keepNext w:val="0"/>
              <w:keepLines w:val="0"/>
              <w:suppressLineNumbers w:val="0"/>
              <w:adjustRightInd w:val="0"/>
              <w:snapToGrid w:val="0"/>
              <w:spacing w:before="0" w:beforeAutospacing="0" w:after="0" w:afterAutospacing="0" w:line="240" w:lineRule="auto"/>
              <w:ind w:left="0" w:right="0"/>
              <w:jc w:val="both"/>
              <w:rPr>
                <w:rFonts w:hint="default" w:ascii="Times New Roman" w:hAnsi="Times New Roman" w:cs="Times New Roman"/>
                <w:b/>
                <w:bCs/>
                <w:color w:val="auto"/>
                <w:kern w:val="2"/>
                <w:sz w:val="24"/>
                <w:szCs w:val="24"/>
                <w:u w:val="none" w:color="auto"/>
              </w:rPr>
            </w:pPr>
            <w:r>
              <w:rPr>
                <w:rFonts w:hint="default" w:ascii="Times New Roman" w:hAnsi="Times New Roman" w:cs="Times New Roman"/>
                <w:b/>
                <w:bCs/>
                <w:color w:val="auto"/>
                <w:kern w:val="2"/>
                <w:sz w:val="24"/>
                <w:szCs w:val="24"/>
                <w:u w:val="none" w:color="auto"/>
              </w:rPr>
              <w:t>内容</w:t>
            </w:r>
          </w:p>
        </w:tc>
        <w:tc>
          <w:tcPr>
            <w:tcW w:w="1809" w:type="dxa"/>
            <w:tcBorders>
              <w:tl2br w:val="nil"/>
              <w:tr2bl w:val="nil"/>
            </w:tcBorders>
            <w:noWrap w:val="0"/>
            <w:vAlign w:val="center"/>
          </w:tcPr>
          <w:p w14:paraId="13F289F2">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4"/>
                <w:szCs w:val="24"/>
                <w:u w:val="none" w:color="auto"/>
              </w:rPr>
            </w:pPr>
            <w:r>
              <w:rPr>
                <w:rFonts w:hint="default" w:ascii="Times New Roman" w:hAnsi="Times New Roman" w:cs="Times New Roman"/>
                <w:b/>
                <w:bCs/>
                <w:color w:val="auto"/>
                <w:kern w:val="2"/>
                <w:sz w:val="24"/>
                <w:szCs w:val="24"/>
                <w:u w:val="none" w:color="auto"/>
              </w:rPr>
              <w:t>排放口</w:t>
            </w:r>
            <w:r>
              <w:rPr>
                <w:rFonts w:hint="eastAsia" w:ascii="Times New Roman" w:hAnsi="Times New Roman" w:cs="Times New Roman"/>
                <w:b/>
                <w:bCs/>
                <w:color w:val="auto"/>
                <w:kern w:val="2"/>
                <w:sz w:val="24"/>
                <w:szCs w:val="24"/>
                <w:u w:val="none" w:color="auto"/>
                <w:lang w:eastAsia="zh-CN"/>
              </w:rPr>
              <w:t>（</w:t>
            </w:r>
            <w:r>
              <w:rPr>
                <w:rFonts w:hint="default" w:ascii="Times New Roman" w:hAnsi="Times New Roman" w:cs="Times New Roman"/>
                <w:b/>
                <w:bCs/>
                <w:color w:val="auto"/>
                <w:kern w:val="2"/>
                <w:sz w:val="24"/>
                <w:szCs w:val="24"/>
                <w:u w:val="none" w:color="auto"/>
              </w:rPr>
              <w:t>编号、名称</w:t>
            </w:r>
            <w:r>
              <w:rPr>
                <w:rFonts w:hint="eastAsia" w:ascii="Times New Roman" w:hAnsi="Times New Roman" w:cs="Times New Roman"/>
                <w:b/>
                <w:bCs/>
                <w:color w:val="auto"/>
                <w:kern w:val="2"/>
                <w:sz w:val="24"/>
                <w:szCs w:val="24"/>
                <w:u w:val="none" w:color="auto"/>
                <w:lang w:eastAsia="zh-CN"/>
              </w:rPr>
              <w:t>）</w:t>
            </w:r>
            <w:r>
              <w:rPr>
                <w:rFonts w:hint="default" w:ascii="Times New Roman" w:hAnsi="Times New Roman" w:cs="Times New Roman"/>
                <w:b/>
                <w:bCs/>
                <w:color w:val="auto"/>
                <w:kern w:val="2"/>
                <w:sz w:val="24"/>
                <w:szCs w:val="24"/>
                <w:u w:val="none" w:color="auto"/>
              </w:rPr>
              <w:t>/污染源</w:t>
            </w:r>
          </w:p>
        </w:tc>
        <w:tc>
          <w:tcPr>
            <w:tcW w:w="1125" w:type="dxa"/>
            <w:tcBorders>
              <w:tl2br w:val="nil"/>
              <w:tr2bl w:val="nil"/>
            </w:tcBorders>
            <w:noWrap w:val="0"/>
            <w:vAlign w:val="center"/>
          </w:tcPr>
          <w:p w14:paraId="074604F4">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4"/>
                <w:szCs w:val="24"/>
                <w:u w:val="none" w:color="auto"/>
              </w:rPr>
            </w:pPr>
            <w:r>
              <w:rPr>
                <w:rFonts w:hint="default" w:ascii="Times New Roman" w:hAnsi="Times New Roman" w:cs="Times New Roman"/>
                <w:b/>
                <w:bCs/>
                <w:color w:val="auto"/>
                <w:kern w:val="2"/>
                <w:sz w:val="24"/>
                <w:szCs w:val="24"/>
                <w:u w:val="none" w:color="auto"/>
              </w:rPr>
              <w:t>污染物项目</w:t>
            </w:r>
          </w:p>
        </w:tc>
        <w:tc>
          <w:tcPr>
            <w:tcW w:w="2406" w:type="dxa"/>
            <w:tcBorders>
              <w:tl2br w:val="nil"/>
              <w:tr2bl w:val="nil"/>
            </w:tcBorders>
            <w:noWrap w:val="0"/>
            <w:vAlign w:val="center"/>
          </w:tcPr>
          <w:p w14:paraId="495BD61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4"/>
                <w:szCs w:val="24"/>
                <w:u w:val="none" w:color="auto"/>
              </w:rPr>
            </w:pPr>
            <w:r>
              <w:rPr>
                <w:rFonts w:hint="default" w:ascii="Times New Roman" w:hAnsi="Times New Roman" w:cs="Times New Roman"/>
                <w:b/>
                <w:bCs/>
                <w:color w:val="auto"/>
                <w:kern w:val="2"/>
                <w:sz w:val="24"/>
                <w:szCs w:val="24"/>
                <w:u w:val="none" w:color="auto"/>
              </w:rPr>
              <w:t>环境保护措施</w:t>
            </w:r>
          </w:p>
        </w:tc>
        <w:tc>
          <w:tcPr>
            <w:tcW w:w="2202" w:type="dxa"/>
            <w:tcBorders>
              <w:tl2br w:val="nil"/>
              <w:tr2bl w:val="nil"/>
            </w:tcBorders>
            <w:noWrap w:val="0"/>
            <w:vAlign w:val="center"/>
          </w:tcPr>
          <w:p w14:paraId="002DEC4D">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4"/>
                <w:szCs w:val="24"/>
                <w:u w:val="none" w:color="auto"/>
              </w:rPr>
            </w:pPr>
            <w:r>
              <w:rPr>
                <w:rFonts w:hint="default" w:ascii="Times New Roman" w:hAnsi="Times New Roman" w:cs="Times New Roman"/>
                <w:b/>
                <w:bCs/>
                <w:color w:val="auto"/>
                <w:kern w:val="2"/>
                <w:sz w:val="24"/>
                <w:szCs w:val="24"/>
                <w:u w:val="none" w:color="auto"/>
              </w:rPr>
              <w:t>执行标准</w:t>
            </w:r>
          </w:p>
        </w:tc>
      </w:tr>
      <w:tr w14:paraId="47309C4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641" w:hRule="atLeast"/>
          <w:jc w:val="center"/>
        </w:trPr>
        <w:tc>
          <w:tcPr>
            <w:tcW w:w="1258" w:type="dxa"/>
            <w:vMerge w:val="restart"/>
            <w:tcBorders>
              <w:tl2br w:val="nil"/>
              <w:tr2bl w:val="nil"/>
            </w:tcBorders>
            <w:noWrap w:val="0"/>
            <w:vAlign w:val="center"/>
          </w:tcPr>
          <w:p w14:paraId="72BC815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u w:val="none" w:color="auto"/>
                <w:lang w:val="en-US" w:eastAsia="zh-CN"/>
              </w:rPr>
            </w:pPr>
            <w:r>
              <w:rPr>
                <w:rFonts w:hint="default" w:ascii="Times New Roman" w:hAnsi="Times New Roman" w:cs="Times New Roman"/>
                <w:color w:val="auto"/>
                <w:kern w:val="2"/>
                <w:sz w:val="24"/>
                <w:szCs w:val="24"/>
                <w:u w:val="none" w:color="auto"/>
                <w:lang w:val="en-US" w:eastAsia="zh-CN"/>
              </w:rPr>
              <w:t>大气环境</w:t>
            </w:r>
          </w:p>
        </w:tc>
        <w:tc>
          <w:tcPr>
            <w:tcW w:w="1809" w:type="dxa"/>
            <w:tcBorders>
              <w:tl2br w:val="nil"/>
              <w:tr2bl w:val="nil"/>
            </w:tcBorders>
            <w:noWrap w:val="0"/>
            <w:vAlign w:val="center"/>
          </w:tcPr>
          <w:p w14:paraId="7CC99AB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u w:val="none" w:color="auto"/>
                <w:lang w:val="en-US" w:eastAsia="zh-CN"/>
              </w:rPr>
            </w:pPr>
            <w:r>
              <w:rPr>
                <w:rFonts w:hint="default" w:ascii="Times New Roman" w:hAnsi="Times New Roman" w:eastAsia="宋体" w:cs="Times New Roman"/>
                <w:color w:val="auto"/>
                <w:kern w:val="2"/>
                <w:sz w:val="24"/>
                <w:szCs w:val="24"/>
                <w:u w:val="none" w:color="auto"/>
                <w:lang w:val="en-US" w:eastAsia="zh-CN"/>
              </w:rPr>
              <w:t>熔炼废气</w:t>
            </w:r>
          </w:p>
          <w:p w14:paraId="20E14E0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u w:val="none" w:color="auto"/>
                <w:lang w:val="en-US" w:eastAsia="zh-CN"/>
              </w:rPr>
            </w:pPr>
            <w:r>
              <w:rPr>
                <w:rFonts w:hint="default" w:ascii="Times New Roman" w:hAnsi="Times New Roman" w:eastAsia="宋体" w:cs="Times New Roman"/>
                <w:color w:val="auto"/>
                <w:kern w:val="2"/>
                <w:sz w:val="24"/>
                <w:szCs w:val="24"/>
                <w:u w:val="none" w:color="auto"/>
                <w:lang w:val="en-US" w:eastAsia="zh-CN"/>
              </w:rPr>
              <w:t>造型废气</w:t>
            </w:r>
          </w:p>
          <w:p w14:paraId="215E2074">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u w:val="none" w:color="auto"/>
                <w:lang w:val="en-US" w:eastAsia="zh-CN"/>
              </w:rPr>
            </w:pPr>
            <w:r>
              <w:rPr>
                <w:rFonts w:hint="default" w:ascii="Times New Roman" w:hAnsi="Times New Roman" w:eastAsia="宋体" w:cs="Times New Roman"/>
                <w:color w:val="auto"/>
                <w:kern w:val="2"/>
                <w:sz w:val="24"/>
                <w:szCs w:val="24"/>
                <w:u w:val="none" w:color="auto"/>
                <w:lang w:val="en-US" w:eastAsia="zh-CN"/>
              </w:rPr>
              <w:t>打磨清理废气</w:t>
            </w:r>
          </w:p>
          <w:p w14:paraId="05D18EF6">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u w:val="none" w:color="auto"/>
                <w:lang w:val="en-US" w:eastAsia="zh-CN"/>
              </w:rPr>
            </w:pPr>
            <w:r>
              <w:rPr>
                <w:rFonts w:hint="default" w:ascii="Times New Roman" w:hAnsi="Times New Roman" w:eastAsia="宋体" w:cs="Times New Roman"/>
                <w:color w:val="auto"/>
                <w:kern w:val="2"/>
                <w:sz w:val="24"/>
                <w:szCs w:val="24"/>
                <w:u w:val="none" w:color="auto"/>
                <w:lang w:val="en-US" w:eastAsia="zh-CN"/>
              </w:rPr>
              <w:t>砂处理</w:t>
            </w:r>
          </w:p>
        </w:tc>
        <w:tc>
          <w:tcPr>
            <w:tcW w:w="1125" w:type="dxa"/>
            <w:tcBorders>
              <w:tl2br w:val="nil"/>
              <w:tr2bl w:val="nil"/>
            </w:tcBorders>
            <w:noWrap w:val="0"/>
            <w:vAlign w:val="center"/>
          </w:tcPr>
          <w:p w14:paraId="1207656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u w:val="none" w:color="auto"/>
                <w:lang w:val="en-US" w:eastAsia="zh-CN"/>
              </w:rPr>
            </w:pPr>
            <w:r>
              <w:rPr>
                <w:rFonts w:hint="default" w:ascii="Times New Roman" w:hAnsi="Times New Roman" w:eastAsia="宋体" w:cs="Times New Roman"/>
                <w:color w:val="auto"/>
                <w:kern w:val="2"/>
                <w:sz w:val="24"/>
                <w:szCs w:val="24"/>
                <w:u w:val="none" w:color="auto"/>
                <w:lang w:val="en-US" w:eastAsia="zh-CN"/>
              </w:rPr>
              <w:t>颗粒物</w:t>
            </w:r>
          </w:p>
        </w:tc>
        <w:tc>
          <w:tcPr>
            <w:tcW w:w="2406" w:type="dxa"/>
            <w:tcBorders>
              <w:tl2br w:val="nil"/>
              <w:tr2bl w:val="nil"/>
            </w:tcBorders>
            <w:noWrap w:val="0"/>
            <w:vAlign w:val="center"/>
          </w:tcPr>
          <w:p w14:paraId="5E4945D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u w:val="none" w:color="auto"/>
                <w:lang w:val="en-US" w:eastAsia="zh-CN"/>
              </w:rPr>
            </w:pPr>
            <w:r>
              <w:rPr>
                <w:rFonts w:hint="default" w:ascii="Times New Roman" w:hAnsi="Times New Roman" w:eastAsia="宋体" w:cs="Times New Roman"/>
                <w:color w:val="auto"/>
                <w:kern w:val="2"/>
                <w:sz w:val="24"/>
                <w:szCs w:val="24"/>
                <w:u w:val="none" w:color="auto"/>
                <w:lang w:val="en-US" w:eastAsia="zh-CN"/>
              </w:rPr>
              <w:t>熔炼废气经炉盖一体化装置收集、造型废气经集气罩收集、打磨清理废气经密闭管道收集、砂处理废气经密闭管道收集后经一台脉冲布袋除尘器处理后通过15m高DA001排气筒排放</w:t>
            </w:r>
          </w:p>
        </w:tc>
        <w:tc>
          <w:tcPr>
            <w:tcW w:w="2202" w:type="dxa"/>
            <w:tcBorders>
              <w:tl2br w:val="nil"/>
              <w:tr2bl w:val="nil"/>
            </w:tcBorders>
            <w:noWrap w:val="0"/>
            <w:vAlign w:val="center"/>
          </w:tcPr>
          <w:p w14:paraId="15EB0F8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u w:val="none" w:color="auto"/>
                <w:lang w:val="en-US" w:eastAsia="zh-CN"/>
              </w:rPr>
            </w:pPr>
            <w:r>
              <w:rPr>
                <w:rFonts w:hint="default" w:ascii="Times New Roman" w:hAnsi="Times New Roman" w:eastAsia="宋体" w:cs="Times New Roman"/>
                <w:color w:val="auto"/>
                <w:kern w:val="2"/>
                <w:sz w:val="24"/>
                <w:szCs w:val="24"/>
                <w:u w:val="none" w:color="auto"/>
                <w:lang w:val="en-US" w:eastAsia="zh-CN"/>
              </w:rPr>
              <w:t>执行《铸造工业大气污染物排放标准》（GB39726-2020）表1标准限值</w:t>
            </w:r>
          </w:p>
        </w:tc>
      </w:tr>
      <w:tr w14:paraId="2E1FD53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32" w:hRule="atLeast"/>
          <w:jc w:val="center"/>
        </w:trPr>
        <w:tc>
          <w:tcPr>
            <w:tcW w:w="1258" w:type="dxa"/>
            <w:vMerge w:val="continue"/>
            <w:tcBorders>
              <w:tl2br w:val="nil"/>
              <w:tr2bl w:val="nil"/>
            </w:tcBorders>
            <w:noWrap w:val="0"/>
            <w:vAlign w:val="center"/>
          </w:tcPr>
          <w:p w14:paraId="228509D2">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rPr>
            </w:pPr>
          </w:p>
        </w:tc>
        <w:tc>
          <w:tcPr>
            <w:tcW w:w="1809" w:type="dxa"/>
            <w:tcBorders>
              <w:tl2br w:val="nil"/>
              <w:tr2bl w:val="nil"/>
            </w:tcBorders>
            <w:noWrap w:val="0"/>
            <w:vAlign w:val="center"/>
          </w:tcPr>
          <w:p w14:paraId="49E48127">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u w:val="none" w:color="auto"/>
                <w:lang w:val="en-US" w:eastAsia="zh-CN"/>
              </w:rPr>
            </w:pPr>
            <w:r>
              <w:rPr>
                <w:rFonts w:hint="default" w:ascii="Times New Roman" w:hAnsi="Times New Roman" w:eastAsia="宋体" w:cs="Times New Roman"/>
                <w:color w:val="auto"/>
                <w:kern w:val="2"/>
                <w:sz w:val="24"/>
                <w:szCs w:val="24"/>
                <w:u w:val="none" w:color="auto"/>
                <w:lang w:val="en-US" w:eastAsia="zh-CN"/>
              </w:rPr>
              <w:t>浇注废气、模具清理废气、球冒分离废气</w:t>
            </w:r>
          </w:p>
        </w:tc>
        <w:tc>
          <w:tcPr>
            <w:tcW w:w="1125" w:type="dxa"/>
            <w:tcBorders>
              <w:tl2br w:val="nil"/>
              <w:tr2bl w:val="nil"/>
            </w:tcBorders>
            <w:noWrap w:val="0"/>
            <w:vAlign w:val="center"/>
          </w:tcPr>
          <w:p w14:paraId="3F7CDDE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u w:val="none" w:color="auto"/>
                <w:lang w:val="en-US" w:eastAsia="zh-CN"/>
              </w:rPr>
            </w:pPr>
            <w:r>
              <w:rPr>
                <w:rFonts w:hint="default" w:ascii="Times New Roman" w:hAnsi="Times New Roman" w:eastAsia="宋体" w:cs="Times New Roman"/>
                <w:color w:val="auto"/>
                <w:kern w:val="2"/>
                <w:sz w:val="24"/>
                <w:szCs w:val="24"/>
                <w:u w:val="none" w:color="auto"/>
                <w:lang w:val="en-US" w:eastAsia="zh-CN"/>
              </w:rPr>
              <w:t>颗粒物</w:t>
            </w:r>
          </w:p>
        </w:tc>
        <w:tc>
          <w:tcPr>
            <w:tcW w:w="2406" w:type="dxa"/>
            <w:tcBorders>
              <w:tl2br w:val="nil"/>
              <w:tr2bl w:val="nil"/>
            </w:tcBorders>
            <w:noWrap w:val="0"/>
            <w:vAlign w:val="center"/>
          </w:tcPr>
          <w:p w14:paraId="0370872A">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u w:val="none" w:color="auto"/>
                <w:lang w:val="en-US" w:eastAsia="zh-CN"/>
              </w:rPr>
            </w:pPr>
            <w:r>
              <w:rPr>
                <w:rFonts w:hint="default" w:ascii="Times New Roman" w:hAnsi="Times New Roman" w:eastAsia="宋体" w:cs="Times New Roman"/>
                <w:color w:val="auto"/>
                <w:kern w:val="2"/>
                <w:sz w:val="24"/>
                <w:szCs w:val="24"/>
                <w:u w:val="none" w:color="auto"/>
                <w:lang w:val="en-US" w:eastAsia="zh-CN"/>
              </w:rPr>
              <w:t>集气罩收集后经1台脉冲布袋除尘器处理后通过</w:t>
            </w:r>
            <w:r>
              <w:rPr>
                <w:rFonts w:hint="eastAsia" w:ascii="Times New Roman" w:hAnsi="Times New Roman" w:cs="Times New Roman"/>
                <w:color w:val="auto"/>
                <w:kern w:val="2"/>
                <w:sz w:val="24"/>
                <w:szCs w:val="24"/>
                <w:u w:val="none" w:color="auto"/>
                <w:lang w:val="en-US" w:eastAsia="zh-CN"/>
              </w:rPr>
              <w:t>1根</w:t>
            </w:r>
            <w:r>
              <w:rPr>
                <w:rFonts w:hint="default" w:ascii="Times New Roman" w:hAnsi="Times New Roman" w:eastAsia="宋体" w:cs="Times New Roman"/>
                <w:color w:val="auto"/>
                <w:kern w:val="2"/>
                <w:sz w:val="24"/>
                <w:szCs w:val="24"/>
                <w:u w:val="none" w:color="auto"/>
                <w:lang w:val="en-US" w:eastAsia="zh-CN"/>
              </w:rPr>
              <w:t>15m高DA002排气筒排放</w:t>
            </w:r>
          </w:p>
        </w:tc>
        <w:tc>
          <w:tcPr>
            <w:tcW w:w="2202" w:type="dxa"/>
            <w:tcBorders>
              <w:tl2br w:val="nil"/>
              <w:tr2bl w:val="nil"/>
            </w:tcBorders>
            <w:noWrap w:val="0"/>
            <w:vAlign w:val="center"/>
          </w:tcPr>
          <w:p w14:paraId="634E6A8F">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u w:val="none" w:color="auto"/>
                <w:lang w:val="en-US" w:eastAsia="zh-CN"/>
              </w:rPr>
            </w:pPr>
            <w:r>
              <w:rPr>
                <w:rFonts w:hint="default" w:ascii="Times New Roman" w:hAnsi="Times New Roman" w:eastAsia="宋体" w:cs="Times New Roman"/>
                <w:color w:val="auto"/>
                <w:kern w:val="2"/>
                <w:sz w:val="24"/>
                <w:szCs w:val="24"/>
                <w:u w:val="none" w:color="auto"/>
                <w:lang w:val="en-US" w:eastAsia="zh-CN"/>
              </w:rPr>
              <w:t>执行《铸造工业大气污染物排放标准》（GB39726-2020）表1标准限值</w:t>
            </w:r>
          </w:p>
        </w:tc>
      </w:tr>
      <w:tr w14:paraId="5BA2A7B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32" w:hRule="atLeast"/>
          <w:jc w:val="center"/>
        </w:trPr>
        <w:tc>
          <w:tcPr>
            <w:tcW w:w="1258" w:type="dxa"/>
            <w:vMerge w:val="continue"/>
            <w:tcBorders>
              <w:tl2br w:val="nil"/>
              <w:tr2bl w:val="nil"/>
            </w:tcBorders>
            <w:noWrap w:val="0"/>
            <w:vAlign w:val="center"/>
          </w:tcPr>
          <w:p w14:paraId="03646F74">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rPr>
            </w:pPr>
          </w:p>
        </w:tc>
        <w:tc>
          <w:tcPr>
            <w:tcW w:w="1809" w:type="dxa"/>
            <w:tcBorders>
              <w:tl2br w:val="nil"/>
              <w:tr2bl w:val="nil"/>
            </w:tcBorders>
            <w:noWrap w:val="0"/>
            <w:vAlign w:val="center"/>
          </w:tcPr>
          <w:p w14:paraId="4BFB03D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u w:val="none" w:color="auto"/>
                <w:lang w:val="en-US" w:eastAsia="zh-CN"/>
              </w:rPr>
            </w:pPr>
            <w:r>
              <w:rPr>
                <w:rFonts w:hint="default" w:ascii="Times New Roman" w:hAnsi="Times New Roman" w:eastAsia="宋体" w:cs="Times New Roman"/>
                <w:color w:val="auto"/>
                <w:kern w:val="2"/>
                <w:sz w:val="24"/>
                <w:szCs w:val="24"/>
                <w:u w:val="none" w:color="auto"/>
                <w:lang w:val="en-US" w:eastAsia="zh-CN"/>
              </w:rPr>
              <w:t>热处理废气</w:t>
            </w:r>
          </w:p>
        </w:tc>
        <w:tc>
          <w:tcPr>
            <w:tcW w:w="1125" w:type="dxa"/>
            <w:tcBorders>
              <w:tl2br w:val="nil"/>
              <w:tr2bl w:val="nil"/>
            </w:tcBorders>
            <w:noWrap w:val="0"/>
            <w:vAlign w:val="center"/>
          </w:tcPr>
          <w:p w14:paraId="4527AE5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u w:val="none" w:color="auto"/>
                <w:lang w:val="en-US" w:eastAsia="zh-CN"/>
              </w:rPr>
            </w:pPr>
            <w:r>
              <w:rPr>
                <w:rFonts w:hint="default" w:ascii="Times New Roman" w:hAnsi="Times New Roman" w:eastAsia="宋体" w:cs="Times New Roman"/>
                <w:color w:val="auto"/>
                <w:kern w:val="2"/>
                <w:sz w:val="24"/>
                <w:szCs w:val="24"/>
                <w:u w:val="none" w:color="auto"/>
                <w:lang w:val="en-US" w:eastAsia="zh-CN"/>
              </w:rPr>
              <w:t>颗粒物</w:t>
            </w:r>
          </w:p>
          <w:p w14:paraId="1A8FC040">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u w:val="none" w:color="auto"/>
                <w:lang w:val="en-US" w:eastAsia="zh-CN"/>
              </w:rPr>
            </w:pPr>
            <w:r>
              <w:rPr>
                <w:rFonts w:hint="eastAsia" w:ascii="Times New Roman" w:hAnsi="Times New Roman" w:eastAsia="宋体" w:cs="Times New Roman"/>
                <w:color w:val="auto"/>
                <w:kern w:val="2"/>
                <w:sz w:val="24"/>
                <w:szCs w:val="24"/>
                <w:u w:val="none" w:color="auto"/>
                <w:lang w:val="en-US" w:eastAsia="zh-CN"/>
              </w:rPr>
              <w:t>非甲烷总烃</w:t>
            </w:r>
          </w:p>
        </w:tc>
        <w:tc>
          <w:tcPr>
            <w:tcW w:w="2406" w:type="dxa"/>
            <w:tcBorders>
              <w:tl2br w:val="nil"/>
              <w:tr2bl w:val="nil"/>
            </w:tcBorders>
            <w:noWrap w:val="0"/>
            <w:vAlign w:val="center"/>
          </w:tcPr>
          <w:p w14:paraId="48DBBE58">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u w:val="none" w:color="auto"/>
                <w:lang w:val="en-US" w:eastAsia="zh-CN"/>
              </w:rPr>
            </w:pPr>
            <w:r>
              <w:rPr>
                <w:rFonts w:hint="default" w:ascii="Times New Roman" w:hAnsi="Times New Roman" w:eastAsia="宋体" w:cs="Times New Roman"/>
                <w:color w:val="auto"/>
                <w:kern w:val="2"/>
                <w:sz w:val="24"/>
                <w:szCs w:val="24"/>
                <w:u w:val="none" w:color="auto"/>
                <w:lang w:val="en-US" w:eastAsia="zh-CN"/>
              </w:rPr>
              <w:t>集气罩收集后经高压静电油烟净化处理后通过15m高DA003排气筒排放</w:t>
            </w:r>
          </w:p>
        </w:tc>
        <w:tc>
          <w:tcPr>
            <w:tcW w:w="2202" w:type="dxa"/>
            <w:tcBorders>
              <w:tl2br w:val="nil"/>
              <w:tr2bl w:val="nil"/>
            </w:tcBorders>
            <w:shd w:val="clear" w:color="auto" w:fill="auto"/>
            <w:noWrap w:val="0"/>
            <w:vAlign w:val="center"/>
          </w:tcPr>
          <w:p w14:paraId="6A068B9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4"/>
                <w:szCs w:val="24"/>
                <w:u w:val="none" w:color="auto"/>
                <w:lang w:val="en-US" w:eastAsia="zh-CN" w:bidi="ar-SA"/>
              </w:rPr>
            </w:pPr>
            <w:r>
              <w:rPr>
                <w:rFonts w:hint="default" w:ascii="Times New Roman" w:hAnsi="Times New Roman" w:eastAsia="宋体" w:cs="Times New Roman"/>
                <w:color w:val="auto"/>
                <w:kern w:val="2"/>
                <w:sz w:val="24"/>
                <w:szCs w:val="24"/>
                <w:u w:val="none" w:color="auto"/>
                <w:lang w:val="en-US" w:eastAsia="zh-CN"/>
              </w:rPr>
              <w:t>执行《铸造工业大气污染物排放标准》（GB39726-2020）表1标准限值</w:t>
            </w:r>
          </w:p>
        </w:tc>
      </w:tr>
      <w:tr w14:paraId="2820CEB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674" w:hRule="atLeast"/>
          <w:jc w:val="center"/>
        </w:trPr>
        <w:tc>
          <w:tcPr>
            <w:tcW w:w="1258" w:type="dxa"/>
            <w:vMerge w:val="continue"/>
            <w:tcBorders>
              <w:tl2br w:val="nil"/>
              <w:tr2bl w:val="nil"/>
            </w:tcBorders>
            <w:noWrap w:val="0"/>
            <w:vAlign w:val="center"/>
          </w:tcPr>
          <w:p w14:paraId="4C979AE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rPr>
            </w:pPr>
          </w:p>
        </w:tc>
        <w:tc>
          <w:tcPr>
            <w:tcW w:w="1809" w:type="dxa"/>
            <w:tcBorders>
              <w:tl2br w:val="nil"/>
              <w:tr2bl w:val="nil"/>
            </w:tcBorders>
            <w:noWrap w:val="0"/>
            <w:vAlign w:val="center"/>
          </w:tcPr>
          <w:p w14:paraId="109AD8D7">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lang w:val="en-US" w:eastAsia="zh-CN"/>
              </w:rPr>
            </w:pPr>
            <w:r>
              <w:rPr>
                <w:rFonts w:hint="default" w:ascii="Times New Roman" w:hAnsi="Times New Roman" w:cs="Times New Roman"/>
                <w:color w:val="auto"/>
                <w:kern w:val="2"/>
                <w:sz w:val="24"/>
                <w:szCs w:val="24"/>
                <w:u w:val="none" w:color="auto"/>
              </w:rPr>
              <w:t>无组织</w:t>
            </w:r>
            <w:r>
              <w:rPr>
                <w:rFonts w:hint="eastAsia" w:ascii="Times New Roman" w:hAnsi="Times New Roman" w:cs="Times New Roman"/>
                <w:color w:val="auto"/>
                <w:kern w:val="2"/>
                <w:sz w:val="24"/>
                <w:szCs w:val="24"/>
                <w:u w:val="none" w:color="auto"/>
                <w:lang w:eastAsia="zh-CN"/>
              </w:rPr>
              <w:t>（</w:t>
            </w:r>
            <w:r>
              <w:rPr>
                <w:rFonts w:hint="default" w:ascii="Times New Roman" w:hAnsi="Times New Roman" w:cs="Times New Roman"/>
                <w:color w:val="auto"/>
                <w:kern w:val="2"/>
                <w:sz w:val="24"/>
                <w:szCs w:val="24"/>
                <w:u w:val="none" w:color="auto"/>
              </w:rPr>
              <w:t>厂区设置监控点</w:t>
            </w:r>
            <w:r>
              <w:rPr>
                <w:rFonts w:hint="eastAsia" w:ascii="Times New Roman" w:hAnsi="Times New Roman" w:cs="Times New Roman"/>
                <w:color w:val="auto"/>
                <w:kern w:val="2"/>
                <w:sz w:val="24"/>
                <w:szCs w:val="24"/>
                <w:u w:val="none" w:color="auto"/>
                <w:lang w:eastAsia="zh-CN"/>
              </w:rPr>
              <w:t>）</w:t>
            </w:r>
          </w:p>
        </w:tc>
        <w:tc>
          <w:tcPr>
            <w:tcW w:w="1125" w:type="dxa"/>
            <w:tcBorders>
              <w:tl2br w:val="nil"/>
              <w:tr2bl w:val="nil"/>
            </w:tcBorders>
            <w:noWrap w:val="0"/>
            <w:vAlign w:val="center"/>
          </w:tcPr>
          <w:p w14:paraId="280A2A5E">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lang w:val="en-US" w:eastAsia="zh-CN"/>
              </w:rPr>
            </w:pPr>
            <w:r>
              <w:rPr>
                <w:rFonts w:hint="default" w:ascii="Times New Roman" w:hAnsi="Times New Roman" w:cs="Times New Roman"/>
                <w:color w:val="auto"/>
                <w:kern w:val="2"/>
                <w:sz w:val="24"/>
                <w:szCs w:val="24"/>
                <w:u w:val="none" w:color="auto"/>
                <w:lang w:val="en-US" w:eastAsia="zh-CN"/>
              </w:rPr>
              <w:t>颗粒物</w:t>
            </w:r>
          </w:p>
          <w:p w14:paraId="169DE76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lang w:val="en-US" w:eastAsia="zh-CN"/>
              </w:rPr>
            </w:pPr>
            <w:r>
              <w:rPr>
                <w:rFonts w:hint="default" w:ascii="Times New Roman" w:hAnsi="Times New Roman" w:cs="Times New Roman"/>
                <w:color w:val="auto"/>
                <w:kern w:val="2"/>
                <w:sz w:val="24"/>
                <w:szCs w:val="24"/>
                <w:u w:val="none" w:color="auto"/>
                <w:lang w:val="en-US" w:eastAsia="zh-CN"/>
              </w:rPr>
              <w:t>VOCs</w:t>
            </w:r>
          </w:p>
        </w:tc>
        <w:tc>
          <w:tcPr>
            <w:tcW w:w="2406" w:type="dxa"/>
            <w:tcBorders>
              <w:tl2br w:val="nil"/>
              <w:tr2bl w:val="nil"/>
            </w:tcBorders>
            <w:noWrap w:val="0"/>
            <w:vAlign w:val="center"/>
          </w:tcPr>
          <w:p w14:paraId="340F4FC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lang w:val="en-US" w:eastAsia="zh-CN"/>
              </w:rPr>
            </w:pPr>
            <w:r>
              <w:rPr>
                <w:rFonts w:hint="eastAsia" w:ascii="Times New Roman" w:hAnsi="Times New Roman" w:cs="Times New Roman"/>
                <w:color w:val="auto"/>
                <w:kern w:val="2"/>
                <w:sz w:val="24"/>
                <w:szCs w:val="24"/>
                <w:u w:val="none" w:color="auto"/>
                <w:lang w:val="en-US" w:eastAsia="zh-CN"/>
              </w:rPr>
              <w:t>加强车间密闭。废机油、废油桶、废淬火油和淬火废渣使用密闭容器（如带盖的桶、密闭塑料袋、密闭包装袋等）进行包装。</w:t>
            </w:r>
          </w:p>
        </w:tc>
        <w:tc>
          <w:tcPr>
            <w:tcW w:w="2202" w:type="dxa"/>
            <w:tcBorders>
              <w:tl2br w:val="nil"/>
              <w:tr2bl w:val="nil"/>
            </w:tcBorders>
            <w:noWrap w:val="0"/>
            <w:vAlign w:val="center"/>
          </w:tcPr>
          <w:p w14:paraId="5B48CD3C">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rPr>
              <w:t>《铸造工业大气污染物排放标准》（GB39726-2020）附录A中表A.1排放限值</w:t>
            </w:r>
          </w:p>
        </w:tc>
      </w:tr>
      <w:tr w14:paraId="5120D5C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199" w:hRule="atLeast"/>
          <w:jc w:val="center"/>
        </w:trPr>
        <w:tc>
          <w:tcPr>
            <w:tcW w:w="1258" w:type="dxa"/>
            <w:vMerge w:val="continue"/>
            <w:tcBorders>
              <w:tl2br w:val="nil"/>
              <w:tr2bl w:val="nil"/>
            </w:tcBorders>
            <w:noWrap w:val="0"/>
            <w:vAlign w:val="center"/>
          </w:tcPr>
          <w:p w14:paraId="6B0358B4">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rPr>
            </w:pPr>
          </w:p>
        </w:tc>
        <w:tc>
          <w:tcPr>
            <w:tcW w:w="1809" w:type="dxa"/>
            <w:tcBorders>
              <w:tl2br w:val="nil"/>
              <w:tr2bl w:val="nil"/>
            </w:tcBorders>
            <w:noWrap w:val="0"/>
            <w:vAlign w:val="center"/>
          </w:tcPr>
          <w:p w14:paraId="2745B26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lang w:val="en-US" w:eastAsia="zh-CN"/>
              </w:rPr>
            </w:pPr>
            <w:r>
              <w:rPr>
                <w:rFonts w:hint="default" w:ascii="Times New Roman" w:hAnsi="Times New Roman" w:cs="Times New Roman"/>
                <w:color w:val="auto"/>
                <w:kern w:val="2"/>
                <w:sz w:val="24"/>
                <w:szCs w:val="24"/>
                <w:u w:val="none" w:color="auto"/>
              </w:rPr>
              <w:t>无组织（厂界）</w:t>
            </w:r>
          </w:p>
        </w:tc>
        <w:tc>
          <w:tcPr>
            <w:tcW w:w="1125" w:type="dxa"/>
            <w:tcBorders>
              <w:tl2br w:val="nil"/>
              <w:tr2bl w:val="nil"/>
            </w:tcBorders>
            <w:noWrap w:val="0"/>
            <w:vAlign w:val="center"/>
          </w:tcPr>
          <w:p w14:paraId="7AFF02D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lang w:val="en-US" w:eastAsia="zh-CN"/>
              </w:rPr>
            </w:pPr>
            <w:r>
              <w:rPr>
                <w:rFonts w:hint="default" w:ascii="Times New Roman" w:hAnsi="Times New Roman" w:cs="Times New Roman"/>
                <w:color w:val="auto"/>
                <w:kern w:val="2"/>
                <w:sz w:val="24"/>
                <w:szCs w:val="24"/>
                <w:u w:val="none" w:color="auto"/>
                <w:lang w:val="en-US" w:eastAsia="zh-CN"/>
              </w:rPr>
              <w:t>颗粒物</w:t>
            </w:r>
          </w:p>
          <w:p w14:paraId="6C52E196">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lang w:val="en-US" w:eastAsia="zh-CN"/>
              </w:rPr>
            </w:pPr>
            <w:r>
              <w:rPr>
                <w:rFonts w:hint="default" w:ascii="Times New Roman" w:hAnsi="Times New Roman" w:cs="Times New Roman"/>
                <w:color w:val="auto"/>
                <w:kern w:val="2"/>
                <w:sz w:val="24"/>
                <w:szCs w:val="24"/>
                <w:u w:val="none" w:color="auto"/>
                <w:lang w:val="en-US" w:eastAsia="zh-CN"/>
              </w:rPr>
              <w:t>VOCs</w:t>
            </w:r>
          </w:p>
        </w:tc>
        <w:tc>
          <w:tcPr>
            <w:tcW w:w="2406" w:type="dxa"/>
            <w:tcBorders>
              <w:tl2br w:val="nil"/>
              <w:tr2bl w:val="nil"/>
            </w:tcBorders>
            <w:noWrap w:val="0"/>
            <w:vAlign w:val="center"/>
          </w:tcPr>
          <w:p w14:paraId="4CA4F57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bCs/>
                <w:color w:val="auto"/>
                <w:kern w:val="2"/>
                <w:sz w:val="24"/>
                <w:szCs w:val="24"/>
                <w:u w:val="none" w:color="auto"/>
                <w:lang w:val="en-US" w:eastAsia="zh-CN"/>
              </w:rPr>
            </w:pPr>
            <w:r>
              <w:rPr>
                <w:rFonts w:hint="default" w:ascii="Times New Roman" w:hAnsi="Times New Roman" w:cs="Times New Roman"/>
                <w:color w:val="auto"/>
                <w:kern w:val="2"/>
                <w:sz w:val="24"/>
                <w:szCs w:val="24"/>
                <w:u w:val="none" w:color="auto"/>
                <w:lang w:val="en-US" w:eastAsia="zh-CN"/>
              </w:rPr>
              <w:t>加强车间密闭</w:t>
            </w:r>
          </w:p>
        </w:tc>
        <w:tc>
          <w:tcPr>
            <w:tcW w:w="2202" w:type="dxa"/>
            <w:tcBorders>
              <w:tl2br w:val="nil"/>
              <w:tr2bl w:val="nil"/>
            </w:tcBorders>
            <w:noWrap w:val="0"/>
            <w:vAlign w:val="center"/>
          </w:tcPr>
          <w:p w14:paraId="38BDCF97">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rPr>
            </w:pPr>
            <w:r>
              <w:rPr>
                <w:rFonts w:hint="eastAsia" w:ascii="Times New Roman" w:hAnsi="Times New Roman" w:cs="Times New Roman"/>
                <w:color w:val="auto"/>
                <w:kern w:val="2"/>
                <w:sz w:val="24"/>
                <w:szCs w:val="24"/>
                <w:u w:val="none" w:color="auto"/>
                <w:lang w:val="en-US" w:eastAsia="zh-CN"/>
              </w:rPr>
              <w:t>/</w:t>
            </w:r>
          </w:p>
        </w:tc>
      </w:tr>
      <w:tr w14:paraId="74C1967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046" w:hRule="atLeast"/>
          <w:jc w:val="center"/>
        </w:trPr>
        <w:tc>
          <w:tcPr>
            <w:tcW w:w="1258" w:type="dxa"/>
            <w:vMerge w:val="restart"/>
            <w:tcBorders>
              <w:tl2br w:val="nil"/>
              <w:tr2bl w:val="nil"/>
            </w:tcBorders>
            <w:noWrap w:val="0"/>
            <w:vAlign w:val="center"/>
          </w:tcPr>
          <w:p w14:paraId="6803C0D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rPr>
              <w:t>地表水环境</w:t>
            </w:r>
          </w:p>
        </w:tc>
        <w:tc>
          <w:tcPr>
            <w:tcW w:w="1809" w:type="dxa"/>
            <w:tcBorders>
              <w:tl2br w:val="nil"/>
              <w:tr2bl w:val="nil"/>
            </w:tcBorders>
            <w:noWrap w:val="0"/>
            <w:vAlign w:val="center"/>
          </w:tcPr>
          <w:p w14:paraId="460CE778">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4"/>
                <w:szCs w:val="24"/>
                <w:u w:val="none" w:color="auto"/>
                <w:lang w:val="en-US" w:eastAsia="zh-CN" w:bidi="ar-SA"/>
              </w:rPr>
            </w:pPr>
            <w:r>
              <w:rPr>
                <w:rFonts w:hint="default" w:ascii="Times New Roman" w:hAnsi="Times New Roman" w:eastAsia="宋体" w:cs="Times New Roman"/>
                <w:color w:val="auto"/>
                <w:kern w:val="0"/>
                <w:sz w:val="24"/>
                <w:szCs w:val="24"/>
                <w:u w:val="none" w:color="auto"/>
                <w:lang w:val="en-US" w:eastAsia="zh-CN" w:bidi="ar-SA"/>
              </w:rPr>
              <w:t>工件清洗水</w:t>
            </w:r>
            <w:r>
              <w:rPr>
                <w:rFonts w:hint="eastAsia" w:ascii="Times New Roman" w:hAnsi="Times New Roman" w:cs="Times New Roman"/>
                <w:color w:val="auto"/>
                <w:kern w:val="0"/>
                <w:sz w:val="24"/>
                <w:szCs w:val="24"/>
                <w:u w:val="none" w:color="auto"/>
                <w:lang w:val="en-US" w:eastAsia="zh-CN" w:bidi="ar-SA"/>
              </w:rPr>
              <w:t>、间接冷却水</w:t>
            </w:r>
          </w:p>
        </w:tc>
        <w:tc>
          <w:tcPr>
            <w:tcW w:w="1125" w:type="dxa"/>
            <w:tcBorders>
              <w:tl2br w:val="nil"/>
              <w:tr2bl w:val="nil"/>
            </w:tcBorders>
            <w:noWrap w:val="0"/>
            <w:vAlign w:val="center"/>
          </w:tcPr>
          <w:p w14:paraId="302510CF">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4"/>
                <w:szCs w:val="24"/>
                <w:u w:val="none" w:color="auto"/>
                <w:lang w:val="en-US" w:eastAsia="zh-CN" w:bidi="ar-SA"/>
              </w:rPr>
            </w:pPr>
            <w:r>
              <w:rPr>
                <w:rFonts w:hint="default" w:ascii="Times New Roman" w:hAnsi="Times New Roman" w:eastAsia="宋体" w:cs="Times New Roman"/>
                <w:color w:val="auto"/>
                <w:kern w:val="0"/>
                <w:sz w:val="24"/>
                <w:szCs w:val="24"/>
                <w:u w:val="none" w:color="auto"/>
                <w:lang w:val="en-US" w:eastAsia="zh-CN" w:bidi="ar-SA"/>
              </w:rPr>
              <w:t>COD</w:t>
            </w:r>
          </w:p>
          <w:p w14:paraId="7D178D78">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4"/>
                <w:szCs w:val="24"/>
                <w:u w:val="none" w:color="auto"/>
                <w:lang w:val="en-US" w:eastAsia="zh-CN" w:bidi="ar-SA"/>
              </w:rPr>
            </w:pPr>
            <w:r>
              <w:rPr>
                <w:rFonts w:hint="default" w:ascii="Times New Roman" w:hAnsi="Times New Roman" w:eastAsia="宋体" w:cs="Times New Roman"/>
                <w:color w:val="auto"/>
                <w:kern w:val="0"/>
                <w:sz w:val="24"/>
                <w:szCs w:val="24"/>
                <w:u w:val="none" w:color="auto"/>
                <w:lang w:val="en-US" w:eastAsia="zh-CN" w:bidi="ar-SA"/>
              </w:rPr>
              <w:t>氨氮</w:t>
            </w:r>
          </w:p>
          <w:p w14:paraId="31F1238E">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4"/>
                <w:szCs w:val="24"/>
                <w:u w:val="none" w:color="auto"/>
                <w:lang w:val="en-US" w:eastAsia="zh-CN" w:bidi="ar-SA"/>
              </w:rPr>
            </w:pPr>
            <w:r>
              <w:rPr>
                <w:rFonts w:hint="default" w:ascii="Times New Roman" w:hAnsi="Times New Roman" w:eastAsia="宋体" w:cs="Times New Roman"/>
                <w:color w:val="auto"/>
                <w:kern w:val="0"/>
                <w:sz w:val="24"/>
                <w:szCs w:val="24"/>
                <w:u w:val="none" w:color="auto"/>
                <w:lang w:val="en-US" w:eastAsia="zh-CN" w:bidi="ar-SA"/>
              </w:rPr>
              <w:t>SS</w:t>
            </w:r>
          </w:p>
        </w:tc>
        <w:tc>
          <w:tcPr>
            <w:tcW w:w="2406" w:type="dxa"/>
            <w:tcBorders>
              <w:tl2br w:val="nil"/>
              <w:tr2bl w:val="nil"/>
            </w:tcBorders>
            <w:noWrap w:val="0"/>
            <w:vAlign w:val="center"/>
          </w:tcPr>
          <w:p w14:paraId="3D595F0F">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4"/>
                <w:szCs w:val="24"/>
                <w:u w:val="none" w:color="auto"/>
                <w:lang w:val="en-US" w:eastAsia="zh-CN" w:bidi="ar-SA"/>
              </w:rPr>
            </w:pPr>
            <w:r>
              <w:rPr>
                <w:rFonts w:hint="default" w:ascii="Times New Roman" w:hAnsi="Times New Roman" w:eastAsia="宋体" w:cs="Times New Roman"/>
                <w:color w:val="auto"/>
                <w:kern w:val="0"/>
                <w:sz w:val="24"/>
                <w:szCs w:val="24"/>
                <w:u w:val="none" w:color="auto"/>
                <w:lang w:val="en-US" w:eastAsia="zh-CN" w:bidi="ar-SA"/>
              </w:rPr>
              <w:t>工件清洗水经油水分离装置分离后循环使用，只需定期补充，无废水外排；间接冷却水经循环水池自然冷却后循环利用，不外排</w:t>
            </w:r>
          </w:p>
        </w:tc>
        <w:tc>
          <w:tcPr>
            <w:tcW w:w="2202" w:type="dxa"/>
            <w:tcBorders>
              <w:tl2br w:val="nil"/>
              <w:tr2bl w:val="nil"/>
            </w:tcBorders>
            <w:noWrap w:val="0"/>
            <w:vAlign w:val="center"/>
          </w:tcPr>
          <w:p w14:paraId="5029EDE6">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u w:val="none" w:color="auto"/>
                <w:lang w:val="en-US" w:eastAsia="zh-CN"/>
              </w:rPr>
            </w:pPr>
            <w:r>
              <w:rPr>
                <w:rFonts w:hint="eastAsia" w:ascii="Times New Roman" w:hAnsi="Times New Roman" w:eastAsia="宋体" w:cs="Times New Roman"/>
                <w:color w:val="auto"/>
                <w:kern w:val="2"/>
                <w:sz w:val="24"/>
                <w:szCs w:val="24"/>
                <w:u w:val="none" w:color="auto"/>
                <w:lang w:val="en-US" w:eastAsia="zh-CN"/>
              </w:rPr>
              <w:t>/</w:t>
            </w:r>
          </w:p>
        </w:tc>
      </w:tr>
      <w:tr w14:paraId="64FE1EE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046" w:hRule="atLeast"/>
          <w:jc w:val="center"/>
        </w:trPr>
        <w:tc>
          <w:tcPr>
            <w:tcW w:w="1258" w:type="dxa"/>
            <w:vMerge w:val="continue"/>
            <w:tcBorders>
              <w:tl2br w:val="nil"/>
              <w:tr2bl w:val="nil"/>
            </w:tcBorders>
            <w:noWrap w:val="0"/>
            <w:vAlign w:val="center"/>
          </w:tcPr>
          <w:p w14:paraId="244E76A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rPr>
            </w:pPr>
          </w:p>
        </w:tc>
        <w:tc>
          <w:tcPr>
            <w:tcW w:w="1809" w:type="dxa"/>
            <w:tcBorders>
              <w:tl2br w:val="nil"/>
              <w:tr2bl w:val="nil"/>
            </w:tcBorders>
            <w:noWrap w:val="0"/>
            <w:vAlign w:val="center"/>
          </w:tcPr>
          <w:p w14:paraId="73217C56">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4"/>
                <w:szCs w:val="24"/>
                <w:u w:val="none" w:color="auto"/>
                <w:lang w:val="en-US" w:eastAsia="zh-CN" w:bidi="ar-SA"/>
              </w:rPr>
            </w:pPr>
            <w:r>
              <w:rPr>
                <w:rFonts w:hint="default" w:ascii="Times New Roman" w:hAnsi="Times New Roman" w:eastAsia="宋体" w:cs="Times New Roman"/>
                <w:color w:val="auto"/>
                <w:kern w:val="0"/>
                <w:sz w:val="24"/>
                <w:szCs w:val="24"/>
                <w:u w:val="none" w:color="auto"/>
                <w:lang w:val="en-US" w:eastAsia="zh-CN" w:bidi="ar-SA"/>
              </w:rPr>
              <w:t>生活污水</w:t>
            </w:r>
          </w:p>
        </w:tc>
        <w:tc>
          <w:tcPr>
            <w:tcW w:w="1125" w:type="dxa"/>
            <w:tcBorders>
              <w:tl2br w:val="nil"/>
              <w:tr2bl w:val="nil"/>
            </w:tcBorders>
            <w:noWrap w:val="0"/>
            <w:vAlign w:val="center"/>
          </w:tcPr>
          <w:p w14:paraId="1DBB725F">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4"/>
                <w:szCs w:val="24"/>
                <w:u w:val="none" w:color="auto"/>
                <w:lang w:val="en-US" w:eastAsia="zh-CN" w:bidi="ar-SA"/>
              </w:rPr>
            </w:pPr>
            <w:r>
              <w:rPr>
                <w:rFonts w:hint="default" w:ascii="Times New Roman" w:hAnsi="Times New Roman" w:eastAsia="宋体" w:cs="Times New Roman"/>
                <w:color w:val="auto"/>
                <w:kern w:val="0"/>
                <w:sz w:val="24"/>
                <w:szCs w:val="24"/>
                <w:u w:val="none" w:color="auto"/>
                <w:lang w:val="en-US" w:eastAsia="zh-CN" w:bidi="ar-SA"/>
              </w:rPr>
              <w:t>COD</w:t>
            </w:r>
          </w:p>
          <w:p w14:paraId="08195B0A">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4"/>
                <w:szCs w:val="24"/>
                <w:u w:val="none" w:color="auto"/>
                <w:lang w:val="en-US" w:eastAsia="zh-CN" w:bidi="ar-SA"/>
              </w:rPr>
            </w:pPr>
            <w:r>
              <w:rPr>
                <w:rFonts w:hint="default" w:ascii="Times New Roman" w:hAnsi="Times New Roman" w:eastAsia="宋体" w:cs="Times New Roman"/>
                <w:color w:val="auto"/>
                <w:kern w:val="0"/>
                <w:sz w:val="24"/>
                <w:szCs w:val="24"/>
                <w:u w:val="none" w:color="auto"/>
                <w:lang w:val="en-US" w:eastAsia="zh-CN" w:bidi="ar-SA"/>
              </w:rPr>
              <w:t>氨氮</w:t>
            </w:r>
          </w:p>
          <w:p w14:paraId="47D71246">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4"/>
                <w:szCs w:val="24"/>
                <w:u w:val="none" w:color="auto"/>
                <w:lang w:val="en-US" w:eastAsia="zh-CN" w:bidi="ar-SA"/>
              </w:rPr>
            </w:pPr>
            <w:r>
              <w:rPr>
                <w:rFonts w:hint="default" w:ascii="Times New Roman" w:hAnsi="Times New Roman" w:eastAsia="宋体" w:cs="Times New Roman"/>
                <w:color w:val="auto"/>
                <w:kern w:val="0"/>
                <w:sz w:val="24"/>
                <w:szCs w:val="24"/>
                <w:u w:val="none" w:color="auto"/>
                <w:lang w:val="en-US" w:eastAsia="zh-CN" w:bidi="ar-SA"/>
              </w:rPr>
              <w:t>SS</w:t>
            </w:r>
          </w:p>
          <w:p w14:paraId="212F1E72">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4"/>
                <w:szCs w:val="24"/>
                <w:u w:val="none" w:color="auto"/>
                <w:lang w:val="en-US" w:eastAsia="zh-CN" w:bidi="ar-SA"/>
              </w:rPr>
            </w:pPr>
            <w:r>
              <w:rPr>
                <w:rFonts w:hint="default" w:ascii="Times New Roman" w:hAnsi="Times New Roman" w:eastAsia="宋体" w:cs="Times New Roman"/>
                <w:color w:val="auto"/>
                <w:kern w:val="0"/>
                <w:sz w:val="24"/>
                <w:szCs w:val="24"/>
                <w:u w:val="none" w:color="auto"/>
                <w:lang w:val="en-US" w:eastAsia="zh-CN" w:bidi="ar-SA"/>
              </w:rPr>
              <w:t>TP</w:t>
            </w:r>
          </w:p>
          <w:p w14:paraId="1407A7A7">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4"/>
                <w:szCs w:val="24"/>
                <w:u w:val="none" w:color="auto"/>
                <w:lang w:val="en-US" w:eastAsia="zh-CN" w:bidi="ar-SA"/>
              </w:rPr>
            </w:pPr>
            <w:r>
              <w:rPr>
                <w:rFonts w:hint="default" w:ascii="Times New Roman" w:hAnsi="Times New Roman" w:eastAsia="宋体" w:cs="Times New Roman"/>
                <w:color w:val="auto"/>
                <w:kern w:val="0"/>
                <w:sz w:val="24"/>
                <w:szCs w:val="24"/>
                <w:u w:val="none" w:color="auto"/>
                <w:lang w:val="en-US" w:eastAsia="zh-CN" w:bidi="ar-SA"/>
              </w:rPr>
              <w:t>BOD</w:t>
            </w:r>
            <w:r>
              <w:rPr>
                <w:rFonts w:hint="default" w:ascii="Times New Roman" w:hAnsi="Times New Roman" w:eastAsia="宋体" w:cs="Times New Roman"/>
                <w:color w:val="auto"/>
                <w:kern w:val="0"/>
                <w:sz w:val="24"/>
                <w:szCs w:val="24"/>
                <w:u w:val="none" w:color="auto"/>
                <w:vertAlign w:val="subscript"/>
                <w:lang w:val="en-US" w:eastAsia="zh-CN" w:bidi="ar-SA"/>
              </w:rPr>
              <w:t>5</w:t>
            </w:r>
          </w:p>
        </w:tc>
        <w:tc>
          <w:tcPr>
            <w:tcW w:w="2406" w:type="dxa"/>
            <w:tcBorders>
              <w:tl2br w:val="nil"/>
              <w:tr2bl w:val="nil"/>
            </w:tcBorders>
            <w:noWrap w:val="0"/>
            <w:vAlign w:val="center"/>
          </w:tcPr>
          <w:p w14:paraId="6D8E7CBD">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4"/>
                <w:szCs w:val="24"/>
                <w:u w:val="none" w:color="auto"/>
                <w:lang w:val="en-US" w:eastAsia="zh-CN" w:bidi="ar-SA"/>
              </w:rPr>
            </w:pPr>
            <w:r>
              <w:rPr>
                <w:rFonts w:hint="default" w:ascii="Times New Roman" w:hAnsi="Times New Roman" w:eastAsia="宋体" w:cs="Times New Roman"/>
                <w:color w:val="auto"/>
                <w:kern w:val="0"/>
                <w:sz w:val="24"/>
                <w:szCs w:val="24"/>
                <w:u w:val="none" w:color="auto"/>
                <w:lang w:val="en-US" w:eastAsia="zh-CN" w:bidi="ar-SA"/>
              </w:rPr>
              <w:t>生活污水经化粪池处理达标后排入开发区污水管网，由铁力市城市污水处理厂（铁力市伊吉污水处理厂）处理满足《城镇污水处理厂污染物排放标准》（GB18918-2002）一级A标准后，排入呼兰河，待铁力经济开发区污水处理厂运营后，污水由铁力经济开发区污水处理厂接管，处理满足《城镇污水处理厂污染物排放标准》（GB18918-2002）一级A标准后，排入呼兰河。</w:t>
            </w:r>
          </w:p>
        </w:tc>
        <w:tc>
          <w:tcPr>
            <w:tcW w:w="2202" w:type="dxa"/>
            <w:tcBorders>
              <w:tl2br w:val="nil"/>
              <w:tr2bl w:val="nil"/>
            </w:tcBorders>
            <w:noWrap w:val="0"/>
            <w:vAlign w:val="center"/>
          </w:tcPr>
          <w:p w14:paraId="629761E7">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u w:val="none" w:color="auto"/>
                <w:lang w:val="en-US" w:eastAsia="zh-CN"/>
              </w:rPr>
            </w:pPr>
            <w:r>
              <w:rPr>
                <w:rFonts w:hint="default" w:ascii="Times New Roman" w:hAnsi="Times New Roman" w:eastAsia="宋体" w:cs="Times New Roman"/>
                <w:color w:val="auto"/>
                <w:kern w:val="2"/>
                <w:sz w:val="24"/>
                <w:szCs w:val="24"/>
                <w:u w:val="none" w:color="auto"/>
                <w:lang w:val="en-US" w:eastAsia="zh-CN"/>
              </w:rPr>
              <w:t>《污水综合排放标准》（GB8978-1996）中三级标准</w:t>
            </w:r>
          </w:p>
        </w:tc>
      </w:tr>
      <w:tr w14:paraId="57CBF3B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030" w:hRule="atLeast"/>
          <w:jc w:val="center"/>
        </w:trPr>
        <w:tc>
          <w:tcPr>
            <w:tcW w:w="1258" w:type="dxa"/>
            <w:tcBorders>
              <w:tl2br w:val="nil"/>
              <w:tr2bl w:val="nil"/>
            </w:tcBorders>
            <w:noWrap w:val="0"/>
            <w:vAlign w:val="center"/>
          </w:tcPr>
          <w:p w14:paraId="482FF8FE">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rPr>
              <w:t>声环境</w:t>
            </w:r>
          </w:p>
        </w:tc>
        <w:tc>
          <w:tcPr>
            <w:tcW w:w="1809" w:type="dxa"/>
            <w:tcBorders>
              <w:tl2br w:val="nil"/>
              <w:tr2bl w:val="nil"/>
            </w:tcBorders>
            <w:noWrap w:val="0"/>
            <w:vAlign w:val="center"/>
          </w:tcPr>
          <w:p w14:paraId="687AA93C">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rPr>
              <w:t>/</w:t>
            </w:r>
          </w:p>
        </w:tc>
        <w:tc>
          <w:tcPr>
            <w:tcW w:w="1125" w:type="dxa"/>
            <w:tcBorders>
              <w:tl2br w:val="nil"/>
              <w:tr2bl w:val="nil"/>
            </w:tcBorders>
            <w:noWrap w:val="0"/>
            <w:vAlign w:val="center"/>
          </w:tcPr>
          <w:p w14:paraId="19AD100D">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rPr>
              <w:t>机械设备噪声</w:t>
            </w:r>
          </w:p>
        </w:tc>
        <w:tc>
          <w:tcPr>
            <w:tcW w:w="2406" w:type="dxa"/>
            <w:tcBorders>
              <w:tl2br w:val="nil"/>
              <w:tr2bl w:val="nil"/>
            </w:tcBorders>
            <w:noWrap w:val="0"/>
            <w:vAlign w:val="center"/>
          </w:tcPr>
          <w:p w14:paraId="06F42338">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rPr>
              <w:t>采取必要的隔声、消声、减振等措施</w:t>
            </w:r>
          </w:p>
        </w:tc>
        <w:tc>
          <w:tcPr>
            <w:tcW w:w="2202" w:type="dxa"/>
            <w:tcBorders>
              <w:tl2br w:val="nil"/>
              <w:tr2bl w:val="nil"/>
            </w:tcBorders>
            <w:noWrap w:val="0"/>
            <w:vAlign w:val="center"/>
          </w:tcPr>
          <w:p w14:paraId="419A8F0B">
            <w:pPr>
              <w:keepNext w:val="0"/>
              <w:keepLines w:val="0"/>
              <w:suppressLineNumbers w:val="0"/>
              <w:adjustRightInd w:val="0"/>
              <w:snapToGrid w:val="0"/>
              <w:spacing w:before="0" w:beforeAutospacing="0" w:after="0" w:afterAutospacing="0" w:line="240" w:lineRule="auto"/>
              <w:ind w:left="0" w:right="0"/>
              <w:jc w:val="both"/>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rPr>
              <w:t>《工业企业厂界环境噪声排放标准》（GB12348－2008）中的</w:t>
            </w:r>
            <w:r>
              <w:rPr>
                <w:rFonts w:hint="eastAsia" w:ascii="Times New Roman" w:hAnsi="Times New Roman" w:cs="Times New Roman"/>
                <w:color w:val="auto"/>
                <w:kern w:val="2"/>
                <w:sz w:val="24"/>
                <w:szCs w:val="24"/>
                <w:u w:val="none" w:color="auto"/>
                <w:lang w:val="en-US" w:eastAsia="zh-CN"/>
              </w:rPr>
              <w:t>3</w:t>
            </w:r>
            <w:r>
              <w:rPr>
                <w:rFonts w:hint="default" w:ascii="Times New Roman" w:hAnsi="Times New Roman" w:cs="Times New Roman"/>
                <w:color w:val="auto"/>
                <w:kern w:val="2"/>
                <w:sz w:val="24"/>
                <w:szCs w:val="24"/>
                <w:u w:val="none" w:color="auto"/>
              </w:rPr>
              <w:t>类标准</w:t>
            </w:r>
          </w:p>
        </w:tc>
      </w:tr>
      <w:tr w14:paraId="49C3DB8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12" w:hRule="atLeast"/>
          <w:jc w:val="center"/>
        </w:trPr>
        <w:tc>
          <w:tcPr>
            <w:tcW w:w="1258" w:type="dxa"/>
            <w:tcBorders>
              <w:tl2br w:val="nil"/>
              <w:tr2bl w:val="nil"/>
            </w:tcBorders>
            <w:noWrap w:val="0"/>
            <w:vAlign w:val="center"/>
          </w:tcPr>
          <w:p w14:paraId="5E8BA606">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rPr>
              <w:t>电磁辐射</w:t>
            </w:r>
          </w:p>
        </w:tc>
        <w:tc>
          <w:tcPr>
            <w:tcW w:w="1809" w:type="dxa"/>
            <w:tcBorders>
              <w:tl2br w:val="nil"/>
              <w:tr2bl w:val="nil"/>
            </w:tcBorders>
            <w:noWrap w:val="0"/>
            <w:vAlign w:val="center"/>
          </w:tcPr>
          <w:p w14:paraId="1156357D">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rPr>
              <w:t>/</w:t>
            </w:r>
          </w:p>
        </w:tc>
        <w:tc>
          <w:tcPr>
            <w:tcW w:w="1125" w:type="dxa"/>
            <w:tcBorders>
              <w:tl2br w:val="nil"/>
              <w:tr2bl w:val="nil"/>
            </w:tcBorders>
            <w:noWrap w:val="0"/>
            <w:vAlign w:val="center"/>
          </w:tcPr>
          <w:p w14:paraId="65C0DB56">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rPr>
              <w:t>/</w:t>
            </w:r>
          </w:p>
        </w:tc>
        <w:tc>
          <w:tcPr>
            <w:tcW w:w="2406" w:type="dxa"/>
            <w:tcBorders>
              <w:tl2br w:val="nil"/>
              <w:tr2bl w:val="nil"/>
            </w:tcBorders>
            <w:noWrap w:val="0"/>
            <w:vAlign w:val="center"/>
          </w:tcPr>
          <w:p w14:paraId="11B7A23C">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rPr>
              <w:t>/</w:t>
            </w:r>
          </w:p>
        </w:tc>
        <w:tc>
          <w:tcPr>
            <w:tcW w:w="2202" w:type="dxa"/>
            <w:tcBorders>
              <w:tl2br w:val="nil"/>
              <w:tr2bl w:val="nil"/>
            </w:tcBorders>
            <w:noWrap w:val="0"/>
            <w:vAlign w:val="center"/>
          </w:tcPr>
          <w:p w14:paraId="7BD07D22">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rPr>
              <w:t>/</w:t>
            </w:r>
          </w:p>
        </w:tc>
      </w:tr>
      <w:tr w14:paraId="2D536DF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22" w:hRule="atLeast"/>
          <w:jc w:val="center"/>
        </w:trPr>
        <w:tc>
          <w:tcPr>
            <w:tcW w:w="1258" w:type="dxa"/>
            <w:tcBorders>
              <w:tl2br w:val="nil"/>
              <w:tr2bl w:val="nil"/>
            </w:tcBorders>
            <w:noWrap w:val="0"/>
            <w:vAlign w:val="center"/>
          </w:tcPr>
          <w:p w14:paraId="2BA22723">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rPr>
              <w:t>固体废物</w:t>
            </w:r>
          </w:p>
        </w:tc>
        <w:tc>
          <w:tcPr>
            <w:tcW w:w="7542" w:type="dxa"/>
            <w:gridSpan w:val="4"/>
            <w:tcBorders>
              <w:tl2br w:val="nil"/>
              <w:tr2bl w:val="nil"/>
            </w:tcBorders>
            <w:noWrap w:val="0"/>
            <w:vAlign w:val="center"/>
          </w:tcPr>
          <w:p w14:paraId="271BF686">
            <w:pPr>
              <w:keepNext w:val="0"/>
              <w:keepLines w:val="0"/>
              <w:suppressLineNumbers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auto"/>
                <w:kern w:val="2"/>
                <w:sz w:val="24"/>
                <w:szCs w:val="24"/>
                <w:u w:val="none" w:color="auto"/>
                <w:lang w:eastAsia="zh-CN"/>
              </w:rPr>
            </w:pPr>
            <w:r>
              <w:rPr>
                <w:rFonts w:hint="default" w:ascii="Times New Roman" w:hAnsi="Times New Roman" w:cs="Times New Roman"/>
                <w:color w:val="auto"/>
                <w:kern w:val="2"/>
                <w:sz w:val="24"/>
                <w:szCs w:val="24"/>
                <w:u w:val="none" w:color="auto"/>
              </w:rPr>
              <w:t>生活垃圾集中收集后交由环卫部门统一清运。分拣杂物、熔炼产生的废渣、清理过程产生的废铁屑、废铁水包、废砂、布袋除尘器收尘收集后暂存一般固废暂存间，定期作为废旧资源外售。金属边角料用于回炉重造。废布袋收集后交由厂家回收利用。废机油、废油桶、废淬火油和淬火废渣暂存于厂区内危险废物贮存库，定期交由有资质单位处置。危险废物按照《危险废物污染防治技术政策》环发</w:t>
            </w:r>
            <w:r>
              <w:rPr>
                <w:rFonts w:hint="eastAsia" w:ascii="Times New Roman" w:hAnsi="Times New Roman" w:cs="Times New Roman"/>
                <w:color w:val="auto"/>
                <w:kern w:val="2"/>
                <w:sz w:val="24"/>
                <w:szCs w:val="24"/>
                <w:u w:val="none" w:color="auto"/>
                <w:lang w:eastAsia="zh-CN"/>
              </w:rPr>
              <w:t>〔2001〕199号</w:t>
            </w:r>
            <w:r>
              <w:rPr>
                <w:rFonts w:hint="default" w:ascii="Times New Roman" w:hAnsi="Times New Roman" w:cs="Times New Roman"/>
                <w:color w:val="auto"/>
                <w:kern w:val="2"/>
                <w:sz w:val="24"/>
                <w:szCs w:val="24"/>
                <w:u w:val="none" w:color="auto"/>
              </w:rPr>
              <w:t>和《危险废物贮存污染控制标准》（GB18597-2023）的要求暂存</w:t>
            </w:r>
            <w:r>
              <w:rPr>
                <w:rFonts w:hint="eastAsia" w:ascii="Times New Roman" w:hAnsi="Times New Roman" w:cs="Times New Roman"/>
                <w:color w:val="auto"/>
                <w:kern w:val="2"/>
                <w:sz w:val="24"/>
                <w:szCs w:val="24"/>
                <w:u w:val="none" w:color="auto"/>
                <w:lang w:eastAsia="zh-CN"/>
              </w:rPr>
              <w:t>。</w:t>
            </w:r>
          </w:p>
        </w:tc>
      </w:tr>
      <w:tr w14:paraId="1EF6A94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152" w:hRule="atLeast"/>
          <w:jc w:val="center"/>
        </w:trPr>
        <w:tc>
          <w:tcPr>
            <w:tcW w:w="1258" w:type="dxa"/>
            <w:tcBorders>
              <w:tl2br w:val="nil"/>
              <w:tr2bl w:val="nil"/>
            </w:tcBorders>
            <w:noWrap w:val="0"/>
            <w:vAlign w:val="center"/>
          </w:tcPr>
          <w:p w14:paraId="1F7523DA">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rPr>
              <w:t>土壤及地下水污染防治措施</w:t>
            </w:r>
          </w:p>
        </w:tc>
        <w:tc>
          <w:tcPr>
            <w:tcW w:w="7542" w:type="dxa"/>
            <w:gridSpan w:val="4"/>
            <w:tcBorders>
              <w:tl2br w:val="nil"/>
              <w:tr2bl w:val="nil"/>
            </w:tcBorders>
            <w:noWrap w:val="0"/>
            <w:vAlign w:val="center"/>
          </w:tcPr>
          <w:p w14:paraId="4478D9F8">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lang w:val="en-US" w:eastAsia="zh-CN"/>
              </w:rPr>
              <w:t>危险废物贮存库建设地面与裙脚采用2mm厚高密度聚乙烯膜等人工防渗材料（渗透系数不大于10</w:t>
            </w:r>
            <w:r>
              <w:rPr>
                <w:rFonts w:hint="default" w:ascii="Times New Roman" w:hAnsi="Times New Roman" w:cs="Times New Roman"/>
                <w:color w:val="auto"/>
                <w:kern w:val="2"/>
                <w:sz w:val="24"/>
                <w:szCs w:val="24"/>
                <w:u w:val="none" w:color="auto"/>
                <w:vertAlign w:val="superscript"/>
                <w:lang w:val="en-US" w:eastAsia="zh-CN"/>
              </w:rPr>
              <w:t>-10</w:t>
            </w:r>
            <w:r>
              <w:rPr>
                <w:rFonts w:hint="default" w:ascii="Times New Roman" w:hAnsi="Times New Roman" w:cs="Times New Roman"/>
                <w:color w:val="auto"/>
                <w:kern w:val="2"/>
                <w:sz w:val="24"/>
                <w:szCs w:val="24"/>
                <w:u w:val="none" w:color="auto"/>
                <w:lang w:val="en-US" w:eastAsia="zh-CN"/>
              </w:rPr>
              <w:t>cm/s），贮存设施或贮存分区内地面、墙面裙脚、堵截</w:t>
            </w:r>
            <w:r>
              <w:rPr>
                <w:rFonts w:hint="eastAsia" w:ascii="Times New Roman" w:hAnsi="Times New Roman" w:cs="Times New Roman"/>
                <w:color w:val="auto"/>
                <w:kern w:val="2"/>
                <w:sz w:val="24"/>
                <w:szCs w:val="24"/>
                <w:u w:val="none" w:color="auto"/>
                <w:lang w:val="en-US" w:eastAsia="zh-CN"/>
              </w:rPr>
              <w:t>泄漏</w:t>
            </w:r>
            <w:r>
              <w:rPr>
                <w:rFonts w:hint="default" w:ascii="Times New Roman" w:hAnsi="Times New Roman" w:cs="Times New Roman"/>
                <w:color w:val="auto"/>
                <w:kern w:val="2"/>
                <w:sz w:val="24"/>
                <w:szCs w:val="24"/>
                <w:u w:val="none" w:color="auto"/>
                <w:lang w:val="en-US" w:eastAsia="zh-CN"/>
              </w:rPr>
              <w:t>的围堰、接触危险废物的隔板和墙体等应采用坚固的材料建造，表面无裂缝。防渗技术要求符合《危险废物贮存污染控制标准》（GB18597-2023）中有关防渗要求。油水分离池、化粪池防渗技术要求满足《环境影响评价技术导则 地下水环境》（HJ610-2016）中等效黏土防渗层Mb≥1.5m，K≤1.0×10</w:t>
            </w:r>
            <w:r>
              <w:rPr>
                <w:rFonts w:hint="default" w:ascii="Times New Roman" w:hAnsi="Times New Roman" w:cs="Times New Roman"/>
                <w:color w:val="auto"/>
                <w:kern w:val="2"/>
                <w:sz w:val="24"/>
                <w:szCs w:val="24"/>
                <w:u w:val="none" w:color="auto"/>
                <w:vertAlign w:val="superscript"/>
                <w:lang w:val="en-US" w:eastAsia="zh-CN"/>
              </w:rPr>
              <w:t>-7</w:t>
            </w:r>
            <w:r>
              <w:rPr>
                <w:rFonts w:hint="default" w:ascii="Times New Roman" w:hAnsi="Times New Roman" w:cs="Times New Roman"/>
                <w:color w:val="auto"/>
                <w:kern w:val="2"/>
                <w:sz w:val="24"/>
                <w:szCs w:val="24"/>
                <w:u w:val="none" w:color="auto"/>
                <w:lang w:val="en-US" w:eastAsia="zh-CN"/>
              </w:rPr>
              <w:t>cm/s；除去重点防渗区、一般防渗区和绿化区以外的地面，做一般地面硬化。</w:t>
            </w:r>
          </w:p>
        </w:tc>
      </w:tr>
      <w:tr w14:paraId="6AFAD0F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95" w:hRule="atLeast"/>
          <w:jc w:val="center"/>
        </w:trPr>
        <w:tc>
          <w:tcPr>
            <w:tcW w:w="1258" w:type="dxa"/>
            <w:tcBorders>
              <w:tl2br w:val="nil"/>
              <w:tr2bl w:val="nil"/>
            </w:tcBorders>
            <w:noWrap w:val="0"/>
            <w:vAlign w:val="center"/>
          </w:tcPr>
          <w:p w14:paraId="7C935CF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rPr>
              <w:t>生态保护措施</w:t>
            </w:r>
          </w:p>
        </w:tc>
        <w:tc>
          <w:tcPr>
            <w:tcW w:w="7542" w:type="dxa"/>
            <w:gridSpan w:val="4"/>
            <w:tcBorders>
              <w:tl2br w:val="nil"/>
              <w:tr2bl w:val="nil"/>
            </w:tcBorders>
            <w:noWrap w:val="0"/>
            <w:vAlign w:val="center"/>
          </w:tcPr>
          <w:p w14:paraId="53CEB436">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2"/>
                <w:sz w:val="24"/>
                <w:szCs w:val="24"/>
                <w:u w:val="none" w:color="auto"/>
              </w:rPr>
              <w:t>/</w:t>
            </w:r>
          </w:p>
        </w:tc>
      </w:tr>
      <w:tr w14:paraId="600D07E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199" w:hRule="atLeast"/>
          <w:jc w:val="center"/>
        </w:trPr>
        <w:tc>
          <w:tcPr>
            <w:tcW w:w="1258" w:type="dxa"/>
            <w:tcBorders>
              <w:tl2br w:val="nil"/>
              <w:tr2bl w:val="nil"/>
            </w:tcBorders>
            <w:noWrap w:val="0"/>
            <w:vAlign w:val="center"/>
          </w:tcPr>
          <w:p w14:paraId="17650C4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spacing w:val="-8"/>
                <w:kern w:val="2"/>
                <w:sz w:val="24"/>
                <w:szCs w:val="24"/>
                <w:u w:val="none" w:color="auto"/>
              </w:rPr>
            </w:pPr>
            <w:r>
              <w:rPr>
                <w:rFonts w:hint="default" w:ascii="Times New Roman" w:hAnsi="Times New Roman" w:cs="Times New Roman"/>
                <w:color w:val="auto"/>
                <w:spacing w:val="-8"/>
                <w:kern w:val="2"/>
                <w:sz w:val="24"/>
                <w:szCs w:val="24"/>
                <w:u w:val="none" w:color="auto"/>
              </w:rPr>
              <w:t>环境风险</w:t>
            </w:r>
          </w:p>
          <w:p w14:paraId="162BC636">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spacing w:val="-8"/>
                <w:kern w:val="2"/>
                <w:sz w:val="24"/>
                <w:szCs w:val="24"/>
                <w:u w:val="none" w:color="auto"/>
              </w:rPr>
            </w:pPr>
            <w:r>
              <w:rPr>
                <w:rFonts w:hint="default" w:ascii="Times New Roman" w:hAnsi="Times New Roman" w:cs="Times New Roman"/>
                <w:color w:val="auto"/>
                <w:spacing w:val="-8"/>
                <w:kern w:val="2"/>
                <w:sz w:val="24"/>
                <w:szCs w:val="24"/>
                <w:u w:val="none" w:color="auto"/>
              </w:rPr>
              <w:t>防范措施</w:t>
            </w:r>
          </w:p>
        </w:tc>
        <w:tc>
          <w:tcPr>
            <w:tcW w:w="7542" w:type="dxa"/>
            <w:gridSpan w:val="4"/>
            <w:tcBorders>
              <w:tl2br w:val="nil"/>
              <w:tr2bl w:val="nil"/>
            </w:tcBorders>
            <w:noWrap w:val="0"/>
            <w:vAlign w:val="center"/>
          </w:tcPr>
          <w:p w14:paraId="2117D5CC">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color w:val="auto"/>
                <w:kern w:val="2"/>
                <w:sz w:val="24"/>
                <w:szCs w:val="24"/>
                <w:u w:val="none" w:color="auto"/>
                <w:lang w:val="en-US" w:eastAsia="zh-CN"/>
              </w:rPr>
            </w:pPr>
            <w:r>
              <w:rPr>
                <w:rFonts w:hint="default" w:ascii="Times New Roman" w:hAnsi="Times New Roman" w:eastAsia="宋体" w:cs="Times New Roman"/>
                <w:color w:val="auto"/>
                <w:kern w:val="0"/>
                <w:sz w:val="24"/>
                <w:szCs w:val="24"/>
                <w:u w:val="none" w:color="auto"/>
                <w:lang w:bidi="ar"/>
              </w:rPr>
              <w:t>加强安全教育培训和宣传</w:t>
            </w:r>
            <w:r>
              <w:rPr>
                <w:rFonts w:hint="default" w:ascii="Times New Roman" w:hAnsi="Times New Roman" w:eastAsia="宋体" w:cs="Times New Roman"/>
                <w:color w:val="auto"/>
                <w:kern w:val="0"/>
                <w:sz w:val="24"/>
                <w:szCs w:val="24"/>
                <w:u w:val="none" w:color="auto"/>
                <w:lang w:eastAsia="zh-CN" w:bidi="ar"/>
              </w:rPr>
              <w:t>，</w:t>
            </w:r>
            <w:r>
              <w:rPr>
                <w:rFonts w:hint="default" w:ascii="Times New Roman" w:hAnsi="Times New Roman" w:eastAsia="宋体" w:cs="Times New Roman"/>
                <w:color w:val="auto"/>
                <w:kern w:val="0"/>
                <w:sz w:val="24"/>
                <w:szCs w:val="24"/>
                <w:u w:val="none" w:color="auto"/>
                <w:lang w:bidi="ar"/>
              </w:rPr>
              <w:t>配备完善的消防措施</w:t>
            </w:r>
            <w:r>
              <w:rPr>
                <w:rFonts w:hint="default" w:ascii="Times New Roman" w:hAnsi="Times New Roman" w:eastAsia="宋体" w:cs="Times New Roman"/>
                <w:color w:val="auto"/>
                <w:kern w:val="0"/>
                <w:sz w:val="24"/>
                <w:szCs w:val="24"/>
                <w:u w:val="none" w:color="auto"/>
                <w:lang w:eastAsia="zh-CN" w:bidi="ar"/>
              </w:rPr>
              <w:t>，</w:t>
            </w:r>
            <w:r>
              <w:rPr>
                <w:rFonts w:hint="default" w:ascii="Times New Roman" w:hAnsi="Times New Roman" w:eastAsia="宋体" w:cs="Times New Roman"/>
                <w:color w:val="auto"/>
                <w:kern w:val="0"/>
                <w:sz w:val="24"/>
                <w:szCs w:val="24"/>
                <w:u w:val="none" w:color="auto"/>
                <w:lang w:val="en-US" w:eastAsia="zh-CN" w:bidi="ar"/>
              </w:rPr>
              <w:t>环评获批后应编制突发环境事件应急预案。</w:t>
            </w:r>
          </w:p>
        </w:tc>
      </w:tr>
      <w:tr w14:paraId="69EC28A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002" w:hRule="atLeast"/>
          <w:jc w:val="center"/>
        </w:trPr>
        <w:tc>
          <w:tcPr>
            <w:tcW w:w="1258" w:type="dxa"/>
            <w:tcBorders>
              <w:tl2br w:val="nil"/>
              <w:tr2bl w:val="nil"/>
            </w:tcBorders>
            <w:noWrap w:val="0"/>
            <w:vAlign w:val="center"/>
          </w:tcPr>
          <w:p w14:paraId="516852F6">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spacing w:val="-8"/>
                <w:kern w:val="2"/>
                <w:sz w:val="24"/>
                <w:szCs w:val="24"/>
                <w:u w:val="none" w:color="auto"/>
              </w:rPr>
            </w:pPr>
            <w:r>
              <w:rPr>
                <w:rFonts w:hint="default" w:ascii="Times New Roman" w:hAnsi="Times New Roman" w:cs="Times New Roman"/>
                <w:color w:val="auto"/>
                <w:spacing w:val="-8"/>
                <w:kern w:val="2"/>
                <w:sz w:val="24"/>
                <w:szCs w:val="24"/>
                <w:u w:val="none" w:color="auto"/>
              </w:rPr>
              <w:t>其他环境</w:t>
            </w:r>
          </w:p>
          <w:p w14:paraId="621BE20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auto"/>
                <w:spacing w:val="-8"/>
                <w:kern w:val="2"/>
                <w:sz w:val="24"/>
                <w:szCs w:val="24"/>
                <w:u w:val="none" w:color="auto"/>
              </w:rPr>
            </w:pPr>
            <w:r>
              <w:rPr>
                <w:rFonts w:hint="default" w:ascii="Times New Roman" w:hAnsi="Times New Roman" w:cs="Times New Roman"/>
                <w:color w:val="auto"/>
                <w:spacing w:val="-8"/>
                <w:kern w:val="2"/>
                <w:sz w:val="24"/>
                <w:szCs w:val="24"/>
                <w:u w:val="none" w:color="auto"/>
              </w:rPr>
              <w:t>管理要求</w:t>
            </w:r>
          </w:p>
        </w:tc>
        <w:tc>
          <w:tcPr>
            <w:tcW w:w="7542" w:type="dxa"/>
            <w:gridSpan w:val="4"/>
            <w:tcBorders>
              <w:tl2br w:val="nil"/>
              <w:tr2bl w:val="nil"/>
            </w:tcBorders>
            <w:noWrap w:val="0"/>
            <w:vAlign w:val="center"/>
          </w:tcPr>
          <w:p w14:paraId="0E1C6F7C">
            <w:pPr>
              <w:keepNext w:val="0"/>
              <w:keepLines w:val="0"/>
              <w:numPr>
                <w:ilvl w:val="0"/>
                <w:numId w:val="9"/>
              </w:numPr>
              <w:suppressLineNumbers w:val="0"/>
              <w:adjustRightInd w:val="0"/>
              <w:snapToGrid w:val="0"/>
              <w:spacing w:before="0" w:beforeAutospacing="0" w:after="0" w:afterAutospacing="0" w:line="360" w:lineRule="auto"/>
              <w:ind w:left="0" w:right="0"/>
              <w:jc w:val="left"/>
              <w:rPr>
                <w:rFonts w:hint="default" w:ascii="Times New Roman" w:hAnsi="Times New Roman" w:cs="Times New Roman"/>
                <w:color w:val="auto"/>
                <w:kern w:val="0"/>
                <w:sz w:val="24"/>
                <w:szCs w:val="24"/>
                <w:u w:val="none" w:color="auto"/>
                <w:lang w:bidi="ar"/>
              </w:rPr>
            </w:pPr>
            <w:r>
              <w:rPr>
                <w:rFonts w:hint="default" w:ascii="Times New Roman" w:hAnsi="Times New Roman" w:cs="Times New Roman"/>
                <w:color w:val="auto"/>
                <w:kern w:val="0"/>
                <w:sz w:val="24"/>
                <w:szCs w:val="24"/>
                <w:u w:val="none" w:color="auto"/>
                <w:lang w:bidi="ar"/>
              </w:rPr>
              <w:t>严格按环保“三同时”要求，环保设施需与主体工程同时设计、同时施工及同时投入使用。</w:t>
            </w:r>
          </w:p>
          <w:p w14:paraId="4A9BAF5F">
            <w:pPr>
              <w:keepNext w:val="0"/>
              <w:keepLines w:val="0"/>
              <w:numPr>
                <w:ilvl w:val="0"/>
                <w:numId w:val="9"/>
              </w:numPr>
              <w:suppressLineNumbers w:val="0"/>
              <w:adjustRightInd w:val="0"/>
              <w:snapToGrid w:val="0"/>
              <w:spacing w:before="0" w:beforeAutospacing="0" w:after="0" w:afterAutospacing="0" w:line="360" w:lineRule="auto"/>
              <w:ind w:left="0" w:right="0"/>
              <w:jc w:val="left"/>
              <w:rPr>
                <w:rFonts w:hint="default" w:ascii="Times New Roman" w:hAnsi="Times New Roman" w:cs="Times New Roman"/>
                <w:color w:val="auto"/>
                <w:kern w:val="0"/>
                <w:sz w:val="24"/>
                <w:szCs w:val="24"/>
                <w:u w:val="none" w:color="auto"/>
                <w:lang w:bidi="ar"/>
              </w:rPr>
            </w:pPr>
            <w:r>
              <w:rPr>
                <w:rFonts w:hint="default" w:ascii="Times New Roman" w:hAnsi="Times New Roman" w:cs="Times New Roman"/>
                <w:color w:val="auto"/>
                <w:kern w:val="0"/>
                <w:sz w:val="24"/>
                <w:szCs w:val="24"/>
                <w:u w:val="none" w:color="auto"/>
                <w:lang w:bidi="ar"/>
              </w:rPr>
              <w:t>根据《固定污染源排污许可分类管理名录》（2019年版），本项目属于“二十八、金属制品业33——铸造及其他金属制品制造339”，为</w:t>
            </w:r>
            <w:r>
              <w:rPr>
                <w:rFonts w:hint="default" w:ascii="Times New Roman" w:hAnsi="Times New Roman" w:cs="Times New Roman"/>
                <w:color w:val="auto"/>
                <w:kern w:val="0"/>
                <w:sz w:val="24"/>
                <w:szCs w:val="24"/>
                <w:u w:val="none" w:color="auto"/>
                <w:lang w:val="en-US" w:eastAsia="zh-CN" w:bidi="ar"/>
              </w:rPr>
              <w:t>简化</w:t>
            </w:r>
            <w:r>
              <w:rPr>
                <w:rFonts w:hint="default" w:ascii="Times New Roman" w:hAnsi="Times New Roman" w:cs="Times New Roman"/>
                <w:color w:val="auto"/>
                <w:kern w:val="0"/>
                <w:sz w:val="24"/>
                <w:szCs w:val="24"/>
                <w:u w:val="none" w:color="auto"/>
                <w:lang w:bidi="ar"/>
              </w:rPr>
              <w:t>管理范畴，企业应在实际投入生产或发生排污前完成排污许可登记管理相关手续。</w:t>
            </w:r>
          </w:p>
          <w:p w14:paraId="32C5BBF9">
            <w:pPr>
              <w:keepNext w:val="0"/>
              <w:keepLines w:val="0"/>
              <w:suppressLineNumbers w:val="0"/>
              <w:adjustRightInd w:val="0"/>
              <w:snapToGrid w:val="0"/>
              <w:spacing w:before="0" w:beforeAutospacing="0" w:after="0" w:afterAutospacing="0" w:line="360" w:lineRule="auto"/>
              <w:ind w:left="0" w:right="0"/>
              <w:jc w:val="left"/>
              <w:rPr>
                <w:rFonts w:hint="default" w:ascii="Times New Roman" w:hAnsi="Times New Roman" w:cs="Times New Roman"/>
                <w:color w:val="auto"/>
                <w:kern w:val="0"/>
                <w:sz w:val="24"/>
                <w:szCs w:val="24"/>
                <w:u w:val="none" w:color="auto"/>
                <w:lang w:bidi="ar"/>
              </w:rPr>
            </w:pPr>
            <w:r>
              <w:rPr>
                <w:rFonts w:hint="default" w:ascii="Times New Roman" w:hAnsi="Times New Roman" w:cs="Times New Roman"/>
                <w:color w:val="auto"/>
                <w:kern w:val="0"/>
                <w:sz w:val="24"/>
                <w:szCs w:val="24"/>
                <w:u w:val="none" w:color="auto"/>
                <w:lang w:bidi="ar"/>
              </w:rPr>
              <w:t>3）在试生产后三个月内进行自主验收。</w:t>
            </w:r>
          </w:p>
          <w:p w14:paraId="076FF594">
            <w:pPr>
              <w:keepNext w:val="0"/>
              <w:keepLines w:val="0"/>
              <w:suppressLineNumbers w:val="0"/>
              <w:adjustRightInd w:val="0"/>
              <w:snapToGrid w:val="0"/>
              <w:spacing w:before="0" w:beforeAutospacing="0" w:after="0" w:afterAutospacing="0" w:line="360" w:lineRule="auto"/>
              <w:ind w:left="0" w:right="0"/>
              <w:jc w:val="left"/>
              <w:rPr>
                <w:rFonts w:hint="default" w:ascii="Times New Roman" w:hAnsi="Times New Roman" w:cs="Times New Roman"/>
                <w:color w:val="auto"/>
                <w:kern w:val="0"/>
                <w:sz w:val="24"/>
                <w:szCs w:val="24"/>
                <w:u w:val="none" w:color="auto"/>
                <w:lang w:bidi="ar"/>
              </w:rPr>
            </w:pPr>
            <w:r>
              <w:rPr>
                <w:rFonts w:hint="default" w:ascii="Times New Roman" w:hAnsi="Times New Roman" w:cs="Times New Roman"/>
                <w:color w:val="auto"/>
                <w:kern w:val="0"/>
                <w:sz w:val="24"/>
                <w:szCs w:val="24"/>
                <w:u w:val="none" w:color="auto"/>
                <w:lang w:bidi="ar"/>
              </w:rPr>
              <w:t>4）在正式运行后，自觉开展自行监测等工作。</w:t>
            </w:r>
          </w:p>
          <w:p w14:paraId="3D9DBA7C">
            <w:pPr>
              <w:keepNext w:val="0"/>
              <w:keepLines w:val="0"/>
              <w:suppressLineNumbers w:val="0"/>
              <w:adjustRightInd w:val="0"/>
              <w:snapToGrid w:val="0"/>
              <w:spacing w:before="0" w:beforeAutospacing="0" w:after="0" w:afterAutospacing="0" w:line="360" w:lineRule="auto"/>
              <w:ind w:left="0" w:right="0"/>
              <w:jc w:val="left"/>
              <w:rPr>
                <w:rFonts w:hint="default" w:ascii="Times New Roman" w:hAnsi="Times New Roman" w:cs="Times New Roman"/>
                <w:color w:val="auto"/>
                <w:kern w:val="2"/>
                <w:sz w:val="24"/>
                <w:szCs w:val="24"/>
                <w:u w:val="none" w:color="auto"/>
              </w:rPr>
            </w:pPr>
            <w:r>
              <w:rPr>
                <w:rFonts w:hint="default" w:ascii="Times New Roman" w:hAnsi="Times New Roman" w:cs="Times New Roman"/>
                <w:color w:val="auto"/>
                <w:kern w:val="0"/>
                <w:sz w:val="24"/>
                <w:szCs w:val="24"/>
                <w:u w:val="none" w:color="auto"/>
                <w:lang w:bidi="ar"/>
              </w:rPr>
              <w:t>5）需按照生态环境主管部门的规定建设规范化污染物排放口，并设置标志牌。</w:t>
            </w:r>
          </w:p>
        </w:tc>
      </w:tr>
    </w:tbl>
    <w:p w14:paraId="4D74C7EC">
      <w:pPr>
        <w:pStyle w:val="53"/>
        <w:spacing w:before="120" w:beforeAutospacing="0" w:after="0" w:afterAutospacing="0"/>
        <w:jc w:val="both"/>
        <w:outlineLvl w:val="0"/>
        <w:rPr>
          <w:rFonts w:hint="default" w:ascii="Times New Roman" w:hAnsi="Times New Roman" w:eastAsia="宋体" w:cs="Times New Roman"/>
          <w:color w:val="auto"/>
          <w:highlight w:val="none"/>
        </w:rPr>
        <w:sectPr>
          <w:headerReference r:id="rId13" w:type="default"/>
          <w:pgSz w:w="11906" w:h="16838" w:orient="landscape"/>
          <w:pgMar w:top="1587" w:right="1440" w:bottom="1440" w:left="1440" w:header="851" w:footer="850" w:gutter="0"/>
          <w:pgBorders>
            <w:top w:val="none" w:sz="0" w:space="0"/>
            <w:left w:val="none" w:sz="0" w:space="0"/>
            <w:bottom w:val="none" w:sz="0" w:space="0"/>
            <w:right w:val="none" w:sz="0" w:space="0"/>
          </w:pgBorders>
          <w:pgNumType w:fmt="decimal"/>
          <w:cols w:space="720" w:num="1"/>
        </w:sectPr>
      </w:pPr>
    </w:p>
    <w:p w14:paraId="55D1A81D">
      <w:pPr>
        <w:pStyle w:val="53"/>
        <w:spacing w:before="120" w:beforeAutospacing="0" w:after="0" w:afterAutospacing="0"/>
        <w:jc w:val="center"/>
        <w:outlineLvl w:val="0"/>
        <w:rPr>
          <w:rFonts w:hint="default" w:ascii="Times New Roman" w:hAnsi="Times New Roman" w:eastAsia="宋体" w:cs="Times New Roman"/>
          <w:color w:val="auto"/>
          <w:sz w:val="28"/>
          <w:szCs w:val="28"/>
          <w:highlight w:val="none"/>
        </w:rPr>
        <w:sectPr>
          <w:headerReference r:id="rId14" w:type="default"/>
          <w:footerReference r:id="rId15" w:type="default"/>
          <w:type w:val="continuous"/>
          <w:pgSz w:w="11906" w:h="16838" w:orient="landscape"/>
          <w:pgMar w:top="1587" w:right="1440" w:bottom="1440" w:left="1440" w:header="851" w:footer="850" w:gutter="0"/>
          <w:pgBorders>
            <w:top w:val="none" w:sz="0" w:space="0"/>
            <w:left w:val="none" w:sz="0" w:space="0"/>
            <w:bottom w:val="none" w:sz="0" w:space="0"/>
            <w:right w:val="none" w:sz="0" w:space="0"/>
          </w:pgBorders>
          <w:pgNumType w:fmt="decimal"/>
          <w:cols w:space="720" w:num="1"/>
        </w:sectPr>
      </w:pPr>
    </w:p>
    <w:p w14:paraId="4C842DB3">
      <w:pPr>
        <w:pStyle w:val="53"/>
        <w:spacing w:before="120" w:beforeAutospacing="0" w:after="0" w:afterAutospacing="0"/>
        <w:jc w:val="center"/>
        <w:outlineLvl w:val="0"/>
        <w:rPr>
          <w:rFonts w:hint="default" w:ascii="Times New Roman" w:hAnsi="Times New Roman" w:eastAsia="宋体" w:cs="Times New Roman"/>
          <w:b/>
          <w:bCs/>
          <w:color w:val="auto"/>
          <w:sz w:val="30"/>
          <w:szCs w:val="30"/>
          <w:highlight w:val="none"/>
        </w:rPr>
      </w:pPr>
      <w:bookmarkStart w:id="16" w:name="_Toc15311"/>
      <w:r>
        <w:rPr>
          <w:rFonts w:hint="default" w:ascii="Times New Roman" w:hAnsi="Times New Roman" w:eastAsia="宋体" w:cs="Times New Roman"/>
          <w:b/>
          <w:bCs/>
          <w:color w:val="auto"/>
          <w:sz w:val="28"/>
          <w:szCs w:val="28"/>
          <w:highlight w:val="none"/>
        </w:rPr>
        <w:t>六、结论</w:t>
      </w:r>
      <w:bookmarkEnd w:id="16"/>
    </w:p>
    <w:tbl>
      <w:tblPr>
        <w:tblStyle w:val="5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006"/>
      </w:tblGrid>
      <w:tr w14:paraId="484876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5000" w:type="pct"/>
            <w:noWrap w:val="0"/>
            <w:vAlign w:val="top"/>
          </w:tcPr>
          <w:p w14:paraId="0A756D50">
            <w:pPr>
              <w:keepNext w:val="0"/>
              <w:keepLines w:val="0"/>
              <w:pageBreakBefore w:val="0"/>
              <w:widowControl w:val="0"/>
              <w:suppressLineNumbers w:val="0"/>
              <w:kinsoku/>
              <w:wordWrap/>
              <w:overflowPunct/>
              <w:topLinePunct w:val="0"/>
              <w:autoSpaceDE/>
              <w:autoSpaceDN/>
              <w:bidi w:val="0"/>
              <w:adjustRightInd/>
              <w:snapToGrid/>
              <w:spacing w:before="0" w:beforeLines="50" w:beforeAutospacing="0" w:after="0" w:afterAutospacing="0" w:line="360" w:lineRule="auto"/>
              <w:ind w:left="0" w:right="0" w:firstLine="482"/>
              <w:textAlignment w:val="auto"/>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铁力泓旭机械制造有限公司年产5000万吨耐磨铸件生产线项目</w:t>
            </w:r>
            <w:r>
              <w:rPr>
                <w:rFonts w:hint="default" w:ascii="Times New Roman" w:hAnsi="Times New Roman" w:eastAsia="宋体" w:cs="Times New Roman"/>
                <w:color w:val="auto"/>
                <w:sz w:val="24"/>
                <w:szCs w:val="24"/>
                <w:highlight w:val="none"/>
              </w:rPr>
              <w:t>符合国家产业政策，选址可行。在落实报告中提出的各项环保措施前提下，可实现污染物达标排放，排放的主要污染物量符合总量控制指标要求。项目建设对环境的不利影响可得到有效控制和缓解，不会降低评价区域原有环境质量功能级别，因而从环境影响角度而言，该项目建设可行。</w:t>
            </w:r>
          </w:p>
          <w:p w14:paraId="305B6236">
            <w:pPr>
              <w:pStyle w:val="6"/>
              <w:suppressLineNumbers w:val="0"/>
              <w:spacing w:beforeAutospacing="0" w:afterAutospacing="0"/>
              <w:ind w:left="0" w:right="0"/>
              <w:rPr>
                <w:rFonts w:hint="default" w:ascii="Times New Roman" w:hAnsi="Times New Roman" w:eastAsia="宋体" w:cs="Times New Roman"/>
                <w:color w:val="auto"/>
                <w:highlight w:val="none"/>
                <w:lang w:eastAsia="zh-CN"/>
              </w:rPr>
            </w:pPr>
          </w:p>
        </w:tc>
      </w:tr>
    </w:tbl>
    <w:p w14:paraId="14F90F95">
      <w:pPr>
        <w:pStyle w:val="329"/>
        <w:spacing w:line="240" w:lineRule="auto"/>
        <w:ind w:left="0" w:firstLine="0"/>
        <w:rPr>
          <w:rFonts w:hint="default" w:ascii="Times New Roman" w:hAnsi="Times New Roman" w:eastAsia="宋体" w:cs="Times New Roman"/>
          <w:color w:val="auto"/>
          <w:highlight w:val="none"/>
          <w:lang w:val="en-US" w:eastAsia="zh-CN"/>
        </w:rPr>
        <w:sectPr>
          <w:pgSz w:w="11906" w:h="16838" w:orient="landscape"/>
          <w:pgMar w:top="1587" w:right="1440" w:bottom="1440" w:left="1440" w:header="851" w:footer="850" w:gutter="0"/>
          <w:pgBorders>
            <w:top w:val="none" w:sz="0" w:space="0"/>
            <w:left w:val="none" w:sz="0" w:space="0"/>
            <w:bottom w:val="none" w:sz="0" w:space="0"/>
            <w:right w:val="none" w:sz="0" w:space="0"/>
          </w:pgBorders>
          <w:pgNumType w:fmt="decimal"/>
          <w:cols w:space="720" w:num="1"/>
        </w:sectPr>
      </w:pPr>
    </w:p>
    <w:p w14:paraId="761F1FE6">
      <w:pPr>
        <w:pStyle w:val="53"/>
        <w:spacing w:before="0" w:beforeAutospacing="0" w:after="0" w:afterAutospacing="0" w:line="460" w:lineRule="exact"/>
        <w:jc w:val="both"/>
        <w:outlineLvl w:val="0"/>
        <w:rPr>
          <w:rFonts w:hint="default" w:ascii="Times New Roman" w:hAnsi="Times New Roman" w:eastAsia="宋体" w:cs="Times New Roman"/>
          <w:color w:val="auto"/>
          <w:sz w:val="32"/>
          <w:szCs w:val="32"/>
          <w:highlight w:val="none"/>
        </w:rPr>
      </w:pPr>
      <w:bookmarkStart w:id="17" w:name="_Toc14657"/>
      <w:bookmarkStart w:id="18" w:name="_Toc776"/>
      <w:r>
        <w:rPr>
          <w:rFonts w:hint="default" w:ascii="Times New Roman" w:hAnsi="Times New Roman" w:eastAsia="宋体" w:cs="Times New Roman"/>
          <w:color w:val="auto"/>
          <w:sz w:val="32"/>
          <w:szCs w:val="32"/>
          <w:highlight w:val="none"/>
        </w:rPr>
        <w:t>附表</w:t>
      </w:r>
      <w:bookmarkEnd w:id="17"/>
      <w:bookmarkEnd w:id="18"/>
    </w:p>
    <w:p w14:paraId="47CA2BA6">
      <w:pPr>
        <w:pStyle w:val="53"/>
        <w:spacing w:before="0" w:beforeAutospacing="0" w:after="0" w:afterAutospacing="0" w:line="460" w:lineRule="exact"/>
        <w:jc w:val="center"/>
        <w:outlineLvl w:val="0"/>
        <w:rPr>
          <w:rFonts w:hint="eastAsia" w:ascii="Times New Roman" w:hAnsi="Times New Roman" w:eastAsia="宋体" w:cs="Times New Roman"/>
          <w:b/>
          <w:color w:val="auto"/>
          <w:sz w:val="28"/>
          <w:szCs w:val="28"/>
          <w:highlight w:val="none"/>
          <w:lang w:eastAsia="zh-CN"/>
        </w:rPr>
      </w:pPr>
      <w:bookmarkStart w:id="19" w:name="_Toc22682"/>
      <w:bookmarkStart w:id="20" w:name="_Toc67775558"/>
      <w:bookmarkStart w:id="21" w:name="_Toc22461"/>
      <w:r>
        <w:rPr>
          <w:rFonts w:hint="default" w:ascii="Times New Roman" w:hAnsi="Times New Roman" w:eastAsia="宋体" w:cs="Times New Roman"/>
          <w:b/>
          <w:color w:val="auto"/>
          <w:sz w:val="28"/>
          <w:szCs w:val="28"/>
          <w:highlight w:val="none"/>
        </w:rPr>
        <w:t>建设项目污染物排放量汇总表</w:t>
      </w:r>
      <w:bookmarkEnd w:id="19"/>
      <w:bookmarkEnd w:id="20"/>
      <w:bookmarkEnd w:id="21"/>
      <w:r>
        <w:rPr>
          <w:rFonts w:hint="eastAsia" w:ascii="Times New Roman" w:hAnsi="Times New Roman" w:cs="Times New Roman"/>
          <w:b/>
          <w:color w:val="auto"/>
          <w:sz w:val="28"/>
          <w:szCs w:val="28"/>
          <w:highlight w:val="none"/>
          <w:lang w:eastAsia="zh-CN"/>
        </w:rPr>
        <w:t>（</w:t>
      </w:r>
      <w:r>
        <w:rPr>
          <w:rFonts w:hint="eastAsia" w:ascii="Times New Roman" w:hAnsi="Times New Roman" w:cs="Times New Roman"/>
          <w:b/>
          <w:color w:val="auto"/>
          <w:sz w:val="28"/>
          <w:szCs w:val="28"/>
          <w:highlight w:val="none"/>
          <w:lang w:val="en-US" w:eastAsia="zh-CN"/>
        </w:rPr>
        <w:t>t/a</w:t>
      </w:r>
      <w:r>
        <w:rPr>
          <w:rFonts w:hint="eastAsia" w:ascii="Times New Roman" w:hAnsi="Times New Roman" w:cs="Times New Roman"/>
          <w:b/>
          <w:color w:val="auto"/>
          <w:sz w:val="28"/>
          <w:szCs w:val="28"/>
          <w:highlight w:val="none"/>
          <w:lang w:eastAsia="zh-CN"/>
        </w:rPr>
        <w:t>）</w:t>
      </w:r>
    </w:p>
    <w:tbl>
      <w:tblPr>
        <w:tblStyle w:val="56"/>
        <w:tblW w:w="1406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21"/>
        <w:gridCol w:w="1984"/>
        <w:gridCol w:w="1701"/>
        <w:gridCol w:w="1276"/>
        <w:gridCol w:w="1701"/>
        <w:gridCol w:w="1559"/>
        <w:gridCol w:w="1524"/>
        <w:gridCol w:w="1860"/>
        <w:gridCol w:w="1442"/>
      </w:tblGrid>
      <w:tr w14:paraId="3CA6BC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noWrap w:val="0"/>
            <w:tcMar>
              <w:left w:w="28" w:type="dxa"/>
              <w:right w:w="28" w:type="dxa"/>
            </w:tcMar>
            <w:vAlign w:val="center"/>
          </w:tcPr>
          <w:p w14:paraId="681063C7">
            <w:pPr>
              <w:pStyle w:val="287"/>
              <w:keepNext w:val="0"/>
              <w:keepLines w:val="0"/>
              <w:suppressLineNumbers w:val="0"/>
              <w:spacing w:before="0" w:beforeAutospacing="0" w:after="0" w:afterAutospacing="0" w:line="240" w:lineRule="auto"/>
              <w:ind w:left="0" w:right="0"/>
              <w:jc w:val="right"/>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项目</w:t>
            </w:r>
          </w:p>
          <w:p w14:paraId="634B3898">
            <w:pPr>
              <w:pStyle w:val="287"/>
              <w:keepNext w:val="0"/>
              <w:keepLines w:val="0"/>
              <w:suppressLineNumbers w:val="0"/>
              <w:spacing w:before="0" w:beforeAutospacing="0" w:after="0" w:afterAutospacing="0" w:line="240" w:lineRule="auto"/>
              <w:ind w:left="0" w:right="0"/>
              <w:jc w:val="left"/>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分类</w:t>
            </w:r>
          </w:p>
        </w:tc>
        <w:tc>
          <w:tcPr>
            <w:tcW w:w="1984" w:type="dxa"/>
            <w:noWrap w:val="0"/>
            <w:tcMar>
              <w:left w:w="28" w:type="dxa"/>
              <w:right w:w="28" w:type="dxa"/>
            </w:tcMar>
            <w:vAlign w:val="center"/>
          </w:tcPr>
          <w:p w14:paraId="370843B9">
            <w:pPr>
              <w:pStyle w:val="287"/>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污染物名称</w:t>
            </w:r>
          </w:p>
        </w:tc>
        <w:tc>
          <w:tcPr>
            <w:tcW w:w="1701" w:type="dxa"/>
            <w:noWrap w:val="0"/>
            <w:tcMar>
              <w:left w:w="28" w:type="dxa"/>
              <w:right w:w="28" w:type="dxa"/>
            </w:tcMar>
            <w:vAlign w:val="center"/>
          </w:tcPr>
          <w:p w14:paraId="65583AD3">
            <w:pPr>
              <w:pStyle w:val="287"/>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现有工程</w:t>
            </w:r>
          </w:p>
          <w:p w14:paraId="263D2CC3">
            <w:pPr>
              <w:pStyle w:val="287"/>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排放量（固体废物产生量）</w:t>
            </w:r>
            <w:r>
              <w:rPr>
                <w:rFonts w:hint="default" w:ascii="Times New Roman" w:hAnsi="Times New Roman" w:eastAsia="宋体" w:cs="Times New Roman"/>
                <w:color w:val="auto"/>
                <w:spacing w:val="-6"/>
                <w:sz w:val="21"/>
                <w:szCs w:val="21"/>
                <w:highlight w:val="none"/>
                <w:lang w:val="en-US" w:eastAsia="zh-CN"/>
              </w:rPr>
              <w:fldChar w:fldCharType="begin"/>
            </w:r>
            <w:r>
              <w:rPr>
                <w:rFonts w:hint="default" w:ascii="Times New Roman" w:hAnsi="Times New Roman" w:eastAsia="宋体" w:cs="Times New Roman"/>
                <w:color w:val="auto"/>
                <w:spacing w:val="-6"/>
                <w:sz w:val="21"/>
                <w:szCs w:val="21"/>
                <w:highlight w:val="none"/>
                <w:lang w:val="en-US" w:eastAsia="zh-CN"/>
              </w:rPr>
              <w:instrText xml:space="preserve"> = 1 \* GB3 \* MERGEFORMAT </w:instrText>
            </w:r>
            <w:r>
              <w:rPr>
                <w:rFonts w:hint="default" w:ascii="Times New Roman" w:hAnsi="Times New Roman" w:eastAsia="宋体" w:cs="Times New Roman"/>
                <w:color w:val="auto"/>
                <w:spacing w:val="-6"/>
                <w:sz w:val="21"/>
                <w:szCs w:val="21"/>
                <w:highlight w:val="none"/>
                <w:lang w:val="en-US" w:eastAsia="zh-CN"/>
              </w:rPr>
              <w:fldChar w:fldCharType="separate"/>
            </w:r>
            <w:r>
              <w:rPr>
                <w:rFonts w:hint="default" w:ascii="Times New Roman" w:hAnsi="Times New Roman" w:eastAsia="宋体" w:cs="Times New Roman"/>
                <w:color w:val="auto"/>
                <w:sz w:val="21"/>
                <w:szCs w:val="21"/>
                <w:highlight w:val="none"/>
                <w:lang w:val="en-US" w:eastAsia="zh-CN"/>
              </w:rPr>
              <w:t>①</w:t>
            </w:r>
            <w:r>
              <w:rPr>
                <w:rFonts w:hint="default" w:ascii="Times New Roman" w:hAnsi="Times New Roman" w:eastAsia="宋体" w:cs="Times New Roman"/>
                <w:color w:val="auto"/>
                <w:spacing w:val="-6"/>
                <w:sz w:val="21"/>
                <w:szCs w:val="21"/>
                <w:highlight w:val="none"/>
                <w:lang w:val="en-US" w:eastAsia="zh-CN"/>
              </w:rPr>
              <w:fldChar w:fldCharType="end"/>
            </w:r>
          </w:p>
        </w:tc>
        <w:tc>
          <w:tcPr>
            <w:tcW w:w="1276" w:type="dxa"/>
            <w:noWrap w:val="0"/>
            <w:tcMar>
              <w:left w:w="28" w:type="dxa"/>
              <w:right w:w="28" w:type="dxa"/>
            </w:tcMar>
            <w:vAlign w:val="center"/>
          </w:tcPr>
          <w:p w14:paraId="67808F75">
            <w:pPr>
              <w:pStyle w:val="287"/>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现有工程</w:t>
            </w:r>
          </w:p>
          <w:p w14:paraId="390D71F2">
            <w:pPr>
              <w:pStyle w:val="287"/>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许可排放量</w:t>
            </w:r>
          </w:p>
          <w:p w14:paraId="6C66C5DB">
            <w:pPr>
              <w:pStyle w:val="287"/>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fldChar w:fldCharType="begin"/>
            </w:r>
            <w:r>
              <w:rPr>
                <w:rFonts w:hint="default" w:ascii="Times New Roman" w:hAnsi="Times New Roman" w:eastAsia="宋体" w:cs="Times New Roman"/>
                <w:color w:val="auto"/>
                <w:spacing w:val="-6"/>
                <w:sz w:val="21"/>
                <w:szCs w:val="21"/>
                <w:highlight w:val="none"/>
                <w:lang w:val="en-US" w:eastAsia="zh-CN"/>
              </w:rPr>
              <w:instrText xml:space="preserve"> = 2 \* GB3 \* MERGEFORMAT </w:instrText>
            </w:r>
            <w:r>
              <w:rPr>
                <w:rFonts w:hint="default" w:ascii="Times New Roman" w:hAnsi="Times New Roman" w:eastAsia="宋体" w:cs="Times New Roman"/>
                <w:color w:val="auto"/>
                <w:spacing w:val="-6"/>
                <w:sz w:val="21"/>
                <w:szCs w:val="21"/>
                <w:highlight w:val="none"/>
                <w:lang w:val="en-US" w:eastAsia="zh-CN"/>
              </w:rPr>
              <w:fldChar w:fldCharType="separate"/>
            </w:r>
            <w:r>
              <w:rPr>
                <w:rFonts w:hint="default" w:ascii="Times New Roman" w:hAnsi="Times New Roman" w:eastAsia="宋体" w:cs="Times New Roman"/>
                <w:color w:val="auto"/>
                <w:spacing w:val="-6"/>
                <w:sz w:val="21"/>
                <w:szCs w:val="21"/>
                <w:highlight w:val="none"/>
                <w:lang w:val="en-US" w:eastAsia="zh-CN"/>
              </w:rPr>
              <w:t>②</w:t>
            </w:r>
            <w:r>
              <w:rPr>
                <w:rFonts w:hint="default" w:ascii="Times New Roman" w:hAnsi="Times New Roman" w:eastAsia="宋体" w:cs="Times New Roman"/>
                <w:color w:val="auto"/>
                <w:spacing w:val="-6"/>
                <w:sz w:val="21"/>
                <w:szCs w:val="21"/>
                <w:highlight w:val="none"/>
                <w:lang w:val="en-US" w:eastAsia="zh-CN"/>
              </w:rPr>
              <w:fldChar w:fldCharType="end"/>
            </w:r>
          </w:p>
        </w:tc>
        <w:tc>
          <w:tcPr>
            <w:tcW w:w="1701" w:type="dxa"/>
            <w:noWrap w:val="0"/>
            <w:tcMar>
              <w:left w:w="28" w:type="dxa"/>
              <w:right w:w="28" w:type="dxa"/>
            </w:tcMar>
            <w:vAlign w:val="center"/>
          </w:tcPr>
          <w:p w14:paraId="484592DB">
            <w:pPr>
              <w:pStyle w:val="287"/>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在建工程</w:t>
            </w:r>
          </w:p>
          <w:p w14:paraId="2F9D252F">
            <w:pPr>
              <w:pStyle w:val="287"/>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排放量（固体废物产生量）</w:t>
            </w:r>
            <w:r>
              <w:rPr>
                <w:rFonts w:hint="default" w:ascii="Times New Roman" w:hAnsi="Times New Roman" w:eastAsia="宋体" w:cs="Times New Roman"/>
                <w:color w:val="auto"/>
                <w:spacing w:val="-6"/>
                <w:sz w:val="21"/>
                <w:szCs w:val="21"/>
                <w:highlight w:val="none"/>
                <w:lang w:val="en-US" w:eastAsia="zh-CN"/>
              </w:rPr>
              <w:fldChar w:fldCharType="begin"/>
            </w:r>
            <w:r>
              <w:rPr>
                <w:rFonts w:hint="default" w:ascii="Times New Roman" w:hAnsi="Times New Roman" w:eastAsia="宋体" w:cs="Times New Roman"/>
                <w:color w:val="auto"/>
                <w:spacing w:val="-6"/>
                <w:sz w:val="21"/>
                <w:szCs w:val="21"/>
                <w:highlight w:val="none"/>
                <w:lang w:val="en-US" w:eastAsia="zh-CN"/>
              </w:rPr>
              <w:instrText xml:space="preserve"> = 3 \* GB3 \* MERGEFORMAT </w:instrText>
            </w:r>
            <w:r>
              <w:rPr>
                <w:rFonts w:hint="default" w:ascii="Times New Roman" w:hAnsi="Times New Roman" w:eastAsia="宋体" w:cs="Times New Roman"/>
                <w:color w:val="auto"/>
                <w:spacing w:val="-6"/>
                <w:sz w:val="21"/>
                <w:szCs w:val="21"/>
                <w:highlight w:val="none"/>
                <w:lang w:val="en-US" w:eastAsia="zh-CN"/>
              </w:rPr>
              <w:fldChar w:fldCharType="separate"/>
            </w:r>
            <w:r>
              <w:rPr>
                <w:rFonts w:hint="default" w:ascii="Times New Roman" w:hAnsi="Times New Roman" w:eastAsia="宋体" w:cs="Times New Roman"/>
                <w:color w:val="auto"/>
                <w:sz w:val="21"/>
                <w:szCs w:val="21"/>
                <w:highlight w:val="none"/>
                <w:lang w:val="en-US" w:eastAsia="zh-CN"/>
              </w:rPr>
              <w:t>③</w:t>
            </w:r>
            <w:r>
              <w:rPr>
                <w:rFonts w:hint="default" w:ascii="Times New Roman" w:hAnsi="Times New Roman" w:eastAsia="宋体" w:cs="Times New Roman"/>
                <w:color w:val="auto"/>
                <w:spacing w:val="-6"/>
                <w:sz w:val="21"/>
                <w:szCs w:val="21"/>
                <w:highlight w:val="none"/>
                <w:lang w:val="en-US" w:eastAsia="zh-CN"/>
              </w:rPr>
              <w:fldChar w:fldCharType="end"/>
            </w:r>
          </w:p>
        </w:tc>
        <w:tc>
          <w:tcPr>
            <w:tcW w:w="1559" w:type="dxa"/>
            <w:noWrap w:val="0"/>
            <w:tcMar>
              <w:left w:w="28" w:type="dxa"/>
              <w:right w:w="28" w:type="dxa"/>
            </w:tcMar>
            <w:vAlign w:val="center"/>
          </w:tcPr>
          <w:p w14:paraId="551716B9">
            <w:pPr>
              <w:pStyle w:val="287"/>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本项目</w:t>
            </w:r>
          </w:p>
          <w:p w14:paraId="7BC700FB">
            <w:pPr>
              <w:pStyle w:val="287"/>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排放量（固体废物产生量）</w:t>
            </w:r>
            <w:r>
              <w:rPr>
                <w:rFonts w:hint="default" w:ascii="Times New Roman" w:hAnsi="Times New Roman" w:eastAsia="宋体" w:cs="Times New Roman"/>
                <w:color w:val="auto"/>
                <w:spacing w:val="-6"/>
                <w:sz w:val="21"/>
                <w:szCs w:val="21"/>
                <w:highlight w:val="none"/>
                <w:lang w:val="en-US" w:eastAsia="zh-CN"/>
              </w:rPr>
              <w:fldChar w:fldCharType="begin"/>
            </w:r>
            <w:r>
              <w:rPr>
                <w:rFonts w:hint="default" w:ascii="Times New Roman" w:hAnsi="Times New Roman" w:eastAsia="宋体" w:cs="Times New Roman"/>
                <w:color w:val="auto"/>
                <w:spacing w:val="-6"/>
                <w:sz w:val="21"/>
                <w:szCs w:val="21"/>
                <w:highlight w:val="none"/>
                <w:lang w:val="en-US" w:eastAsia="zh-CN"/>
              </w:rPr>
              <w:instrText xml:space="preserve"> = 4 \* GB3 \* MERGEFORMAT </w:instrText>
            </w:r>
            <w:r>
              <w:rPr>
                <w:rFonts w:hint="default" w:ascii="Times New Roman" w:hAnsi="Times New Roman" w:eastAsia="宋体" w:cs="Times New Roman"/>
                <w:color w:val="auto"/>
                <w:spacing w:val="-6"/>
                <w:sz w:val="21"/>
                <w:szCs w:val="21"/>
                <w:highlight w:val="none"/>
                <w:lang w:val="en-US" w:eastAsia="zh-CN"/>
              </w:rPr>
              <w:fldChar w:fldCharType="separate"/>
            </w:r>
            <w:r>
              <w:rPr>
                <w:rFonts w:hint="default" w:ascii="Times New Roman" w:hAnsi="Times New Roman" w:eastAsia="宋体" w:cs="Times New Roman"/>
                <w:color w:val="auto"/>
                <w:sz w:val="21"/>
                <w:szCs w:val="21"/>
                <w:highlight w:val="none"/>
                <w:lang w:val="en-US" w:eastAsia="zh-CN"/>
              </w:rPr>
              <w:t>④</w:t>
            </w:r>
            <w:r>
              <w:rPr>
                <w:rFonts w:hint="default" w:ascii="Times New Roman" w:hAnsi="Times New Roman" w:eastAsia="宋体" w:cs="Times New Roman"/>
                <w:color w:val="auto"/>
                <w:spacing w:val="-6"/>
                <w:sz w:val="21"/>
                <w:szCs w:val="21"/>
                <w:highlight w:val="none"/>
                <w:lang w:val="en-US" w:eastAsia="zh-CN"/>
              </w:rPr>
              <w:fldChar w:fldCharType="end"/>
            </w:r>
          </w:p>
        </w:tc>
        <w:tc>
          <w:tcPr>
            <w:tcW w:w="1524" w:type="dxa"/>
            <w:noWrap w:val="0"/>
            <w:tcMar>
              <w:left w:w="28" w:type="dxa"/>
              <w:right w:w="28" w:type="dxa"/>
            </w:tcMar>
            <w:vAlign w:val="center"/>
          </w:tcPr>
          <w:p w14:paraId="4CE63015">
            <w:pPr>
              <w:pStyle w:val="287"/>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pacing w:val="-16"/>
                <w:sz w:val="21"/>
                <w:szCs w:val="21"/>
                <w:highlight w:val="none"/>
                <w:lang w:val="en-US" w:eastAsia="zh-CN"/>
              </w:rPr>
            </w:pPr>
            <w:r>
              <w:rPr>
                <w:rFonts w:hint="default" w:ascii="Times New Roman" w:hAnsi="Times New Roman" w:eastAsia="宋体" w:cs="Times New Roman"/>
                <w:color w:val="auto"/>
                <w:spacing w:val="-16"/>
                <w:sz w:val="21"/>
                <w:szCs w:val="21"/>
                <w:highlight w:val="none"/>
                <w:lang w:val="en-US" w:eastAsia="zh-CN"/>
              </w:rPr>
              <w:t>以新带老削减量</w:t>
            </w:r>
          </w:p>
          <w:p w14:paraId="629B04A7">
            <w:pPr>
              <w:pStyle w:val="287"/>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pacing w:val="-16"/>
                <w:sz w:val="21"/>
                <w:szCs w:val="21"/>
                <w:highlight w:val="none"/>
                <w:lang w:val="en-US" w:eastAsia="zh-CN"/>
              </w:rPr>
            </w:pPr>
            <w:r>
              <w:rPr>
                <w:rFonts w:hint="default" w:ascii="Times New Roman" w:hAnsi="Times New Roman" w:eastAsia="宋体" w:cs="Times New Roman"/>
                <w:color w:val="auto"/>
                <w:spacing w:val="-16"/>
                <w:sz w:val="21"/>
                <w:szCs w:val="21"/>
                <w:highlight w:val="none"/>
                <w:lang w:val="en-US" w:eastAsia="zh-CN"/>
              </w:rPr>
              <w:t>（新建项目不填）</w:t>
            </w:r>
            <w:r>
              <w:rPr>
                <w:rFonts w:hint="default" w:ascii="Times New Roman" w:hAnsi="Times New Roman" w:eastAsia="宋体" w:cs="Times New Roman"/>
                <w:color w:val="auto"/>
                <w:spacing w:val="-16"/>
                <w:sz w:val="21"/>
                <w:szCs w:val="21"/>
                <w:highlight w:val="none"/>
                <w:lang w:val="en-US" w:eastAsia="zh-CN"/>
              </w:rPr>
              <w:fldChar w:fldCharType="begin"/>
            </w:r>
            <w:r>
              <w:rPr>
                <w:rFonts w:hint="default" w:ascii="Times New Roman" w:hAnsi="Times New Roman" w:eastAsia="宋体" w:cs="Times New Roman"/>
                <w:color w:val="auto"/>
                <w:spacing w:val="-16"/>
                <w:sz w:val="21"/>
                <w:szCs w:val="21"/>
                <w:highlight w:val="none"/>
                <w:lang w:val="en-US" w:eastAsia="zh-CN"/>
              </w:rPr>
              <w:instrText xml:space="preserve"> = 5 \* GB3 \* MERGEFORMAT </w:instrText>
            </w:r>
            <w:r>
              <w:rPr>
                <w:rFonts w:hint="default" w:ascii="Times New Roman" w:hAnsi="Times New Roman" w:eastAsia="宋体" w:cs="Times New Roman"/>
                <w:color w:val="auto"/>
                <w:spacing w:val="-16"/>
                <w:sz w:val="21"/>
                <w:szCs w:val="21"/>
                <w:highlight w:val="none"/>
                <w:lang w:val="en-US" w:eastAsia="zh-CN"/>
              </w:rPr>
              <w:fldChar w:fldCharType="separate"/>
            </w:r>
            <w:r>
              <w:rPr>
                <w:rFonts w:hint="default" w:ascii="Times New Roman" w:hAnsi="Times New Roman" w:eastAsia="宋体" w:cs="Times New Roman"/>
                <w:color w:val="auto"/>
                <w:sz w:val="21"/>
                <w:szCs w:val="21"/>
                <w:highlight w:val="none"/>
                <w:lang w:val="en-US" w:eastAsia="zh-CN"/>
              </w:rPr>
              <w:t>⑤</w:t>
            </w:r>
            <w:r>
              <w:rPr>
                <w:rFonts w:hint="default" w:ascii="Times New Roman" w:hAnsi="Times New Roman" w:eastAsia="宋体" w:cs="Times New Roman"/>
                <w:color w:val="auto"/>
                <w:spacing w:val="-16"/>
                <w:sz w:val="21"/>
                <w:szCs w:val="21"/>
                <w:highlight w:val="none"/>
                <w:lang w:val="en-US" w:eastAsia="zh-CN"/>
              </w:rPr>
              <w:fldChar w:fldCharType="end"/>
            </w:r>
          </w:p>
        </w:tc>
        <w:tc>
          <w:tcPr>
            <w:tcW w:w="1860" w:type="dxa"/>
            <w:noWrap w:val="0"/>
            <w:tcMar>
              <w:left w:w="28" w:type="dxa"/>
              <w:right w:w="28" w:type="dxa"/>
            </w:tcMar>
            <w:vAlign w:val="center"/>
          </w:tcPr>
          <w:p w14:paraId="0BFB42A7">
            <w:pPr>
              <w:pStyle w:val="287"/>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pacing w:val="-16"/>
                <w:sz w:val="21"/>
                <w:szCs w:val="21"/>
                <w:highlight w:val="none"/>
                <w:lang w:val="en-US" w:eastAsia="zh-CN"/>
              </w:rPr>
            </w:pPr>
            <w:r>
              <w:rPr>
                <w:rFonts w:hint="default" w:ascii="Times New Roman" w:hAnsi="Times New Roman" w:eastAsia="宋体" w:cs="Times New Roman"/>
                <w:color w:val="auto"/>
                <w:spacing w:val="-16"/>
                <w:sz w:val="21"/>
                <w:szCs w:val="21"/>
                <w:highlight w:val="none"/>
                <w:lang w:val="en-US" w:eastAsia="zh-CN"/>
              </w:rPr>
              <w:t>本项目建成后</w:t>
            </w:r>
          </w:p>
          <w:p w14:paraId="5EE916A5">
            <w:pPr>
              <w:pStyle w:val="287"/>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pacing w:val="-16"/>
                <w:sz w:val="21"/>
                <w:szCs w:val="21"/>
                <w:highlight w:val="none"/>
                <w:lang w:val="en-US" w:eastAsia="zh-CN"/>
              </w:rPr>
            </w:pPr>
            <w:r>
              <w:rPr>
                <w:rFonts w:hint="default" w:ascii="Times New Roman" w:hAnsi="Times New Roman" w:eastAsia="宋体" w:cs="Times New Roman"/>
                <w:color w:val="auto"/>
                <w:spacing w:val="-16"/>
                <w:sz w:val="21"/>
                <w:szCs w:val="21"/>
                <w:highlight w:val="none"/>
                <w:lang w:val="en-US" w:eastAsia="zh-CN"/>
              </w:rPr>
              <w:t>全厂排放量（固体废物产生量）</w:t>
            </w:r>
            <w:r>
              <w:rPr>
                <w:rFonts w:hint="default" w:ascii="Times New Roman" w:hAnsi="Times New Roman" w:eastAsia="宋体" w:cs="Times New Roman"/>
                <w:color w:val="auto"/>
                <w:spacing w:val="-16"/>
                <w:sz w:val="21"/>
                <w:szCs w:val="21"/>
                <w:highlight w:val="none"/>
                <w:lang w:val="en-US" w:eastAsia="zh-CN"/>
              </w:rPr>
              <w:fldChar w:fldCharType="begin"/>
            </w:r>
            <w:r>
              <w:rPr>
                <w:rFonts w:hint="default" w:ascii="Times New Roman" w:hAnsi="Times New Roman" w:eastAsia="宋体" w:cs="Times New Roman"/>
                <w:color w:val="auto"/>
                <w:spacing w:val="-16"/>
                <w:sz w:val="21"/>
                <w:szCs w:val="21"/>
                <w:highlight w:val="none"/>
                <w:lang w:val="en-US" w:eastAsia="zh-CN"/>
              </w:rPr>
              <w:instrText xml:space="preserve"> = 6 \* GB3 \* MERGEFORMAT </w:instrText>
            </w:r>
            <w:r>
              <w:rPr>
                <w:rFonts w:hint="default" w:ascii="Times New Roman" w:hAnsi="Times New Roman" w:eastAsia="宋体" w:cs="Times New Roman"/>
                <w:color w:val="auto"/>
                <w:spacing w:val="-16"/>
                <w:sz w:val="21"/>
                <w:szCs w:val="21"/>
                <w:highlight w:val="none"/>
                <w:lang w:val="en-US" w:eastAsia="zh-CN"/>
              </w:rPr>
              <w:fldChar w:fldCharType="separate"/>
            </w:r>
            <w:r>
              <w:rPr>
                <w:rFonts w:hint="default" w:ascii="Times New Roman" w:hAnsi="Times New Roman" w:eastAsia="宋体" w:cs="Times New Roman"/>
                <w:color w:val="auto"/>
                <w:sz w:val="21"/>
                <w:szCs w:val="21"/>
                <w:highlight w:val="none"/>
                <w:lang w:val="en-US" w:eastAsia="zh-CN"/>
              </w:rPr>
              <w:t>⑥</w:t>
            </w:r>
            <w:r>
              <w:rPr>
                <w:rFonts w:hint="default" w:ascii="Times New Roman" w:hAnsi="Times New Roman" w:eastAsia="宋体" w:cs="Times New Roman"/>
                <w:color w:val="auto"/>
                <w:spacing w:val="-16"/>
                <w:sz w:val="21"/>
                <w:szCs w:val="21"/>
                <w:highlight w:val="none"/>
                <w:lang w:val="en-US" w:eastAsia="zh-CN"/>
              </w:rPr>
              <w:fldChar w:fldCharType="end"/>
            </w:r>
          </w:p>
        </w:tc>
        <w:tc>
          <w:tcPr>
            <w:tcW w:w="1442" w:type="dxa"/>
            <w:noWrap w:val="0"/>
            <w:tcMar>
              <w:left w:w="28" w:type="dxa"/>
              <w:right w:w="28" w:type="dxa"/>
            </w:tcMar>
            <w:vAlign w:val="center"/>
          </w:tcPr>
          <w:p w14:paraId="28F418C4">
            <w:pPr>
              <w:pStyle w:val="287"/>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变化量</w:t>
            </w:r>
          </w:p>
          <w:p w14:paraId="098E9220">
            <w:pPr>
              <w:pStyle w:val="287"/>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fldChar w:fldCharType="begin"/>
            </w:r>
            <w:r>
              <w:rPr>
                <w:rFonts w:hint="default" w:ascii="Times New Roman" w:hAnsi="Times New Roman" w:eastAsia="宋体" w:cs="Times New Roman"/>
                <w:color w:val="auto"/>
                <w:spacing w:val="-6"/>
                <w:sz w:val="21"/>
                <w:szCs w:val="21"/>
                <w:highlight w:val="none"/>
                <w:lang w:val="en-US" w:eastAsia="zh-CN"/>
              </w:rPr>
              <w:instrText xml:space="preserve"> = 7 \* GB3 \* MERGEFORMAT </w:instrText>
            </w:r>
            <w:r>
              <w:rPr>
                <w:rFonts w:hint="default" w:ascii="Times New Roman" w:hAnsi="Times New Roman" w:eastAsia="宋体" w:cs="Times New Roman"/>
                <w:color w:val="auto"/>
                <w:spacing w:val="-6"/>
                <w:sz w:val="21"/>
                <w:szCs w:val="21"/>
                <w:highlight w:val="none"/>
                <w:lang w:val="en-US" w:eastAsia="zh-CN"/>
              </w:rPr>
              <w:fldChar w:fldCharType="separate"/>
            </w:r>
            <w:r>
              <w:rPr>
                <w:rFonts w:hint="default" w:ascii="Times New Roman" w:hAnsi="Times New Roman" w:eastAsia="宋体" w:cs="Times New Roman"/>
                <w:color w:val="auto"/>
                <w:sz w:val="21"/>
                <w:szCs w:val="21"/>
                <w:highlight w:val="none"/>
                <w:lang w:val="en-US" w:eastAsia="zh-CN"/>
              </w:rPr>
              <w:t>⑦</w:t>
            </w:r>
            <w:r>
              <w:rPr>
                <w:rFonts w:hint="default" w:ascii="Times New Roman" w:hAnsi="Times New Roman" w:eastAsia="宋体" w:cs="Times New Roman"/>
                <w:color w:val="auto"/>
                <w:spacing w:val="-6"/>
                <w:sz w:val="21"/>
                <w:szCs w:val="21"/>
                <w:highlight w:val="none"/>
                <w:lang w:val="en-US" w:eastAsia="zh-CN"/>
              </w:rPr>
              <w:fldChar w:fldCharType="end"/>
            </w:r>
          </w:p>
        </w:tc>
      </w:tr>
      <w:tr w14:paraId="27DF35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vMerge w:val="restart"/>
            <w:noWrap w:val="0"/>
            <w:vAlign w:val="center"/>
          </w:tcPr>
          <w:p w14:paraId="1CC869F5">
            <w:pPr>
              <w:pStyle w:val="371"/>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1984" w:type="dxa"/>
            <w:noWrap w:val="0"/>
            <w:vAlign w:val="center"/>
          </w:tcPr>
          <w:p w14:paraId="4FD98476">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颗粒物</w:t>
            </w:r>
          </w:p>
        </w:tc>
        <w:tc>
          <w:tcPr>
            <w:tcW w:w="1701" w:type="dxa"/>
            <w:noWrap w:val="0"/>
            <w:vAlign w:val="center"/>
          </w:tcPr>
          <w:p w14:paraId="2430F89D">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276" w:type="dxa"/>
            <w:noWrap w:val="0"/>
            <w:vAlign w:val="center"/>
          </w:tcPr>
          <w:p w14:paraId="4F5C3783">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701" w:type="dxa"/>
            <w:noWrap w:val="0"/>
            <w:vAlign w:val="center"/>
          </w:tcPr>
          <w:p w14:paraId="09E1E5DD">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lang w:bidi="ar"/>
              </w:rPr>
              <w:t>0</w:t>
            </w:r>
          </w:p>
        </w:tc>
        <w:tc>
          <w:tcPr>
            <w:tcW w:w="1559" w:type="dxa"/>
            <w:noWrap w:val="0"/>
            <w:vAlign w:val="center"/>
          </w:tcPr>
          <w:p w14:paraId="7DAA68B1">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6.996</w:t>
            </w:r>
          </w:p>
        </w:tc>
        <w:tc>
          <w:tcPr>
            <w:tcW w:w="1524" w:type="dxa"/>
            <w:noWrap w:val="0"/>
            <w:vAlign w:val="center"/>
          </w:tcPr>
          <w:p w14:paraId="34502509">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w:t>
            </w:r>
          </w:p>
        </w:tc>
        <w:tc>
          <w:tcPr>
            <w:tcW w:w="1860" w:type="dxa"/>
            <w:shd w:val="clear" w:color="auto" w:fill="auto"/>
            <w:noWrap w:val="0"/>
            <w:vAlign w:val="center"/>
          </w:tcPr>
          <w:p w14:paraId="7A4C3391">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6.996</w:t>
            </w:r>
          </w:p>
        </w:tc>
        <w:tc>
          <w:tcPr>
            <w:tcW w:w="1442" w:type="dxa"/>
            <w:shd w:val="clear" w:color="auto" w:fill="auto"/>
            <w:noWrap w:val="0"/>
            <w:vAlign w:val="center"/>
          </w:tcPr>
          <w:p w14:paraId="7BEE01D3">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+6.996</w:t>
            </w:r>
          </w:p>
        </w:tc>
      </w:tr>
      <w:tr w14:paraId="0BD9D3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vMerge w:val="continue"/>
            <w:noWrap w:val="0"/>
            <w:vAlign w:val="center"/>
          </w:tcPr>
          <w:p w14:paraId="7516100E">
            <w:pPr>
              <w:pStyle w:val="371"/>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highlight w:val="none"/>
              </w:rPr>
            </w:pPr>
          </w:p>
        </w:tc>
        <w:tc>
          <w:tcPr>
            <w:tcW w:w="1984" w:type="dxa"/>
            <w:noWrap w:val="0"/>
            <w:vAlign w:val="center"/>
          </w:tcPr>
          <w:p w14:paraId="51BCEB31">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非甲烷总烃</w:t>
            </w:r>
          </w:p>
        </w:tc>
        <w:tc>
          <w:tcPr>
            <w:tcW w:w="1701" w:type="dxa"/>
            <w:noWrap w:val="0"/>
            <w:vAlign w:val="center"/>
          </w:tcPr>
          <w:p w14:paraId="12A9C0CF">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276" w:type="dxa"/>
            <w:noWrap w:val="0"/>
            <w:vAlign w:val="center"/>
          </w:tcPr>
          <w:p w14:paraId="2684A6B6">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701" w:type="dxa"/>
            <w:noWrap w:val="0"/>
            <w:vAlign w:val="center"/>
          </w:tcPr>
          <w:p w14:paraId="5A214422">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bidi="ar"/>
              </w:rPr>
              <w:t>0</w:t>
            </w:r>
          </w:p>
        </w:tc>
        <w:tc>
          <w:tcPr>
            <w:tcW w:w="1559" w:type="dxa"/>
            <w:noWrap w:val="0"/>
            <w:vAlign w:val="center"/>
          </w:tcPr>
          <w:p w14:paraId="6905142A">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0.00002</w:t>
            </w:r>
          </w:p>
        </w:tc>
        <w:tc>
          <w:tcPr>
            <w:tcW w:w="1524" w:type="dxa"/>
            <w:noWrap w:val="0"/>
            <w:vAlign w:val="center"/>
          </w:tcPr>
          <w:p w14:paraId="4B6C13A3">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w:t>
            </w:r>
          </w:p>
        </w:tc>
        <w:tc>
          <w:tcPr>
            <w:tcW w:w="1860" w:type="dxa"/>
            <w:shd w:val="clear" w:color="auto" w:fill="auto"/>
            <w:noWrap w:val="0"/>
            <w:vAlign w:val="center"/>
          </w:tcPr>
          <w:p w14:paraId="21FA7247">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0.00002</w:t>
            </w:r>
          </w:p>
        </w:tc>
        <w:tc>
          <w:tcPr>
            <w:tcW w:w="1442" w:type="dxa"/>
            <w:shd w:val="clear" w:color="auto" w:fill="auto"/>
            <w:noWrap w:val="0"/>
            <w:vAlign w:val="center"/>
          </w:tcPr>
          <w:p w14:paraId="3D406730">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bidi="ar"/>
              </w:rPr>
            </w:pPr>
            <w:r>
              <w:rPr>
                <w:rFonts w:hint="eastAsia" w:ascii="Times New Roman" w:hAnsi="Times New Roman" w:cs="Times New Roman"/>
                <w:i w:val="0"/>
                <w:iCs w:val="0"/>
                <w:color w:val="auto"/>
                <w:kern w:val="0"/>
                <w:sz w:val="21"/>
                <w:szCs w:val="21"/>
                <w:u w:val="none" w:color="auto"/>
                <w:lang w:val="en-US" w:eastAsia="zh-CN" w:bidi="ar"/>
              </w:rPr>
              <w:t>+0.00002</w:t>
            </w:r>
          </w:p>
        </w:tc>
      </w:tr>
      <w:tr w14:paraId="4BC968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vMerge w:val="restart"/>
            <w:noWrap w:val="0"/>
            <w:vAlign w:val="center"/>
          </w:tcPr>
          <w:p w14:paraId="37D6ACFC">
            <w:pPr>
              <w:pStyle w:val="287"/>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废水</w:t>
            </w:r>
          </w:p>
        </w:tc>
        <w:tc>
          <w:tcPr>
            <w:tcW w:w="1984" w:type="dxa"/>
            <w:noWrap w:val="0"/>
            <w:vAlign w:val="center"/>
          </w:tcPr>
          <w:p w14:paraId="19CA82F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废水量</w:t>
            </w:r>
          </w:p>
        </w:tc>
        <w:tc>
          <w:tcPr>
            <w:tcW w:w="1701" w:type="dxa"/>
            <w:noWrap w:val="0"/>
            <w:vAlign w:val="center"/>
          </w:tcPr>
          <w:p w14:paraId="53B420A6">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276" w:type="dxa"/>
            <w:noWrap w:val="0"/>
            <w:vAlign w:val="center"/>
          </w:tcPr>
          <w:p w14:paraId="3566A443">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701" w:type="dxa"/>
            <w:noWrap w:val="0"/>
            <w:vAlign w:val="center"/>
          </w:tcPr>
          <w:p w14:paraId="28F3FC2E">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lang w:bidi="ar"/>
              </w:rPr>
              <w:t>0</w:t>
            </w:r>
          </w:p>
        </w:tc>
        <w:tc>
          <w:tcPr>
            <w:tcW w:w="1559" w:type="dxa"/>
            <w:noWrap w:val="0"/>
            <w:vAlign w:val="center"/>
          </w:tcPr>
          <w:p w14:paraId="39E6926D">
            <w:pPr>
              <w:pStyle w:val="306"/>
              <w:keepNext w:val="0"/>
              <w:keepLines w:val="0"/>
              <w:suppressLineNumbers w:val="0"/>
              <w:spacing w:before="0" w:beforeAutospacing="0" w:after="0" w:afterAutospacing="0" w:line="320" w:lineRule="exact"/>
              <w:ind w:left="0" w:right="0" w:firstLine="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bidi="ar-SA"/>
              </w:rPr>
              <w:t>500</w:t>
            </w:r>
          </w:p>
        </w:tc>
        <w:tc>
          <w:tcPr>
            <w:tcW w:w="1524" w:type="dxa"/>
            <w:noWrap w:val="0"/>
            <w:vAlign w:val="center"/>
          </w:tcPr>
          <w:p w14:paraId="1E20E29E">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w:t>
            </w:r>
          </w:p>
        </w:tc>
        <w:tc>
          <w:tcPr>
            <w:tcW w:w="1860" w:type="dxa"/>
            <w:shd w:val="clear" w:color="auto" w:fill="auto"/>
            <w:noWrap w:val="0"/>
            <w:vAlign w:val="center"/>
          </w:tcPr>
          <w:p w14:paraId="3EFE730C">
            <w:pPr>
              <w:pStyle w:val="306"/>
              <w:keepNext w:val="0"/>
              <w:keepLines w:val="0"/>
              <w:suppressLineNumbers w:val="0"/>
              <w:spacing w:before="0" w:beforeAutospacing="0" w:after="0" w:afterAutospacing="0" w:line="32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bidi="ar-SA"/>
              </w:rPr>
              <w:t>500</w:t>
            </w:r>
          </w:p>
        </w:tc>
        <w:tc>
          <w:tcPr>
            <w:tcW w:w="1442" w:type="dxa"/>
            <w:shd w:val="clear" w:color="auto" w:fill="auto"/>
            <w:noWrap w:val="0"/>
            <w:vAlign w:val="center"/>
          </w:tcPr>
          <w:p w14:paraId="28C55794">
            <w:pPr>
              <w:pStyle w:val="306"/>
              <w:keepNext w:val="0"/>
              <w:keepLines w:val="0"/>
              <w:suppressLineNumbers w:val="0"/>
              <w:spacing w:before="0" w:beforeAutospacing="0" w:after="0" w:afterAutospacing="0" w:line="32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bidi="ar-SA"/>
              </w:rPr>
              <w:t>+500</w:t>
            </w:r>
          </w:p>
        </w:tc>
      </w:tr>
      <w:tr w14:paraId="6CBDC1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vMerge w:val="continue"/>
            <w:noWrap w:val="0"/>
            <w:vAlign w:val="center"/>
          </w:tcPr>
          <w:p w14:paraId="1ED06E11">
            <w:pPr>
              <w:pStyle w:val="287"/>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lang w:val="en-US" w:eastAsia="zh-CN"/>
              </w:rPr>
            </w:pPr>
          </w:p>
        </w:tc>
        <w:tc>
          <w:tcPr>
            <w:tcW w:w="1984" w:type="dxa"/>
            <w:noWrap w:val="0"/>
            <w:vAlign w:val="center"/>
          </w:tcPr>
          <w:p w14:paraId="08FDD68E">
            <w:pPr>
              <w:keepNext w:val="0"/>
              <w:keepLines w:val="0"/>
              <w:widowControl w:val="0"/>
              <w:suppressLineNumbers w:val="0"/>
              <w:autoSpaceDE w:val="0"/>
              <w:autoSpaceDN/>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lang w:val="en-US" w:eastAsia="zh-CN" w:bidi="ar"/>
              </w:rPr>
              <w:t>COD</w:t>
            </w:r>
          </w:p>
        </w:tc>
        <w:tc>
          <w:tcPr>
            <w:tcW w:w="1701" w:type="dxa"/>
            <w:noWrap w:val="0"/>
            <w:vAlign w:val="center"/>
          </w:tcPr>
          <w:p w14:paraId="21B4EDA5">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276" w:type="dxa"/>
            <w:noWrap w:val="0"/>
            <w:vAlign w:val="center"/>
          </w:tcPr>
          <w:p w14:paraId="01DF0300">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701" w:type="dxa"/>
            <w:noWrap w:val="0"/>
            <w:vAlign w:val="center"/>
          </w:tcPr>
          <w:p w14:paraId="1FD384F4">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lang w:bidi="ar"/>
              </w:rPr>
              <w:t>0</w:t>
            </w:r>
          </w:p>
        </w:tc>
        <w:tc>
          <w:tcPr>
            <w:tcW w:w="1559" w:type="dxa"/>
            <w:shd w:val="clear" w:color="auto" w:fill="auto"/>
            <w:noWrap w:val="0"/>
            <w:vAlign w:val="center"/>
          </w:tcPr>
          <w:p w14:paraId="089AD06D">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0.125</w:t>
            </w:r>
          </w:p>
        </w:tc>
        <w:tc>
          <w:tcPr>
            <w:tcW w:w="1524" w:type="dxa"/>
            <w:noWrap w:val="0"/>
            <w:vAlign w:val="center"/>
          </w:tcPr>
          <w:p w14:paraId="001EA10E">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w:t>
            </w:r>
          </w:p>
        </w:tc>
        <w:tc>
          <w:tcPr>
            <w:tcW w:w="1860" w:type="dxa"/>
            <w:shd w:val="clear" w:color="auto" w:fill="auto"/>
            <w:noWrap w:val="0"/>
            <w:vAlign w:val="center"/>
          </w:tcPr>
          <w:p w14:paraId="6BA50F84">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0.125</w:t>
            </w:r>
          </w:p>
        </w:tc>
        <w:tc>
          <w:tcPr>
            <w:tcW w:w="1442" w:type="dxa"/>
            <w:shd w:val="clear" w:color="auto" w:fill="auto"/>
            <w:noWrap w:val="0"/>
            <w:vAlign w:val="center"/>
          </w:tcPr>
          <w:p w14:paraId="36EEA9C3">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lang w:val="en-US" w:eastAsia="zh-CN" w:bidi="ar-SA"/>
              </w:rPr>
            </w:pPr>
            <w:r>
              <w:rPr>
                <w:rFonts w:hint="eastAsia" w:ascii="Times New Roman" w:hAnsi="Times New Roman" w:eastAsia="宋体"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0.125</w:t>
            </w:r>
          </w:p>
        </w:tc>
      </w:tr>
      <w:tr w14:paraId="21396D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vMerge w:val="continue"/>
            <w:noWrap w:val="0"/>
            <w:vAlign w:val="center"/>
          </w:tcPr>
          <w:p w14:paraId="610A8014">
            <w:pPr>
              <w:pStyle w:val="287"/>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lang w:val="en-US" w:eastAsia="zh-CN"/>
              </w:rPr>
            </w:pPr>
          </w:p>
        </w:tc>
        <w:tc>
          <w:tcPr>
            <w:tcW w:w="1984" w:type="dxa"/>
            <w:noWrap w:val="0"/>
            <w:vAlign w:val="center"/>
          </w:tcPr>
          <w:p w14:paraId="1522F756">
            <w:pPr>
              <w:keepNext w:val="0"/>
              <w:keepLines w:val="0"/>
              <w:widowControl w:val="0"/>
              <w:suppressLineNumbers w:val="0"/>
              <w:autoSpaceDE w:val="0"/>
              <w:autoSpaceDN/>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vertAlign w:val="subscript"/>
              </w:rPr>
            </w:pPr>
            <w:r>
              <w:rPr>
                <w:rFonts w:hint="default" w:ascii="Times New Roman" w:hAnsi="Times New Roman" w:eastAsia="宋体" w:cs="Times New Roman"/>
                <w:color w:val="auto"/>
                <w:kern w:val="2"/>
                <w:sz w:val="21"/>
                <w:szCs w:val="21"/>
                <w:lang w:val="en-US" w:eastAsia="zh-CN" w:bidi="ar"/>
              </w:rPr>
              <w:t>BOD</w:t>
            </w:r>
            <w:r>
              <w:rPr>
                <w:rFonts w:hint="default" w:ascii="Times New Roman" w:hAnsi="Times New Roman" w:eastAsia="宋体" w:cs="Times New Roman"/>
                <w:color w:val="auto"/>
                <w:kern w:val="2"/>
                <w:sz w:val="21"/>
                <w:szCs w:val="21"/>
                <w:vertAlign w:val="subscript"/>
                <w:lang w:val="en-US" w:eastAsia="zh-CN" w:bidi="ar"/>
              </w:rPr>
              <w:t>5</w:t>
            </w:r>
          </w:p>
        </w:tc>
        <w:tc>
          <w:tcPr>
            <w:tcW w:w="1701" w:type="dxa"/>
            <w:noWrap w:val="0"/>
            <w:vAlign w:val="center"/>
          </w:tcPr>
          <w:p w14:paraId="6574014C">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276" w:type="dxa"/>
            <w:noWrap w:val="0"/>
            <w:vAlign w:val="center"/>
          </w:tcPr>
          <w:p w14:paraId="730DDE52">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701" w:type="dxa"/>
            <w:noWrap w:val="0"/>
            <w:vAlign w:val="center"/>
          </w:tcPr>
          <w:p w14:paraId="6B226FDE">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lang w:bidi="ar"/>
              </w:rPr>
              <w:t>0</w:t>
            </w:r>
          </w:p>
        </w:tc>
        <w:tc>
          <w:tcPr>
            <w:tcW w:w="1559" w:type="dxa"/>
            <w:shd w:val="clear" w:color="auto" w:fill="auto"/>
            <w:noWrap w:val="0"/>
            <w:vAlign w:val="center"/>
          </w:tcPr>
          <w:p w14:paraId="5B197D4C">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0.075</w:t>
            </w:r>
          </w:p>
        </w:tc>
        <w:tc>
          <w:tcPr>
            <w:tcW w:w="1524" w:type="dxa"/>
            <w:noWrap w:val="0"/>
            <w:vAlign w:val="center"/>
          </w:tcPr>
          <w:p w14:paraId="09EED80D">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w:t>
            </w:r>
          </w:p>
        </w:tc>
        <w:tc>
          <w:tcPr>
            <w:tcW w:w="1860" w:type="dxa"/>
            <w:shd w:val="clear" w:color="auto" w:fill="auto"/>
            <w:noWrap w:val="0"/>
            <w:vAlign w:val="center"/>
          </w:tcPr>
          <w:p w14:paraId="6B1DF8A7">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0.075</w:t>
            </w:r>
          </w:p>
        </w:tc>
        <w:tc>
          <w:tcPr>
            <w:tcW w:w="1442" w:type="dxa"/>
            <w:shd w:val="clear" w:color="auto" w:fill="auto"/>
            <w:noWrap w:val="0"/>
            <w:vAlign w:val="center"/>
          </w:tcPr>
          <w:p w14:paraId="30FF4CAA">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lang w:val="en-US" w:eastAsia="zh-CN" w:bidi="ar-SA"/>
              </w:rPr>
            </w:pPr>
            <w:r>
              <w:rPr>
                <w:rFonts w:hint="eastAsia" w:ascii="Times New Roman" w:hAnsi="Times New Roman" w:eastAsia="宋体"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0.075</w:t>
            </w:r>
          </w:p>
        </w:tc>
      </w:tr>
      <w:tr w14:paraId="12F962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vMerge w:val="continue"/>
            <w:noWrap w:val="0"/>
            <w:vAlign w:val="center"/>
          </w:tcPr>
          <w:p w14:paraId="4DFE224F">
            <w:pPr>
              <w:pStyle w:val="287"/>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lang w:val="en-US" w:eastAsia="zh-CN"/>
              </w:rPr>
            </w:pPr>
          </w:p>
        </w:tc>
        <w:tc>
          <w:tcPr>
            <w:tcW w:w="1984" w:type="dxa"/>
            <w:noWrap w:val="0"/>
            <w:vAlign w:val="center"/>
          </w:tcPr>
          <w:p w14:paraId="50BB3977">
            <w:pPr>
              <w:keepNext w:val="0"/>
              <w:keepLines w:val="0"/>
              <w:widowControl w:val="0"/>
              <w:suppressLineNumbers w:val="0"/>
              <w:autoSpaceDE w:val="0"/>
              <w:autoSpaceDN/>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lang w:val="en-US" w:eastAsia="zh-CN" w:bidi="ar"/>
              </w:rPr>
              <w:t>SS</w:t>
            </w:r>
          </w:p>
        </w:tc>
        <w:tc>
          <w:tcPr>
            <w:tcW w:w="1701" w:type="dxa"/>
            <w:noWrap w:val="0"/>
            <w:vAlign w:val="center"/>
          </w:tcPr>
          <w:p w14:paraId="41B45C66">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276" w:type="dxa"/>
            <w:noWrap w:val="0"/>
            <w:vAlign w:val="center"/>
          </w:tcPr>
          <w:p w14:paraId="6F0EA1C3">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701" w:type="dxa"/>
            <w:noWrap w:val="0"/>
            <w:vAlign w:val="center"/>
          </w:tcPr>
          <w:p w14:paraId="0CAE7EF9">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lang w:bidi="ar"/>
              </w:rPr>
              <w:t>0</w:t>
            </w:r>
          </w:p>
        </w:tc>
        <w:tc>
          <w:tcPr>
            <w:tcW w:w="1559" w:type="dxa"/>
            <w:shd w:val="clear" w:color="auto" w:fill="auto"/>
            <w:noWrap w:val="0"/>
            <w:vAlign w:val="center"/>
          </w:tcPr>
          <w:p w14:paraId="3F4A3745">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0.075</w:t>
            </w:r>
          </w:p>
        </w:tc>
        <w:tc>
          <w:tcPr>
            <w:tcW w:w="1524" w:type="dxa"/>
            <w:noWrap w:val="0"/>
            <w:vAlign w:val="center"/>
          </w:tcPr>
          <w:p w14:paraId="1D4D5EB4">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w:t>
            </w:r>
          </w:p>
        </w:tc>
        <w:tc>
          <w:tcPr>
            <w:tcW w:w="1860" w:type="dxa"/>
            <w:shd w:val="clear" w:color="auto" w:fill="auto"/>
            <w:noWrap w:val="0"/>
            <w:vAlign w:val="center"/>
          </w:tcPr>
          <w:p w14:paraId="61318498">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0.075</w:t>
            </w:r>
          </w:p>
        </w:tc>
        <w:tc>
          <w:tcPr>
            <w:tcW w:w="1442" w:type="dxa"/>
            <w:shd w:val="clear" w:color="auto" w:fill="auto"/>
            <w:noWrap w:val="0"/>
            <w:vAlign w:val="center"/>
          </w:tcPr>
          <w:p w14:paraId="3EADBA12">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lang w:val="en-US" w:eastAsia="zh-CN" w:bidi="ar-SA"/>
              </w:rPr>
            </w:pPr>
            <w:r>
              <w:rPr>
                <w:rFonts w:hint="eastAsia" w:ascii="Times New Roman" w:hAnsi="Times New Roman" w:eastAsia="宋体"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0.075</w:t>
            </w:r>
          </w:p>
        </w:tc>
      </w:tr>
      <w:tr w14:paraId="693AE1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vMerge w:val="continue"/>
            <w:noWrap w:val="0"/>
            <w:vAlign w:val="center"/>
          </w:tcPr>
          <w:p w14:paraId="2516FDF7">
            <w:pPr>
              <w:pStyle w:val="287"/>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lang w:val="en-US" w:eastAsia="zh-CN"/>
              </w:rPr>
            </w:pPr>
          </w:p>
        </w:tc>
        <w:tc>
          <w:tcPr>
            <w:tcW w:w="1984" w:type="dxa"/>
            <w:noWrap w:val="0"/>
            <w:vAlign w:val="center"/>
          </w:tcPr>
          <w:p w14:paraId="259595E3">
            <w:pPr>
              <w:keepNext w:val="0"/>
              <w:keepLines w:val="0"/>
              <w:widowControl w:val="0"/>
              <w:suppressLineNumbers w:val="0"/>
              <w:autoSpaceDE w:val="0"/>
              <w:autoSpaceDN/>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eastAsia" w:ascii="宋体" w:hAnsi="宋体" w:eastAsia="宋体" w:cs="宋体"/>
                <w:color w:val="auto"/>
                <w:kern w:val="2"/>
                <w:sz w:val="21"/>
                <w:szCs w:val="21"/>
                <w:lang w:val="en-US" w:eastAsia="zh-CN" w:bidi="ar"/>
              </w:rPr>
              <w:t>氨氮</w:t>
            </w:r>
          </w:p>
        </w:tc>
        <w:tc>
          <w:tcPr>
            <w:tcW w:w="1701" w:type="dxa"/>
            <w:noWrap w:val="0"/>
            <w:vAlign w:val="center"/>
          </w:tcPr>
          <w:p w14:paraId="7241FDB0">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276" w:type="dxa"/>
            <w:noWrap w:val="0"/>
            <w:vAlign w:val="center"/>
          </w:tcPr>
          <w:p w14:paraId="3C2CB3E1">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701" w:type="dxa"/>
            <w:noWrap w:val="0"/>
            <w:vAlign w:val="center"/>
          </w:tcPr>
          <w:p w14:paraId="0DC8EA29">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lang w:bidi="ar"/>
              </w:rPr>
              <w:t>0</w:t>
            </w:r>
          </w:p>
        </w:tc>
        <w:tc>
          <w:tcPr>
            <w:tcW w:w="1559" w:type="dxa"/>
            <w:shd w:val="clear" w:color="auto" w:fill="auto"/>
            <w:noWrap w:val="0"/>
            <w:vAlign w:val="center"/>
          </w:tcPr>
          <w:p w14:paraId="1E7561E4">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0.009</w:t>
            </w:r>
          </w:p>
        </w:tc>
        <w:tc>
          <w:tcPr>
            <w:tcW w:w="1524" w:type="dxa"/>
            <w:noWrap w:val="0"/>
            <w:vAlign w:val="center"/>
          </w:tcPr>
          <w:p w14:paraId="1DC58CF3">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w:t>
            </w:r>
          </w:p>
        </w:tc>
        <w:tc>
          <w:tcPr>
            <w:tcW w:w="1860" w:type="dxa"/>
            <w:shd w:val="clear" w:color="auto" w:fill="auto"/>
            <w:noWrap w:val="0"/>
            <w:vAlign w:val="center"/>
          </w:tcPr>
          <w:p w14:paraId="7FF6248B">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0.009</w:t>
            </w:r>
          </w:p>
        </w:tc>
        <w:tc>
          <w:tcPr>
            <w:tcW w:w="1442" w:type="dxa"/>
            <w:shd w:val="clear" w:color="auto" w:fill="auto"/>
            <w:noWrap w:val="0"/>
            <w:vAlign w:val="center"/>
          </w:tcPr>
          <w:p w14:paraId="30314057">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lang w:val="en-US" w:eastAsia="zh-CN" w:bidi="ar-SA"/>
              </w:rPr>
            </w:pPr>
            <w:r>
              <w:rPr>
                <w:rFonts w:hint="eastAsia" w:ascii="Times New Roman" w:hAnsi="Times New Roman" w:eastAsia="宋体"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0.009</w:t>
            </w:r>
          </w:p>
        </w:tc>
      </w:tr>
      <w:tr w14:paraId="038556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vMerge w:val="continue"/>
            <w:noWrap w:val="0"/>
            <w:vAlign w:val="center"/>
          </w:tcPr>
          <w:p w14:paraId="29DFD73F">
            <w:pPr>
              <w:pStyle w:val="287"/>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lang w:val="en-US" w:eastAsia="zh-CN"/>
              </w:rPr>
            </w:pPr>
          </w:p>
        </w:tc>
        <w:tc>
          <w:tcPr>
            <w:tcW w:w="1984" w:type="dxa"/>
            <w:noWrap w:val="0"/>
            <w:vAlign w:val="center"/>
          </w:tcPr>
          <w:p w14:paraId="12F92F48">
            <w:pPr>
              <w:keepNext w:val="0"/>
              <w:keepLines w:val="0"/>
              <w:widowControl w:val="0"/>
              <w:suppressLineNumbers w:val="0"/>
              <w:autoSpaceDE w:val="0"/>
              <w:autoSpaceDN/>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lang w:val="en-US" w:eastAsia="zh-CN" w:bidi="ar"/>
              </w:rPr>
              <w:t>T</w:t>
            </w:r>
            <w:r>
              <w:rPr>
                <w:rFonts w:hint="eastAsia" w:ascii="Times New Roman" w:hAnsi="Times New Roman" w:eastAsia="宋体" w:cs="Times New Roman"/>
                <w:color w:val="auto"/>
                <w:kern w:val="2"/>
                <w:sz w:val="21"/>
                <w:szCs w:val="21"/>
                <w:lang w:val="en-US" w:eastAsia="zh-CN" w:bidi="ar"/>
              </w:rPr>
              <w:t>P</w:t>
            </w:r>
          </w:p>
        </w:tc>
        <w:tc>
          <w:tcPr>
            <w:tcW w:w="1701" w:type="dxa"/>
            <w:noWrap w:val="0"/>
            <w:vAlign w:val="center"/>
          </w:tcPr>
          <w:p w14:paraId="7D00596B">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276" w:type="dxa"/>
            <w:noWrap w:val="0"/>
            <w:vAlign w:val="center"/>
          </w:tcPr>
          <w:p w14:paraId="74F5D654">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701" w:type="dxa"/>
            <w:noWrap w:val="0"/>
            <w:vAlign w:val="center"/>
          </w:tcPr>
          <w:p w14:paraId="248E653C">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559" w:type="dxa"/>
            <w:shd w:val="clear" w:color="auto" w:fill="auto"/>
            <w:noWrap w:val="0"/>
            <w:vAlign w:val="center"/>
          </w:tcPr>
          <w:p w14:paraId="486C5B6D">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0.00125</w:t>
            </w:r>
          </w:p>
        </w:tc>
        <w:tc>
          <w:tcPr>
            <w:tcW w:w="1524" w:type="dxa"/>
            <w:noWrap w:val="0"/>
            <w:vAlign w:val="center"/>
          </w:tcPr>
          <w:p w14:paraId="010359D8">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p>
        </w:tc>
        <w:tc>
          <w:tcPr>
            <w:tcW w:w="1860" w:type="dxa"/>
            <w:shd w:val="clear" w:color="auto" w:fill="auto"/>
            <w:noWrap w:val="0"/>
            <w:vAlign w:val="center"/>
          </w:tcPr>
          <w:p w14:paraId="7D0291A0">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0.00125</w:t>
            </w:r>
          </w:p>
        </w:tc>
        <w:tc>
          <w:tcPr>
            <w:tcW w:w="1442" w:type="dxa"/>
            <w:shd w:val="clear" w:color="auto" w:fill="auto"/>
            <w:noWrap w:val="0"/>
            <w:vAlign w:val="center"/>
          </w:tcPr>
          <w:p w14:paraId="4E52F2E9">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lang w:val="en-US" w:eastAsia="zh-CN" w:bidi="ar-SA"/>
              </w:rPr>
            </w:pPr>
            <w:r>
              <w:rPr>
                <w:rFonts w:hint="eastAsia" w:ascii="Times New Roman" w:hAnsi="Times New Roman" w:eastAsia="宋体"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0.00125</w:t>
            </w:r>
          </w:p>
        </w:tc>
      </w:tr>
      <w:tr w14:paraId="049049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vMerge w:val="restart"/>
            <w:noWrap w:val="0"/>
            <w:vAlign w:val="center"/>
          </w:tcPr>
          <w:p w14:paraId="5B65526E">
            <w:pPr>
              <w:pStyle w:val="375"/>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一般工业固体废物</w:t>
            </w:r>
          </w:p>
        </w:tc>
        <w:tc>
          <w:tcPr>
            <w:tcW w:w="1984" w:type="dxa"/>
            <w:shd w:val="clear" w:color="auto" w:fill="auto"/>
            <w:noWrap w:val="0"/>
            <w:vAlign w:val="center"/>
          </w:tcPr>
          <w:p w14:paraId="3B6BCCE6">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GB" w:eastAsia="zh-CN" w:bidi="ar-SA"/>
              </w:rPr>
            </w:pPr>
            <w:r>
              <w:rPr>
                <w:rFonts w:hint="default" w:ascii="Times New Roman" w:hAnsi="Times New Roman" w:eastAsia="宋体" w:cs="Times New Roman"/>
                <w:color w:val="auto"/>
                <w:sz w:val="21"/>
                <w:szCs w:val="21"/>
              </w:rPr>
              <w:t>生活垃圾</w:t>
            </w:r>
          </w:p>
        </w:tc>
        <w:tc>
          <w:tcPr>
            <w:tcW w:w="1701" w:type="dxa"/>
            <w:noWrap w:val="0"/>
            <w:vAlign w:val="center"/>
          </w:tcPr>
          <w:p w14:paraId="6EF6A154">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276" w:type="dxa"/>
            <w:noWrap w:val="0"/>
            <w:vAlign w:val="center"/>
          </w:tcPr>
          <w:p w14:paraId="572AEC03">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701" w:type="dxa"/>
            <w:noWrap w:val="0"/>
            <w:vAlign w:val="center"/>
          </w:tcPr>
          <w:p w14:paraId="0DBB22FE">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lang w:bidi="ar"/>
              </w:rPr>
              <w:t>0</w:t>
            </w:r>
          </w:p>
        </w:tc>
        <w:tc>
          <w:tcPr>
            <w:tcW w:w="1559" w:type="dxa"/>
            <w:noWrap w:val="0"/>
            <w:vAlign w:val="center"/>
          </w:tcPr>
          <w:p w14:paraId="1FAC874D">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3.75</w:t>
            </w:r>
          </w:p>
        </w:tc>
        <w:tc>
          <w:tcPr>
            <w:tcW w:w="1524" w:type="dxa"/>
            <w:noWrap w:val="0"/>
            <w:vAlign w:val="center"/>
          </w:tcPr>
          <w:p w14:paraId="2AF4A763">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w:t>
            </w:r>
          </w:p>
        </w:tc>
        <w:tc>
          <w:tcPr>
            <w:tcW w:w="1860" w:type="dxa"/>
            <w:noWrap w:val="0"/>
            <w:vAlign w:val="center"/>
          </w:tcPr>
          <w:p w14:paraId="0B18CBEE">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3.75</w:t>
            </w:r>
          </w:p>
        </w:tc>
        <w:tc>
          <w:tcPr>
            <w:tcW w:w="1442" w:type="dxa"/>
            <w:shd w:val="clear" w:color="auto" w:fill="auto"/>
            <w:noWrap w:val="0"/>
            <w:vAlign w:val="center"/>
          </w:tcPr>
          <w:p w14:paraId="5646AEED">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+3.75</w:t>
            </w:r>
          </w:p>
        </w:tc>
      </w:tr>
      <w:tr w14:paraId="45F177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vMerge w:val="continue"/>
            <w:noWrap w:val="0"/>
            <w:vAlign w:val="center"/>
          </w:tcPr>
          <w:p w14:paraId="6083DD05">
            <w:pPr>
              <w:pStyle w:val="48"/>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highlight w:val="none"/>
              </w:rPr>
            </w:pPr>
          </w:p>
        </w:tc>
        <w:tc>
          <w:tcPr>
            <w:tcW w:w="1984" w:type="dxa"/>
            <w:shd w:val="clear" w:color="auto" w:fill="auto"/>
            <w:noWrap w:val="0"/>
            <w:vAlign w:val="center"/>
          </w:tcPr>
          <w:p w14:paraId="45B27E68">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GB" w:eastAsia="zh-CN" w:bidi="ar-SA"/>
              </w:rPr>
            </w:pPr>
            <w:r>
              <w:rPr>
                <w:rFonts w:hint="default" w:ascii="Times New Roman" w:hAnsi="Times New Roman" w:eastAsia="宋体" w:cs="Times New Roman"/>
                <w:color w:val="auto"/>
                <w:sz w:val="21"/>
                <w:szCs w:val="21"/>
                <w:lang w:val="en-US" w:eastAsia="zh-CN"/>
              </w:rPr>
              <w:t>分拣杂物</w:t>
            </w:r>
          </w:p>
        </w:tc>
        <w:tc>
          <w:tcPr>
            <w:tcW w:w="1701" w:type="dxa"/>
            <w:noWrap w:val="0"/>
            <w:vAlign w:val="center"/>
          </w:tcPr>
          <w:p w14:paraId="346CC39D">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276" w:type="dxa"/>
            <w:noWrap w:val="0"/>
            <w:vAlign w:val="center"/>
          </w:tcPr>
          <w:p w14:paraId="0F5E4B73">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701" w:type="dxa"/>
            <w:noWrap w:val="0"/>
            <w:vAlign w:val="center"/>
          </w:tcPr>
          <w:p w14:paraId="4EF2FC81">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lang w:bidi="ar"/>
              </w:rPr>
              <w:t>0</w:t>
            </w:r>
          </w:p>
        </w:tc>
        <w:tc>
          <w:tcPr>
            <w:tcW w:w="1559" w:type="dxa"/>
            <w:noWrap w:val="0"/>
            <w:vAlign w:val="center"/>
          </w:tcPr>
          <w:p w14:paraId="39A4F4B3">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lang w:val="en-US" w:eastAsia="zh-CN"/>
              </w:rPr>
              <w:t>10</w:t>
            </w:r>
          </w:p>
        </w:tc>
        <w:tc>
          <w:tcPr>
            <w:tcW w:w="1524" w:type="dxa"/>
            <w:noWrap w:val="0"/>
            <w:vAlign w:val="center"/>
          </w:tcPr>
          <w:p w14:paraId="34A24E30">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w:t>
            </w:r>
          </w:p>
        </w:tc>
        <w:tc>
          <w:tcPr>
            <w:tcW w:w="1860" w:type="dxa"/>
            <w:noWrap w:val="0"/>
            <w:vAlign w:val="center"/>
          </w:tcPr>
          <w:p w14:paraId="70270F88">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lang w:val="en-US" w:eastAsia="zh-CN"/>
              </w:rPr>
              <w:t>10</w:t>
            </w:r>
          </w:p>
        </w:tc>
        <w:tc>
          <w:tcPr>
            <w:tcW w:w="1442" w:type="dxa"/>
            <w:shd w:val="clear" w:color="auto" w:fill="auto"/>
            <w:noWrap w:val="0"/>
            <w:vAlign w:val="center"/>
          </w:tcPr>
          <w:p w14:paraId="1FE6F8D4">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10</w:t>
            </w:r>
          </w:p>
        </w:tc>
      </w:tr>
      <w:tr w14:paraId="6E5283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vMerge w:val="continue"/>
            <w:noWrap w:val="0"/>
            <w:vAlign w:val="center"/>
          </w:tcPr>
          <w:p w14:paraId="20088548">
            <w:pPr>
              <w:pStyle w:val="48"/>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highlight w:val="none"/>
              </w:rPr>
            </w:pPr>
          </w:p>
        </w:tc>
        <w:tc>
          <w:tcPr>
            <w:tcW w:w="1984" w:type="dxa"/>
            <w:shd w:val="clear" w:color="auto" w:fill="auto"/>
            <w:noWrap w:val="0"/>
            <w:vAlign w:val="center"/>
          </w:tcPr>
          <w:p w14:paraId="39C437E5">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lang w:val="en-US" w:eastAsia="zh-CN"/>
              </w:rPr>
              <w:t>金属边角料</w:t>
            </w:r>
          </w:p>
        </w:tc>
        <w:tc>
          <w:tcPr>
            <w:tcW w:w="1701" w:type="dxa"/>
            <w:noWrap w:val="0"/>
            <w:vAlign w:val="center"/>
          </w:tcPr>
          <w:p w14:paraId="7F27B4A7">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276" w:type="dxa"/>
            <w:noWrap w:val="0"/>
            <w:vAlign w:val="center"/>
          </w:tcPr>
          <w:p w14:paraId="0F7C6995">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701" w:type="dxa"/>
            <w:noWrap w:val="0"/>
            <w:vAlign w:val="center"/>
          </w:tcPr>
          <w:p w14:paraId="2CDEC68B">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bidi="ar"/>
              </w:rPr>
              <w:t>0</w:t>
            </w:r>
          </w:p>
        </w:tc>
        <w:tc>
          <w:tcPr>
            <w:tcW w:w="1559" w:type="dxa"/>
            <w:noWrap w:val="0"/>
            <w:vAlign w:val="center"/>
          </w:tcPr>
          <w:p w14:paraId="1CD54178">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lang w:val="en-US" w:eastAsia="zh-CN"/>
              </w:rPr>
              <w:t>0</w:t>
            </w:r>
          </w:p>
        </w:tc>
        <w:tc>
          <w:tcPr>
            <w:tcW w:w="1524" w:type="dxa"/>
            <w:noWrap w:val="0"/>
            <w:vAlign w:val="center"/>
          </w:tcPr>
          <w:p w14:paraId="6543917B">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w:t>
            </w:r>
          </w:p>
        </w:tc>
        <w:tc>
          <w:tcPr>
            <w:tcW w:w="1860" w:type="dxa"/>
            <w:noWrap w:val="0"/>
            <w:vAlign w:val="center"/>
          </w:tcPr>
          <w:p w14:paraId="638EC76F">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lang w:val="en-US" w:eastAsia="zh-CN"/>
              </w:rPr>
              <w:t>0</w:t>
            </w:r>
          </w:p>
        </w:tc>
        <w:tc>
          <w:tcPr>
            <w:tcW w:w="1442" w:type="dxa"/>
            <w:shd w:val="clear" w:color="auto" w:fill="auto"/>
            <w:noWrap w:val="0"/>
            <w:vAlign w:val="center"/>
          </w:tcPr>
          <w:p w14:paraId="2C6D64CA">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lang w:val="en-US" w:eastAsia="zh-CN"/>
              </w:rPr>
              <w:t>0</w:t>
            </w:r>
          </w:p>
        </w:tc>
      </w:tr>
      <w:tr w14:paraId="2A5A24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vMerge w:val="continue"/>
            <w:noWrap w:val="0"/>
            <w:vAlign w:val="center"/>
          </w:tcPr>
          <w:p w14:paraId="5F114061">
            <w:pPr>
              <w:pStyle w:val="48"/>
              <w:keepNext w:val="0"/>
              <w:keepLines w:val="0"/>
              <w:suppressLineNumbers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highlight w:val="none"/>
              </w:rPr>
            </w:pPr>
          </w:p>
        </w:tc>
        <w:tc>
          <w:tcPr>
            <w:tcW w:w="1984" w:type="dxa"/>
            <w:shd w:val="clear" w:color="auto" w:fill="auto"/>
            <w:noWrap w:val="0"/>
            <w:vAlign w:val="center"/>
          </w:tcPr>
          <w:p w14:paraId="1308C7B1">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GB" w:eastAsia="zh-CN" w:bidi="ar-SA"/>
              </w:rPr>
            </w:pPr>
            <w:r>
              <w:rPr>
                <w:rFonts w:hint="default" w:ascii="Times New Roman" w:hAnsi="Times New Roman" w:eastAsia="宋体" w:cs="Times New Roman"/>
                <w:color w:val="auto"/>
                <w:sz w:val="21"/>
                <w:szCs w:val="21"/>
                <w:lang w:val="en-US" w:eastAsia="zh-CN"/>
              </w:rPr>
              <w:t>废炉渣</w:t>
            </w:r>
          </w:p>
        </w:tc>
        <w:tc>
          <w:tcPr>
            <w:tcW w:w="1701" w:type="dxa"/>
            <w:noWrap w:val="0"/>
            <w:vAlign w:val="center"/>
          </w:tcPr>
          <w:p w14:paraId="678A6BDA">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276" w:type="dxa"/>
            <w:noWrap w:val="0"/>
            <w:vAlign w:val="center"/>
          </w:tcPr>
          <w:p w14:paraId="0BEA7656">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701" w:type="dxa"/>
            <w:noWrap w:val="0"/>
            <w:vAlign w:val="center"/>
          </w:tcPr>
          <w:p w14:paraId="3019E6D8">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bidi="ar"/>
              </w:rPr>
              <w:t>0</w:t>
            </w:r>
          </w:p>
        </w:tc>
        <w:tc>
          <w:tcPr>
            <w:tcW w:w="1559" w:type="dxa"/>
            <w:noWrap w:val="0"/>
            <w:vAlign w:val="center"/>
          </w:tcPr>
          <w:p w14:paraId="2B443689">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highlight w:val="none"/>
                <w:lang w:val="en-US" w:eastAsia="zh-CN" w:bidi="ar-SA"/>
              </w:rPr>
            </w:pPr>
            <w:r>
              <w:rPr>
                <w:rFonts w:hint="eastAsia" w:ascii="Times New Roman" w:hAnsi="Times New Roman" w:cs="Times New Roman"/>
                <w:color w:val="auto"/>
                <w:sz w:val="21"/>
                <w:szCs w:val="21"/>
                <w:lang w:val="en-US" w:eastAsia="zh-CN"/>
              </w:rPr>
              <w:t>5</w:t>
            </w:r>
          </w:p>
        </w:tc>
        <w:tc>
          <w:tcPr>
            <w:tcW w:w="1524" w:type="dxa"/>
            <w:noWrap w:val="0"/>
            <w:vAlign w:val="center"/>
          </w:tcPr>
          <w:p w14:paraId="1890BEFC">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w:t>
            </w:r>
          </w:p>
        </w:tc>
        <w:tc>
          <w:tcPr>
            <w:tcW w:w="1860" w:type="dxa"/>
            <w:noWrap w:val="0"/>
            <w:vAlign w:val="center"/>
          </w:tcPr>
          <w:p w14:paraId="400B407B">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highlight w:val="none"/>
                <w:lang w:val="en-US" w:eastAsia="zh-CN" w:bidi="ar-SA"/>
              </w:rPr>
            </w:pPr>
            <w:r>
              <w:rPr>
                <w:rFonts w:hint="eastAsia" w:ascii="Times New Roman" w:hAnsi="Times New Roman" w:cs="Times New Roman"/>
                <w:color w:val="auto"/>
                <w:sz w:val="21"/>
                <w:szCs w:val="21"/>
                <w:lang w:val="en-US" w:eastAsia="zh-CN"/>
              </w:rPr>
              <w:t>5</w:t>
            </w:r>
          </w:p>
        </w:tc>
        <w:tc>
          <w:tcPr>
            <w:tcW w:w="1442" w:type="dxa"/>
            <w:shd w:val="clear" w:color="auto" w:fill="auto"/>
            <w:noWrap w:val="0"/>
            <w:vAlign w:val="center"/>
          </w:tcPr>
          <w:p w14:paraId="67F948B2">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w:t>
            </w:r>
            <w:r>
              <w:rPr>
                <w:rFonts w:hint="eastAsia" w:ascii="Times New Roman" w:hAnsi="Times New Roman" w:cs="Times New Roman"/>
                <w:color w:val="auto"/>
                <w:sz w:val="21"/>
                <w:szCs w:val="21"/>
                <w:lang w:val="en-US" w:eastAsia="zh-CN"/>
              </w:rPr>
              <w:t>5</w:t>
            </w:r>
          </w:p>
        </w:tc>
      </w:tr>
      <w:tr w14:paraId="3EB57C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vMerge w:val="continue"/>
            <w:noWrap w:val="0"/>
            <w:vAlign w:val="center"/>
          </w:tcPr>
          <w:p w14:paraId="65C82D6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p>
        </w:tc>
        <w:tc>
          <w:tcPr>
            <w:tcW w:w="1984" w:type="dxa"/>
            <w:shd w:val="clear" w:color="auto" w:fill="auto"/>
            <w:noWrap w:val="0"/>
            <w:vAlign w:val="center"/>
          </w:tcPr>
          <w:p w14:paraId="3809BC26">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GB" w:eastAsia="zh-CN" w:bidi="ar-SA"/>
              </w:rPr>
            </w:pPr>
            <w:r>
              <w:rPr>
                <w:rFonts w:hint="default" w:ascii="Times New Roman" w:hAnsi="Times New Roman" w:eastAsia="宋体" w:cs="Times New Roman"/>
                <w:color w:val="auto"/>
                <w:sz w:val="21"/>
                <w:szCs w:val="21"/>
                <w:lang w:val="en-US" w:eastAsia="zh-CN"/>
              </w:rPr>
              <w:t>废铁屑</w:t>
            </w:r>
          </w:p>
        </w:tc>
        <w:tc>
          <w:tcPr>
            <w:tcW w:w="1701" w:type="dxa"/>
            <w:noWrap w:val="0"/>
            <w:vAlign w:val="center"/>
          </w:tcPr>
          <w:p w14:paraId="72C84E63">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276" w:type="dxa"/>
            <w:noWrap w:val="0"/>
            <w:vAlign w:val="center"/>
          </w:tcPr>
          <w:p w14:paraId="26894B89">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701" w:type="dxa"/>
            <w:noWrap w:val="0"/>
            <w:vAlign w:val="center"/>
          </w:tcPr>
          <w:p w14:paraId="187A197A">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559" w:type="dxa"/>
            <w:noWrap w:val="0"/>
            <w:vAlign w:val="center"/>
          </w:tcPr>
          <w:p w14:paraId="60FB40DF">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cs="Times New Roman"/>
                <w:color w:val="auto"/>
                <w:sz w:val="21"/>
                <w:szCs w:val="21"/>
                <w:lang w:val="en-US" w:eastAsia="zh-CN"/>
              </w:rPr>
              <w:t>4</w:t>
            </w:r>
          </w:p>
        </w:tc>
        <w:tc>
          <w:tcPr>
            <w:tcW w:w="1524" w:type="dxa"/>
            <w:noWrap w:val="0"/>
            <w:vAlign w:val="center"/>
          </w:tcPr>
          <w:p w14:paraId="08CB61A6">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w:t>
            </w:r>
          </w:p>
        </w:tc>
        <w:tc>
          <w:tcPr>
            <w:tcW w:w="1860" w:type="dxa"/>
            <w:noWrap w:val="0"/>
            <w:vAlign w:val="center"/>
          </w:tcPr>
          <w:p w14:paraId="37A52F67">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cs="Times New Roman"/>
                <w:color w:val="auto"/>
                <w:sz w:val="21"/>
                <w:szCs w:val="21"/>
                <w:lang w:val="en-US" w:eastAsia="zh-CN"/>
              </w:rPr>
              <w:t>4</w:t>
            </w:r>
          </w:p>
        </w:tc>
        <w:tc>
          <w:tcPr>
            <w:tcW w:w="1442" w:type="dxa"/>
            <w:shd w:val="clear" w:color="auto" w:fill="auto"/>
            <w:noWrap w:val="0"/>
            <w:vAlign w:val="center"/>
          </w:tcPr>
          <w:p w14:paraId="468CB054">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cs="Times New Roman"/>
                <w:color w:val="auto"/>
                <w:sz w:val="21"/>
                <w:szCs w:val="21"/>
                <w:lang w:val="en-US" w:eastAsia="zh-CN"/>
              </w:rPr>
              <w:t>+4</w:t>
            </w:r>
          </w:p>
        </w:tc>
      </w:tr>
      <w:tr w14:paraId="24BEA4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vMerge w:val="continue"/>
            <w:noWrap w:val="0"/>
            <w:vAlign w:val="center"/>
          </w:tcPr>
          <w:p w14:paraId="5E8BE9E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p>
        </w:tc>
        <w:tc>
          <w:tcPr>
            <w:tcW w:w="1984" w:type="dxa"/>
            <w:shd w:val="clear" w:color="auto" w:fill="auto"/>
            <w:noWrap w:val="0"/>
            <w:vAlign w:val="center"/>
          </w:tcPr>
          <w:p w14:paraId="0E0EB85D">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GB" w:eastAsia="zh-CN" w:bidi="ar-SA"/>
              </w:rPr>
            </w:pPr>
            <w:r>
              <w:rPr>
                <w:rFonts w:hint="default" w:ascii="Times New Roman" w:hAnsi="Times New Roman" w:eastAsia="宋体" w:cs="Times New Roman"/>
                <w:color w:val="auto"/>
                <w:sz w:val="21"/>
                <w:szCs w:val="21"/>
                <w:lang w:val="en-US" w:eastAsia="zh-CN"/>
              </w:rPr>
              <w:t>废铁水包</w:t>
            </w:r>
          </w:p>
        </w:tc>
        <w:tc>
          <w:tcPr>
            <w:tcW w:w="1701" w:type="dxa"/>
            <w:noWrap w:val="0"/>
            <w:vAlign w:val="center"/>
          </w:tcPr>
          <w:p w14:paraId="26420E63">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276" w:type="dxa"/>
            <w:noWrap w:val="0"/>
            <w:vAlign w:val="center"/>
          </w:tcPr>
          <w:p w14:paraId="229B985C">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701" w:type="dxa"/>
            <w:noWrap w:val="0"/>
            <w:vAlign w:val="center"/>
          </w:tcPr>
          <w:p w14:paraId="0E4A7B4A">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559" w:type="dxa"/>
            <w:noWrap w:val="0"/>
            <w:vAlign w:val="center"/>
          </w:tcPr>
          <w:p w14:paraId="033E3D2B">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rPr>
              <w:t>5</w:t>
            </w:r>
          </w:p>
        </w:tc>
        <w:tc>
          <w:tcPr>
            <w:tcW w:w="1524" w:type="dxa"/>
            <w:noWrap w:val="0"/>
            <w:vAlign w:val="center"/>
          </w:tcPr>
          <w:p w14:paraId="3FAB06D7">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w:t>
            </w:r>
          </w:p>
        </w:tc>
        <w:tc>
          <w:tcPr>
            <w:tcW w:w="1860" w:type="dxa"/>
            <w:noWrap w:val="0"/>
            <w:vAlign w:val="center"/>
          </w:tcPr>
          <w:p w14:paraId="25F7077A">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rPr>
              <w:t>5</w:t>
            </w:r>
          </w:p>
        </w:tc>
        <w:tc>
          <w:tcPr>
            <w:tcW w:w="1442" w:type="dxa"/>
            <w:shd w:val="clear" w:color="auto" w:fill="auto"/>
            <w:noWrap w:val="0"/>
            <w:vAlign w:val="center"/>
          </w:tcPr>
          <w:p w14:paraId="43C7D7E1">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5</w:t>
            </w:r>
          </w:p>
        </w:tc>
      </w:tr>
      <w:tr w14:paraId="74D38F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vMerge w:val="continue"/>
            <w:noWrap w:val="0"/>
            <w:vAlign w:val="center"/>
          </w:tcPr>
          <w:p w14:paraId="3FB4FFA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p>
        </w:tc>
        <w:tc>
          <w:tcPr>
            <w:tcW w:w="1984" w:type="dxa"/>
            <w:shd w:val="clear" w:color="auto" w:fill="auto"/>
            <w:noWrap w:val="0"/>
            <w:vAlign w:val="center"/>
          </w:tcPr>
          <w:p w14:paraId="1E8E3CF8">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lang w:val="en-US" w:eastAsia="zh-CN"/>
              </w:rPr>
              <w:t>废砂</w:t>
            </w:r>
          </w:p>
        </w:tc>
        <w:tc>
          <w:tcPr>
            <w:tcW w:w="1701" w:type="dxa"/>
            <w:noWrap w:val="0"/>
            <w:vAlign w:val="center"/>
          </w:tcPr>
          <w:p w14:paraId="674B12DE">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276" w:type="dxa"/>
            <w:noWrap w:val="0"/>
            <w:vAlign w:val="center"/>
          </w:tcPr>
          <w:p w14:paraId="4B830CD3">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701" w:type="dxa"/>
            <w:noWrap w:val="0"/>
            <w:vAlign w:val="center"/>
          </w:tcPr>
          <w:p w14:paraId="73C91EDD">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lang w:bidi="ar"/>
              </w:rPr>
              <w:t>0</w:t>
            </w:r>
          </w:p>
        </w:tc>
        <w:tc>
          <w:tcPr>
            <w:tcW w:w="1559" w:type="dxa"/>
            <w:noWrap w:val="0"/>
            <w:vAlign w:val="center"/>
          </w:tcPr>
          <w:p w14:paraId="27926C73">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300</w:t>
            </w:r>
          </w:p>
        </w:tc>
        <w:tc>
          <w:tcPr>
            <w:tcW w:w="1524" w:type="dxa"/>
            <w:noWrap w:val="0"/>
            <w:vAlign w:val="center"/>
          </w:tcPr>
          <w:p w14:paraId="702E29FC">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w:t>
            </w:r>
          </w:p>
        </w:tc>
        <w:tc>
          <w:tcPr>
            <w:tcW w:w="1860" w:type="dxa"/>
            <w:noWrap w:val="0"/>
            <w:vAlign w:val="center"/>
          </w:tcPr>
          <w:p w14:paraId="3E442C94">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300</w:t>
            </w:r>
          </w:p>
        </w:tc>
        <w:tc>
          <w:tcPr>
            <w:tcW w:w="1442" w:type="dxa"/>
            <w:shd w:val="clear" w:color="auto" w:fill="auto"/>
            <w:noWrap w:val="0"/>
            <w:vAlign w:val="center"/>
          </w:tcPr>
          <w:p w14:paraId="6F4E70BC">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+300</w:t>
            </w:r>
          </w:p>
        </w:tc>
      </w:tr>
      <w:tr w14:paraId="2349BB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vMerge w:val="continue"/>
            <w:noWrap w:val="0"/>
            <w:vAlign w:val="center"/>
          </w:tcPr>
          <w:p w14:paraId="6C84482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p>
        </w:tc>
        <w:tc>
          <w:tcPr>
            <w:tcW w:w="1984" w:type="dxa"/>
            <w:shd w:val="clear" w:color="auto" w:fill="auto"/>
            <w:noWrap w:val="0"/>
            <w:vAlign w:val="center"/>
          </w:tcPr>
          <w:p w14:paraId="5A03F79E">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Times New Roman" w:cs="Times New Roman"/>
                <w:color w:val="auto"/>
                <w:sz w:val="21"/>
                <w:szCs w:val="21"/>
                <w:lang w:val="en-US" w:eastAsia="zh-CN"/>
              </w:rPr>
              <w:t>废布袋</w:t>
            </w:r>
          </w:p>
        </w:tc>
        <w:tc>
          <w:tcPr>
            <w:tcW w:w="1701" w:type="dxa"/>
            <w:noWrap w:val="0"/>
            <w:vAlign w:val="center"/>
          </w:tcPr>
          <w:p w14:paraId="2F2DC338">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276" w:type="dxa"/>
            <w:noWrap w:val="0"/>
            <w:vAlign w:val="center"/>
          </w:tcPr>
          <w:p w14:paraId="61D6DC5D">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701" w:type="dxa"/>
            <w:noWrap w:val="0"/>
            <w:vAlign w:val="center"/>
          </w:tcPr>
          <w:p w14:paraId="735A752A">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lang w:bidi="ar"/>
              </w:rPr>
              <w:t>0</w:t>
            </w:r>
          </w:p>
        </w:tc>
        <w:tc>
          <w:tcPr>
            <w:tcW w:w="1559" w:type="dxa"/>
            <w:noWrap w:val="0"/>
            <w:vAlign w:val="center"/>
          </w:tcPr>
          <w:p w14:paraId="3947072A">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0.2</w:t>
            </w:r>
          </w:p>
        </w:tc>
        <w:tc>
          <w:tcPr>
            <w:tcW w:w="1524" w:type="dxa"/>
            <w:noWrap w:val="0"/>
            <w:vAlign w:val="center"/>
          </w:tcPr>
          <w:p w14:paraId="48D197E6">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w:t>
            </w:r>
          </w:p>
        </w:tc>
        <w:tc>
          <w:tcPr>
            <w:tcW w:w="1860" w:type="dxa"/>
            <w:noWrap w:val="0"/>
            <w:vAlign w:val="center"/>
          </w:tcPr>
          <w:p w14:paraId="538A0C98">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0.2</w:t>
            </w:r>
          </w:p>
        </w:tc>
        <w:tc>
          <w:tcPr>
            <w:tcW w:w="1442" w:type="dxa"/>
            <w:shd w:val="clear" w:color="auto" w:fill="auto"/>
            <w:noWrap w:val="0"/>
            <w:vAlign w:val="center"/>
          </w:tcPr>
          <w:p w14:paraId="0424E53B">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+0.2</w:t>
            </w:r>
          </w:p>
        </w:tc>
      </w:tr>
      <w:tr w14:paraId="712C94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vMerge w:val="continue"/>
            <w:noWrap w:val="0"/>
            <w:vAlign w:val="center"/>
          </w:tcPr>
          <w:p w14:paraId="111B4DC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p>
        </w:tc>
        <w:tc>
          <w:tcPr>
            <w:tcW w:w="1984" w:type="dxa"/>
            <w:shd w:val="clear" w:color="auto" w:fill="auto"/>
            <w:noWrap w:val="0"/>
            <w:vAlign w:val="center"/>
          </w:tcPr>
          <w:p w14:paraId="5D841DA0">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lang w:val="en-US" w:eastAsia="zh-CN"/>
              </w:rPr>
              <w:t>废布袋除尘器收尘</w:t>
            </w:r>
          </w:p>
        </w:tc>
        <w:tc>
          <w:tcPr>
            <w:tcW w:w="1701" w:type="dxa"/>
            <w:noWrap w:val="0"/>
            <w:vAlign w:val="center"/>
          </w:tcPr>
          <w:p w14:paraId="58FF2EFB">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276" w:type="dxa"/>
            <w:noWrap w:val="0"/>
            <w:vAlign w:val="center"/>
          </w:tcPr>
          <w:p w14:paraId="4A2DA82C">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701" w:type="dxa"/>
            <w:noWrap w:val="0"/>
            <w:vAlign w:val="center"/>
          </w:tcPr>
          <w:p w14:paraId="1EF3F3AA">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lang w:bidi="ar"/>
              </w:rPr>
              <w:t>0</w:t>
            </w:r>
          </w:p>
        </w:tc>
        <w:tc>
          <w:tcPr>
            <w:tcW w:w="1559" w:type="dxa"/>
            <w:noWrap w:val="0"/>
            <w:vAlign w:val="center"/>
          </w:tcPr>
          <w:p w14:paraId="701291F4">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cs="Times New Roman"/>
                <w:color w:val="auto"/>
                <w:sz w:val="21"/>
                <w:szCs w:val="21"/>
                <w:lang w:val="en-US" w:eastAsia="zh-CN"/>
              </w:rPr>
              <w:t>28.217</w:t>
            </w:r>
          </w:p>
        </w:tc>
        <w:tc>
          <w:tcPr>
            <w:tcW w:w="1524" w:type="dxa"/>
            <w:noWrap w:val="0"/>
            <w:vAlign w:val="center"/>
          </w:tcPr>
          <w:p w14:paraId="4E2DABB9">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w:t>
            </w:r>
          </w:p>
        </w:tc>
        <w:tc>
          <w:tcPr>
            <w:tcW w:w="1860" w:type="dxa"/>
            <w:noWrap w:val="0"/>
            <w:vAlign w:val="center"/>
          </w:tcPr>
          <w:p w14:paraId="737581EA">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cs="Times New Roman"/>
                <w:color w:val="auto"/>
                <w:sz w:val="21"/>
                <w:szCs w:val="21"/>
                <w:lang w:val="en-US" w:eastAsia="zh-CN"/>
              </w:rPr>
              <w:t>28.217</w:t>
            </w:r>
          </w:p>
        </w:tc>
        <w:tc>
          <w:tcPr>
            <w:tcW w:w="1442" w:type="dxa"/>
            <w:shd w:val="clear" w:color="auto" w:fill="auto"/>
            <w:noWrap w:val="0"/>
            <w:vAlign w:val="center"/>
          </w:tcPr>
          <w:p w14:paraId="61AB0E2E">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cs="Times New Roman"/>
                <w:color w:val="auto"/>
                <w:sz w:val="21"/>
                <w:szCs w:val="21"/>
                <w:lang w:val="en-US" w:eastAsia="zh-CN"/>
              </w:rPr>
              <w:t>+28.217</w:t>
            </w:r>
          </w:p>
        </w:tc>
      </w:tr>
      <w:tr w14:paraId="01FE62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vMerge w:val="continue"/>
            <w:noWrap w:val="0"/>
            <w:vAlign w:val="center"/>
          </w:tcPr>
          <w:p w14:paraId="4131C99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p>
        </w:tc>
        <w:tc>
          <w:tcPr>
            <w:tcW w:w="1984" w:type="dxa"/>
            <w:shd w:val="clear" w:color="auto" w:fill="auto"/>
            <w:noWrap w:val="0"/>
            <w:vAlign w:val="center"/>
          </w:tcPr>
          <w:p w14:paraId="36D7CABC">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Times New Roman" w:cs="Times New Roman"/>
                <w:color w:val="auto"/>
                <w:sz w:val="21"/>
                <w:szCs w:val="21"/>
              </w:rPr>
              <w:t>废</w:t>
            </w:r>
            <w:r>
              <w:rPr>
                <w:rFonts w:hint="default" w:ascii="Times New Roman" w:hAnsi="Times New Roman" w:eastAsia="Times New Roman" w:cs="Times New Roman"/>
                <w:color w:val="auto"/>
                <w:sz w:val="21"/>
                <w:szCs w:val="21"/>
                <w:lang w:val="en-US" w:eastAsia="zh-CN"/>
              </w:rPr>
              <w:t>机油</w:t>
            </w:r>
          </w:p>
        </w:tc>
        <w:tc>
          <w:tcPr>
            <w:tcW w:w="1701" w:type="dxa"/>
            <w:noWrap w:val="0"/>
            <w:vAlign w:val="center"/>
          </w:tcPr>
          <w:p w14:paraId="09BF2A71">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276" w:type="dxa"/>
            <w:noWrap w:val="0"/>
            <w:vAlign w:val="center"/>
          </w:tcPr>
          <w:p w14:paraId="54A307E4">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701" w:type="dxa"/>
            <w:noWrap w:val="0"/>
            <w:vAlign w:val="center"/>
          </w:tcPr>
          <w:p w14:paraId="17ADB49B">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bidi="ar"/>
              </w:rPr>
              <w:t>0</w:t>
            </w:r>
          </w:p>
        </w:tc>
        <w:tc>
          <w:tcPr>
            <w:tcW w:w="1559" w:type="dxa"/>
            <w:noWrap w:val="0"/>
            <w:vAlign w:val="center"/>
          </w:tcPr>
          <w:p w14:paraId="700E64C7">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0.1</w:t>
            </w:r>
          </w:p>
        </w:tc>
        <w:tc>
          <w:tcPr>
            <w:tcW w:w="1524" w:type="dxa"/>
            <w:noWrap w:val="0"/>
            <w:vAlign w:val="center"/>
          </w:tcPr>
          <w:p w14:paraId="10407199">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w:t>
            </w:r>
          </w:p>
        </w:tc>
        <w:tc>
          <w:tcPr>
            <w:tcW w:w="1860" w:type="dxa"/>
            <w:noWrap w:val="0"/>
            <w:vAlign w:val="center"/>
          </w:tcPr>
          <w:p w14:paraId="6AF8127C">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0.1</w:t>
            </w:r>
          </w:p>
        </w:tc>
        <w:tc>
          <w:tcPr>
            <w:tcW w:w="1442" w:type="dxa"/>
            <w:shd w:val="clear" w:color="auto" w:fill="auto"/>
            <w:noWrap w:val="0"/>
            <w:vAlign w:val="center"/>
          </w:tcPr>
          <w:p w14:paraId="4BF51BE2">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+0.1</w:t>
            </w:r>
          </w:p>
        </w:tc>
      </w:tr>
      <w:tr w14:paraId="15FF12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vMerge w:val="restart"/>
            <w:noWrap w:val="0"/>
            <w:vAlign w:val="center"/>
          </w:tcPr>
          <w:p w14:paraId="1CAD9E0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危险废物</w:t>
            </w:r>
          </w:p>
        </w:tc>
        <w:tc>
          <w:tcPr>
            <w:tcW w:w="1984" w:type="dxa"/>
            <w:shd w:val="clear" w:color="auto" w:fill="auto"/>
            <w:noWrap w:val="0"/>
            <w:vAlign w:val="center"/>
          </w:tcPr>
          <w:p w14:paraId="0F40AA27">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bCs/>
                <w:color w:val="auto"/>
                <w:sz w:val="21"/>
                <w:szCs w:val="21"/>
                <w:highlight w:val="none"/>
                <w:lang w:val="en-GB" w:eastAsia="zh-CN" w:bidi="ar-SA"/>
              </w:rPr>
            </w:pPr>
            <w:r>
              <w:rPr>
                <w:rFonts w:hint="default" w:ascii="Times New Roman" w:hAnsi="Times New Roman" w:eastAsia="Times New Roman" w:cs="Times New Roman"/>
                <w:color w:val="auto"/>
                <w:sz w:val="21"/>
                <w:szCs w:val="21"/>
              </w:rPr>
              <w:t>废</w:t>
            </w:r>
            <w:r>
              <w:rPr>
                <w:rFonts w:hint="default" w:ascii="Times New Roman" w:hAnsi="Times New Roman" w:eastAsia="Times New Roman" w:cs="Times New Roman"/>
                <w:color w:val="auto"/>
                <w:sz w:val="21"/>
                <w:szCs w:val="21"/>
                <w:lang w:val="en-US" w:eastAsia="zh-CN"/>
              </w:rPr>
              <w:t>机油</w:t>
            </w:r>
            <w:r>
              <w:rPr>
                <w:rFonts w:hint="eastAsia" w:ascii="Times New Roman" w:hAnsi="Times New Roman" w:eastAsia="Times New Roman" w:cs="Times New Roman"/>
                <w:color w:val="auto"/>
                <w:sz w:val="21"/>
                <w:szCs w:val="21"/>
                <w:lang w:val="en-US" w:eastAsia="zh-CN"/>
              </w:rPr>
              <w:t>桶</w:t>
            </w:r>
          </w:p>
        </w:tc>
        <w:tc>
          <w:tcPr>
            <w:tcW w:w="1701" w:type="dxa"/>
            <w:noWrap w:val="0"/>
            <w:vAlign w:val="center"/>
          </w:tcPr>
          <w:p w14:paraId="457688A2">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276" w:type="dxa"/>
            <w:noWrap w:val="0"/>
            <w:vAlign w:val="center"/>
          </w:tcPr>
          <w:p w14:paraId="11414F8C">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701" w:type="dxa"/>
            <w:noWrap w:val="0"/>
            <w:vAlign w:val="center"/>
          </w:tcPr>
          <w:p w14:paraId="007B45A5">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bidi="ar"/>
              </w:rPr>
              <w:t>0</w:t>
            </w:r>
          </w:p>
        </w:tc>
        <w:tc>
          <w:tcPr>
            <w:tcW w:w="1559" w:type="dxa"/>
            <w:noWrap w:val="0"/>
            <w:vAlign w:val="center"/>
          </w:tcPr>
          <w:p w14:paraId="7F7392B2">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0.01</w:t>
            </w:r>
          </w:p>
        </w:tc>
        <w:tc>
          <w:tcPr>
            <w:tcW w:w="1524" w:type="dxa"/>
            <w:noWrap w:val="0"/>
            <w:vAlign w:val="center"/>
          </w:tcPr>
          <w:p w14:paraId="2184BC8E">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w:t>
            </w:r>
          </w:p>
        </w:tc>
        <w:tc>
          <w:tcPr>
            <w:tcW w:w="1860" w:type="dxa"/>
            <w:noWrap w:val="0"/>
            <w:vAlign w:val="center"/>
          </w:tcPr>
          <w:p w14:paraId="2E30DE96">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0.01</w:t>
            </w:r>
          </w:p>
        </w:tc>
        <w:tc>
          <w:tcPr>
            <w:tcW w:w="1442" w:type="dxa"/>
            <w:shd w:val="clear" w:color="auto" w:fill="auto"/>
            <w:noWrap w:val="0"/>
            <w:vAlign w:val="center"/>
          </w:tcPr>
          <w:p w14:paraId="705A5104">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+0.01</w:t>
            </w:r>
          </w:p>
        </w:tc>
      </w:tr>
      <w:tr w14:paraId="737CA7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vMerge w:val="continue"/>
            <w:noWrap w:val="0"/>
            <w:vAlign w:val="center"/>
          </w:tcPr>
          <w:p w14:paraId="40FFF4B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p>
        </w:tc>
        <w:tc>
          <w:tcPr>
            <w:tcW w:w="1984" w:type="dxa"/>
            <w:shd w:val="clear" w:color="auto" w:fill="auto"/>
            <w:noWrap w:val="0"/>
            <w:vAlign w:val="center"/>
          </w:tcPr>
          <w:p w14:paraId="25FD8FF5">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color w:val="auto"/>
                <w:sz w:val="21"/>
                <w:szCs w:val="21"/>
                <w:lang w:val="en-US" w:eastAsia="zh-CN"/>
              </w:rPr>
              <w:t>废淬火油</w:t>
            </w:r>
            <w:r>
              <w:rPr>
                <w:rFonts w:hint="eastAsia" w:ascii="Times New Roman" w:hAnsi="Times New Roman" w:cs="Times New Roman"/>
                <w:color w:val="auto"/>
                <w:sz w:val="21"/>
                <w:szCs w:val="21"/>
                <w:lang w:val="en-US" w:eastAsia="zh-CN"/>
              </w:rPr>
              <w:t>及淬火废渣</w:t>
            </w:r>
          </w:p>
        </w:tc>
        <w:tc>
          <w:tcPr>
            <w:tcW w:w="1701" w:type="dxa"/>
            <w:noWrap w:val="0"/>
            <w:vAlign w:val="center"/>
          </w:tcPr>
          <w:p w14:paraId="2F127953">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276" w:type="dxa"/>
            <w:noWrap w:val="0"/>
            <w:vAlign w:val="center"/>
          </w:tcPr>
          <w:p w14:paraId="3BA9423B">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0</w:t>
            </w:r>
          </w:p>
        </w:tc>
        <w:tc>
          <w:tcPr>
            <w:tcW w:w="1701" w:type="dxa"/>
            <w:noWrap w:val="0"/>
            <w:vAlign w:val="center"/>
          </w:tcPr>
          <w:p w14:paraId="31B4CA50">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bidi="ar"/>
              </w:rPr>
              <w:t>0</w:t>
            </w:r>
          </w:p>
        </w:tc>
        <w:tc>
          <w:tcPr>
            <w:tcW w:w="1559" w:type="dxa"/>
            <w:noWrap w:val="0"/>
            <w:vAlign w:val="center"/>
          </w:tcPr>
          <w:p w14:paraId="0CF704E5">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cs="Times New Roman"/>
                <w:color w:val="auto"/>
                <w:sz w:val="21"/>
                <w:szCs w:val="21"/>
                <w:lang w:val="en-US" w:eastAsia="zh-CN"/>
              </w:rPr>
              <w:t>0.8</w:t>
            </w:r>
          </w:p>
        </w:tc>
        <w:tc>
          <w:tcPr>
            <w:tcW w:w="1524" w:type="dxa"/>
            <w:noWrap w:val="0"/>
            <w:vAlign w:val="center"/>
          </w:tcPr>
          <w:p w14:paraId="5F591F30">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w:t>
            </w:r>
          </w:p>
        </w:tc>
        <w:tc>
          <w:tcPr>
            <w:tcW w:w="1860" w:type="dxa"/>
            <w:noWrap w:val="0"/>
            <w:vAlign w:val="center"/>
          </w:tcPr>
          <w:p w14:paraId="08F0F830">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cs="Times New Roman"/>
                <w:color w:val="auto"/>
                <w:sz w:val="21"/>
                <w:szCs w:val="21"/>
                <w:lang w:val="en-US" w:eastAsia="zh-CN"/>
              </w:rPr>
              <w:t>0.8</w:t>
            </w:r>
          </w:p>
        </w:tc>
        <w:tc>
          <w:tcPr>
            <w:tcW w:w="1442" w:type="dxa"/>
            <w:shd w:val="clear" w:color="auto" w:fill="auto"/>
            <w:noWrap w:val="0"/>
            <w:vAlign w:val="center"/>
          </w:tcPr>
          <w:p w14:paraId="37217070">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cs="Times New Roman"/>
                <w:color w:val="auto"/>
                <w:sz w:val="21"/>
                <w:szCs w:val="21"/>
                <w:lang w:val="en-US" w:eastAsia="zh-CN"/>
              </w:rPr>
              <w:t>+0.8</w:t>
            </w:r>
          </w:p>
        </w:tc>
      </w:tr>
    </w:tbl>
    <w:p w14:paraId="5108B368">
      <w:pPr>
        <w:pStyle w:val="329"/>
        <w:spacing w:line="240" w:lineRule="auto"/>
        <w:ind w:left="0" w:firstLine="0"/>
        <w:jc w:val="both"/>
        <w:rPr>
          <w:rFonts w:hint="default" w:ascii="Times New Roman" w:hAnsi="Times New Roman" w:eastAsia="宋体" w:cs="Times New Roman"/>
          <w:color w:val="auto"/>
          <w:highlight w:val="none"/>
        </w:rPr>
        <w:sectPr>
          <w:pgSz w:w="16838" w:h="11906"/>
          <w:pgMar w:top="1270" w:right="1587" w:bottom="1270" w:left="1440" w:header="851" w:footer="850" w:gutter="0"/>
          <w:pgBorders>
            <w:top w:val="none" w:sz="0" w:space="0"/>
            <w:left w:val="none" w:sz="0" w:space="0"/>
            <w:bottom w:val="none" w:sz="0" w:space="0"/>
            <w:right w:val="none" w:sz="0" w:space="0"/>
          </w:pgBorders>
          <w:pgNumType w:fmt="decimal"/>
          <w:cols w:space="720" w:num="1"/>
        </w:sectPr>
      </w:pPr>
      <w:r>
        <w:rPr>
          <w:rFonts w:hint="default" w:ascii="Times New Roman" w:hAnsi="Times New Roman" w:eastAsia="宋体" w:cs="Times New Roman"/>
          <w:color w:val="auto"/>
          <w:highlight w:val="none"/>
        </w:rPr>
        <w:t>注：</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6 \* GB3 \* MERGEFORMAT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⑥</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1 \* GB3 \* MERGEFORMAT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GB3 \* MERGEFORMAT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4 \* GB3 \* MERGEFORMAT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④</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5 \* GB3 \* MERGEFORMAT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⑤</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7 \* GB3 \* MERGEFORMAT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⑦</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6 \* GB3 \* MERGEFORMAT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⑥</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1 \* GB3 \* MERGEFORMAT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rPr>
        <w:fldChar w:fldCharType="end"/>
      </w:r>
    </w:p>
    <w:p w14:paraId="4640B520">
      <w:pPr>
        <w:spacing w:line="240" w:lineRule="auto"/>
        <w:jc w:val="both"/>
        <w:outlineLvl w:val="1"/>
        <w:rPr>
          <w:rFonts w:hint="eastAsia" w:ascii="Times New Roman" w:hAnsi="Times New Roman" w:eastAsia="宋体" w:cs="Times New Roman"/>
          <w:b/>
          <w:bCs/>
          <w:snapToGrid w:val="0"/>
          <w:color w:val="auto"/>
          <w:spacing w:val="-6"/>
          <w:kern w:val="21"/>
          <w:sz w:val="24"/>
          <w:szCs w:val="24"/>
          <w:lang w:val="en-US" w:eastAsia="zh-CN"/>
        </w:rPr>
      </w:pPr>
      <w:r>
        <w:rPr>
          <w:rFonts w:hint="eastAsia" w:ascii="Times New Roman" w:hAnsi="Times New Roman" w:eastAsia="宋体" w:cs="Times New Roman"/>
          <w:b/>
          <w:bCs/>
          <w:color w:val="auto"/>
          <w:kern w:val="2"/>
          <w:sz w:val="24"/>
          <w:szCs w:val="24"/>
          <w:highlight w:val="none"/>
          <w:lang w:val="en-US" w:eastAsia="zh-CN"/>
        </w:rPr>
        <w:t>附图1：本项目与环境管控单元叠加图</w:t>
      </w:r>
    </w:p>
    <w:p w14:paraId="632C6D3A">
      <w:pPr>
        <w:spacing w:line="240" w:lineRule="auto"/>
        <w:jc w:val="center"/>
        <w:rPr>
          <w:rFonts w:hint="eastAsia" w:ascii="Times New Roman" w:hAnsi="Times New Roman" w:eastAsia="宋体" w:cs="Times New Roman"/>
          <w:b/>
          <w:bCs/>
          <w:snapToGrid w:val="0"/>
          <w:color w:val="auto"/>
          <w:spacing w:val="-6"/>
          <w:kern w:val="21"/>
          <w:sz w:val="24"/>
          <w:szCs w:val="24"/>
          <w:lang w:val="en-US" w:eastAsia="zh-CN"/>
        </w:rPr>
      </w:pPr>
    </w:p>
    <w:p w14:paraId="71267D95">
      <w:pPr>
        <w:spacing w:line="240" w:lineRule="auto"/>
        <w:jc w:val="both"/>
        <w:outlineLvl w:val="1"/>
        <w:rPr>
          <w:rFonts w:hint="eastAsia" w:ascii="Times New Roman" w:hAnsi="Times New Roman" w:eastAsia="宋体" w:cs="Times New Roman"/>
          <w:b/>
          <w:bCs/>
          <w:snapToGrid w:val="0"/>
          <w:color w:val="auto"/>
          <w:spacing w:val="-6"/>
          <w:kern w:val="21"/>
          <w:sz w:val="24"/>
          <w:szCs w:val="24"/>
          <w:lang w:val="en-US" w:eastAsia="zh-CN"/>
        </w:rPr>
      </w:pPr>
      <w:r>
        <w:rPr>
          <w:rFonts w:hint="eastAsia" w:ascii="Times New Roman" w:hAnsi="Times New Roman" w:eastAsia="宋体" w:cs="Times New Roman"/>
          <w:b/>
          <w:bCs/>
          <w:snapToGrid w:val="0"/>
          <w:color w:val="auto"/>
          <w:spacing w:val="-6"/>
          <w:kern w:val="21"/>
          <w:sz w:val="24"/>
          <w:szCs w:val="24"/>
          <w:lang w:val="en-US" w:eastAsia="zh-CN"/>
        </w:rPr>
        <w:drawing>
          <wp:inline distT="0" distB="0" distL="114300" distR="114300">
            <wp:extent cx="8884920" cy="4543425"/>
            <wp:effectExtent l="0" t="0" r="11430" b="9525"/>
            <wp:docPr id="124"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41"/>
                    <pic:cNvPicPr>
                      <a:picLocks noChangeAspect="1"/>
                    </pic:cNvPicPr>
                  </pic:nvPicPr>
                  <pic:blipFill>
                    <a:blip r:embed="rId20"/>
                    <a:stretch>
                      <a:fillRect/>
                    </a:stretch>
                  </pic:blipFill>
                  <pic:spPr>
                    <a:xfrm>
                      <a:off x="0" y="0"/>
                      <a:ext cx="8884920" cy="4543425"/>
                    </a:xfrm>
                    <a:prstGeom prst="rect">
                      <a:avLst/>
                    </a:prstGeom>
                    <a:noFill/>
                    <a:ln>
                      <a:noFill/>
                    </a:ln>
                  </pic:spPr>
                </pic:pic>
              </a:graphicData>
            </a:graphic>
          </wp:inline>
        </w:drawing>
      </w:r>
      <w:r>
        <w:rPr>
          <w:rFonts w:hint="eastAsia" w:ascii="Times New Roman" w:hAnsi="Times New Roman" w:eastAsia="宋体" w:cs="Times New Roman"/>
          <w:b/>
          <w:bCs/>
          <w:snapToGrid w:val="0"/>
          <w:color w:val="auto"/>
          <w:spacing w:val="-6"/>
          <w:kern w:val="21"/>
          <w:sz w:val="24"/>
          <w:szCs w:val="24"/>
          <w:lang w:val="en-US" w:eastAsia="zh-CN"/>
        </w:rPr>
        <w:br w:type="page"/>
      </w:r>
      <w:r>
        <w:rPr>
          <w:rFonts w:hint="eastAsia" w:ascii="Times New Roman" w:hAnsi="Times New Roman" w:eastAsia="宋体" w:cs="Times New Roman"/>
          <w:b/>
          <w:bCs/>
          <w:snapToGrid w:val="0"/>
          <w:color w:val="auto"/>
          <w:spacing w:val="-6"/>
          <w:kern w:val="21"/>
          <w:sz w:val="24"/>
          <w:szCs w:val="24"/>
          <w:lang w:val="en-US" w:eastAsia="zh-CN"/>
        </w:rPr>
        <w:t>附图2：地理位置图</w:t>
      </w:r>
    </w:p>
    <w:p w14:paraId="42AAB42B">
      <w:pPr>
        <w:spacing w:line="240" w:lineRule="auto"/>
        <w:jc w:val="center"/>
        <w:outlineLvl w:val="9"/>
        <w:rPr>
          <w:rFonts w:hint="eastAsia" w:ascii="Times New Roman" w:hAnsi="Times New Roman" w:eastAsia="宋体" w:cs="Times New Roman"/>
          <w:snapToGrid w:val="0"/>
          <w:color w:val="auto"/>
          <w:spacing w:val="-6"/>
          <w:kern w:val="21"/>
          <w:sz w:val="21"/>
          <w:szCs w:val="21"/>
          <w:lang w:val="en-US" w:eastAsia="zh-CN"/>
        </w:rPr>
      </w:pPr>
      <w:r>
        <w:rPr>
          <w:rFonts w:hint="eastAsia" w:ascii="Times New Roman" w:hAnsi="Times New Roman" w:eastAsia="宋体" w:cs="Times New Roman"/>
          <w:color w:val="auto"/>
          <w:kern w:val="2"/>
          <w:sz w:val="24"/>
          <w:szCs w:val="20"/>
        </w:rPr>
        <mc:AlternateContent>
          <mc:Choice Requires="wps">
            <w:drawing>
              <wp:anchor distT="0" distB="0" distL="114300" distR="114300" simplePos="0" relativeHeight="251662336" behindDoc="0" locked="0" layoutInCell="1" allowOverlap="1">
                <wp:simplePos x="0" y="0"/>
                <wp:positionH relativeFrom="column">
                  <wp:posOffset>4848225</wp:posOffset>
                </wp:positionH>
                <wp:positionV relativeFrom="paragraph">
                  <wp:posOffset>2028825</wp:posOffset>
                </wp:positionV>
                <wp:extent cx="1039495" cy="335280"/>
                <wp:effectExtent l="356870" t="5080" r="13335" b="364490"/>
                <wp:wrapNone/>
                <wp:docPr id="27" name="矩形标注 27"/>
                <wp:cNvGraphicFramePr/>
                <a:graphic xmlns:a="http://schemas.openxmlformats.org/drawingml/2006/main">
                  <a:graphicData uri="http://schemas.microsoft.com/office/word/2010/wordprocessingShape">
                    <wps:wsp>
                      <wps:cNvSpPr/>
                      <wps:spPr>
                        <a:xfrm>
                          <a:off x="0" y="0"/>
                          <a:ext cx="1039495" cy="335280"/>
                        </a:xfrm>
                        <a:prstGeom prst="wedgeRectCallout">
                          <a:avLst>
                            <a:gd name="adj1" fmla="val -81088"/>
                            <a:gd name="adj2" fmla="val 150000"/>
                          </a:avLst>
                        </a:prstGeom>
                        <a:noFill/>
                        <a:ln w="9525" cap="flat" cmpd="sng">
                          <a:solidFill>
                            <a:srgbClr val="000000"/>
                          </a:solidFill>
                          <a:prstDash val="solid"/>
                          <a:miter/>
                          <a:headEnd type="none" w="med" len="med"/>
                          <a:tailEnd type="none" w="med" len="med"/>
                        </a:ln>
                      </wps:spPr>
                      <wps:txbx>
                        <w:txbxContent>
                          <w:p w14:paraId="2BC0DC66">
                            <w:pPr>
                              <w:spacing w:line="240" w:lineRule="auto"/>
                              <w:jc w:val="center"/>
                              <w:rPr>
                                <w:rFonts w:hint="default" w:ascii="Times New Roman" w:hAnsi="Times New Roman" w:eastAsia="宋体" w:cs="Times New Roman"/>
                                <w:kern w:val="2"/>
                                <w:sz w:val="21"/>
                                <w:szCs w:val="20"/>
                                <w:lang w:val="en-US" w:eastAsia="zh-CN"/>
                              </w:rPr>
                            </w:pPr>
                            <w:r>
                              <w:rPr>
                                <w:rFonts w:hint="eastAsia" w:ascii="Times New Roman" w:hAnsi="Times New Roman" w:eastAsia="宋体" w:cs="Times New Roman"/>
                                <w:kern w:val="2"/>
                                <w:sz w:val="21"/>
                                <w:szCs w:val="20"/>
                                <w:lang w:val="en-US" w:eastAsia="zh-CN"/>
                              </w:rPr>
                              <w:t>本项目位置</w:t>
                            </w:r>
                          </w:p>
                        </w:txbxContent>
                      </wps:txbx>
                      <wps:bodyPr upright="1"/>
                    </wps:wsp>
                  </a:graphicData>
                </a:graphic>
              </wp:anchor>
            </w:drawing>
          </mc:Choice>
          <mc:Fallback>
            <w:pict>
              <v:shape id="_x0000_s1026" o:spid="_x0000_s1026" o:spt="61" type="#_x0000_t61" style="position:absolute;left:0pt;margin-left:381.75pt;margin-top:159.75pt;height:26.4pt;width:81.85pt;z-index:251662336;mso-width-relative:page;mso-height-relative:page;" filled="f" stroked="t" coordsize="21600,21600" o:gfxdata="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yxcux1wAAAAsBAAAPAAAAAAAAAAEAIAAAACIAAABkcnMvZG93bnJldi54&#10;bWxQSwECFAAUAAAACACHTuJAYy4cZDQCAABnBAAADgAAAAAAAAABACAAAAAmAQAAZHJzL2Uyb0Rv&#10;Yy54bWxQSwUGAAAAAAYABgBZAQAAzAUAAAAA&#10;" adj="-6715,43200">
                <v:fill on="f" focussize="0,0"/>
                <v:stroke color="#000000" joinstyle="miter"/>
                <v:imagedata o:title=""/>
                <o:lock v:ext="edit" aspectratio="f"/>
                <v:textbox>
                  <w:txbxContent>
                    <w:p w14:paraId="2BC0DC66">
                      <w:pPr>
                        <w:spacing w:line="240" w:lineRule="auto"/>
                        <w:jc w:val="center"/>
                        <w:rPr>
                          <w:rFonts w:hint="default" w:ascii="Times New Roman" w:hAnsi="Times New Roman" w:eastAsia="宋体" w:cs="Times New Roman"/>
                          <w:kern w:val="2"/>
                          <w:sz w:val="21"/>
                          <w:szCs w:val="20"/>
                          <w:lang w:val="en-US" w:eastAsia="zh-CN"/>
                        </w:rPr>
                      </w:pPr>
                      <w:r>
                        <w:rPr>
                          <w:rFonts w:hint="eastAsia" w:ascii="Times New Roman" w:hAnsi="Times New Roman" w:eastAsia="宋体" w:cs="Times New Roman"/>
                          <w:kern w:val="2"/>
                          <w:sz w:val="21"/>
                          <w:szCs w:val="20"/>
                          <w:lang w:val="en-US" w:eastAsia="zh-CN"/>
                        </w:rPr>
                        <w:t>本项目位置</w:t>
                      </w:r>
                    </w:p>
                  </w:txbxContent>
                </v:textbox>
              </v:shape>
            </w:pict>
          </mc:Fallback>
        </mc:AlternateContent>
      </w:r>
      <w:r>
        <w:rPr>
          <w:rFonts w:hint="eastAsia" w:ascii="Times New Roman" w:hAnsi="Times New Roman" w:eastAsia="宋体" w:cs="Times New Roman"/>
          <w:b/>
          <w:bCs/>
          <w:snapToGrid w:val="0"/>
          <w:color w:val="auto"/>
          <w:spacing w:val="-6"/>
          <w:kern w:val="21"/>
          <w:sz w:val="24"/>
          <w:szCs w:val="24"/>
          <w:lang w:val="en-US" w:eastAsia="zh-CN"/>
        </w:rPr>
        <w:drawing>
          <wp:anchor distT="0" distB="0" distL="114300" distR="114300" simplePos="0" relativeHeight="251661312" behindDoc="0" locked="0" layoutInCell="1" allowOverlap="1">
            <wp:simplePos x="0" y="0"/>
            <wp:positionH relativeFrom="column">
              <wp:posOffset>7503795</wp:posOffset>
            </wp:positionH>
            <wp:positionV relativeFrom="paragraph">
              <wp:posOffset>13970</wp:posOffset>
            </wp:positionV>
            <wp:extent cx="416560" cy="725170"/>
            <wp:effectExtent l="0" t="0" r="2540" b="17780"/>
            <wp:wrapNone/>
            <wp:docPr id="56" name="图片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108"/>
                    <pic:cNvPicPr>
                      <a:picLocks noChangeAspect="1"/>
                    </pic:cNvPicPr>
                  </pic:nvPicPr>
                  <pic:blipFill>
                    <a:blip r:embed="rId35"/>
                    <a:stretch>
                      <a:fillRect/>
                    </a:stretch>
                  </pic:blipFill>
                  <pic:spPr>
                    <a:xfrm>
                      <a:off x="0" y="0"/>
                      <a:ext cx="416560" cy="725170"/>
                    </a:xfrm>
                    <a:prstGeom prst="rect">
                      <a:avLst/>
                    </a:prstGeom>
                    <a:noFill/>
                    <a:ln>
                      <a:noFill/>
                    </a:ln>
                  </pic:spPr>
                </pic:pic>
              </a:graphicData>
            </a:graphic>
          </wp:anchor>
        </w:drawing>
      </w:r>
      <w:r>
        <w:rPr>
          <w:rFonts w:hint="eastAsia" w:ascii="Times New Roman" w:hAnsi="Times New Roman" w:eastAsia="宋体" w:cs="Times New Roman"/>
          <w:color w:val="auto"/>
          <w:kern w:val="2"/>
          <w:sz w:val="24"/>
          <w:szCs w:val="20"/>
        </w:rPr>
        <w:drawing>
          <wp:inline distT="0" distB="0" distL="114300" distR="114300">
            <wp:extent cx="6991350" cy="5344795"/>
            <wp:effectExtent l="9525" t="9525" r="9525" b="17780"/>
            <wp:docPr id="125"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42"/>
                    <pic:cNvPicPr>
                      <a:picLocks noChangeAspect="1"/>
                    </pic:cNvPicPr>
                  </pic:nvPicPr>
                  <pic:blipFill>
                    <a:blip r:embed="rId36"/>
                    <a:stretch>
                      <a:fillRect/>
                    </a:stretch>
                  </pic:blipFill>
                  <pic:spPr>
                    <a:xfrm>
                      <a:off x="0" y="0"/>
                      <a:ext cx="6991350" cy="5344795"/>
                    </a:xfrm>
                    <a:prstGeom prst="rect">
                      <a:avLst/>
                    </a:prstGeom>
                    <a:noFill/>
                    <a:ln>
                      <a:solidFill>
                        <a:schemeClr val="tx1"/>
                      </a:solidFill>
                    </a:ln>
                  </pic:spPr>
                </pic:pic>
              </a:graphicData>
            </a:graphic>
          </wp:inline>
        </w:drawing>
      </w:r>
    </w:p>
    <w:p w14:paraId="1AE3B170">
      <w:pPr>
        <w:keepNext w:val="0"/>
        <w:keepLines w:val="0"/>
        <w:widowControl/>
        <w:suppressLineNumbers w:val="0"/>
        <w:adjustRightInd w:val="0"/>
        <w:snapToGrid w:val="0"/>
        <w:spacing w:after="100" w:afterLines="0" w:afterAutospacing="0" w:line="273" w:lineRule="auto"/>
        <w:ind w:left="0" w:leftChars="0" w:firstLine="0" w:firstLineChars="0"/>
        <w:jc w:val="left"/>
        <w:outlineLvl w:val="1"/>
        <w:rPr>
          <w:rFonts w:hint="default" w:ascii="Times New Roman" w:hAnsi="Times New Roman" w:eastAsia="宋体" w:cs="Times New Roman"/>
          <w:b/>
          <w:bCs/>
          <w:snapToGrid w:val="0"/>
          <w:color w:val="auto"/>
          <w:spacing w:val="-6"/>
          <w:kern w:val="21"/>
          <w:sz w:val="24"/>
          <w:szCs w:val="24"/>
          <w:lang w:val="en-US" w:eastAsia="zh-CN" w:bidi="ar"/>
        </w:rPr>
      </w:pPr>
      <w:r>
        <w:rPr>
          <w:rFonts w:hint="default" w:ascii="Times New Roman" w:hAnsi="Times New Roman" w:eastAsia="宋体" w:cs="Times New Roman"/>
          <w:b/>
          <w:bCs/>
          <w:snapToGrid w:val="0"/>
          <w:color w:val="auto"/>
          <w:spacing w:val="-6"/>
          <w:kern w:val="21"/>
          <w:sz w:val="24"/>
          <w:szCs w:val="24"/>
          <w:lang w:val="en-US" w:eastAsia="zh-CN" w:bidi="ar"/>
        </w:rPr>
        <w:t>附图3：平面布置图</w:t>
      </w:r>
    </w:p>
    <w:p w14:paraId="1721DBF5">
      <w:pPr>
        <w:jc w:val="center"/>
        <w:rPr>
          <w:rFonts w:hint="eastAsia" w:ascii="Times New Roman" w:hAnsi="Times New Roman" w:eastAsia="宋体" w:cs="Times New Roman"/>
          <w:color w:val="auto"/>
          <w:kern w:val="2"/>
          <w:sz w:val="24"/>
          <w:szCs w:val="20"/>
          <w:lang w:val="en-US" w:eastAsia="zh-CN"/>
        </w:rPr>
      </w:pPr>
      <w:r>
        <w:rPr>
          <w:color w:val="auto"/>
          <w:sz w:val="24"/>
        </w:rPr>
        <mc:AlternateContent>
          <mc:Choice Requires="wps">
            <w:drawing>
              <wp:anchor distT="0" distB="0" distL="114300" distR="114300" simplePos="0" relativeHeight="251684864" behindDoc="0" locked="0" layoutInCell="1" allowOverlap="1">
                <wp:simplePos x="0" y="0"/>
                <wp:positionH relativeFrom="column">
                  <wp:posOffset>3709670</wp:posOffset>
                </wp:positionH>
                <wp:positionV relativeFrom="paragraph">
                  <wp:posOffset>2399030</wp:posOffset>
                </wp:positionV>
                <wp:extent cx="1218565" cy="672465"/>
                <wp:effectExtent l="0" t="0" r="0" b="0"/>
                <wp:wrapNone/>
                <wp:docPr id="49" name="矩形 49"/>
                <wp:cNvGraphicFramePr/>
                <a:graphic xmlns:a="http://schemas.openxmlformats.org/drawingml/2006/main">
                  <a:graphicData uri="http://schemas.microsoft.com/office/word/2010/wordprocessingShape">
                    <wps:wsp>
                      <wps:cNvSpPr/>
                      <wps:spPr>
                        <a:xfrm>
                          <a:off x="0" y="0"/>
                          <a:ext cx="1218565" cy="67246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B0F7865">
                            <w:pPr>
                              <w:jc w:val="center"/>
                              <w:rPr>
                                <w:rFonts w:hint="eastAsia" w:ascii="宋体" w:hAnsi="宋体" w:eastAsia="宋体" w:cs="宋体"/>
                                <w:b w:val="0"/>
                                <w:bCs w:val="0"/>
                                <w:color w:val="404040" w:themeColor="text1" w:themeTint="BF"/>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lumMod w14:val="75000"/>
                                      <w14:lumOff w14:val="25000"/>
                                    </w14:schemeClr>
                                  </w14:solidFill>
                                </w14:textFill>
                                <w14:props3d w14:extrusionH="0" w14:contourW="0" w14:prstMaterial="clear"/>
                              </w:rPr>
                            </w:pPr>
                            <w:r>
                              <w:rPr>
                                <w:rFonts w:hint="eastAsia" w:ascii="宋体" w:hAnsi="宋体" w:eastAsia="宋体" w:cs="宋体"/>
                                <w:b w:val="0"/>
                                <w:bCs w:val="0"/>
                                <w:color w:val="404040" w:themeColor="text1" w:themeTint="BF"/>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lumMod w14:val="75000"/>
                                      <w14:lumOff w14:val="25000"/>
                                    </w14:schemeClr>
                                  </w14:solidFill>
                                </w14:textFill>
                                <w14:props3d w14:extrusionH="0" w14:contourW="0" w14:prstMaterial="clear"/>
                              </w:rPr>
                              <w:t>危险废物贮存库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2.1pt;margin-top:188.9pt;height:52.95pt;width:95.95pt;z-index:251684864;v-text-anchor:middle;mso-width-relative:page;mso-height-relative:page;" filled="f" stroked="f" coordsize="21600,21600" o:gfxdata="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wFg9ANoAAAAL&#10;AQAADwAAAAAAAAABACAAAAAiAAAAZHJzL2Rvd25yZXYueG1sUEsBAhQAFAAAAAgAh07iQNE+mvNT&#10;AgAAmAQAAA4AAAAAAAAAAQAgAAAAKQEAAGRycy9lMm9Eb2MueG1sUEsFBgAAAAAGAAYAWQEAAO4F&#10;AAAAAA==&#10;">
                <v:fill on="f" focussize="0,0"/>
                <v:stroke on="f" weight="2pt"/>
                <v:imagedata o:title=""/>
                <o:lock v:ext="edit" aspectratio="f"/>
                <v:textbox>
                  <w:txbxContent>
                    <w:p w14:paraId="5B0F7865">
                      <w:pPr>
                        <w:jc w:val="center"/>
                        <w:rPr>
                          <w:rFonts w:hint="eastAsia" w:ascii="宋体" w:hAnsi="宋体" w:eastAsia="宋体" w:cs="宋体"/>
                          <w:b w:val="0"/>
                          <w:bCs w:val="0"/>
                          <w:color w:val="404040" w:themeColor="text1" w:themeTint="BF"/>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lumMod w14:val="75000"/>
                                <w14:lumOff w14:val="25000"/>
                              </w14:schemeClr>
                            </w14:solidFill>
                          </w14:textFill>
                          <w14:props3d w14:extrusionH="0" w14:contourW="0" w14:prstMaterial="clear"/>
                        </w:rPr>
                      </w:pPr>
                      <w:r>
                        <w:rPr>
                          <w:rFonts w:hint="eastAsia" w:ascii="宋体" w:hAnsi="宋体" w:eastAsia="宋体" w:cs="宋体"/>
                          <w:b w:val="0"/>
                          <w:bCs w:val="0"/>
                          <w:color w:val="404040" w:themeColor="text1" w:themeTint="BF"/>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lumMod w14:val="75000"/>
                                <w14:lumOff w14:val="25000"/>
                              </w14:schemeClr>
                            </w14:solidFill>
                          </w14:textFill>
                          <w14:props3d w14:extrusionH="0" w14:contourW="0" w14:prstMaterial="clear"/>
                        </w:rPr>
                        <w:t>危险废物贮存库</w:t>
                      </w:r>
                    </w:p>
                  </w:txbxContent>
                </v:textbox>
              </v:rect>
            </w:pict>
          </mc:Fallback>
        </mc:AlternateContent>
      </w:r>
      <w:r>
        <w:rPr>
          <w:color w:val="auto"/>
          <w:sz w:val="24"/>
        </w:rPr>
        <mc:AlternateContent>
          <mc:Choice Requires="wps">
            <w:drawing>
              <wp:anchor distT="0" distB="0" distL="114300" distR="114300" simplePos="0" relativeHeight="251683840" behindDoc="0" locked="0" layoutInCell="1" allowOverlap="1">
                <wp:simplePos x="0" y="0"/>
                <wp:positionH relativeFrom="column">
                  <wp:posOffset>4079240</wp:posOffset>
                </wp:positionH>
                <wp:positionV relativeFrom="paragraph">
                  <wp:posOffset>2619375</wp:posOffset>
                </wp:positionV>
                <wp:extent cx="194945" cy="137795"/>
                <wp:effectExtent l="59690" t="33655" r="69215" b="38100"/>
                <wp:wrapNone/>
                <wp:docPr id="47" name="矩形 47"/>
                <wp:cNvGraphicFramePr/>
                <a:graphic xmlns:a="http://schemas.openxmlformats.org/drawingml/2006/main">
                  <a:graphicData uri="http://schemas.microsoft.com/office/word/2010/wordprocessingShape">
                    <wps:wsp>
                      <wps:cNvSpPr/>
                      <wps:spPr>
                        <a:xfrm rot="18660000">
                          <a:off x="5024755" y="3864610"/>
                          <a:ext cx="194945" cy="13779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1.2pt;margin-top:206.25pt;height:10.85pt;width:15.35pt;rotation:-3211264f;z-index:251683840;v-text-anchor:middle;mso-width-relative:page;mso-height-relative:page;" fillcolor="#4F81BD [3204]" filled="t" stroked="t" coordsize="21600,21600" o:gfxdata="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CxGv&#10;JdsAAAALAQAADwAAAAAAAAABACAAAAAiAAAAZHJzL2Rvd25yZXYueG1sUEsBAhQAFAAAAAgAh07i&#10;QLxVCfmRAgAAGwUAAA4AAAAAAAAAAQAgAAAAKgEAAGRycy9lMm9Eb2MueG1sUEsFBgAAAAAGAAYA&#10;WQEAAC0GAAAAAA==&#10;">
                <v:fill on="t" focussize="0,0"/>
                <v:stroke weight="2pt" color="#376092 [2404]" joinstyle="round"/>
                <v:imagedata o:title=""/>
                <o:lock v:ext="edit" aspectratio="f"/>
              </v:rect>
            </w:pict>
          </mc:Fallback>
        </mc:AlternateContent>
      </w:r>
      <w:r>
        <w:rPr>
          <w:color w:val="auto"/>
          <w:sz w:val="24"/>
        </w:rPr>
        <mc:AlternateContent>
          <mc:Choice Requires="wps">
            <w:drawing>
              <wp:anchor distT="0" distB="0" distL="114300" distR="114300" simplePos="0" relativeHeight="251681792" behindDoc="0" locked="0" layoutInCell="1" allowOverlap="1">
                <wp:simplePos x="0" y="0"/>
                <wp:positionH relativeFrom="column">
                  <wp:posOffset>4544060</wp:posOffset>
                </wp:positionH>
                <wp:positionV relativeFrom="paragraph">
                  <wp:posOffset>3624580</wp:posOffset>
                </wp:positionV>
                <wp:extent cx="714375" cy="271145"/>
                <wp:effectExtent l="0" t="0" r="0" b="0"/>
                <wp:wrapNone/>
                <wp:docPr id="26" name="矩形 26"/>
                <wp:cNvGraphicFramePr/>
                <a:graphic xmlns:a="http://schemas.openxmlformats.org/drawingml/2006/main">
                  <a:graphicData uri="http://schemas.microsoft.com/office/word/2010/wordprocessingShape">
                    <wps:wsp>
                      <wps:cNvSpPr/>
                      <wps:spPr>
                        <a:xfrm>
                          <a:off x="0" y="0"/>
                          <a:ext cx="714375" cy="2711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FA06E2F">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DA002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7.8pt;margin-top:285.4pt;height:21.35pt;width:56.25pt;z-index:251681792;v-text-anchor:middle;mso-width-relative:page;mso-height-relative:page;" filled="f" stroked="f" coordsize="21600,21600" o:gfxdata="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u5CmjdoAAAAL&#10;AQAADwAAAAAAAAABACAAAAAiAAAAZHJzL2Rvd25yZXYueG1sUEsBAhQAFAAAAAgAh07iQNffB0RT&#10;AgAAlwQAAA4AAAAAAAAAAQAgAAAAKQEAAGRycy9lMm9Eb2MueG1sUEsFBgAAAAAGAAYAWQEAAO4F&#10;AAAAAA==&#10;">
                <v:fill on="f" focussize="0,0"/>
                <v:stroke on="f" weight="2pt"/>
                <v:imagedata o:title=""/>
                <o:lock v:ext="edit" aspectratio="f"/>
                <v:textbox>
                  <w:txbxContent>
                    <w:p w14:paraId="6FA06E2F">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DA002</w:t>
                      </w:r>
                    </w:p>
                  </w:txbxContent>
                </v:textbox>
              </v:rect>
            </w:pict>
          </mc:Fallback>
        </mc:AlternateContent>
      </w:r>
      <w:r>
        <w:rPr>
          <w:rFonts w:hint="eastAsia" w:ascii="Times New Roman" w:hAnsi="Times New Roman" w:eastAsia="宋体" w:cs="Times New Roman"/>
          <w:color w:val="auto"/>
          <w:kern w:val="2"/>
          <w:sz w:val="24"/>
          <w:szCs w:val="20"/>
        </w:rPr>
        <mc:AlternateContent>
          <mc:Choice Requires="wps">
            <w:drawing>
              <wp:anchor distT="0" distB="0" distL="114300" distR="114300" simplePos="0" relativeHeight="251680768" behindDoc="0" locked="0" layoutInCell="1" allowOverlap="1">
                <wp:simplePos x="0" y="0"/>
                <wp:positionH relativeFrom="column">
                  <wp:posOffset>4585335</wp:posOffset>
                </wp:positionH>
                <wp:positionV relativeFrom="paragraph">
                  <wp:posOffset>3716655</wp:posOffset>
                </wp:positionV>
                <wp:extent cx="114300" cy="99060"/>
                <wp:effectExtent l="4445" t="4445" r="14605" b="10795"/>
                <wp:wrapNone/>
                <wp:docPr id="25" name="任意多边形 25"/>
                <wp:cNvGraphicFramePr/>
                <a:graphic xmlns:a="http://schemas.openxmlformats.org/drawingml/2006/main">
                  <a:graphicData uri="http://schemas.microsoft.com/office/word/2010/wordprocessingShape">
                    <wps:wsp>
                      <wps:cNvSpPr/>
                      <wps:spPr>
                        <a:xfrm>
                          <a:off x="0" y="0"/>
                          <a:ext cx="114300" cy="99060"/>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00"/>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61.05pt;margin-top:292.65pt;height:7.8pt;width:9pt;z-index:251680768;mso-width-relative:page;mso-height-relative:page;" fillcolor="#FFFF00" filled="t" stroked="t" coordsize="21600,21600" o:gfxdata="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w:pict>
          </mc:Fallback>
        </mc:AlternateContent>
      </w:r>
      <w:r>
        <w:rPr>
          <w:color w:val="auto"/>
          <w:sz w:val="24"/>
        </w:rPr>
        <mc:AlternateContent>
          <mc:Choice Requires="wps">
            <w:drawing>
              <wp:anchor distT="0" distB="0" distL="114300" distR="114300" simplePos="0" relativeHeight="251679744" behindDoc="0" locked="0" layoutInCell="1" allowOverlap="1">
                <wp:simplePos x="0" y="0"/>
                <wp:positionH relativeFrom="column">
                  <wp:posOffset>3768725</wp:posOffset>
                </wp:positionH>
                <wp:positionV relativeFrom="paragraph">
                  <wp:posOffset>3161665</wp:posOffset>
                </wp:positionV>
                <wp:extent cx="714375" cy="271145"/>
                <wp:effectExtent l="0" t="0" r="0" b="0"/>
                <wp:wrapNone/>
                <wp:docPr id="23" name="矩形 23"/>
                <wp:cNvGraphicFramePr/>
                <a:graphic xmlns:a="http://schemas.openxmlformats.org/drawingml/2006/main">
                  <a:graphicData uri="http://schemas.microsoft.com/office/word/2010/wordprocessingShape">
                    <wps:wsp>
                      <wps:cNvSpPr/>
                      <wps:spPr>
                        <a:xfrm>
                          <a:off x="0" y="0"/>
                          <a:ext cx="714375" cy="2711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BC1292B">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DA001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6.75pt;margin-top:248.95pt;height:21.35pt;width:56.25pt;z-index:251679744;v-text-anchor:middle;mso-width-relative:page;mso-height-relative:page;" filled="f" stroked="f" coordsize="21600,21600" o:gfxdata="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QOjGv2QAAAAsB&#10;AAAPAAAAAAAAAAEAIAAAACIAAABkcnMvZG93bnJldi54bWxQSwECFAAUAAAACACHTuJAO+rtHlMC&#10;AACXBAAADgAAAAAAAAABACAAAAAoAQAAZHJzL2Uyb0RvYy54bWxQSwUGAAAAAAYABgBZAQAA7QUA&#10;AAAA&#10;">
                <v:fill on="f" focussize="0,0"/>
                <v:stroke on="f" weight="2pt"/>
                <v:imagedata o:title=""/>
                <o:lock v:ext="edit" aspectratio="f"/>
                <v:textbox>
                  <w:txbxContent>
                    <w:p w14:paraId="2BC1292B">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DA001</w:t>
                      </w:r>
                    </w:p>
                  </w:txbxContent>
                </v:textbox>
              </v:rect>
            </w:pict>
          </mc:Fallback>
        </mc:AlternateContent>
      </w:r>
      <w:r>
        <w:rPr>
          <w:rFonts w:hint="eastAsia" w:ascii="Times New Roman" w:hAnsi="Times New Roman" w:eastAsia="宋体" w:cs="Times New Roman"/>
          <w:color w:val="auto"/>
          <w:kern w:val="2"/>
          <w:sz w:val="24"/>
          <w:szCs w:val="20"/>
        </w:rPr>
        <mc:AlternateContent>
          <mc:Choice Requires="wps">
            <w:drawing>
              <wp:anchor distT="0" distB="0" distL="114300" distR="114300" simplePos="0" relativeHeight="251678720" behindDoc="0" locked="0" layoutInCell="1" allowOverlap="1">
                <wp:simplePos x="0" y="0"/>
                <wp:positionH relativeFrom="column">
                  <wp:posOffset>3789045</wp:posOffset>
                </wp:positionH>
                <wp:positionV relativeFrom="paragraph">
                  <wp:posOffset>3267710</wp:posOffset>
                </wp:positionV>
                <wp:extent cx="114300" cy="99060"/>
                <wp:effectExtent l="4445" t="4445" r="14605" b="10795"/>
                <wp:wrapNone/>
                <wp:docPr id="16" name="任意多边形 16"/>
                <wp:cNvGraphicFramePr/>
                <a:graphic xmlns:a="http://schemas.openxmlformats.org/drawingml/2006/main">
                  <a:graphicData uri="http://schemas.microsoft.com/office/word/2010/wordprocessingShape">
                    <wps:wsp>
                      <wps:cNvSpPr/>
                      <wps:spPr>
                        <a:xfrm>
                          <a:off x="0" y="0"/>
                          <a:ext cx="114300" cy="99060"/>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00"/>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298.35pt;margin-top:257.3pt;height:7.8pt;width:9pt;z-index:251678720;mso-width-relative:page;mso-height-relative:page;" fillcolor="#FFFF00" filled="t" stroked="t" coordsize="21600,21600" o:gfxdata="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w:pict>
          </mc:Fallback>
        </mc:AlternateContent>
      </w:r>
      <w:r>
        <w:rPr>
          <w:color w:val="auto"/>
          <w:sz w:val="24"/>
        </w:rPr>
        <mc:AlternateContent>
          <mc:Choice Requires="wps">
            <w:drawing>
              <wp:anchor distT="0" distB="0" distL="114300" distR="114300" simplePos="0" relativeHeight="251677696" behindDoc="0" locked="0" layoutInCell="1" allowOverlap="1">
                <wp:simplePos x="0" y="0"/>
                <wp:positionH relativeFrom="column">
                  <wp:posOffset>4187825</wp:posOffset>
                </wp:positionH>
                <wp:positionV relativeFrom="paragraph">
                  <wp:posOffset>4213860</wp:posOffset>
                </wp:positionV>
                <wp:extent cx="714375" cy="271145"/>
                <wp:effectExtent l="0" t="0" r="0" b="0"/>
                <wp:wrapNone/>
                <wp:docPr id="15" name="矩形 15"/>
                <wp:cNvGraphicFramePr/>
                <a:graphic xmlns:a="http://schemas.openxmlformats.org/drawingml/2006/main">
                  <a:graphicData uri="http://schemas.microsoft.com/office/word/2010/wordprocessingShape">
                    <wps:wsp>
                      <wps:cNvSpPr/>
                      <wps:spPr>
                        <a:xfrm>
                          <a:off x="5262880" y="5481320"/>
                          <a:ext cx="714375" cy="2711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467E504">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DA003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9.75pt;margin-top:331.8pt;height:21.35pt;width:56.25pt;z-index:251677696;v-text-anchor:middle;mso-width-relative:page;mso-height-relative:page;" filled="f" stroked="f" coordsize="21600,21600" o:gfxdata="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NixzHPZAAAACwEAAA8AAAAAAAAAAQAgAAAAIgAAAGRycy9kb3ducmV2LnhtbFBLAQIUABQAAAAI&#10;AIdO4kBNZDUTXgIAAKMEAAAOAAAAAAAAAAEAIAAAACgBAABkcnMvZTJvRG9jLnhtbFBLBQYAAAAA&#10;BgAGAFkBAAD4BQAAAAA=&#10;">
                <v:fill on="f" focussize="0,0"/>
                <v:stroke on="f" weight="2pt"/>
                <v:imagedata o:title=""/>
                <o:lock v:ext="edit" aspectratio="f"/>
                <v:textbox>
                  <w:txbxContent>
                    <w:p w14:paraId="6467E504">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DA003</w:t>
                      </w:r>
                    </w:p>
                  </w:txbxContent>
                </v:textbox>
              </v:rect>
            </w:pict>
          </mc:Fallback>
        </mc:AlternateContent>
      </w:r>
      <w:r>
        <w:rPr>
          <w:rFonts w:hint="eastAsia" w:ascii="Times New Roman" w:hAnsi="Times New Roman" w:eastAsia="宋体" w:cs="Times New Roman"/>
          <w:color w:val="auto"/>
          <w:kern w:val="2"/>
          <w:sz w:val="24"/>
          <w:szCs w:val="20"/>
        </w:rPr>
        <mc:AlternateContent>
          <mc:Choice Requires="wps">
            <w:drawing>
              <wp:anchor distT="0" distB="0" distL="114300" distR="114300" simplePos="0" relativeHeight="251676672" behindDoc="0" locked="0" layoutInCell="1" allowOverlap="1">
                <wp:simplePos x="0" y="0"/>
                <wp:positionH relativeFrom="column">
                  <wp:posOffset>4238625</wp:posOffset>
                </wp:positionH>
                <wp:positionV relativeFrom="paragraph">
                  <wp:posOffset>4314825</wp:posOffset>
                </wp:positionV>
                <wp:extent cx="114300" cy="99060"/>
                <wp:effectExtent l="4445" t="4445" r="14605" b="10795"/>
                <wp:wrapNone/>
                <wp:docPr id="14" name="任意多边形 14"/>
                <wp:cNvGraphicFramePr/>
                <a:graphic xmlns:a="http://schemas.openxmlformats.org/drawingml/2006/main">
                  <a:graphicData uri="http://schemas.microsoft.com/office/word/2010/wordprocessingShape">
                    <wps:wsp>
                      <wps:cNvSpPr/>
                      <wps:spPr>
                        <a:xfrm>
                          <a:off x="0" y="0"/>
                          <a:ext cx="114300" cy="99060"/>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00"/>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33.75pt;margin-top:339.75pt;height:7.8pt;width:9pt;z-index:251676672;mso-width-relative:page;mso-height-relative:page;" fillcolor="#FFFF00" filled="t" stroked="t" coordsize="21600,21600" o:gfxdata="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w:pict>
          </mc:Fallback>
        </mc:AlternateContent>
      </w:r>
      <w:r>
        <w:rPr>
          <w:rFonts w:hint="eastAsia" w:ascii="Times New Roman" w:hAnsi="Times New Roman" w:eastAsia="宋体" w:cs="Times New Roman"/>
          <w:color w:val="auto"/>
          <w:kern w:val="2"/>
          <w:sz w:val="24"/>
          <w:szCs w:val="20"/>
        </w:rPr>
        <mc:AlternateContent>
          <mc:Choice Requires="wps">
            <w:drawing>
              <wp:anchor distT="0" distB="0" distL="114300" distR="114300" simplePos="0" relativeHeight="251671552" behindDoc="0" locked="0" layoutInCell="1" allowOverlap="1">
                <wp:simplePos x="0" y="0"/>
                <wp:positionH relativeFrom="column">
                  <wp:posOffset>6671310</wp:posOffset>
                </wp:positionH>
                <wp:positionV relativeFrom="paragraph">
                  <wp:posOffset>4938395</wp:posOffset>
                </wp:positionV>
                <wp:extent cx="114300" cy="99060"/>
                <wp:effectExtent l="4445" t="4445" r="14605" b="10795"/>
                <wp:wrapNone/>
                <wp:docPr id="34" name="任意多边形 34"/>
                <wp:cNvGraphicFramePr/>
                <a:graphic xmlns:a="http://schemas.openxmlformats.org/drawingml/2006/main">
                  <a:graphicData uri="http://schemas.microsoft.com/office/word/2010/wordprocessingShape">
                    <wps:wsp>
                      <wps:cNvSpPr/>
                      <wps:spPr>
                        <a:xfrm>
                          <a:off x="0" y="0"/>
                          <a:ext cx="114300" cy="99060"/>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00"/>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525.3pt;margin-top:388.85pt;height:7.8pt;width:9pt;z-index:251671552;mso-width-relative:page;mso-height-relative:page;" fillcolor="#FFFF00" filled="t" stroked="t" coordsize="21600,21600" o:gfxdata="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w:pict>
          </mc:Fallback>
        </mc:AlternateContent>
      </w:r>
      <w:r>
        <w:rPr>
          <w:rFonts w:hint="eastAsia" w:ascii="Times New Roman" w:hAnsi="Times New Roman" w:eastAsia="宋体" w:cs="Times New Roman"/>
          <w:color w:val="auto"/>
          <w:kern w:val="2"/>
          <w:sz w:val="20"/>
          <w:szCs w:val="20"/>
        </w:rPr>
        <mc:AlternateContent>
          <mc:Choice Requires="wps">
            <w:drawing>
              <wp:anchor distT="0" distB="0" distL="114300" distR="114300" simplePos="0" relativeHeight="251664384" behindDoc="0" locked="0" layoutInCell="1" allowOverlap="1">
                <wp:simplePos x="0" y="0"/>
                <wp:positionH relativeFrom="column">
                  <wp:posOffset>6483350</wp:posOffset>
                </wp:positionH>
                <wp:positionV relativeFrom="paragraph">
                  <wp:posOffset>4627245</wp:posOffset>
                </wp:positionV>
                <wp:extent cx="1391285" cy="631190"/>
                <wp:effectExtent l="4445" t="4445" r="13970" b="12065"/>
                <wp:wrapNone/>
                <wp:docPr id="32" name="矩形 32"/>
                <wp:cNvGraphicFramePr/>
                <a:graphic xmlns:a="http://schemas.openxmlformats.org/drawingml/2006/main">
                  <a:graphicData uri="http://schemas.microsoft.com/office/word/2010/wordprocessingShape">
                    <wps:wsp>
                      <wps:cNvSpPr/>
                      <wps:spPr>
                        <a:xfrm>
                          <a:off x="0" y="0"/>
                          <a:ext cx="1391285" cy="631190"/>
                        </a:xfrm>
                        <a:prstGeom prst="rect">
                          <a:avLst/>
                        </a:prstGeom>
                        <a:noFill/>
                        <a:ln w="3175" cap="flat" cmpd="sng">
                          <a:solidFill>
                            <a:srgbClr val="000000"/>
                          </a:solidFill>
                          <a:prstDash val="solid"/>
                          <a:miter/>
                          <a:headEnd type="none" w="med" len="med"/>
                          <a:tailEnd type="none" w="med" len="med"/>
                        </a:ln>
                      </wps:spPr>
                      <wps:txbx>
                        <w:txbxContent>
                          <w:p w14:paraId="7A121088">
                            <w:pPr>
                              <w:spacing w:line="240" w:lineRule="auto"/>
                              <w:jc w:val="center"/>
                              <w:rPr>
                                <w:rFonts w:hint="eastAsia" w:ascii="Times New Roman" w:hAnsi="Times New Roman" w:eastAsia="宋体" w:cs="Times New Roman"/>
                                <w:b/>
                                <w:bCs/>
                                <w:color w:val="000000"/>
                                <w:kern w:val="2"/>
                                <w:sz w:val="18"/>
                                <w:szCs w:val="18"/>
                                <w:lang w:val="en-US" w:eastAsia="zh-CN"/>
                              </w:rPr>
                            </w:pPr>
                            <w:r>
                              <w:rPr>
                                <w:rFonts w:hint="eastAsia" w:ascii="Times New Roman" w:hAnsi="Times New Roman" w:eastAsia="宋体" w:cs="Times New Roman"/>
                                <w:b/>
                                <w:bCs/>
                                <w:color w:val="000000"/>
                                <w:kern w:val="2"/>
                                <w:sz w:val="18"/>
                                <w:szCs w:val="18"/>
                                <w:lang w:val="en-US" w:eastAsia="zh-CN"/>
                              </w:rPr>
                              <w:t>图例</w:t>
                            </w:r>
                          </w:p>
                          <w:p w14:paraId="45C2F158">
                            <w:pPr>
                              <w:keepNext w:val="0"/>
                              <w:keepLines w:val="0"/>
                              <w:pageBreakBefore w:val="0"/>
                              <w:widowControl/>
                              <w:kinsoku/>
                              <w:wordWrap/>
                              <w:overflowPunct/>
                              <w:topLinePunct w:val="0"/>
                              <w:bidi w:val="0"/>
                              <w:adjustRightInd/>
                              <w:snapToGrid w:val="0"/>
                              <w:spacing w:before="120" w:beforeLines="0" w:after="160" w:afterLines="0" w:line="260" w:lineRule="auto"/>
                              <w:ind w:right="113" w:firstLine="540" w:firstLineChars="300"/>
                              <w:jc w:val="both"/>
                              <w:textAlignment w:val="auto"/>
                              <w:rPr>
                                <w:rFonts w:hint="default" w:ascii="Times New Roman" w:hAnsi="Times New Roman" w:eastAsia="宋体" w:cs="Times New Roman"/>
                                <w:b w:val="0"/>
                                <w:bCs w:val="0"/>
                                <w:kern w:val="2"/>
                                <w:sz w:val="18"/>
                                <w:lang w:val="en-US" w:eastAsia="zh-CN"/>
                              </w:rPr>
                            </w:pPr>
                            <w:r>
                              <w:rPr>
                                <w:rFonts w:hint="eastAsia" w:ascii="Times New Roman" w:hAnsi="Times New Roman" w:eastAsia="宋体" w:cs="Times New Roman"/>
                                <w:b w:val="0"/>
                                <w:bCs w:val="0"/>
                                <w:color w:val="000000"/>
                                <w:kern w:val="2"/>
                                <w:sz w:val="18"/>
                                <w:szCs w:val="18"/>
                                <w:lang w:val="en-US" w:eastAsia="zh-CN"/>
                              </w:rPr>
                              <w:t>排放口</w:t>
                            </w:r>
                          </w:p>
                        </w:txbxContent>
                      </wps:txbx>
                      <wps:bodyPr upright="1"/>
                    </wps:wsp>
                  </a:graphicData>
                </a:graphic>
              </wp:anchor>
            </w:drawing>
          </mc:Choice>
          <mc:Fallback>
            <w:pict>
              <v:rect id="_x0000_s1026" o:spid="_x0000_s1026" o:spt="1" style="position:absolute;left:0pt;margin-left:510.5pt;margin-top:364.35pt;height:49.7pt;width:109.55pt;z-index:251664384;mso-width-relative:page;mso-height-relative:page;" filled="f" stroked="t" coordsize="21600,21600" o:gfxdata="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vvhZ31wAAAA0BAAAPAAAAAAAAAAEAIAAAACIAAABkcnMvZG93bnJl&#10;di54bWxQSwECFAAUAAAACACHTuJAT5CdNv4BAAACBAAADgAAAAAAAAABACAAAAAmAQAAZHJzL2Uy&#10;b0RvYy54bWxQSwUGAAAAAAYABgBZAQAAlgUAAAAA&#10;">
                <v:fill on="f" focussize="0,0"/>
                <v:stroke weight="0.25pt" color="#000000" joinstyle="miter"/>
                <v:imagedata o:title=""/>
                <o:lock v:ext="edit" aspectratio="f"/>
                <v:textbox>
                  <w:txbxContent>
                    <w:p w14:paraId="7A121088">
                      <w:pPr>
                        <w:spacing w:line="240" w:lineRule="auto"/>
                        <w:jc w:val="center"/>
                        <w:rPr>
                          <w:rFonts w:hint="eastAsia" w:ascii="Times New Roman" w:hAnsi="Times New Roman" w:eastAsia="宋体" w:cs="Times New Roman"/>
                          <w:b/>
                          <w:bCs/>
                          <w:color w:val="000000"/>
                          <w:kern w:val="2"/>
                          <w:sz w:val="18"/>
                          <w:szCs w:val="18"/>
                          <w:lang w:val="en-US" w:eastAsia="zh-CN"/>
                        </w:rPr>
                      </w:pPr>
                      <w:r>
                        <w:rPr>
                          <w:rFonts w:hint="eastAsia" w:ascii="Times New Roman" w:hAnsi="Times New Roman" w:eastAsia="宋体" w:cs="Times New Roman"/>
                          <w:b/>
                          <w:bCs/>
                          <w:color w:val="000000"/>
                          <w:kern w:val="2"/>
                          <w:sz w:val="18"/>
                          <w:szCs w:val="18"/>
                          <w:lang w:val="en-US" w:eastAsia="zh-CN"/>
                        </w:rPr>
                        <w:t>图例</w:t>
                      </w:r>
                    </w:p>
                    <w:p w14:paraId="45C2F158">
                      <w:pPr>
                        <w:keepNext w:val="0"/>
                        <w:keepLines w:val="0"/>
                        <w:pageBreakBefore w:val="0"/>
                        <w:widowControl/>
                        <w:kinsoku/>
                        <w:wordWrap/>
                        <w:overflowPunct/>
                        <w:topLinePunct w:val="0"/>
                        <w:bidi w:val="0"/>
                        <w:adjustRightInd/>
                        <w:snapToGrid w:val="0"/>
                        <w:spacing w:before="120" w:beforeLines="0" w:after="160" w:afterLines="0" w:line="260" w:lineRule="auto"/>
                        <w:ind w:right="113" w:firstLine="540" w:firstLineChars="300"/>
                        <w:jc w:val="both"/>
                        <w:textAlignment w:val="auto"/>
                        <w:rPr>
                          <w:rFonts w:hint="default" w:ascii="Times New Roman" w:hAnsi="Times New Roman" w:eastAsia="宋体" w:cs="Times New Roman"/>
                          <w:b w:val="0"/>
                          <w:bCs w:val="0"/>
                          <w:kern w:val="2"/>
                          <w:sz w:val="18"/>
                          <w:lang w:val="en-US" w:eastAsia="zh-CN"/>
                        </w:rPr>
                      </w:pPr>
                      <w:r>
                        <w:rPr>
                          <w:rFonts w:hint="eastAsia" w:ascii="Times New Roman" w:hAnsi="Times New Roman" w:eastAsia="宋体" w:cs="Times New Roman"/>
                          <w:b w:val="0"/>
                          <w:bCs w:val="0"/>
                          <w:color w:val="000000"/>
                          <w:kern w:val="2"/>
                          <w:sz w:val="18"/>
                          <w:szCs w:val="18"/>
                          <w:lang w:val="en-US" w:eastAsia="zh-CN"/>
                        </w:rPr>
                        <w:t>排放口</w:t>
                      </w:r>
                    </w:p>
                  </w:txbxContent>
                </v:textbox>
              </v:rect>
            </w:pict>
          </mc:Fallback>
        </mc:AlternateContent>
      </w:r>
      <w:r>
        <w:rPr>
          <w:rFonts w:hint="eastAsia" w:ascii="Times New Roman" w:hAnsi="Times New Roman" w:eastAsia="宋体" w:cs="Times New Roman"/>
          <w:b w:val="0"/>
          <w:bCs w:val="0"/>
          <w:snapToGrid w:val="0"/>
          <w:color w:val="auto"/>
          <w:spacing w:val="-6"/>
          <w:kern w:val="21"/>
          <w:sz w:val="24"/>
          <w:szCs w:val="24"/>
          <w:lang w:val="en-US" w:eastAsia="zh-CN"/>
        </w:rPr>
        <w:drawing>
          <wp:anchor distT="0" distB="0" distL="114300" distR="114300" simplePos="0" relativeHeight="251663360" behindDoc="0" locked="0" layoutInCell="1" allowOverlap="1">
            <wp:simplePos x="0" y="0"/>
            <wp:positionH relativeFrom="column">
              <wp:posOffset>7464425</wp:posOffset>
            </wp:positionH>
            <wp:positionV relativeFrom="paragraph">
              <wp:posOffset>19685</wp:posOffset>
            </wp:positionV>
            <wp:extent cx="416560" cy="725170"/>
            <wp:effectExtent l="0" t="0" r="2540" b="17780"/>
            <wp:wrapNone/>
            <wp:docPr id="37" name="图片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16"/>
                    <pic:cNvPicPr>
                      <a:picLocks noChangeAspect="1"/>
                    </pic:cNvPicPr>
                  </pic:nvPicPr>
                  <pic:blipFill>
                    <a:blip r:embed="rId35"/>
                    <a:stretch>
                      <a:fillRect/>
                    </a:stretch>
                  </pic:blipFill>
                  <pic:spPr>
                    <a:xfrm>
                      <a:off x="0" y="0"/>
                      <a:ext cx="416560" cy="725170"/>
                    </a:xfrm>
                    <a:prstGeom prst="rect">
                      <a:avLst/>
                    </a:prstGeom>
                    <a:noFill/>
                    <a:ln>
                      <a:noFill/>
                    </a:ln>
                  </pic:spPr>
                </pic:pic>
              </a:graphicData>
            </a:graphic>
          </wp:anchor>
        </w:drawing>
      </w:r>
      <w:r>
        <w:rPr>
          <w:rFonts w:hint="eastAsia" w:ascii="Times New Roman" w:hAnsi="Times New Roman" w:eastAsia="宋体" w:cs="Times New Roman"/>
          <w:color w:val="auto"/>
          <w:kern w:val="2"/>
          <w:sz w:val="24"/>
          <w:szCs w:val="20"/>
          <w:lang w:val="en-US" w:eastAsia="zh-CN"/>
        </w:rPr>
        <w:drawing>
          <wp:inline distT="0" distB="0" distL="114300" distR="114300">
            <wp:extent cx="6943090" cy="5282565"/>
            <wp:effectExtent l="0" t="0" r="10160" b="13335"/>
            <wp:docPr id="12" name="图片 1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片1"/>
                    <pic:cNvPicPr>
                      <a:picLocks noChangeAspect="1"/>
                    </pic:cNvPicPr>
                  </pic:nvPicPr>
                  <pic:blipFill>
                    <a:blip r:embed="rId37"/>
                    <a:stretch>
                      <a:fillRect/>
                    </a:stretch>
                  </pic:blipFill>
                  <pic:spPr>
                    <a:xfrm>
                      <a:off x="0" y="0"/>
                      <a:ext cx="6943090" cy="5282565"/>
                    </a:xfrm>
                    <a:prstGeom prst="rect">
                      <a:avLst/>
                    </a:prstGeom>
                  </pic:spPr>
                </pic:pic>
              </a:graphicData>
            </a:graphic>
          </wp:inline>
        </w:drawing>
      </w:r>
      <w:r>
        <w:rPr>
          <w:rFonts w:hint="eastAsia" w:ascii="Times New Roman" w:hAnsi="Times New Roman" w:eastAsia="宋体" w:cs="Times New Roman"/>
          <w:color w:val="auto"/>
          <w:kern w:val="2"/>
          <w:sz w:val="24"/>
          <w:szCs w:val="20"/>
          <w:lang w:val="en-US" w:eastAsia="zh-CN"/>
        </w:rPr>
        <w:drawing>
          <wp:inline distT="0" distB="0" distL="114300" distR="114300">
            <wp:extent cx="7953375" cy="5334000"/>
            <wp:effectExtent l="0" t="0" r="9525" b="0"/>
            <wp:docPr id="41" name="图片 4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图片"/>
                    <pic:cNvPicPr>
                      <a:picLocks noChangeAspect="1"/>
                    </pic:cNvPicPr>
                  </pic:nvPicPr>
                  <pic:blipFill>
                    <a:blip r:embed="rId38"/>
                    <a:stretch>
                      <a:fillRect/>
                    </a:stretch>
                  </pic:blipFill>
                  <pic:spPr>
                    <a:xfrm>
                      <a:off x="0" y="0"/>
                      <a:ext cx="7953375" cy="5334000"/>
                    </a:xfrm>
                    <a:prstGeom prst="rect">
                      <a:avLst/>
                    </a:prstGeom>
                  </pic:spPr>
                </pic:pic>
              </a:graphicData>
            </a:graphic>
          </wp:inline>
        </w:drawing>
      </w:r>
    </w:p>
    <w:p w14:paraId="4AAB7675">
      <w:pPr>
        <w:jc w:val="center"/>
        <w:rPr>
          <w:rFonts w:hint="default" w:ascii="Times New Roman" w:hAnsi="Times New Roman" w:eastAsia="宋体" w:cs="Times New Roman"/>
          <w:color w:val="auto"/>
          <w:kern w:val="2"/>
          <w:sz w:val="24"/>
          <w:szCs w:val="20"/>
          <w:lang w:val="en-US" w:eastAsia="zh-CN"/>
        </w:rPr>
      </w:pPr>
      <w:r>
        <w:rPr>
          <w:rFonts w:hint="eastAsia" w:ascii="Times New Roman" w:hAnsi="Times New Roman" w:cs="Times New Roman"/>
          <w:color w:val="auto"/>
          <w:kern w:val="2"/>
          <w:sz w:val="24"/>
          <w:szCs w:val="20"/>
          <w:lang w:val="en-US" w:eastAsia="zh-CN"/>
        </w:rPr>
        <w:t>主厂房平面布置</w:t>
      </w:r>
    </w:p>
    <w:p w14:paraId="3D01EC69">
      <w:pPr>
        <w:jc w:val="center"/>
        <w:rPr>
          <w:rFonts w:hint="eastAsia" w:ascii="Times New Roman" w:hAnsi="Times New Roman" w:eastAsia="宋体" w:cs="Times New Roman"/>
          <w:color w:val="auto"/>
          <w:kern w:val="2"/>
          <w:sz w:val="24"/>
          <w:szCs w:val="20"/>
          <w:lang w:val="en-US" w:eastAsia="zh-CN"/>
        </w:rPr>
        <w:sectPr>
          <w:pgSz w:w="16838" w:h="11906" w:orient="landscape"/>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p>
    <w:p w14:paraId="48811612">
      <w:pPr>
        <w:widowControl w:val="0"/>
        <w:spacing w:line="240" w:lineRule="auto"/>
        <w:ind w:left="0" w:leftChars="0" w:firstLine="0" w:firstLineChars="0"/>
        <w:jc w:val="both"/>
        <w:outlineLvl w:val="1"/>
        <w:rPr>
          <w:rFonts w:hint="eastAsia" w:ascii="Times New Roman" w:hAnsi="Times New Roman" w:eastAsia="宋体" w:cs="Times New Roman"/>
          <w:color w:val="auto"/>
          <w:kern w:val="2"/>
          <w:sz w:val="21"/>
          <w:szCs w:val="20"/>
          <w:lang w:val="en-US" w:eastAsia="zh-CN"/>
        </w:rPr>
      </w:pPr>
      <w:r>
        <w:rPr>
          <w:rFonts w:hint="eastAsia" w:ascii="Times New Roman" w:hAnsi="Times New Roman" w:eastAsia="宋体" w:cs="Times New Roman"/>
          <w:b/>
          <w:bCs/>
          <w:snapToGrid w:val="0"/>
          <w:color w:val="auto"/>
          <w:spacing w:val="-6"/>
          <w:kern w:val="21"/>
          <w:sz w:val="24"/>
          <w:szCs w:val="24"/>
          <w:lang w:val="en-US" w:eastAsia="zh-CN"/>
        </w:rPr>
        <w:t>附图4：</w:t>
      </w:r>
      <w:r>
        <w:rPr>
          <w:rFonts w:hint="eastAsia" w:cs="Times New Roman"/>
          <w:b/>
          <w:bCs/>
          <w:snapToGrid w:val="0"/>
          <w:color w:val="auto"/>
          <w:spacing w:val="-6"/>
          <w:kern w:val="21"/>
          <w:sz w:val="24"/>
          <w:szCs w:val="24"/>
          <w:lang w:val="en-US" w:eastAsia="zh-CN"/>
        </w:rPr>
        <w:t>铁力市建成区声环境功能区划图</w:t>
      </w:r>
    </w:p>
    <w:p w14:paraId="5A3C7E47">
      <w:pPr>
        <w:widowControl/>
        <w:snapToGrid w:val="0"/>
        <w:spacing w:before="60" w:beforeLines="0" w:after="160" w:afterLines="0" w:line="259" w:lineRule="auto"/>
        <w:ind w:right="113"/>
        <w:jc w:val="center"/>
        <w:rPr>
          <w:rFonts w:hint="eastAsia" w:ascii="Times New Roman" w:hAnsi="Times New Roman" w:eastAsia="宋体" w:cs="Times New Roman"/>
          <w:color w:val="auto"/>
          <w:kern w:val="2"/>
          <w:sz w:val="18"/>
          <w:lang w:val="en-US" w:eastAsia="zh-CN"/>
        </w:rPr>
      </w:pPr>
      <w:r>
        <w:rPr>
          <w:rFonts w:hint="eastAsia" w:ascii="Times New Roman" w:hAnsi="Times New Roman" w:eastAsia="宋体" w:cs="Times New Roman"/>
          <w:color w:val="auto"/>
          <w:kern w:val="2"/>
          <w:sz w:val="18"/>
          <w:szCs w:val="20"/>
        </w:rPr>
        <mc:AlternateContent>
          <mc:Choice Requires="wps">
            <w:drawing>
              <wp:anchor distT="0" distB="0" distL="114300" distR="114300" simplePos="0" relativeHeight="251666432" behindDoc="0" locked="0" layoutInCell="1" allowOverlap="1">
                <wp:simplePos x="0" y="0"/>
                <wp:positionH relativeFrom="column">
                  <wp:posOffset>8228330</wp:posOffset>
                </wp:positionH>
                <wp:positionV relativeFrom="paragraph">
                  <wp:posOffset>3570605</wp:posOffset>
                </wp:positionV>
                <wp:extent cx="1172210" cy="307340"/>
                <wp:effectExtent l="302260" t="5080" r="11430" b="392430"/>
                <wp:wrapNone/>
                <wp:docPr id="45" name="矩形标注 45"/>
                <wp:cNvGraphicFramePr/>
                <a:graphic xmlns:a="http://schemas.openxmlformats.org/drawingml/2006/main">
                  <a:graphicData uri="http://schemas.microsoft.com/office/word/2010/wordprocessingShape">
                    <wps:wsp>
                      <wps:cNvSpPr/>
                      <wps:spPr>
                        <a:xfrm>
                          <a:off x="0" y="0"/>
                          <a:ext cx="1172210" cy="307340"/>
                        </a:xfrm>
                        <a:prstGeom prst="wedgeRectCallout">
                          <a:avLst>
                            <a:gd name="adj1" fmla="val -73019"/>
                            <a:gd name="adj2" fmla="val 169630"/>
                          </a:avLst>
                        </a:prstGeom>
                        <a:noFill/>
                        <a:ln w="9525" cap="flat" cmpd="sng">
                          <a:solidFill>
                            <a:srgbClr val="000000"/>
                          </a:solidFill>
                          <a:prstDash val="solid"/>
                          <a:miter/>
                          <a:headEnd type="none" w="med" len="med"/>
                          <a:tailEnd type="none" w="med" len="med"/>
                        </a:ln>
                      </wps:spPr>
                      <wps:txbx>
                        <w:txbxContent>
                          <w:p w14:paraId="4C45887F">
                            <w:pPr>
                              <w:spacing w:line="240" w:lineRule="auto"/>
                              <w:jc w:val="center"/>
                              <w:rPr>
                                <w:rFonts w:hint="default" w:ascii="Times New Roman" w:hAnsi="Times New Roman" w:eastAsia="宋体" w:cs="Times New Roman"/>
                                <w:kern w:val="2"/>
                                <w:sz w:val="21"/>
                                <w:szCs w:val="20"/>
                                <w:lang w:val="en-US" w:eastAsia="zh-CN"/>
                              </w:rPr>
                            </w:pPr>
                            <w:r>
                              <w:rPr>
                                <w:rFonts w:hint="eastAsia" w:ascii="Times New Roman" w:hAnsi="Times New Roman" w:eastAsia="宋体" w:cs="Times New Roman"/>
                                <w:kern w:val="2"/>
                                <w:sz w:val="21"/>
                                <w:szCs w:val="20"/>
                                <w:lang w:val="en-US" w:eastAsia="zh-CN"/>
                              </w:rPr>
                              <w:t>本项目位置</w:t>
                            </w:r>
                          </w:p>
                        </w:txbxContent>
                      </wps:txbx>
                      <wps:bodyPr upright="1"/>
                    </wps:wsp>
                  </a:graphicData>
                </a:graphic>
              </wp:anchor>
            </w:drawing>
          </mc:Choice>
          <mc:Fallback>
            <w:pict>
              <v:shape id="_x0000_s1026" o:spid="_x0000_s1026" o:spt="61" type="#_x0000_t61" style="position:absolute;left:0pt;margin-left:647.9pt;margin-top:281.15pt;height:24.2pt;width:92.3pt;z-index:251666432;mso-width-relative:page;mso-height-relative:page;" filled="f" stroked="t" coordsize="21600,21600" o:gfxdata="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JbclVTcAAAADQEAAA8AAAAAAAAAAQAgAAAAIgAAAGRycy9k&#10;b3ducmV2LnhtbFBLAQIUABQAAAAIAIdO4kD5Oxk1NwIAAGcEAAAOAAAAAAAAAAEAIAAAACsBAABk&#10;cnMvZTJvRG9jLnhtbFBLBQYAAAAABgAGAFkBAADUBQAAAAA=&#10;" adj="-4972,47440">
                <v:fill on="f" focussize="0,0"/>
                <v:stroke color="#000000" joinstyle="miter"/>
                <v:imagedata o:title=""/>
                <o:lock v:ext="edit" aspectratio="f"/>
                <v:textbox>
                  <w:txbxContent>
                    <w:p w14:paraId="4C45887F">
                      <w:pPr>
                        <w:spacing w:line="240" w:lineRule="auto"/>
                        <w:jc w:val="center"/>
                        <w:rPr>
                          <w:rFonts w:hint="default" w:ascii="Times New Roman" w:hAnsi="Times New Roman" w:eastAsia="宋体" w:cs="Times New Roman"/>
                          <w:kern w:val="2"/>
                          <w:sz w:val="21"/>
                          <w:szCs w:val="20"/>
                          <w:lang w:val="en-US" w:eastAsia="zh-CN"/>
                        </w:rPr>
                      </w:pPr>
                      <w:r>
                        <w:rPr>
                          <w:rFonts w:hint="eastAsia" w:ascii="Times New Roman" w:hAnsi="Times New Roman" w:eastAsia="宋体" w:cs="Times New Roman"/>
                          <w:kern w:val="2"/>
                          <w:sz w:val="21"/>
                          <w:szCs w:val="20"/>
                          <w:lang w:val="en-US" w:eastAsia="zh-CN"/>
                        </w:rPr>
                        <w:t>本项目位置</w:t>
                      </w:r>
                    </w:p>
                  </w:txbxContent>
                </v:textbox>
              </v:shape>
            </w:pict>
          </mc:Fallback>
        </mc:AlternateContent>
      </w:r>
      <w:r>
        <w:rPr>
          <w:rFonts w:hint="eastAsia" w:ascii="Times New Roman" w:hAnsi="Times New Roman" w:eastAsia="宋体" w:cs="Times New Roman"/>
          <w:color w:val="auto"/>
          <w:kern w:val="2"/>
          <w:sz w:val="18"/>
          <w:szCs w:val="20"/>
        </w:rPr>
        <mc:AlternateContent>
          <mc:Choice Requires="wps">
            <w:drawing>
              <wp:anchor distT="0" distB="0" distL="114300" distR="114300" simplePos="0" relativeHeight="251665408" behindDoc="0" locked="0" layoutInCell="1" allowOverlap="1">
                <wp:simplePos x="0" y="0"/>
                <wp:positionH relativeFrom="column">
                  <wp:posOffset>7763510</wp:posOffset>
                </wp:positionH>
                <wp:positionV relativeFrom="paragraph">
                  <wp:posOffset>4173855</wp:posOffset>
                </wp:positionV>
                <wp:extent cx="255270" cy="231140"/>
                <wp:effectExtent l="0" t="0" r="11430" b="16510"/>
                <wp:wrapNone/>
                <wp:docPr id="29" name="流程图: 联系 29"/>
                <wp:cNvGraphicFramePr/>
                <a:graphic xmlns:a="http://schemas.openxmlformats.org/drawingml/2006/main">
                  <a:graphicData uri="http://schemas.microsoft.com/office/word/2010/wordprocessingShape">
                    <wps:wsp>
                      <wps:cNvSpPr/>
                      <wps:spPr>
                        <a:xfrm>
                          <a:off x="0" y="0"/>
                          <a:ext cx="255270" cy="231140"/>
                        </a:xfrm>
                        <a:prstGeom prst="flowChartConnector">
                          <a:avLst/>
                        </a:prstGeom>
                        <a:solidFill>
                          <a:srgbClr val="FFFF00"/>
                        </a:solidFill>
                        <a:ln>
                          <a:noFill/>
                        </a:ln>
                      </wps:spPr>
                      <wps:bodyPr upright="1"/>
                    </wps:wsp>
                  </a:graphicData>
                </a:graphic>
              </wp:anchor>
            </w:drawing>
          </mc:Choice>
          <mc:Fallback>
            <w:pict>
              <v:shape id="_x0000_s1026" o:spid="_x0000_s1026" o:spt="120" type="#_x0000_t120" style="position:absolute;left:0pt;margin-left:611.3pt;margin-top:328.65pt;height:18.2pt;width:20.1pt;z-index:251665408;mso-width-relative:page;mso-height-relative:page;" fillcolor="#FFFF00" filled="t" stroked="f" coordsize="21600,21600" o:gfxdata="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HwOX13bAAAADQEAAA8AAAAAAAAAAQAgAAAA&#10;IgAAAGRycy9kb3ducmV2LnhtbFBLAQIUABQAAAAIAIdO4kDWajKbzwEAAHkDAAAOAAAAAAAAAAEA&#10;IAAAACoBAABkcnMvZTJvRG9jLnhtbFBLBQYAAAAABgAGAFkBAABrBQAAAAA=&#10;">
                <v:fill on="t" focussize="0,0"/>
                <v:stroke on="f"/>
                <v:imagedata o:title=""/>
                <o:lock v:ext="edit" aspectratio="f"/>
              </v:shape>
            </w:pict>
          </mc:Fallback>
        </mc:AlternateContent>
      </w:r>
      <w:r>
        <w:rPr>
          <w:rFonts w:hint="eastAsia" w:ascii="Times New Roman" w:hAnsi="Times New Roman" w:eastAsia="宋体" w:cs="Times New Roman"/>
          <w:color w:val="auto"/>
          <w:kern w:val="2"/>
          <w:sz w:val="18"/>
          <w:lang w:val="en-US" w:eastAsia="zh-CN"/>
        </w:rPr>
        <w:drawing>
          <wp:inline distT="0" distB="0" distL="114300" distR="114300">
            <wp:extent cx="5382895" cy="8495030"/>
            <wp:effectExtent l="9525" t="9525" r="10795" b="17780"/>
            <wp:docPr id="126" name="图片 126" descr="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640"/>
                    <pic:cNvPicPr>
                      <a:picLocks noChangeAspect="1"/>
                    </pic:cNvPicPr>
                  </pic:nvPicPr>
                  <pic:blipFill>
                    <a:blip r:embed="rId39"/>
                    <a:srcRect b="3457"/>
                    <a:stretch>
                      <a:fillRect/>
                    </a:stretch>
                  </pic:blipFill>
                  <pic:spPr>
                    <a:xfrm rot="16200000">
                      <a:off x="0" y="0"/>
                      <a:ext cx="5382895" cy="8495030"/>
                    </a:xfrm>
                    <a:prstGeom prst="rect">
                      <a:avLst/>
                    </a:prstGeom>
                    <a:ln>
                      <a:solidFill>
                        <a:schemeClr val="tx1"/>
                      </a:solidFill>
                    </a:ln>
                  </pic:spPr>
                </pic:pic>
              </a:graphicData>
            </a:graphic>
          </wp:inline>
        </w:drawing>
      </w:r>
    </w:p>
    <w:p w14:paraId="53A2EF16">
      <w:pPr>
        <w:widowControl w:val="0"/>
        <w:spacing w:line="240" w:lineRule="auto"/>
        <w:ind w:left="0" w:leftChars="0" w:firstLine="0" w:firstLineChars="0"/>
        <w:jc w:val="both"/>
        <w:outlineLvl w:val="1"/>
        <w:rPr>
          <w:rFonts w:hint="eastAsia" w:ascii="Times New Roman" w:hAnsi="Times New Roman" w:eastAsia="宋体" w:cs="Times New Roman"/>
          <w:b/>
          <w:bCs/>
          <w:snapToGrid w:val="0"/>
          <w:color w:val="auto"/>
          <w:spacing w:val="-6"/>
          <w:kern w:val="21"/>
          <w:sz w:val="24"/>
          <w:szCs w:val="24"/>
          <w:lang w:val="en-US" w:eastAsia="zh-CN"/>
        </w:rPr>
      </w:pPr>
      <w:r>
        <w:rPr>
          <w:rFonts w:hint="eastAsia" w:ascii="Times New Roman" w:hAnsi="Times New Roman" w:eastAsia="宋体" w:cs="Times New Roman"/>
          <w:b/>
          <w:bCs/>
          <w:snapToGrid w:val="0"/>
          <w:color w:val="auto"/>
          <w:spacing w:val="-6"/>
          <w:kern w:val="21"/>
          <w:sz w:val="24"/>
          <w:szCs w:val="24"/>
          <w:lang w:val="en-US" w:eastAsia="zh-CN"/>
        </w:rPr>
        <w:br w:type="page"/>
      </w:r>
      <w:r>
        <w:rPr>
          <w:rFonts w:hint="eastAsia" w:ascii="Times New Roman" w:hAnsi="Times New Roman" w:eastAsia="宋体" w:cs="Times New Roman"/>
          <w:b/>
          <w:bCs/>
          <w:snapToGrid w:val="0"/>
          <w:color w:val="auto"/>
          <w:spacing w:val="-6"/>
          <w:kern w:val="21"/>
          <w:sz w:val="24"/>
          <w:szCs w:val="24"/>
          <w:lang w:val="en-US" w:eastAsia="zh-CN"/>
        </w:rPr>
        <w:t>附图5：</w:t>
      </w:r>
      <w:r>
        <w:rPr>
          <w:rFonts w:hint="eastAsia" w:cs="Times New Roman"/>
          <w:b/>
          <w:bCs/>
          <w:snapToGrid w:val="0"/>
          <w:color w:val="auto"/>
          <w:spacing w:val="-6"/>
          <w:kern w:val="21"/>
          <w:sz w:val="24"/>
          <w:szCs w:val="24"/>
          <w:lang w:val="en-US" w:eastAsia="zh-CN"/>
        </w:rPr>
        <w:t>评价范围及</w:t>
      </w:r>
      <w:r>
        <w:rPr>
          <w:rFonts w:hint="eastAsia" w:ascii="Times New Roman" w:hAnsi="Times New Roman" w:eastAsia="宋体" w:cs="Times New Roman"/>
          <w:b/>
          <w:bCs/>
          <w:snapToGrid w:val="0"/>
          <w:color w:val="auto"/>
          <w:spacing w:val="-6"/>
          <w:kern w:val="21"/>
          <w:sz w:val="24"/>
          <w:szCs w:val="24"/>
          <w:lang w:val="en-US" w:eastAsia="zh-CN"/>
        </w:rPr>
        <w:t>环境保护目标分布图</w:t>
      </w:r>
    </w:p>
    <w:p w14:paraId="5D32B597">
      <w:pPr>
        <w:widowControl w:val="0"/>
        <w:spacing w:line="240" w:lineRule="auto"/>
        <w:ind w:left="0" w:leftChars="0" w:firstLine="0" w:firstLineChars="0"/>
        <w:jc w:val="center"/>
        <w:outlineLvl w:val="9"/>
        <w:rPr>
          <w:rFonts w:hint="eastAsia" w:ascii="Times New Roman" w:hAnsi="Times New Roman" w:eastAsia="宋体" w:cs="Times New Roman"/>
          <w:color w:val="auto"/>
          <w:kern w:val="2"/>
          <w:sz w:val="24"/>
          <w:szCs w:val="20"/>
        </w:rPr>
      </w:pPr>
      <w:r>
        <w:rPr>
          <w:rFonts w:hint="eastAsia" w:ascii="Times New Roman" w:hAnsi="Times New Roman" w:eastAsia="宋体" w:cs="Times New Roman"/>
          <w:color w:val="auto"/>
          <w:kern w:val="2"/>
          <w:sz w:val="24"/>
          <w:szCs w:val="20"/>
        </w:rPr>
        <mc:AlternateContent>
          <mc:Choice Requires="wps">
            <w:drawing>
              <wp:anchor distT="0" distB="0" distL="114300" distR="114300" simplePos="0" relativeHeight="251672576" behindDoc="0" locked="0" layoutInCell="1" allowOverlap="1">
                <wp:simplePos x="0" y="0"/>
                <wp:positionH relativeFrom="column">
                  <wp:posOffset>6462395</wp:posOffset>
                </wp:positionH>
                <wp:positionV relativeFrom="paragraph">
                  <wp:posOffset>5122545</wp:posOffset>
                </wp:positionV>
                <wp:extent cx="114300" cy="99060"/>
                <wp:effectExtent l="4445" t="4445" r="14605" b="10795"/>
                <wp:wrapNone/>
                <wp:docPr id="33" name="矩形 33"/>
                <wp:cNvGraphicFramePr/>
                <a:graphic xmlns:a="http://schemas.openxmlformats.org/drawingml/2006/main">
                  <a:graphicData uri="http://schemas.microsoft.com/office/word/2010/wordprocessingShape">
                    <wps:wsp>
                      <wps:cNvSpPr/>
                      <wps:spPr>
                        <a:xfrm>
                          <a:off x="0" y="0"/>
                          <a:ext cx="114300" cy="99060"/>
                        </a:xfrm>
                        <a:prstGeom prst="rect">
                          <a:avLst/>
                        </a:prstGeom>
                        <a:noFill/>
                        <a:ln w="9525" cap="flat" cmpd="sng">
                          <a:solidFill>
                            <a:srgbClr val="0A25F4"/>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08.85pt;margin-top:403.35pt;height:7.8pt;width:9pt;z-index:251672576;mso-width-relative:page;mso-height-relative:page;" filled="f" stroked="t" coordsize="21600,21600" o:gfxdata="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kyXTNoAAAANAQAADwAAAAAAAAABACAAAAAiAAAAZHJzL2Rvd25yZXYu&#10;eG1sUEsBAhQAFAAAAAgAh07iQAjY3pr5AQAA9QMAAA4AAAAAAAAAAQAgAAAAKQEAAGRycy9lMm9E&#10;b2MueG1sUEsFBgAAAAAGAAYAWQEAAJQFAAAAAA==&#10;">
                <v:fill on="f" focussize="0,0"/>
                <v:stroke color="#0A25F4" joinstyle="miter"/>
                <v:imagedata o:title=""/>
                <o:lock v:ext="edit" aspectratio="f"/>
              </v:rect>
            </w:pict>
          </mc:Fallback>
        </mc:AlternateContent>
      </w:r>
      <w:r>
        <w:rPr>
          <w:rFonts w:hint="eastAsia" w:ascii="Times New Roman" w:hAnsi="Times New Roman" w:eastAsia="宋体" w:cs="Times New Roman"/>
          <w:color w:val="auto"/>
          <w:kern w:val="2"/>
          <w:sz w:val="24"/>
          <w:szCs w:val="20"/>
        </w:rPr>
        <mc:AlternateContent>
          <mc:Choice Requires="wps">
            <w:drawing>
              <wp:anchor distT="0" distB="0" distL="114300" distR="114300" simplePos="0" relativeHeight="251669504" behindDoc="0" locked="0" layoutInCell="1" allowOverlap="1">
                <wp:simplePos x="0" y="0"/>
                <wp:positionH relativeFrom="column">
                  <wp:posOffset>6458585</wp:posOffset>
                </wp:positionH>
                <wp:positionV relativeFrom="paragraph">
                  <wp:posOffset>4920615</wp:posOffset>
                </wp:positionV>
                <wp:extent cx="114300" cy="99060"/>
                <wp:effectExtent l="4445" t="4445" r="14605" b="10795"/>
                <wp:wrapNone/>
                <wp:docPr id="63" name="矩形 63"/>
                <wp:cNvGraphicFramePr/>
                <a:graphic xmlns:a="http://schemas.openxmlformats.org/drawingml/2006/main">
                  <a:graphicData uri="http://schemas.microsoft.com/office/word/2010/wordprocessingShape">
                    <wps:wsp>
                      <wps:cNvSpPr/>
                      <wps:spPr>
                        <a:xfrm>
                          <a:off x="0" y="0"/>
                          <a:ext cx="114300" cy="99060"/>
                        </a:xfrm>
                        <a:prstGeom prst="rect">
                          <a:avLst/>
                        </a:prstGeom>
                        <a:noFill/>
                        <a:ln w="9525" cap="flat" cmpd="sng">
                          <a:solidFill>
                            <a:srgbClr val="4DD60C"/>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08.55pt;margin-top:387.45pt;height:7.8pt;width:9pt;z-index:251669504;mso-width-relative:page;mso-height-relative:page;" filled="f" stroked="t" coordsize="21600,21600" o:gfxdata="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GQ/UV1QAAAA0BAAAPAAAAAAAAAAEAIAAAACIAAABkcnMvZG93bnJldi54bWxQ&#10;SwECFAAUAAAACACHTuJAWZ1tCfoBAAD1AwAADgAAAAAAAAABACAAAAAkAQAAZHJzL2Uyb0RvYy54&#10;bWxQSwUGAAAAAAYABgBZAQAAkAUAAAAA&#10;">
                <v:fill on="f" focussize="0,0"/>
                <v:stroke color="#4DD60C" joinstyle="miter"/>
                <v:imagedata o:title=""/>
                <o:lock v:ext="edit" aspectratio="f"/>
              </v:rect>
            </w:pict>
          </mc:Fallback>
        </mc:AlternateContent>
      </w:r>
      <w:r>
        <w:rPr>
          <w:rFonts w:hint="eastAsia" w:ascii="Times New Roman" w:hAnsi="Times New Roman" w:eastAsia="宋体" w:cs="Times New Roman"/>
          <w:color w:val="auto"/>
          <w:kern w:val="2"/>
          <w:sz w:val="24"/>
          <w:szCs w:val="20"/>
        </w:rPr>
        <mc:AlternateContent>
          <mc:Choice Requires="wps">
            <w:drawing>
              <wp:anchor distT="0" distB="0" distL="114300" distR="114300" simplePos="0" relativeHeight="251667456" behindDoc="0" locked="0" layoutInCell="1" allowOverlap="1">
                <wp:simplePos x="0" y="0"/>
                <wp:positionH relativeFrom="column">
                  <wp:posOffset>6323330</wp:posOffset>
                </wp:positionH>
                <wp:positionV relativeFrom="paragraph">
                  <wp:posOffset>4476750</wp:posOffset>
                </wp:positionV>
                <wp:extent cx="1158875" cy="914400"/>
                <wp:effectExtent l="4445" t="4445" r="17780" b="14605"/>
                <wp:wrapNone/>
                <wp:docPr id="78" name="矩形 78"/>
                <wp:cNvGraphicFramePr/>
                <a:graphic xmlns:a="http://schemas.openxmlformats.org/drawingml/2006/main">
                  <a:graphicData uri="http://schemas.microsoft.com/office/word/2010/wordprocessingShape">
                    <wps:wsp>
                      <wps:cNvSpPr/>
                      <wps:spPr>
                        <a:xfrm>
                          <a:off x="0" y="0"/>
                          <a:ext cx="1158875" cy="914400"/>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76F3E3F0">
                            <w:pPr>
                              <w:keepNext w:val="0"/>
                              <w:keepLines w:val="0"/>
                              <w:pageBreakBefore w:val="0"/>
                              <w:widowControl w:val="0"/>
                              <w:kinsoku/>
                              <w:wordWrap/>
                              <w:overflowPunct/>
                              <w:topLinePunct w:val="0"/>
                              <w:bidi w:val="0"/>
                              <w:adjustRightInd/>
                              <w:snapToGrid/>
                              <w:spacing w:line="312" w:lineRule="auto"/>
                              <w:jc w:val="center"/>
                              <w:textAlignment w:val="auto"/>
                              <w:rPr>
                                <w:rFonts w:hint="eastAsia" w:ascii="Times New Roman" w:hAnsi="Times New Roman" w:eastAsia="宋体" w:cs="Times New Roman"/>
                                <w:b/>
                                <w:bCs/>
                                <w:kern w:val="2"/>
                                <w:sz w:val="18"/>
                                <w:szCs w:val="18"/>
                                <w:lang w:val="en-US" w:eastAsia="zh-CN"/>
                              </w:rPr>
                            </w:pPr>
                            <w:r>
                              <w:rPr>
                                <w:rFonts w:hint="eastAsia" w:ascii="Times New Roman" w:hAnsi="Times New Roman" w:eastAsia="宋体" w:cs="Times New Roman"/>
                                <w:b/>
                                <w:bCs/>
                                <w:kern w:val="2"/>
                                <w:sz w:val="18"/>
                                <w:szCs w:val="18"/>
                                <w:lang w:val="en-US" w:eastAsia="zh-CN"/>
                              </w:rPr>
                              <w:t>图例</w:t>
                            </w:r>
                          </w:p>
                          <w:p w14:paraId="58587184">
                            <w:pPr>
                              <w:keepNext w:val="0"/>
                              <w:keepLines w:val="0"/>
                              <w:pageBreakBefore w:val="0"/>
                              <w:widowControl w:val="0"/>
                              <w:kinsoku/>
                              <w:wordWrap/>
                              <w:overflowPunct/>
                              <w:topLinePunct w:val="0"/>
                              <w:bidi w:val="0"/>
                              <w:adjustRightInd/>
                              <w:snapToGrid/>
                              <w:spacing w:line="312" w:lineRule="auto"/>
                              <w:ind w:firstLine="361" w:firstLineChars="200"/>
                              <w:jc w:val="both"/>
                              <w:textAlignment w:val="auto"/>
                              <w:rPr>
                                <w:rFonts w:hint="default" w:ascii="Times New Roman" w:hAnsi="Times New Roman" w:eastAsia="宋体" w:cs="Times New Roman"/>
                                <w:b/>
                                <w:bCs/>
                                <w:kern w:val="2"/>
                                <w:sz w:val="18"/>
                                <w:szCs w:val="18"/>
                                <w:lang w:val="en-US" w:eastAsia="zh-CN"/>
                              </w:rPr>
                            </w:pPr>
                            <w:r>
                              <w:rPr>
                                <w:rFonts w:hint="eastAsia" w:ascii="Times New Roman" w:hAnsi="Times New Roman" w:eastAsia="宋体" w:cs="Times New Roman"/>
                                <w:b/>
                                <w:bCs/>
                                <w:kern w:val="2"/>
                                <w:sz w:val="18"/>
                                <w:szCs w:val="18"/>
                                <w:lang w:val="en-US" w:eastAsia="zh-CN"/>
                              </w:rPr>
                              <w:t>本项目</w:t>
                            </w:r>
                            <w:r>
                              <w:rPr>
                                <w:rFonts w:hint="eastAsia" w:cs="Times New Roman"/>
                                <w:b/>
                                <w:bCs/>
                                <w:kern w:val="2"/>
                                <w:sz w:val="18"/>
                                <w:szCs w:val="18"/>
                                <w:lang w:val="en-US" w:eastAsia="zh-CN"/>
                              </w:rPr>
                              <w:t>厂界</w:t>
                            </w:r>
                          </w:p>
                          <w:p w14:paraId="07BCA738">
                            <w:pPr>
                              <w:keepNext w:val="0"/>
                              <w:keepLines w:val="0"/>
                              <w:pageBreakBefore w:val="0"/>
                              <w:widowControl w:val="0"/>
                              <w:kinsoku/>
                              <w:wordWrap/>
                              <w:overflowPunct/>
                              <w:topLinePunct w:val="0"/>
                              <w:bidi w:val="0"/>
                              <w:adjustRightInd/>
                              <w:snapToGrid/>
                              <w:spacing w:line="312" w:lineRule="auto"/>
                              <w:jc w:val="center"/>
                              <w:textAlignment w:val="auto"/>
                              <w:rPr>
                                <w:rFonts w:hint="eastAsia" w:ascii="Times New Roman" w:hAnsi="Times New Roman" w:eastAsia="宋体" w:cs="Times New Roman"/>
                                <w:b/>
                                <w:bCs/>
                                <w:kern w:val="2"/>
                                <w:sz w:val="18"/>
                                <w:szCs w:val="18"/>
                                <w:lang w:val="en-US" w:eastAsia="zh-CN"/>
                              </w:rPr>
                            </w:pPr>
                            <w:r>
                              <w:rPr>
                                <w:rFonts w:hint="eastAsia" w:cs="Times New Roman"/>
                                <w:b/>
                                <w:bCs/>
                                <w:kern w:val="2"/>
                                <w:sz w:val="18"/>
                                <w:szCs w:val="18"/>
                                <w:lang w:val="en-US" w:eastAsia="zh-CN"/>
                              </w:rPr>
                              <w:t xml:space="preserve"> </w:t>
                            </w:r>
                            <w:r>
                              <w:rPr>
                                <w:rFonts w:hint="eastAsia" w:ascii="Times New Roman" w:hAnsi="Times New Roman" w:eastAsia="宋体" w:cs="Times New Roman"/>
                                <w:b/>
                                <w:bCs/>
                                <w:kern w:val="2"/>
                                <w:sz w:val="18"/>
                                <w:szCs w:val="18"/>
                                <w:lang w:val="en-US" w:eastAsia="zh-CN"/>
                              </w:rPr>
                              <w:t>声评价范围</w:t>
                            </w:r>
                          </w:p>
                          <w:p w14:paraId="7E21C477">
                            <w:pPr>
                              <w:keepNext w:val="0"/>
                              <w:keepLines w:val="0"/>
                              <w:pageBreakBefore w:val="0"/>
                              <w:widowControl w:val="0"/>
                              <w:kinsoku/>
                              <w:wordWrap/>
                              <w:overflowPunct/>
                              <w:topLinePunct w:val="0"/>
                              <w:bidi w:val="0"/>
                              <w:adjustRightInd/>
                              <w:snapToGrid/>
                              <w:spacing w:line="312" w:lineRule="auto"/>
                              <w:jc w:val="center"/>
                              <w:textAlignment w:val="auto"/>
                              <w:rPr>
                                <w:rFonts w:hint="default" w:ascii="Times New Roman" w:hAnsi="Times New Roman" w:eastAsia="宋体" w:cs="Times New Roman"/>
                                <w:b/>
                                <w:bCs/>
                                <w:kern w:val="2"/>
                                <w:sz w:val="18"/>
                                <w:szCs w:val="18"/>
                                <w:lang w:val="en-US" w:eastAsia="zh-CN"/>
                              </w:rPr>
                            </w:pPr>
                            <w:r>
                              <w:rPr>
                                <w:rFonts w:hint="eastAsia" w:ascii="Times New Roman" w:hAnsi="Times New Roman" w:eastAsia="宋体" w:cs="Times New Roman"/>
                                <w:b/>
                                <w:bCs/>
                                <w:kern w:val="2"/>
                                <w:sz w:val="18"/>
                                <w:szCs w:val="18"/>
                                <w:lang w:val="en-US" w:eastAsia="zh-CN"/>
                              </w:rPr>
                              <w:t xml:space="preserve">  </w:t>
                            </w:r>
                            <w:r>
                              <w:rPr>
                                <w:rFonts w:hint="eastAsia" w:cs="Times New Roman"/>
                                <w:b/>
                                <w:bCs/>
                                <w:kern w:val="2"/>
                                <w:sz w:val="18"/>
                                <w:szCs w:val="18"/>
                                <w:lang w:val="en-US" w:eastAsia="zh-CN"/>
                              </w:rPr>
                              <w:t xml:space="preserve"> </w:t>
                            </w:r>
                            <w:r>
                              <w:rPr>
                                <w:rFonts w:hint="eastAsia" w:ascii="Times New Roman" w:hAnsi="Times New Roman" w:eastAsia="宋体" w:cs="Times New Roman"/>
                                <w:b/>
                                <w:bCs/>
                                <w:kern w:val="2"/>
                                <w:sz w:val="18"/>
                                <w:szCs w:val="18"/>
                                <w:lang w:val="en-US" w:eastAsia="zh-CN"/>
                              </w:rPr>
                              <w:t>大气评价范围</w:t>
                            </w:r>
                          </w:p>
                        </w:txbxContent>
                      </wps:txbx>
                      <wps:bodyPr upright="1"/>
                    </wps:wsp>
                  </a:graphicData>
                </a:graphic>
              </wp:anchor>
            </w:drawing>
          </mc:Choice>
          <mc:Fallback>
            <w:pict>
              <v:rect id="_x0000_s1026" o:spid="_x0000_s1026" o:spt="1" style="position:absolute;left:0pt;margin-left:497.9pt;margin-top:352.5pt;height:72pt;width:91.25pt;z-index:251667456;mso-width-relative:page;mso-height-relative:page;" fillcolor="#FFFFFF" filled="t" stroked="t" coordsize="21600,21600" o:gfxdata="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neDsjaAAAADAEAAA8AAAAAAAAAAQAgAAAAIgAA&#10;AGRycy9kb3ducmV2LnhtbFBLAQIUABQAAAAIAIdO4kCpYmuoBgIAACsEAAAOAAAAAAAAAAEAIAAA&#10;ACkBAABkcnMvZTJvRG9jLnhtbFBLBQYAAAAABgAGAFkBAAChBQAAAAA=&#10;">
                <v:fill on="t" focussize="0,0"/>
                <v:stroke weight="0.5pt" color="#000000" joinstyle="miter"/>
                <v:imagedata o:title=""/>
                <o:lock v:ext="edit" aspectratio="f"/>
                <v:textbox>
                  <w:txbxContent>
                    <w:p w14:paraId="76F3E3F0">
                      <w:pPr>
                        <w:keepNext w:val="0"/>
                        <w:keepLines w:val="0"/>
                        <w:pageBreakBefore w:val="0"/>
                        <w:widowControl w:val="0"/>
                        <w:kinsoku/>
                        <w:wordWrap/>
                        <w:overflowPunct/>
                        <w:topLinePunct w:val="0"/>
                        <w:bidi w:val="0"/>
                        <w:adjustRightInd/>
                        <w:snapToGrid/>
                        <w:spacing w:line="312" w:lineRule="auto"/>
                        <w:jc w:val="center"/>
                        <w:textAlignment w:val="auto"/>
                        <w:rPr>
                          <w:rFonts w:hint="eastAsia" w:ascii="Times New Roman" w:hAnsi="Times New Roman" w:eastAsia="宋体" w:cs="Times New Roman"/>
                          <w:b/>
                          <w:bCs/>
                          <w:kern w:val="2"/>
                          <w:sz w:val="18"/>
                          <w:szCs w:val="18"/>
                          <w:lang w:val="en-US" w:eastAsia="zh-CN"/>
                        </w:rPr>
                      </w:pPr>
                      <w:r>
                        <w:rPr>
                          <w:rFonts w:hint="eastAsia" w:ascii="Times New Roman" w:hAnsi="Times New Roman" w:eastAsia="宋体" w:cs="Times New Roman"/>
                          <w:b/>
                          <w:bCs/>
                          <w:kern w:val="2"/>
                          <w:sz w:val="18"/>
                          <w:szCs w:val="18"/>
                          <w:lang w:val="en-US" w:eastAsia="zh-CN"/>
                        </w:rPr>
                        <w:t>图例</w:t>
                      </w:r>
                    </w:p>
                    <w:p w14:paraId="58587184">
                      <w:pPr>
                        <w:keepNext w:val="0"/>
                        <w:keepLines w:val="0"/>
                        <w:pageBreakBefore w:val="0"/>
                        <w:widowControl w:val="0"/>
                        <w:kinsoku/>
                        <w:wordWrap/>
                        <w:overflowPunct/>
                        <w:topLinePunct w:val="0"/>
                        <w:bidi w:val="0"/>
                        <w:adjustRightInd/>
                        <w:snapToGrid/>
                        <w:spacing w:line="312" w:lineRule="auto"/>
                        <w:ind w:firstLine="361" w:firstLineChars="200"/>
                        <w:jc w:val="both"/>
                        <w:textAlignment w:val="auto"/>
                        <w:rPr>
                          <w:rFonts w:hint="default" w:ascii="Times New Roman" w:hAnsi="Times New Roman" w:eastAsia="宋体" w:cs="Times New Roman"/>
                          <w:b/>
                          <w:bCs/>
                          <w:kern w:val="2"/>
                          <w:sz w:val="18"/>
                          <w:szCs w:val="18"/>
                          <w:lang w:val="en-US" w:eastAsia="zh-CN"/>
                        </w:rPr>
                      </w:pPr>
                      <w:r>
                        <w:rPr>
                          <w:rFonts w:hint="eastAsia" w:ascii="Times New Roman" w:hAnsi="Times New Roman" w:eastAsia="宋体" w:cs="Times New Roman"/>
                          <w:b/>
                          <w:bCs/>
                          <w:kern w:val="2"/>
                          <w:sz w:val="18"/>
                          <w:szCs w:val="18"/>
                          <w:lang w:val="en-US" w:eastAsia="zh-CN"/>
                        </w:rPr>
                        <w:t>本项目</w:t>
                      </w:r>
                      <w:r>
                        <w:rPr>
                          <w:rFonts w:hint="eastAsia" w:cs="Times New Roman"/>
                          <w:b/>
                          <w:bCs/>
                          <w:kern w:val="2"/>
                          <w:sz w:val="18"/>
                          <w:szCs w:val="18"/>
                          <w:lang w:val="en-US" w:eastAsia="zh-CN"/>
                        </w:rPr>
                        <w:t>厂界</w:t>
                      </w:r>
                    </w:p>
                    <w:p w14:paraId="07BCA738">
                      <w:pPr>
                        <w:keepNext w:val="0"/>
                        <w:keepLines w:val="0"/>
                        <w:pageBreakBefore w:val="0"/>
                        <w:widowControl w:val="0"/>
                        <w:kinsoku/>
                        <w:wordWrap/>
                        <w:overflowPunct/>
                        <w:topLinePunct w:val="0"/>
                        <w:bidi w:val="0"/>
                        <w:adjustRightInd/>
                        <w:snapToGrid/>
                        <w:spacing w:line="312" w:lineRule="auto"/>
                        <w:jc w:val="center"/>
                        <w:textAlignment w:val="auto"/>
                        <w:rPr>
                          <w:rFonts w:hint="eastAsia" w:ascii="Times New Roman" w:hAnsi="Times New Roman" w:eastAsia="宋体" w:cs="Times New Roman"/>
                          <w:b/>
                          <w:bCs/>
                          <w:kern w:val="2"/>
                          <w:sz w:val="18"/>
                          <w:szCs w:val="18"/>
                          <w:lang w:val="en-US" w:eastAsia="zh-CN"/>
                        </w:rPr>
                      </w:pPr>
                      <w:r>
                        <w:rPr>
                          <w:rFonts w:hint="eastAsia" w:cs="Times New Roman"/>
                          <w:b/>
                          <w:bCs/>
                          <w:kern w:val="2"/>
                          <w:sz w:val="18"/>
                          <w:szCs w:val="18"/>
                          <w:lang w:val="en-US" w:eastAsia="zh-CN"/>
                        </w:rPr>
                        <w:t xml:space="preserve"> </w:t>
                      </w:r>
                      <w:r>
                        <w:rPr>
                          <w:rFonts w:hint="eastAsia" w:ascii="Times New Roman" w:hAnsi="Times New Roman" w:eastAsia="宋体" w:cs="Times New Roman"/>
                          <w:b/>
                          <w:bCs/>
                          <w:kern w:val="2"/>
                          <w:sz w:val="18"/>
                          <w:szCs w:val="18"/>
                          <w:lang w:val="en-US" w:eastAsia="zh-CN"/>
                        </w:rPr>
                        <w:t>声评价范围</w:t>
                      </w:r>
                    </w:p>
                    <w:p w14:paraId="7E21C477">
                      <w:pPr>
                        <w:keepNext w:val="0"/>
                        <w:keepLines w:val="0"/>
                        <w:pageBreakBefore w:val="0"/>
                        <w:widowControl w:val="0"/>
                        <w:kinsoku/>
                        <w:wordWrap/>
                        <w:overflowPunct/>
                        <w:topLinePunct w:val="0"/>
                        <w:bidi w:val="0"/>
                        <w:adjustRightInd/>
                        <w:snapToGrid/>
                        <w:spacing w:line="312" w:lineRule="auto"/>
                        <w:jc w:val="center"/>
                        <w:textAlignment w:val="auto"/>
                        <w:rPr>
                          <w:rFonts w:hint="default" w:ascii="Times New Roman" w:hAnsi="Times New Roman" w:eastAsia="宋体" w:cs="Times New Roman"/>
                          <w:b/>
                          <w:bCs/>
                          <w:kern w:val="2"/>
                          <w:sz w:val="18"/>
                          <w:szCs w:val="18"/>
                          <w:lang w:val="en-US" w:eastAsia="zh-CN"/>
                        </w:rPr>
                      </w:pPr>
                      <w:r>
                        <w:rPr>
                          <w:rFonts w:hint="eastAsia" w:ascii="Times New Roman" w:hAnsi="Times New Roman" w:eastAsia="宋体" w:cs="Times New Roman"/>
                          <w:b/>
                          <w:bCs/>
                          <w:kern w:val="2"/>
                          <w:sz w:val="18"/>
                          <w:szCs w:val="18"/>
                          <w:lang w:val="en-US" w:eastAsia="zh-CN"/>
                        </w:rPr>
                        <w:t xml:space="preserve">  </w:t>
                      </w:r>
                      <w:r>
                        <w:rPr>
                          <w:rFonts w:hint="eastAsia" w:cs="Times New Roman"/>
                          <w:b/>
                          <w:bCs/>
                          <w:kern w:val="2"/>
                          <w:sz w:val="18"/>
                          <w:szCs w:val="18"/>
                          <w:lang w:val="en-US" w:eastAsia="zh-CN"/>
                        </w:rPr>
                        <w:t xml:space="preserve"> </w:t>
                      </w:r>
                      <w:r>
                        <w:rPr>
                          <w:rFonts w:hint="eastAsia" w:ascii="Times New Roman" w:hAnsi="Times New Roman" w:eastAsia="宋体" w:cs="Times New Roman"/>
                          <w:b/>
                          <w:bCs/>
                          <w:kern w:val="2"/>
                          <w:sz w:val="18"/>
                          <w:szCs w:val="18"/>
                          <w:lang w:val="en-US" w:eastAsia="zh-CN"/>
                        </w:rPr>
                        <w:t>大气评价范围</w:t>
                      </w:r>
                    </w:p>
                  </w:txbxContent>
                </v:textbox>
              </v:rect>
            </w:pict>
          </mc:Fallback>
        </mc:AlternateContent>
      </w:r>
      <w:r>
        <w:rPr>
          <w:rFonts w:hint="eastAsia" w:ascii="Times New Roman" w:hAnsi="Times New Roman" w:eastAsia="宋体" w:cs="Times New Roman"/>
          <w:color w:val="auto"/>
          <w:kern w:val="2"/>
          <w:sz w:val="24"/>
          <w:szCs w:val="20"/>
        </w:rPr>
        <mc:AlternateContent>
          <mc:Choice Requires="wps">
            <w:drawing>
              <wp:anchor distT="0" distB="0" distL="114300" distR="114300" simplePos="0" relativeHeight="251668480" behindDoc="0" locked="0" layoutInCell="1" allowOverlap="1">
                <wp:simplePos x="0" y="0"/>
                <wp:positionH relativeFrom="column">
                  <wp:posOffset>6458585</wp:posOffset>
                </wp:positionH>
                <wp:positionV relativeFrom="paragraph">
                  <wp:posOffset>4747260</wp:posOffset>
                </wp:positionV>
                <wp:extent cx="114300" cy="99060"/>
                <wp:effectExtent l="4445" t="4445" r="14605" b="10795"/>
                <wp:wrapNone/>
                <wp:docPr id="70" name="矩形 70"/>
                <wp:cNvGraphicFramePr/>
                <a:graphic xmlns:a="http://schemas.openxmlformats.org/drawingml/2006/main">
                  <a:graphicData uri="http://schemas.microsoft.com/office/word/2010/wordprocessingShape">
                    <wps:wsp>
                      <wps:cNvSpPr/>
                      <wps:spPr>
                        <a:xfrm>
                          <a:off x="0" y="0"/>
                          <a:ext cx="114300" cy="99060"/>
                        </a:xfrm>
                        <a:prstGeom prst="rect">
                          <a:avLst/>
                        </a:prstGeom>
                        <a:noFill/>
                        <a:ln w="9525"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08.55pt;margin-top:373.8pt;height:7.8pt;width:9pt;z-index:251668480;mso-width-relative:page;mso-height-relative:page;" filled="f" stroked="t" coordsize="21600,21600" o:gfxdata="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SCGQE2wAAAA0BAAAPAAAAAAAAAAEAIAAAACIAAABkcnMvZG93bnJldi54&#10;bWxQSwECFAAUAAAACACHTuJAB5+Co/cBAAD1AwAADgAAAAAAAAABACAAAAAqAQAAZHJzL2Uyb0Rv&#10;Yy54bWxQSwUGAAAAAAYABgBZAQAAkwUAAAAA&#10;">
                <v:fill on="f" focussize="0,0"/>
                <v:stroke color="#FF0000" joinstyle="miter"/>
                <v:imagedata o:title=""/>
                <o:lock v:ext="edit" aspectratio="f"/>
              </v:rect>
            </w:pict>
          </mc:Fallback>
        </mc:AlternateContent>
      </w:r>
      <w:r>
        <w:rPr>
          <w:rFonts w:hint="eastAsia" w:ascii="Times New Roman" w:hAnsi="Times New Roman" w:eastAsia="宋体" w:cs="Times New Roman"/>
          <w:color w:val="auto"/>
          <w:kern w:val="2"/>
          <w:sz w:val="24"/>
          <w:szCs w:val="20"/>
          <w:lang w:val="en-US" w:eastAsia="zh-CN"/>
        </w:rPr>
        <w:drawing>
          <wp:anchor distT="0" distB="0" distL="114300" distR="114300" simplePos="0" relativeHeight="251670528" behindDoc="0" locked="0" layoutInCell="1" allowOverlap="1">
            <wp:simplePos x="0" y="0"/>
            <wp:positionH relativeFrom="column">
              <wp:posOffset>7071360</wp:posOffset>
            </wp:positionH>
            <wp:positionV relativeFrom="paragraph">
              <wp:posOffset>17145</wp:posOffset>
            </wp:positionV>
            <wp:extent cx="416560" cy="725170"/>
            <wp:effectExtent l="0" t="0" r="2540" b="17780"/>
            <wp:wrapNone/>
            <wp:docPr id="3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3"/>
                    <pic:cNvPicPr>
                      <a:picLocks noChangeAspect="1"/>
                    </pic:cNvPicPr>
                  </pic:nvPicPr>
                  <pic:blipFill>
                    <a:blip r:embed="rId35"/>
                    <a:stretch>
                      <a:fillRect/>
                    </a:stretch>
                  </pic:blipFill>
                  <pic:spPr>
                    <a:xfrm>
                      <a:off x="0" y="0"/>
                      <a:ext cx="416560" cy="725170"/>
                    </a:xfrm>
                    <a:prstGeom prst="rect">
                      <a:avLst/>
                    </a:prstGeom>
                    <a:noFill/>
                    <a:ln>
                      <a:noFill/>
                    </a:ln>
                  </pic:spPr>
                </pic:pic>
              </a:graphicData>
            </a:graphic>
          </wp:anchor>
        </w:drawing>
      </w:r>
      <w:r>
        <w:rPr>
          <w:rFonts w:hint="eastAsia" w:ascii="Times New Roman" w:hAnsi="Times New Roman" w:eastAsia="宋体" w:cs="Times New Roman"/>
          <w:color w:val="auto"/>
          <w:kern w:val="2"/>
          <w:sz w:val="24"/>
          <w:szCs w:val="20"/>
        </w:rPr>
        <w:drawing>
          <wp:inline distT="0" distB="0" distL="114300" distR="114300">
            <wp:extent cx="6116320" cy="5387975"/>
            <wp:effectExtent l="9525" t="9525" r="27305" b="12700"/>
            <wp:docPr id="28"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5"/>
                    <pic:cNvPicPr>
                      <a:picLocks noChangeAspect="1"/>
                    </pic:cNvPicPr>
                  </pic:nvPicPr>
                  <pic:blipFill>
                    <a:blip r:embed="rId40"/>
                    <a:stretch>
                      <a:fillRect/>
                    </a:stretch>
                  </pic:blipFill>
                  <pic:spPr>
                    <a:xfrm>
                      <a:off x="0" y="0"/>
                      <a:ext cx="6116320" cy="5387975"/>
                    </a:xfrm>
                    <a:prstGeom prst="rect">
                      <a:avLst/>
                    </a:prstGeom>
                    <a:noFill/>
                    <a:ln>
                      <a:solidFill>
                        <a:schemeClr val="tx1"/>
                      </a:solidFill>
                    </a:ln>
                  </pic:spPr>
                </pic:pic>
              </a:graphicData>
            </a:graphic>
          </wp:inline>
        </w:drawing>
      </w:r>
    </w:p>
    <w:p w14:paraId="35FD6B29">
      <w:pPr>
        <w:widowControl w:val="0"/>
        <w:spacing w:line="240" w:lineRule="auto"/>
        <w:ind w:left="0" w:leftChars="0" w:firstLine="0" w:firstLineChars="0"/>
        <w:jc w:val="center"/>
        <w:outlineLvl w:val="9"/>
        <w:rPr>
          <w:rFonts w:hint="eastAsia" w:ascii="Times New Roman" w:hAnsi="Times New Roman" w:eastAsia="宋体" w:cs="Times New Roman"/>
          <w:color w:val="auto"/>
          <w:kern w:val="2"/>
          <w:sz w:val="24"/>
          <w:szCs w:val="20"/>
          <w:lang w:val="en-US" w:eastAsia="zh-CN"/>
        </w:rPr>
      </w:pPr>
    </w:p>
    <w:p w14:paraId="76F31E6E">
      <w:pPr>
        <w:keepNext/>
        <w:keepLines/>
        <w:pageBreakBefore w:val="0"/>
        <w:widowControl w:val="0"/>
        <w:kinsoku/>
        <w:wordWrap/>
        <w:overflowPunct/>
        <w:topLinePunct w:val="0"/>
        <w:autoSpaceDE/>
        <w:autoSpaceDN/>
        <w:bidi w:val="0"/>
        <w:adjustRightInd/>
        <w:snapToGrid/>
        <w:spacing w:before="0" w:beforeLines="0" w:after="0" w:afterLines="0" w:line="240" w:lineRule="auto"/>
        <w:jc w:val="both"/>
        <w:textAlignment w:val="auto"/>
        <w:outlineLvl w:val="1"/>
        <w:rPr>
          <w:rFonts w:hint="default" w:ascii="Times New Roman" w:hAnsi="Times New Roman" w:eastAsia="宋体" w:cs="Times New Roman"/>
          <w:b/>
          <w:bCs/>
          <w:snapToGrid w:val="0"/>
          <w:color w:val="auto"/>
          <w:spacing w:val="-6"/>
          <w:kern w:val="21"/>
          <w:sz w:val="24"/>
          <w:szCs w:val="24"/>
          <w:lang w:val="en-US" w:eastAsia="zh-CN"/>
        </w:rPr>
      </w:pPr>
      <w:r>
        <w:rPr>
          <w:rFonts w:hint="eastAsia" w:ascii="Times New Roman" w:hAnsi="Times New Roman" w:eastAsia="宋体" w:cs="Times New Roman"/>
          <w:b/>
          <w:bCs/>
          <w:snapToGrid w:val="0"/>
          <w:color w:val="auto"/>
          <w:spacing w:val="-6"/>
          <w:kern w:val="21"/>
          <w:sz w:val="32"/>
          <w:szCs w:val="24"/>
          <w:lang w:val="en-US" w:eastAsia="zh-CN"/>
        </w:rPr>
        <w:t>附图6：现场照片</w:t>
      </w:r>
      <w:r>
        <w:rPr>
          <w:rFonts w:hint="eastAsia" w:ascii="Times New Roman" w:hAnsi="Times New Roman" w:eastAsia="宋体" w:cs="Times New Roman"/>
          <w:b/>
          <w:bCs/>
          <w:snapToGrid w:val="0"/>
          <w:color w:val="auto"/>
          <w:spacing w:val="-6"/>
          <w:kern w:val="21"/>
          <w:sz w:val="24"/>
          <w:szCs w:val="24"/>
          <w:lang w:val="en-US" w:eastAsia="zh-CN"/>
        </w:rPr>
        <w:t xml:space="preserve"> </w:t>
      </w:r>
    </w:p>
    <w:tbl>
      <w:tblPr>
        <w:tblStyle w:val="57"/>
        <w:tblW w:w="144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36"/>
        <w:gridCol w:w="4837"/>
        <w:gridCol w:w="4775"/>
      </w:tblGrid>
      <w:tr w14:paraId="68C4A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3" w:hRule="atLeast"/>
        </w:trPr>
        <w:tc>
          <w:tcPr>
            <w:tcW w:w="4836" w:type="dxa"/>
            <w:noWrap w:val="0"/>
            <w:vAlign w:val="center"/>
          </w:tcPr>
          <w:p w14:paraId="1FF60C60">
            <w:pPr>
              <w:keepNext w:val="0"/>
              <w:keepLines w:val="0"/>
              <w:widowControl/>
              <w:suppressLineNumbers w:val="0"/>
              <w:snapToGrid w:val="0"/>
              <w:spacing w:before="60" w:beforeLines="0" w:beforeAutospacing="0" w:after="160" w:afterLines="0" w:afterAutospacing="0" w:line="240" w:lineRule="auto"/>
              <w:ind w:left="0" w:right="113"/>
              <w:jc w:val="center"/>
              <w:rPr>
                <w:rFonts w:hint="eastAsia" w:ascii="Times New Roman" w:hAnsi="Times New Roman" w:eastAsia="宋体" w:cs="Times New Roman"/>
                <w:color w:val="auto"/>
                <w:kern w:val="2"/>
                <w:sz w:val="18"/>
                <w:vertAlign w:val="baseline"/>
                <w:lang w:val="en-US" w:eastAsia="zh-CN"/>
              </w:rPr>
            </w:pPr>
            <w:r>
              <w:rPr>
                <w:rFonts w:hint="eastAsia" w:ascii="Times New Roman" w:hAnsi="Times New Roman" w:eastAsia="宋体" w:cs="Times New Roman"/>
                <w:color w:val="auto"/>
                <w:kern w:val="2"/>
                <w:sz w:val="18"/>
                <w:vertAlign w:val="baseline"/>
                <w:lang w:val="en-US" w:eastAsia="zh-CN"/>
              </w:rPr>
              <w:drawing>
                <wp:inline distT="0" distB="0" distL="114300" distR="114300">
                  <wp:extent cx="2913380" cy="2185035"/>
                  <wp:effectExtent l="0" t="0" r="1270" b="5715"/>
                  <wp:docPr id="117" name="图片 117" descr="af0a81fcc7ce187aa8c64d511494d6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af0a81fcc7ce187aa8c64d511494d6a5"/>
                          <pic:cNvPicPr>
                            <a:picLocks noChangeAspect="1"/>
                          </pic:cNvPicPr>
                        </pic:nvPicPr>
                        <pic:blipFill>
                          <a:blip r:embed="rId41"/>
                          <a:stretch>
                            <a:fillRect/>
                          </a:stretch>
                        </pic:blipFill>
                        <pic:spPr>
                          <a:xfrm>
                            <a:off x="0" y="0"/>
                            <a:ext cx="2913380" cy="2185035"/>
                          </a:xfrm>
                          <a:prstGeom prst="rect">
                            <a:avLst/>
                          </a:prstGeom>
                        </pic:spPr>
                      </pic:pic>
                    </a:graphicData>
                  </a:graphic>
                </wp:inline>
              </w:drawing>
            </w:r>
          </w:p>
        </w:tc>
        <w:tc>
          <w:tcPr>
            <w:tcW w:w="4837" w:type="dxa"/>
            <w:noWrap w:val="0"/>
            <w:vAlign w:val="center"/>
          </w:tcPr>
          <w:p w14:paraId="620D38FE">
            <w:pPr>
              <w:keepNext w:val="0"/>
              <w:keepLines w:val="0"/>
              <w:widowControl/>
              <w:suppressLineNumbers w:val="0"/>
              <w:snapToGrid w:val="0"/>
              <w:spacing w:before="60" w:beforeLines="0" w:beforeAutospacing="0" w:after="160" w:afterLines="0" w:afterAutospacing="0" w:line="240" w:lineRule="auto"/>
              <w:ind w:left="0" w:right="113"/>
              <w:jc w:val="both"/>
              <w:rPr>
                <w:rFonts w:hint="eastAsia" w:ascii="Times New Roman" w:hAnsi="Times New Roman" w:eastAsia="宋体" w:cs="Times New Roman"/>
                <w:color w:val="auto"/>
                <w:kern w:val="2"/>
                <w:sz w:val="18"/>
                <w:vertAlign w:val="baseline"/>
                <w:lang w:val="en-US" w:eastAsia="zh-CN"/>
              </w:rPr>
            </w:pPr>
            <w:r>
              <w:rPr>
                <w:rFonts w:hint="eastAsia" w:ascii="Times New Roman" w:hAnsi="Times New Roman" w:eastAsia="宋体" w:cs="Times New Roman"/>
                <w:color w:val="auto"/>
                <w:kern w:val="2"/>
                <w:sz w:val="18"/>
                <w:vertAlign w:val="baseline"/>
                <w:lang w:val="en-US" w:eastAsia="zh-CN"/>
              </w:rPr>
              <w:drawing>
                <wp:inline distT="0" distB="0" distL="114300" distR="114300">
                  <wp:extent cx="2913380" cy="2185035"/>
                  <wp:effectExtent l="0" t="0" r="0" b="0"/>
                  <wp:docPr id="120" name="图片 120" descr="166e15586f14bddb27b7ad26db264a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166e15586f14bddb27b7ad26db264ac2"/>
                          <pic:cNvPicPr>
                            <a:picLocks noChangeAspect="1"/>
                          </pic:cNvPicPr>
                        </pic:nvPicPr>
                        <pic:blipFill>
                          <a:blip r:embed="rId42"/>
                          <a:stretch>
                            <a:fillRect/>
                          </a:stretch>
                        </pic:blipFill>
                        <pic:spPr>
                          <a:xfrm>
                            <a:off x="0" y="0"/>
                            <a:ext cx="2913380" cy="2185035"/>
                          </a:xfrm>
                          <a:prstGeom prst="rect">
                            <a:avLst/>
                          </a:prstGeom>
                        </pic:spPr>
                      </pic:pic>
                    </a:graphicData>
                  </a:graphic>
                </wp:inline>
              </w:drawing>
            </w:r>
          </w:p>
        </w:tc>
        <w:tc>
          <w:tcPr>
            <w:tcW w:w="4775" w:type="dxa"/>
            <w:noWrap w:val="0"/>
            <w:vAlign w:val="center"/>
          </w:tcPr>
          <w:p w14:paraId="47EEA0D2">
            <w:pPr>
              <w:keepNext w:val="0"/>
              <w:keepLines w:val="0"/>
              <w:widowControl/>
              <w:suppressLineNumbers w:val="0"/>
              <w:snapToGrid w:val="0"/>
              <w:spacing w:before="60" w:beforeLines="0" w:beforeAutospacing="0" w:after="160" w:afterLines="0" w:afterAutospacing="0" w:line="240" w:lineRule="auto"/>
              <w:ind w:left="0" w:right="113"/>
              <w:jc w:val="center"/>
              <w:rPr>
                <w:rFonts w:hint="eastAsia" w:ascii="Times New Roman" w:hAnsi="Times New Roman" w:eastAsia="宋体" w:cs="Times New Roman"/>
                <w:color w:val="auto"/>
                <w:kern w:val="2"/>
                <w:sz w:val="18"/>
                <w:vertAlign w:val="baseline"/>
                <w:lang w:val="en-US" w:eastAsia="zh-CN"/>
              </w:rPr>
            </w:pPr>
            <w:r>
              <w:rPr>
                <w:rFonts w:hint="eastAsia" w:ascii="Times New Roman" w:hAnsi="Times New Roman" w:eastAsia="宋体" w:cs="Times New Roman"/>
                <w:color w:val="auto"/>
                <w:kern w:val="2"/>
                <w:sz w:val="18"/>
                <w:vertAlign w:val="baseline"/>
                <w:lang w:val="en-US" w:eastAsia="zh-CN"/>
              </w:rPr>
              <w:drawing>
                <wp:inline distT="0" distB="0" distL="114300" distR="114300">
                  <wp:extent cx="2861310" cy="2145665"/>
                  <wp:effectExtent l="0" t="0" r="15240" b="6985"/>
                  <wp:docPr id="119" name="图片 119" descr="9fe6f475b4d4069a1b67c36767194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9fe6f475b4d4069a1b67c36767194052"/>
                          <pic:cNvPicPr>
                            <a:picLocks noChangeAspect="1"/>
                          </pic:cNvPicPr>
                        </pic:nvPicPr>
                        <pic:blipFill>
                          <a:blip r:embed="rId43"/>
                          <a:stretch>
                            <a:fillRect/>
                          </a:stretch>
                        </pic:blipFill>
                        <pic:spPr>
                          <a:xfrm>
                            <a:off x="0" y="0"/>
                            <a:ext cx="2861310" cy="2145665"/>
                          </a:xfrm>
                          <a:prstGeom prst="rect">
                            <a:avLst/>
                          </a:prstGeom>
                        </pic:spPr>
                      </pic:pic>
                    </a:graphicData>
                  </a:graphic>
                </wp:inline>
              </w:drawing>
            </w:r>
          </w:p>
        </w:tc>
      </w:tr>
      <w:tr w14:paraId="78965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6" w:type="dxa"/>
            <w:noWrap w:val="0"/>
            <w:vAlign w:val="center"/>
          </w:tcPr>
          <w:p w14:paraId="0358B709">
            <w:pPr>
              <w:keepNext w:val="0"/>
              <w:keepLines w:val="0"/>
              <w:pageBreakBefore w:val="0"/>
              <w:widowControl/>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auto"/>
                <w:kern w:val="2"/>
                <w:sz w:val="18"/>
                <w:vertAlign w:val="baseline"/>
                <w:lang w:val="en-US" w:eastAsia="zh-CN"/>
              </w:rPr>
            </w:pPr>
            <w:r>
              <w:rPr>
                <w:rFonts w:hint="eastAsia" w:ascii="Times New Roman" w:hAnsi="Times New Roman" w:eastAsia="宋体" w:cs="Times New Roman"/>
                <w:color w:val="auto"/>
                <w:kern w:val="2"/>
                <w:sz w:val="18"/>
                <w:vertAlign w:val="baseline"/>
                <w:lang w:val="en-US" w:eastAsia="zh-CN"/>
              </w:rPr>
              <w:t>厂界西南侧空地</w:t>
            </w:r>
          </w:p>
        </w:tc>
        <w:tc>
          <w:tcPr>
            <w:tcW w:w="4837" w:type="dxa"/>
            <w:noWrap w:val="0"/>
            <w:vAlign w:val="center"/>
          </w:tcPr>
          <w:p w14:paraId="691F4A96">
            <w:pPr>
              <w:keepNext w:val="0"/>
              <w:keepLines w:val="0"/>
              <w:pageBreakBefore w:val="0"/>
              <w:widowControl/>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auto"/>
                <w:kern w:val="2"/>
                <w:sz w:val="18"/>
                <w:vertAlign w:val="baseline"/>
                <w:lang w:val="en-US" w:eastAsia="zh-CN"/>
              </w:rPr>
            </w:pPr>
            <w:r>
              <w:rPr>
                <w:rFonts w:hint="eastAsia" w:ascii="Times New Roman" w:hAnsi="Times New Roman" w:eastAsia="宋体" w:cs="Times New Roman"/>
                <w:color w:val="auto"/>
                <w:kern w:val="2"/>
                <w:sz w:val="18"/>
                <w:vertAlign w:val="baseline"/>
                <w:lang w:val="en-US" w:eastAsia="zh-CN"/>
              </w:rPr>
              <w:t>厂界东北侧闲置厂房</w:t>
            </w:r>
          </w:p>
        </w:tc>
        <w:tc>
          <w:tcPr>
            <w:tcW w:w="4775" w:type="dxa"/>
            <w:noWrap w:val="0"/>
            <w:vAlign w:val="center"/>
          </w:tcPr>
          <w:p w14:paraId="391CD877">
            <w:pPr>
              <w:keepNext w:val="0"/>
              <w:keepLines w:val="0"/>
              <w:pageBreakBefore w:val="0"/>
              <w:widowControl/>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auto"/>
                <w:kern w:val="2"/>
                <w:sz w:val="18"/>
                <w:vertAlign w:val="baseline"/>
                <w:lang w:val="en-US" w:eastAsia="zh-CN"/>
              </w:rPr>
            </w:pPr>
            <w:r>
              <w:rPr>
                <w:rFonts w:hint="eastAsia" w:ascii="Times New Roman" w:hAnsi="Times New Roman" w:eastAsia="宋体" w:cs="Times New Roman"/>
                <w:color w:val="auto"/>
                <w:kern w:val="2"/>
                <w:sz w:val="18"/>
                <w:vertAlign w:val="baseline"/>
                <w:lang w:val="en-US" w:eastAsia="zh-CN"/>
              </w:rPr>
              <w:t>厂界东南侧鸿源谷稻</w:t>
            </w:r>
          </w:p>
        </w:tc>
      </w:tr>
      <w:tr w14:paraId="13AD1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3" w:hRule="atLeast"/>
        </w:trPr>
        <w:tc>
          <w:tcPr>
            <w:tcW w:w="4836" w:type="dxa"/>
            <w:noWrap w:val="0"/>
            <w:vAlign w:val="center"/>
          </w:tcPr>
          <w:p w14:paraId="3667E37C">
            <w:pPr>
              <w:keepNext w:val="0"/>
              <w:keepLines w:val="0"/>
              <w:widowControl/>
              <w:suppressLineNumbers w:val="0"/>
              <w:snapToGrid w:val="0"/>
              <w:spacing w:before="60" w:beforeLines="0" w:beforeAutospacing="0" w:after="160" w:afterLines="0" w:afterAutospacing="0" w:line="240" w:lineRule="auto"/>
              <w:ind w:left="0" w:right="113"/>
              <w:jc w:val="both"/>
              <w:rPr>
                <w:rFonts w:hint="eastAsia" w:ascii="Times New Roman" w:hAnsi="Times New Roman" w:eastAsia="宋体" w:cs="Times New Roman"/>
                <w:color w:val="auto"/>
                <w:kern w:val="2"/>
                <w:sz w:val="18"/>
                <w:vertAlign w:val="baseline"/>
                <w:lang w:val="en-US" w:eastAsia="zh-CN"/>
              </w:rPr>
            </w:pPr>
            <w:r>
              <w:rPr>
                <w:rFonts w:hint="eastAsia" w:ascii="Times New Roman" w:hAnsi="Times New Roman" w:eastAsia="宋体" w:cs="Times New Roman"/>
                <w:color w:val="auto"/>
                <w:kern w:val="2"/>
                <w:sz w:val="18"/>
                <w:vertAlign w:val="baseline"/>
                <w:lang w:val="en-US" w:eastAsia="zh-CN"/>
              </w:rPr>
              <w:drawing>
                <wp:inline distT="0" distB="0" distL="114300" distR="114300">
                  <wp:extent cx="2926080" cy="2143125"/>
                  <wp:effectExtent l="0" t="0" r="0" b="0"/>
                  <wp:docPr id="121" name="图片 121" descr="512876e899f694ad197bf028c660b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512876e899f694ad197bf028c660b004"/>
                          <pic:cNvPicPr>
                            <a:picLocks noChangeAspect="1"/>
                          </pic:cNvPicPr>
                        </pic:nvPicPr>
                        <pic:blipFill>
                          <a:blip r:embed="rId44"/>
                          <a:srcRect t="29720" b="15348"/>
                          <a:stretch>
                            <a:fillRect/>
                          </a:stretch>
                        </pic:blipFill>
                        <pic:spPr>
                          <a:xfrm>
                            <a:off x="0" y="0"/>
                            <a:ext cx="2926080" cy="2143125"/>
                          </a:xfrm>
                          <a:prstGeom prst="rect">
                            <a:avLst/>
                          </a:prstGeom>
                        </pic:spPr>
                      </pic:pic>
                    </a:graphicData>
                  </a:graphic>
                </wp:inline>
              </w:drawing>
            </w:r>
          </w:p>
        </w:tc>
        <w:tc>
          <w:tcPr>
            <w:tcW w:w="4837" w:type="dxa"/>
            <w:noWrap w:val="0"/>
            <w:vAlign w:val="center"/>
          </w:tcPr>
          <w:p w14:paraId="42597901">
            <w:pPr>
              <w:keepNext w:val="0"/>
              <w:keepLines w:val="0"/>
              <w:widowControl/>
              <w:suppressLineNumbers w:val="0"/>
              <w:snapToGrid w:val="0"/>
              <w:spacing w:before="60" w:beforeLines="0" w:beforeAutospacing="0" w:after="160" w:afterLines="0" w:afterAutospacing="0" w:line="240" w:lineRule="auto"/>
              <w:ind w:left="0" w:right="113"/>
              <w:jc w:val="center"/>
              <w:rPr>
                <w:rFonts w:hint="eastAsia" w:ascii="Times New Roman" w:hAnsi="Times New Roman" w:eastAsia="宋体" w:cs="Times New Roman"/>
                <w:color w:val="auto"/>
                <w:kern w:val="2"/>
                <w:sz w:val="18"/>
                <w:vertAlign w:val="baseline"/>
                <w:lang w:val="en-US" w:eastAsia="zh-CN"/>
              </w:rPr>
            </w:pPr>
            <w:r>
              <w:rPr>
                <w:rFonts w:hint="eastAsia" w:ascii="Times New Roman" w:hAnsi="Times New Roman" w:eastAsia="宋体" w:cs="Times New Roman"/>
                <w:color w:val="auto"/>
                <w:kern w:val="2"/>
                <w:sz w:val="18"/>
                <w:vertAlign w:val="baseline"/>
                <w:lang w:val="en-US" w:eastAsia="zh-CN"/>
              </w:rPr>
              <w:drawing>
                <wp:inline distT="0" distB="0" distL="114300" distR="114300">
                  <wp:extent cx="2926080" cy="2181860"/>
                  <wp:effectExtent l="0" t="0" r="0" b="0"/>
                  <wp:docPr id="122" name="图片 122" descr="ca42156cd2fdcfc3b9fa58b94560d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ca42156cd2fdcfc3b9fa58b94560d740"/>
                          <pic:cNvPicPr>
                            <a:picLocks noChangeAspect="1"/>
                          </pic:cNvPicPr>
                        </pic:nvPicPr>
                        <pic:blipFill>
                          <a:blip r:embed="rId45"/>
                          <a:srcRect t="20996" b="23079"/>
                          <a:stretch>
                            <a:fillRect/>
                          </a:stretch>
                        </pic:blipFill>
                        <pic:spPr>
                          <a:xfrm>
                            <a:off x="0" y="0"/>
                            <a:ext cx="2926080" cy="2181860"/>
                          </a:xfrm>
                          <a:prstGeom prst="rect">
                            <a:avLst/>
                          </a:prstGeom>
                        </pic:spPr>
                      </pic:pic>
                    </a:graphicData>
                  </a:graphic>
                </wp:inline>
              </w:drawing>
            </w:r>
          </w:p>
        </w:tc>
        <w:tc>
          <w:tcPr>
            <w:tcW w:w="4775" w:type="dxa"/>
            <w:noWrap w:val="0"/>
            <w:vAlign w:val="center"/>
          </w:tcPr>
          <w:p w14:paraId="5D59C1C1">
            <w:pPr>
              <w:keepNext w:val="0"/>
              <w:keepLines w:val="0"/>
              <w:widowControl/>
              <w:suppressLineNumbers w:val="0"/>
              <w:snapToGrid w:val="0"/>
              <w:spacing w:before="60" w:beforeLines="0" w:beforeAutospacing="0" w:after="160" w:afterLines="0" w:afterAutospacing="0" w:line="240" w:lineRule="auto"/>
              <w:ind w:left="0" w:right="113"/>
              <w:jc w:val="both"/>
              <w:rPr>
                <w:rFonts w:hint="eastAsia" w:ascii="Times New Roman" w:hAnsi="Times New Roman" w:eastAsia="宋体" w:cs="Times New Roman"/>
                <w:color w:val="auto"/>
                <w:kern w:val="2"/>
                <w:sz w:val="18"/>
                <w:vertAlign w:val="baseline"/>
                <w:lang w:val="en-US" w:eastAsia="zh-CN"/>
              </w:rPr>
            </w:pPr>
            <w:r>
              <w:rPr>
                <w:rFonts w:hint="eastAsia" w:ascii="Times New Roman" w:hAnsi="Times New Roman" w:eastAsia="宋体" w:cs="Times New Roman"/>
                <w:color w:val="auto"/>
                <w:kern w:val="2"/>
                <w:sz w:val="18"/>
                <w:vertAlign w:val="baseline"/>
                <w:lang w:val="en-US" w:eastAsia="zh-CN"/>
              </w:rPr>
              <w:drawing>
                <wp:inline distT="0" distB="0" distL="114300" distR="114300">
                  <wp:extent cx="2861310" cy="2145665"/>
                  <wp:effectExtent l="0" t="0" r="15240" b="6985"/>
                  <wp:docPr id="123" name="图片 123" descr="f49723ee96093efcf25af661fe803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f49723ee96093efcf25af661fe803e21"/>
                          <pic:cNvPicPr>
                            <a:picLocks noChangeAspect="1"/>
                          </pic:cNvPicPr>
                        </pic:nvPicPr>
                        <pic:blipFill>
                          <a:blip r:embed="rId46"/>
                          <a:stretch>
                            <a:fillRect/>
                          </a:stretch>
                        </pic:blipFill>
                        <pic:spPr>
                          <a:xfrm>
                            <a:off x="0" y="0"/>
                            <a:ext cx="2861310" cy="2145665"/>
                          </a:xfrm>
                          <a:prstGeom prst="rect">
                            <a:avLst/>
                          </a:prstGeom>
                        </pic:spPr>
                      </pic:pic>
                    </a:graphicData>
                  </a:graphic>
                </wp:inline>
              </w:drawing>
            </w:r>
          </w:p>
        </w:tc>
      </w:tr>
      <w:tr w14:paraId="6ED35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6" w:type="dxa"/>
            <w:noWrap w:val="0"/>
            <w:vAlign w:val="center"/>
          </w:tcPr>
          <w:p w14:paraId="26D34CDA">
            <w:pPr>
              <w:keepNext w:val="0"/>
              <w:keepLines w:val="0"/>
              <w:pageBreakBefore w:val="0"/>
              <w:widowControl/>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auto"/>
                <w:kern w:val="2"/>
                <w:sz w:val="18"/>
                <w:vertAlign w:val="baseline"/>
                <w:lang w:val="en-US" w:eastAsia="zh-CN"/>
              </w:rPr>
            </w:pPr>
            <w:r>
              <w:rPr>
                <w:rFonts w:hint="eastAsia" w:ascii="Times New Roman" w:hAnsi="Times New Roman" w:eastAsia="宋体" w:cs="Times New Roman"/>
                <w:color w:val="auto"/>
                <w:kern w:val="2"/>
                <w:sz w:val="18"/>
                <w:vertAlign w:val="baseline"/>
                <w:lang w:val="en-US" w:eastAsia="zh-CN"/>
              </w:rPr>
              <w:t>厂界西北侧喜禽药业</w:t>
            </w:r>
          </w:p>
        </w:tc>
        <w:tc>
          <w:tcPr>
            <w:tcW w:w="4837" w:type="dxa"/>
            <w:noWrap w:val="0"/>
            <w:vAlign w:val="center"/>
          </w:tcPr>
          <w:p w14:paraId="72C7D752">
            <w:pPr>
              <w:keepNext w:val="0"/>
              <w:keepLines w:val="0"/>
              <w:pageBreakBefore w:val="0"/>
              <w:widowControl/>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auto"/>
                <w:kern w:val="2"/>
                <w:sz w:val="18"/>
                <w:vertAlign w:val="baseline"/>
                <w:lang w:val="en-US" w:eastAsia="zh-CN"/>
              </w:rPr>
            </w:pPr>
            <w:r>
              <w:rPr>
                <w:rFonts w:hint="eastAsia" w:ascii="Times New Roman" w:hAnsi="Times New Roman" w:eastAsia="宋体" w:cs="Times New Roman"/>
                <w:color w:val="auto"/>
                <w:kern w:val="2"/>
                <w:sz w:val="18"/>
                <w:vertAlign w:val="baseline"/>
                <w:lang w:val="en-US" w:eastAsia="zh-CN"/>
              </w:rPr>
              <w:t>厂区内现有闲置楼房</w:t>
            </w:r>
          </w:p>
        </w:tc>
        <w:tc>
          <w:tcPr>
            <w:tcW w:w="4775" w:type="dxa"/>
            <w:noWrap w:val="0"/>
            <w:vAlign w:val="center"/>
          </w:tcPr>
          <w:p w14:paraId="1A3A6965">
            <w:pPr>
              <w:keepNext w:val="0"/>
              <w:keepLines w:val="0"/>
              <w:pageBreakBefore w:val="0"/>
              <w:widowControl/>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auto"/>
                <w:kern w:val="2"/>
                <w:sz w:val="18"/>
                <w:vertAlign w:val="baseline"/>
                <w:lang w:val="en-US" w:eastAsia="zh-CN"/>
              </w:rPr>
            </w:pPr>
            <w:r>
              <w:rPr>
                <w:rFonts w:hint="eastAsia" w:ascii="Times New Roman" w:hAnsi="Times New Roman" w:eastAsia="宋体" w:cs="Times New Roman"/>
                <w:color w:val="auto"/>
                <w:kern w:val="2"/>
                <w:sz w:val="18"/>
                <w:vertAlign w:val="baseline"/>
                <w:lang w:val="en-US" w:eastAsia="zh-CN"/>
              </w:rPr>
              <w:t>厂区内现有生产车间及办公楼</w:t>
            </w:r>
          </w:p>
        </w:tc>
      </w:tr>
    </w:tbl>
    <w:p w14:paraId="1E5229B0">
      <w:pPr>
        <w:widowControl/>
        <w:snapToGrid w:val="0"/>
        <w:spacing w:before="60" w:beforeLines="0" w:after="160" w:afterLines="0" w:line="259" w:lineRule="auto"/>
        <w:ind w:right="113"/>
        <w:jc w:val="center"/>
        <w:rPr>
          <w:rFonts w:hint="eastAsia" w:ascii="Times New Roman" w:hAnsi="Times New Roman" w:eastAsia="宋体" w:cs="Times New Roman"/>
          <w:color w:val="auto"/>
          <w:kern w:val="2"/>
          <w:sz w:val="18"/>
          <w:lang w:val="en-US" w:eastAsia="zh-CN"/>
        </w:rPr>
      </w:pPr>
    </w:p>
    <w:p w14:paraId="64C66433">
      <w:pPr>
        <w:pStyle w:val="67"/>
        <w:rPr>
          <w:rFonts w:hint="eastAsia"/>
          <w:color w:val="auto"/>
          <w:lang w:val="en-US" w:eastAsia="zh-CN"/>
        </w:rPr>
        <w:sectPr>
          <w:pgSz w:w="16838" w:h="11906" w:orient="landscape"/>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p>
    <w:p w14:paraId="19813529">
      <w:pPr>
        <w:spacing w:line="240" w:lineRule="auto"/>
        <w:ind w:left="0" w:leftChars="0" w:right="0" w:rightChars="0" w:firstLine="0" w:firstLineChars="0"/>
        <w:jc w:val="left"/>
        <w:outlineLvl w:val="1"/>
        <w:rPr>
          <w:rFonts w:hint="default" w:ascii="Times New Roman" w:hAnsi="Times New Roman" w:eastAsia="宋体" w:cs="Times New Roman"/>
          <w:b/>
          <w:bCs/>
          <w:color w:val="auto"/>
          <w:kern w:val="2"/>
          <w:sz w:val="24"/>
          <w:szCs w:val="24"/>
          <w:lang w:val="en-US" w:eastAsia="zh-CN"/>
        </w:rPr>
      </w:pPr>
      <w:r>
        <w:rPr>
          <w:rFonts w:hint="eastAsia" w:ascii="Times New Roman" w:hAnsi="Times New Roman" w:eastAsia="宋体" w:cs="Times New Roman"/>
          <w:b/>
          <w:bCs/>
          <w:color w:val="auto"/>
          <w:kern w:val="2"/>
          <w:sz w:val="24"/>
          <w:szCs w:val="24"/>
          <w:lang w:val="en-US" w:eastAsia="zh-CN"/>
        </w:rPr>
        <w:t>附件1：营业执照</w:t>
      </w:r>
    </w:p>
    <w:p w14:paraId="2C3C4F1F">
      <w:pPr>
        <w:jc w:val="center"/>
        <w:rPr>
          <w:rFonts w:hint="default"/>
          <w:color w:val="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inline distT="0" distB="0" distL="114300" distR="114300">
            <wp:extent cx="8522335" cy="4793615"/>
            <wp:effectExtent l="0" t="0" r="12065" b="6985"/>
            <wp:docPr id="92" name="图片 92" descr="36622e14401c768de9a7bd7793c752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36622e14401c768de9a7bd7793c752b9"/>
                    <pic:cNvPicPr>
                      <a:picLocks noChangeAspect="1"/>
                    </pic:cNvPicPr>
                  </pic:nvPicPr>
                  <pic:blipFill>
                    <a:blip r:embed="rId47"/>
                    <a:stretch>
                      <a:fillRect/>
                    </a:stretch>
                  </pic:blipFill>
                  <pic:spPr>
                    <a:xfrm>
                      <a:off x="0" y="0"/>
                      <a:ext cx="8522335" cy="4793615"/>
                    </a:xfrm>
                    <a:prstGeom prst="rect">
                      <a:avLst/>
                    </a:prstGeom>
                  </pic:spPr>
                </pic:pic>
              </a:graphicData>
            </a:graphic>
          </wp:inline>
        </w:drawing>
      </w:r>
    </w:p>
    <w:p w14:paraId="2C6AFF5E">
      <w:pPr>
        <w:spacing w:line="240" w:lineRule="auto"/>
        <w:ind w:left="0" w:leftChars="0" w:right="0" w:rightChars="0" w:firstLine="0" w:firstLineChars="0"/>
        <w:jc w:val="left"/>
        <w:outlineLvl w:val="1"/>
        <w:rPr>
          <w:rFonts w:hint="default" w:ascii="Times New Roman" w:hAnsi="Times New Roman" w:eastAsia="宋体" w:cs="Times New Roman"/>
          <w:color w:val="auto"/>
          <w:kern w:val="2"/>
          <w:sz w:val="21"/>
          <w:szCs w:val="20"/>
          <w:lang w:val="en-US" w:eastAsia="zh-CN"/>
        </w:rPr>
      </w:pPr>
      <w:r>
        <w:rPr>
          <w:rFonts w:hint="eastAsia" w:ascii="Times New Roman" w:hAnsi="Times New Roman" w:eastAsia="宋体" w:cs="Times New Roman"/>
          <w:b/>
          <w:bCs/>
          <w:color w:val="auto"/>
          <w:kern w:val="2"/>
          <w:sz w:val="24"/>
          <w:szCs w:val="24"/>
          <w:lang w:val="en-US" w:eastAsia="zh-CN"/>
        </w:rPr>
        <w:t>附件2：</w:t>
      </w:r>
      <w:r>
        <w:rPr>
          <w:rFonts w:hint="eastAsia" w:cs="Times New Roman"/>
          <w:b/>
          <w:bCs/>
          <w:color w:val="auto"/>
          <w:kern w:val="2"/>
          <w:sz w:val="24"/>
          <w:szCs w:val="24"/>
          <w:lang w:val="en-US" w:eastAsia="zh-CN"/>
        </w:rPr>
        <w:t>土地</w:t>
      </w:r>
      <w:r>
        <w:rPr>
          <w:rFonts w:hint="eastAsia" w:ascii="Times New Roman" w:hAnsi="Times New Roman" w:eastAsia="宋体" w:cs="Times New Roman"/>
          <w:b/>
          <w:bCs/>
          <w:color w:val="auto"/>
          <w:kern w:val="2"/>
          <w:sz w:val="24"/>
          <w:szCs w:val="24"/>
          <w:lang w:val="en-US" w:eastAsia="zh-CN"/>
        </w:rPr>
        <w:t>证</w:t>
      </w:r>
    </w:p>
    <w:p w14:paraId="384F799A">
      <w:pPr>
        <w:spacing w:line="240" w:lineRule="auto"/>
        <w:jc w:val="center"/>
        <w:rPr>
          <w:rFonts w:hint="eastAsia" w:ascii="Times New Roman" w:hAnsi="Times New Roman" w:eastAsia="宋体" w:cs="Times New Roman"/>
          <w:color w:val="auto"/>
          <w:kern w:val="2"/>
          <w:sz w:val="21"/>
          <w:szCs w:val="20"/>
          <w:lang w:val="en-US" w:eastAsia="zh-CN"/>
        </w:rPr>
      </w:pPr>
      <w:r>
        <w:rPr>
          <w:rFonts w:hint="eastAsia" w:ascii="Times New Roman" w:hAnsi="Times New Roman" w:eastAsia="宋体" w:cs="Times New Roman"/>
          <w:color w:val="auto"/>
          <w:kern w:val="2"/>
          <w:sz w:val="21"/>
          <w:szCs w:val="20"/>
          <w:lang w:val="en-US" w:eastAsia="zh-CN"/>
        </w:rPr>
        <w:drawing>
          <wp:inline distT="0" distB="0" distL="114300" distR="114300">
            <wp:extent cx="6899275" cy="5175250"/>
            <wp:effectExtent l="0" t="0" r="15875" b="6350"/>
            <wp:docPr id="93" name="图片 93" descr="b7b1103c91c791918b2c0d5c3c03d2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b7b1103c91c791918b2c0d5c3c03d2e3"/>
                    <pic:cNvPicPr>
                      <a:picLocks noChangeAspect="1"/>
                    </pic:cNvPicPr>
                  </pic:nvPicPr>
                  <pic:blipFill>
                    <a:blip r:embed="rId48"/>
                    <a:stretch>
                      <a:fillRect/>
                    </a:stretch>
                  </pic:blipFill>
                  <pic:spPr>
                    <a:xfrm>
                      <a:off x="0" y="0"/>
                      <a:ext cx="6899275" cy="5175250"/>
                    </a:xfrm>
                    <a:prstGeom prst="rect">
                      <a:avLst/>
                    </a:prstGeom>
                  </pic:spPr>
                </pic:pic>
              </a:graphicData>
            </a:graphic>
          </wp:inline>
        </w:drawing>
      </w:r>
      <w:r>
        <w:rPr>
          <w:rFonts w:hint="eastAsia" w:ascii="Times New Roman" w:hAnsi="Times New Roman" w:eastAsia="宋体" w:cs="Times New Roman"/>
          <w:color w:val="auto"/>
          <w:kern w:val="2"/>
          <w:sz w:val="21"/>
          <w:szCs w:val="20"/>
          <w:lang w:val="en-US" w:eastAsia="zh-CN"/>
        </w:rPr>
        <w:drawing>
          <wp:inline distT="0" distB="0" distL="114300" distR="114300">
            <wp:extent cx="4204335" cy="5605780"/>
            <wp:effectExtent l="0" t="0" r="5715" b="13970"/>
            <wp:docPr id="94" name="图片 94" descr="ab33ca0a09499ab84150547a8d968a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ab33ca0a09499ab84150547a8d968af5"/>
                    <pic:cNvPicPr>
                      <a:picLocks noChangeAspect="1"/>
                    </pic:cNvPicPr>
                  </pic:nvPicPr>
                  <pic:blipFill>
                    <a:blip r:embed="rId49"/>
                    <a:stretch>
                      <a:fillRect/>
                    </a:stretch>
                  </pic:blipFill>
                  <pic:spPr>
                    <a:xfrm>
                      <a:off x="0" y="0"/>
                      <a:ext cx="4204335" cy="5605780"/>
                    </a:xfrm>
                    <a:prstGeom prst="rect">
                      <a:avLst/>
                    </a:prstGeom>
                  </pic:spPr>
                </pic:pic>
              </a:graphicData>
            </a:graphic>
          </wp:inline>
        </w:drawing>
      </w:r>
    </w:p>
    <w:p w14:paraId="3F018492">
      <w:pPr>
        <w:rPr>
          <w:rFonts w:hint="eastAsia"/>
          <w:color w:val="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27C89BB0">
      <w:pPr>
        <w:pStyle w:val="68"/>
        <w:spacing w:line="240" w:lineRule="auto"/>
        <w:outlineLvl w:val="1"/>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附件3：检测报告</w:t>
      </w:r>
    </w:p>
    <w:p w14:paraId="29093C13">
      <w:pPr>
        <w:spacing w:line="240" w:lineRule="auto"/>
        <w:jc w:val="both"/>
        <w:rPr>
          <w:rFonts w:hint="eastAsia" w:ascii="Times New Roman" w:hAnsi="Times New Roman" w:eastAsia="宋体" w:cs="Times New Roman"/>
          <w:b/>
          <w:bCs/>
          <w:color w:val="auto"/>
          <w:kern w:val="2"/>
          <w:sz w:val="21"/>
          <w:szCs w:val="20"/>
          <w:lang w:val="en-US" w:eastAsia="zh-CN"/>
        </w:rPr>
      </w:pPr>
      <w:r>
        <w:rPr>
          <w:color w:val="auto"/>
        </w:rPr>
        <w:drawing>
          <wp:inline distT="0" distB="0" distL="114300" distR="114300">
            <wp:extent cx="5420995" cy="7738110"/>
            <wp:effectExtent l="0" t="0" r="8255" b="15240"/>
            <wp:docPr id="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pic:cNvPicPr>
                      <a:picLocks noChangeAspect="1"/>
                    </pic:cNvPicPr>
                  </pic:nvPicPr>
                  <pic:blipFill>
                    <a:blip r:embed="rId50"/>
                    <a:stretch>
                      <a:fillRect/>
                    </a:stretch>
                  </pic:blipFill>
                  <pic:spPr>
                    <a:xfrm>
                      <a:off x="0" y="0"/>
                      <a:ext cx="5420995" cy="7738110"/>
                    </a:xfrm>
                    <a:prstGeom prst="rect">
                      <a:avLst/>
                    </a:prstGeom>
                    <a:noFill/>
                    <a:ln>
                      <a:noFill/>
                    </a:ln>
                  </pic:spPr>
                </pic:pic>
              </a:graphicData>
            </a:graphic>
          </wp:inline>
        </w:drawing>
      </w:r>
    </w:p>
    <w:p w14:paraId="127AEE38">
      <w:pPr>
        <w:widowControl/>
        <w:snapToGrid w:val="0"/>
        <w:spacing w:before="60" w:beforeLines="0" w:after="160" w:afterLines="0" w:line="259" w:lineRule="auto"/>
        <w:ind w:right="113"/>
        <w:jc w:val="both"/>
        <w:rPr>
          <w:rFonts w:hint="eastAsia" w:ascii="Times New Roman" w:hAnsi="Times New Roman" w:eastAsia="宋体" w:cs="Times New Roman"/>
          <w:b/>
          <w:bCs/>
          <w:color w:val="auto"/>
          <w:kern w:val="2"/>
          <w:sz w:val="18"/>
          <w:lang w:val="en-US" w:eastAsia="zh-CN"/>
        </w:rPr>
      </w:pPr>
      <w:r>
        <w:rPr>
          <w:color w:val="auto"/>
        </w:rPr>
        <w:drawing>
          <wp:inline distT="0" distB="0" distL="114300" distR="114300">
            <wp:extent cx="5610860" cy="8006715"/>
            <wp:effectExtent l="0" t="0" r="8890" b="13335"/>
            <wp:docPr id="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
                    <pic:cNvPicPr>
                      <a:picLocks noChangeAspect="1"/>
                    </pic:cNvPicPr>
                  </pic:nvPicPr>
                  <pic:blipFill>
                    <a:blip r:embed="rId51"/>
                    <a:stretch>
                      <a:fillRect/>
                    </a:stretch>
                  </pic:blipFill>
                  <pic:spPr>
                    <a:xfrm>
                      <a:off x="0" y="0"/>
                      <a:ext cx="5610860" cy="8006715"/>
                    </a:xfrm>
                    <a:prstGeom prst="rect">
                      <a:avLst/>
                    </a:prstGeom>
                    <a:noFill/>
                    <a:ln>
                      <a:noFill/>
                    </a:ln>
                  </pic:spPr>
                </pic:pic>
              </a:graphicData>
            </a:graphic>
          </wp:inline>
        </w:drawing>
      </w:r>
      <w:r>
        <w:rPr>
          <w:color w:val="auto"/>
        </w:rPr>
        <w:drawing>
          <wp:inline distT="0" distB="0" distL="114300" distR="114300">
            <wp:extent cx="5612765" cy="8011160"/>
            <wp:effectExtent l="0" t="0" r="6985" b="8890"/>
            <wp:docPr id="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
                    <pic:cNvPicPr>
                      <a:picLocks noChangeAspect="1"/>
                    </pic:cNvPicPr>
                  </pic:nvPicPr>
                  <pic:blipFill>
                    <a:blip r:embed="rId52"/>
                    <a:stretch>
                      <a:fillRect/>
                    </a:stretch>
                  </pic:blipFill>
                  <pic:spPr>
                    <a:xfrm rot="10800000">
                      <a:off x="0" y="0"/>
                      <a:ext cx="5612765" cy="8011160"/>
                    </a:xfrm>
                    <a:prstGeom prst="rect">
                      <a:avLst/>
                    </a:prstGeom>
                    <a:noFill/>
                    <a:ln>
                      <a:noFill/>
                    </a:ln>
                  </pic:spPr>
                </pic:pic>
              </a:graphicData>
            </a:graphic>
          </wp:inline>
        </w:drawing>
      </w:r>
      <w:r>
        <w:rPr>
          <w:color w:val="auto"/>
        </w:rPr>
        <w:drawing>
          <wp:inline distT="0" distB="0" distL="114300" distR="114300">
            <wp:extent cx="5612765" cy="8025130"/>
            <wp:effectExtent l="0" t="0" r="6985" b="13970"/>
            <wp:docPr id="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
                    <pic:cNvPicPr>
                      <a:picLocks noChangeAspect="1"/>
                    </pic:cNvPicPr>
                  </pic:nvPicPr>
                  <pic:blipFill>
                    <a:blip r:embed="rId53"/>
                    <a:stretch>
                      <a:fillRect/>
                    </a:stretch>
                  </pic:blipFill>
                  <pic:spPr>
                    <a:xfrm>
                      <a:off x="0" y="0"/>
                      <a:ext cx="5612765" cy="8025130"/>
                    </a:xfrm>
                    <a:prstGeom prst="rect">
                      <a:avLst/>
                    </a:prstGeom>
                    <a:noFill/>
                    <a:ln>
                      <a:noFill/>
                    </a:ln>
                  </pic:spPr>
                </pic:pic>
              </a:graphicData>
            </a:graphic>
          </wp:inline>
        </w:drawing>
      </w:r>
    </w:p>
    <w:p w14:paraId="5295DE8F">
      <w:pPr>
        <w:pStyle w:val="67"/>
        <w:spacing w:line="240" w:lineRule="auto"/>
        <w:rPr>
          <w:rFonts w:hint="eastAsia"/>
          <w:color w:val="auto"/>
          <w:lang w:val="en-US" w:eastAsia="zh-CN"/>
        </w:rPr>
      </w:pPr>
    </w:p>
    <w:p w14:paraId="02CED4AF">
      <w:pPr>
        <w:rPr>
          <w:rFonts w:hint="eastAsia" w:ascii="Times New Roman" w:hAnsi="Times New Roman" w:eastAsia="宋体" w:cs="Times New Roman"/>
          <w:b/>
          <w:bCs/>
          <w:color w:val="auto"/>
          <w:kern w:val="2"/>
          <w:sz w:val="24"/>
          <w:szCs w:val="24"/>
          <w:lang w:val="en-US" w:eastAsia="zh-CN"/>
        </w:rPr>
      </w:pPr>
      <w:r>
        <w:rPr>
          <w:rFonts w:hint="eastAsia" w:ascii="Times New Roman" w:hAnsi="Times New Roman" w:eastAsia="宋体" w:cs="Times New Roman"/>
          <w:b/>
          <w:bCs/>
          <w:color w:val="auto"/>
          <w:kern w:val="2"/>
          <w:sz w:val="24"/>
          <w:szCs w:val="24"/>
          <w:lang w:val="en-US" w:eastAsia="zh-CN"/>
        </w:rPr>
        <w:br w:type="page"/>
      </w:r>
    </w:p>
    <w:p w14:paraId="6C76C174">
      <w:pPr>
        <w:spacing w:line="240" w:lineRule="auto"/>
        <w:ind w:left="0" w:leftChars="0" w:right="0" w:rightChars="0" w:firstLine="0" w:firstLineChars="0"/>
        <w:jc w:val="left"/>
        <w:outlineLvl w:val="1"/>
        <w:rPr>
          <w:rFonts w:hint="default" w:ascii="Times New Roman" w:hAnsi="Times New Roman" w:eastAsia="宋体" w:cs="Times New Roman"/>
          <w:b/>
          <w:bCs/>
          <w:color w:val="auto"/>
          <w:kern w:val="2"/>
          <w:sz w:val="24"/>
          <w:szCs w:val="24"/>
          <w:lang w:val="en-US" w:eastAsia="zh-CN"/>
        </w:rPr>
      </w:pPr>
      <w:r>
        <w:rPr>
          <w:rFonts w:hint="eastAsia" w:ascii="Times New Roman" w:hAnsi="Times New Roman" w:eastAsia="宋体" w:cs="Times New Roman"/>
          <w:b/>
          <w:bCs/>
          <w:color w:val="auto"/>
          <w:kern w:val="2"/>
          <w:sz w:val="24"/>
          <w:szCs w:val="24"/>
          <w:lang w:val="en-US" w:eastAsia="zh-CN"/>
        </w:rPr>
        <w:t>附件4：企业投资项目备案承诺书</w:t>
      </w:r>
    </w:p>
    <w:p w14:paraId="790F55C4">
      <w:pPr>
        <w:spacing w:line="240" w:lineRule="auto"/>
        <w:jc w:val="both"/>
        <w:outlineLvl w:val="9"/>
        <w:rPr>
          <w:rFonts w:hint="default" w:ascii="Times New Roman" w:hAnsi="Times New Roman" w:eastAsia="宋体" w:cs="Times New Roman"/>
          <w:color w:val="auto"/>
          <w:kern w:val="2"/>
          <w:sz w:val="21"/>
          <w:szCs w:val="20"/>
          <w:lang w:val="en-US" w:eastAsia="zh-CN"/>
        </w:rPr>
      </w:pPr>
      <w:r>
        <w:rPr>
          <w:rFonts w:hint="default" w:ascii="Times New Roman" w:hAnsi="Times New Roman" w:eastAsia="宋体" w:cs="Times New Roman"/>
          <w:color w:val="auto"/>
          <w:kern w:val="2"/>
          <w:sz w:val="21"/>
          <w:szCs w:val="20"/>
          <w:lang w:val="en-US" w:eastAsia="zh-CN"/>
        </w:rPr>
        <w:drawing>
          <wp:inline distT="0" distB="0" distL="114300" distR="114300">
            <wp:extent cx="5612765" cy="7626985"/>
            <wp:effectExtent l="0" t="0" r="0" b="0"/>
            <wp:docPr id="3" name="图片 3" descr="a4a0b67894eed2734408cd187fdcc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a4a0b67894eed2734408cd187fdcc120"/>
                    <pic:cNvPicPr>
                      <a:picLocks noChangeAspect="1"/>
                    </pic:cNvPicPr>
                  </pic:nvPicPr>
                  <pic:blipFill>
                    <a:blip r:embed="rId54"/>
                    <a:srcRect t="3958"/>
                    <a:stretch>
                      <a:fillRect/>
                    </a:stretch>
                  </pic:blipFill>
                  <pic:spPr>
                    <a:xfrm>
                      <a:off x="0" y="0"/>
                      <a:ext cx="5612765" cy="7626985"/>
                    </a:xfrm>
                    <a:prstGeom prst="rect">
                      <a:avLst/>
                    </a:prstGeom>
                  </pic:spPr>
                </pic:pic>
              </a:graphicData>
            </a:graphic>
          </wp:inline>
        </w:drawing>
      </w:r>
    </w:p>
    <w:p w14:paraId="20047850">
      <w:pPr>
        <w:spacing w:line="240" w:lineRule="auto"/>
        <w:ind w:left="0" w:leftChars="0" w:right="0" w:rightChars="0" w:firstLine="0" w:firstLineChars="0"/>
        <w:jc w:val="left"/>
        <w:outlineLvl w:val="1"/>
        <w:rPr>
          <w:rFonts w:hint="default" w:ascii="Times New Roman" w:hAnsi="Times New Roman" w:eastAsia="宋体" w:cs="Times New Roman"/>
          <w:b/>
          <w:bCs/>
          <w:color w:val="auto"/>
          <w:kern w:val="2"/>
          <w:sz w:val="24"/>
          <w:szCs w:val="24"/>
          <w:lang w:val="en-US" w:eastAsia="zh-CN"/>
        </w:rPr>
      </w:pPr>
      <w:r>
        <w:rPr>
          <w:rFonts w:hint="default" w:ascii="Times New Roman" w:hAnsi="Times New Roman" w:eastAsia="宋体" w:cs="Times New Roman"/>
          <w:color w:val="auto"/>
          <w:kern w:val="2"/>
          <w:sz w:val="21"/>
          <w:szCs w:val="20"/>
          <w:lang w:val="en-US" w:eastAsia="zh-CN"/>
        </w:rPr>
        <w:br w:type="page"/>
      </w:r>
      <w:r>
        <w:rPr>
          <w:rFonts w:hint="eastAsia" w:ascii="Times New Roman" w:hAnsi="Times New Roman" w:eastAsia="宋体" w:cs="Times New Roman"/>
          <w:b/>
          <w:bCs/>
          <w:color w:val="auto"/>
          <w:kern w:val="2"/>
          <w:sz w:val="24"/>
          <w:szCs w:val="24"/>
          <w:lang w:val="en-US" w:eastAsia="zh-CN"/>
        </w:rPr>
        <w:t>附件5：高速、快速列车制动盘生产线建设项目环评批复</w:t>
      </w:r>
    </w:p>
    <w:p w14:paraId="0B4BCB27">
      <w:pPr>
        <w:spacing w:line="240" w:lineRule="auto"/>
        <w:jc w:val="both"/>
        <w:outlineLvl w:val="9"/>
        <w:rPr>
          <w:rFonts w:hint="default" w:ascii="Times New Roman" w:hAnsi="Times New Roman" w:eastAsia="宋体" w:cs="Times New Roman"/>
          <w:color w:val="auto"/>
          <w:kern w:val="2"/>
          <w:sz w:val="21"/>
          <w:szCs w:val="20"/>
          <w:lang w:val="en-US" w:eastAsia="zh-CN"/>
        </w:rPr>
      </w:pPr>
      <w:r>
        <w:rPr>
          <w:rFonts w:hint="default" w:ascii="Times New Roman" w:hAnsi="Times New Roman" w:eastAsia="宋体" w:cs="Times New Roman"/>
          <w:color w:val="auto"/>
          <w:kern w:val="2"/>
          <w:sz w:val="21"/>
          <w:szCs w:val="20"/>
          <w:lang w:val="en-US" w:eastAsia="zh-CN"/>
        </w:rPr>
        <w:drawing>
          <wp:inline distT="0" distB="0" distL="114300" distR="114300">
            <wp:extent cx="5553075" cy="7839075"/>
            <wp:effectExtent l="0" t="0" r="9525" b="9525"/>
            <wp:docPr id="101"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26"/>
                    <pic:cNvPicPr>
                      <a:picLocks noChangeAspect="1"/>
                    </pic:cNvPicPr>
                  </pic:nvPicPr>
                  <pic:blipFill>
                    <a:blip r:embed="rId55"/>
                    <a:stretch>
                      <a:fillRect/>
                    </a:stretch>
                  </pic:blipFill>
                  <pic:spPr>
                    <a:xfrm>
                      <a:off x="0" y="0"/>
                      <a:ext cx="5553075" cy="7839075"/>
                    </a:xfrm>
                    <a:prstGeom prst="rect">
                      <a:avLst/>
                    </a:prstGeom>
                    <a:noFill/>
                    <a:ln>
                      <a:noFill/>
                    </a:ln>
                  </pic:spPr>
                </pic:pic>
              </a:graphicData>
            </a:graphic>
          </wp:inline>
        </w:drawing>
      </w:r>
    </w:p>
    <w:p w14:paraId="5932F75F">
      <w:pPr>
        <w:spacing w:line="240" w:lineRule="auto"/>
        <w:jc w:val="center"/>
        <w:outlineLvl w:val="9"/>
        <w:rPr>
          <w:color w:val="auto"/>
        </w:rPr>
      </w:pPr>
      <w:r>
        <w:rPr>
          <w:color w:val="auto"/>
        </w:rPr>
        <w:drawing>
          <wp:inline distT="0" distB="0" distL="114300" distR="114300">
            <wp:extent cx="635" cy="0"/>
            <wp:effectExtent l="0" t="0" r="0" b="0"/>
            <wp:docPr id="97"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22"/>
                    <pic:cNvPicPr>
                      <a:picLocks noChangeAspect="1"/>
                    </pic:cNvPicPr>
                  </pic:nvPicPr>
                  <pic:blipFill>
                    <a:blip r:embed="rId56"/>
                    <a:stretch>
                      <a:fillRect/>
                    </a:stretch>
                  </pic:blipFill>
                  <pic:spPr>
                    <a:xfrm>
                      <a:off x="0" y="0"/>
                      <a:ext cx="635" cy="0"/>
                    </a:xfrm>
                    <a:prstGeom prst="rect">
                      <a:avLst/>
                    </a:prstGeom>
                    <a:noFill/>
                    <a:ln>
                      <a:noFill/>
                    </a:ln>
                  </pic:spPr>
                </pic:pic>
              </a:graphicData>
            </a:graphic>
          </wp:inline>
        </w:drawing>
      </w:r>
      <w:r>
        <w:rPr>
          <w:color w:val="auto"/>
        </w:rPr>
        <w:drawing>
          <wp:inline distT="0" distB="0" distL="114300" distR="114300">
            <wp:extent cx="5543550" cy="7858125"/>
            <wp:effectExtent l="0" t="0" r="0" b="9525"/>
            <wp:docPr id="102"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27"/>
                    <pic:cNvPicPr>
                      <a:picLocks noChangeAspect="1"/>
                    </pic:cNvPicPr>
                  </pic:nvPicPr>
                  <pic:blipFill>
                    <a:blip r:embed="rId57"/>
                    <a:stretch>
                      <a:fillRect/>
                    </a:stretch>
                  </pic:blipFill>
                  <pic:spPr>
                    <a:xfrm>
                      <a:off x="0" y="0"/>
                      <a:ext cx="5543550" cy="7858125"/>
                    </a:xfrm>
                    <a:prstGeom prst="rect">
                      <a:avLst/>
                    </a:prstGeom>
                    <a:noFill/>
                    <a:ln>
                      <a:noFill/>
                    </a:ln>
                  </pic:spPr>
                </pic:pic>
              </a:graphicData>
            </a:graphic>
          </wp:inline>
        </w:drawing>
      </w:r>
      <w:r>
        <w:rPr>
          <w:color w:val="auto"/>
        </w:rPr>
        <w:drawing>
          <wp:inline distT="0" distB="0" distL="114300" distR="114300">
            <wp:extent cx="5581650" cy="7848600"/>
            <wp:effectExtent l="0" t="0" r="0" b="0"/>
            <wp:docPr id="103"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28"/>
                    <pic:cNvPicPr>
                      <a:picLocks noChangeAspect="1"/>
                    </pic:cNvPicPr>
                  </pic:nvPicPr>
                  <pic:blipFill>
                    <a:blip r:embed="rId58"/>
                    <a:stretch>
                      <a:fillRect/>
                    </a:stretch>
                  </pic:blipFill>
                  <pic:spPr>
                    <a:xfrm>
                      <a:off x="0" y="0"/>
                      <a:ext cx="5581650" cy="7848600"/>
                    </a:xfrm>
                    <a:prstGeom prst="rect">
                      <a:avLst/>
                    </a:prstGeom>
                    <a:noFill/>
                    <a:ln>
                      <a:noFill/>
                    </a:ln>
                  </pic:spPr>
                </pic:pic>
              </a:graphicData>
            </a:graphic>
          </wp:inline>
        </w:drawing>
      </w:r>
    </w:p>
    <w:p w14:paraId="7B84D502">
      <w:pPr>
        <w:spacing w:line="240" w:lineRule="auto"/>
        <w:jc w:val="center"/>
        <w:outlineLvl w:val="9"/>
        <w:rPr>
          <w:color w:val="auto"/>
        </w:rPr>
      </w:pPr>
    </w:p>
    <w:p w14:paraId="2C457346">
      <w:pPr>
        <w:spacing w:line="240" w:lineRule="auto"/>
        <w:jc w:val="center"/>
        <w:outlineLvl w:val="9"/>
        <w:rPr>
          <w:color w:val="auto"/>
        </w:rPr>
      </w:pPr>
    </w:p>
    <w:p w14:paraId="6829EBF0">
      <w:pPr>
        <w:spacing w:line="240" w:lineRule="auto"/>
        <w:jc w:val="center"/>
        <w:outlineLvl w:val="9"/>
        <w:rPr>
          <w:color w:val="auto"/>
        </w:rPr>
      </w:pPr>
    </w:p>
    <w:p w14:paraId="4FC991E8">
      <w:pPr>
        <w:spacing w:line="240" w:lineRule="auto"/>
        <w:jc w:val="center"/>
        <w:outlineLvl w:val="9"/>
        <w:rPr>
          <w:color w:val="auto"/>
        </w:rPr>
      </w:pPr>
    </w:p>
    <w:p w14:paraId="0FE5CA24">
      <w:pPr>
        <w:keepNext w:val="0"/>
        <w:keepLines w:val="0"/>
        <w:pageBreakBefore w:val="0"/>
        <w:widowControl w:val="0"/>
        <w:kinsoku/>
        <w:wordWrap/>
        <w:overflowPunct/>
        <w:topLinePunct w:val="0"/>
        <w:autoSpaceDE/>
        <w:autoSpaceDN/>
        <w:bidi w:val="0"/>
        <w:adjustRightInd/>
        <w:snapToGrid/>
        <w:spacing w:after="0" w:afterLines="0" w:line="480" w:lineRule="exact"/>
        <w:ind w:left="0" w:leftChars="0" w:right="0" w:firstLine="0" w:firstLineChars="0"/>
        <w:jc w:val="both"/>
        <w:textAlignment w:val="auto"/>
        <w:outlineLvl w:val="1"/>
        <w:rPr>
          <w:rFonts w:hint="default" w:ascii="Times New Roman" w:hAnsi="Times New Roman" w:eastAsia="宋体" w:cs="Times New Roman"/>
          <w:b/>
          <w:bCs/>
          <w:smallCaps w:val="0"/>
          <w:color w:val="auto"/>
          <w:spacing w:val="0"/>
          <w:kern w:val="2"/>
          <w:sz w:val="24"/>
          <w:szCs w:val="24"/>
          <w:highlight w:val="none"/>
          <w:lang w:val="en-US" w:eastAsia="zh-CN"/>
        </w:rPr>
      </w:pPr>
      <w:r>
        <w:rPr>
          <w:rFonts w:hint="eastAsia" w:ascii="Times New Roman" w:hAnsi="Times New Roman" w:eastAsia="宋体" w:cs="Times New Roman"/>
          <w:b/>
          <w:bCs/>
          <w:smallCaps w:val="0"/>
          <w:color w:val="auto"/>
          <w:spacing w:val="0"/>
          <w:kern w:val="2"/>
          <w:sz w:val="24"/>
          <w:szCs w:val="24"/>
          <w:highlight w:val="none"/>
          <w:lang w:val="en-US" w:eastAsia="zh-CN"/>
        </w:rPr>
        <w:t>附件6：总量计算说明</w:t>
      </w:r>
    </w:p>
    <w:p w14:paraId="0EAD7E86">
      <w:pPr>
        <w:spacing w:line="500" w:lineRule="exact"/>
        <w:ind w:firstLine="562" w:firstLineChars="200"/>
        <w:jc w:val="center"/>
        <w:rPr>
          <w:rFonts w:hint="default" w:ascii="宋体" w:hAnsi="宋体" w:eastAsia="宋体" w:cs="宋体"/>
          <w:b/>
          <w:bCs/>
          <w:color w:val="auto"/>
          <w:kern w:val="0"/>
          <w:sz w:val="28"/>
          <w:szCs w:val="28"/>
        </w:rPr>
      </w:pPr>
      <w:r>
        <w:rPr>
          <w:rFonts w:hint="eastAsia" w:ascii="宋体" w:hAnsi="宋体" w:eastAsia="宋体" w:cs="宋体"/>
          <w:b/>
          <w:bCs/>
          <w:color w:val="auto"/>
          <w:kern w:val="0"/>
          <w:sz w:val="28"/>
          <w:szCs w:val="28"/>
        </w:rPr>
        <w:t>总量核算</w:t>
      </w:r>
    </w:p>
    <w:p w14:paraId="3ED8055A">
      <w:pPr>
        <w:spacing w:line="360" w:lineRule="auto"/>
        <w:ind w:firstLine="498" w:firstLineChars="200"/>
        <w:jc w:val="both"/>
        <w:rPr>
          <w:rFonts w:hint="eastAsia" w:ascii="Times New Roman" w:hAnsi="Times New Roman" w:eastAsia="宋体" w:cs="Times New Roman"/>
          <w:b/>
          <w:color w:val="auto"/>
          <w:spacing w:val="4"/>
          <w:kern w:val="2"/>
          <w:sz w:val="24"/>
          <w:szCs w:val="24"/>
        </w:rPr>
      </w:pPr>
      <w:r>
        <w:rPr>
          <w:rFonts w:hint="eastAsia" w:ascii="Times New Roman" w:hAnsi="Times New Roman" w:eastAsia="宋体" w:cs="Times New Roman"/>
          <w:b/>
          <w:color w:val="auto"/>
          <w:spacing w:val="4"/>
          <w:kern w:val="2"/>
          <w:sz w:val="24"/>
          <w:szCs w:val="24"/>
        </w:rPr>
        <w:t>本工程预测排放总量计算：</w:t>
      </w:r>
    </w:p>
    <w:p w14:paraId="23A47185">
      <w:pPr>
        <w:keepNext w:val="0"/>
        <w:keepLines w:val="0"/>
        <w:suppressLineNumbers w:val="0"/>
        <w:adjustRightInd w:val="0"/>
        <w:snapToGrid w:val="0"/>
        <w:spacing w:before="0" w:beforeLines="0" w:beforeAutospacing="0" w:after="0" w:afterLines="0" w:afterAutospacing="0"/>
        <w:ind w:left="0" w:right="0" w:firstLine="482" w:firstLineChars="200"/>
        <w:jc w:val="both"/>
        <w:rPr>
          <w:rFonts w:hint="default" w:ascii="Times New Roman" w:hAnsi="Times New Roman" w:eastAsia="宋体" w:cs="Times New Roman"/>
          <w:b/>
          <w:bCs/>
          <w:color w:val="auto"/>
          <w:kern w:val="2"/>
          <w:sz w:val="24"/>
          <w:szCs w:val="24"/>
          <w:u w:val="none" w:color="auto"/>
          <w:lang w:val="en-US" w:eastAsia="zh-CN"/>
        </w:rPr>
      </w:pPr>
      <w:r>
        <w:rPr>
          <w:rFonts w:hint="eastAsia" w:ascii="Times New Roman" w:hAnsi="Times New Roman" w:eastAsia="宋体" w:cs="Times New Roman"/>
          <w:b/>
          <w:bCs/>
          <w:color w:val="auto"/>
          <w:kern w:val="2"/>
          <w:sz w:val="24"/>
          <w:szCs w:val="24"/>
          <w:u w:val="none" w:color="auto"/>
          <w:lang w:val="en-US" w:eastAsia="zh-CN"/>
        </w:rPr>
        <w:t>一、废气</w:t>
      </w:r>
    </w:p>
    <w:p w14:paraId="153990BE">
      <w:pPr>
        <w:keepNext w:val="0"/>
        <w:keepLines w:val="0"/>
        <w:suppressLineNumbers w:val="0"/>
        <w:adjustRightInd w:val="0"/>
        <w:snapToGrid w:val="0"/>
        <w:spacing w:before="0" w:beforeLines="0" w:beforeAutospacing="0" w:after="0" w:afterLines="0" w:afterAutospacing="0"/>
        <w:ind w:left="0" w:right="0" w:firstLine="480" w:firstLineChars="200"/>
        <w:jc w:val="both"/>
        <w:rPr>
          <w:rFonts w:hint="default" w:ascii="Times New Roman" w:hAnsi="Times New Roman" w:eastAsia="宋体" w:cs="Times New Roman"/>
          <w:color w:val="auto"/>
          <w:kern w:val="2"/>
          <w:sz w:val="24"/>
          <w:szCs w:val="24"/>
          <w:u w:val="none" w:color="auto"/>
        </w:rPr>
      </w:pPr>
      <w:r>
        <w:rPr>
          <w:rFonts w:hint="default" w:ascii="Times New Roman" w:hAnsi="Times New Roman" w:eastAsia="宋体" w:cs="Times New Roman"/>
          <w:color w:val="auto"/>
          <w:kern w:val="2"/>
          <w:sz w:val="24"/>
          <w:szCs w:val="24"/>
          <w:u w:val="none" w:color="auto"/>
        </w:rPr>
        <w:t>本项目营运期产生的废气主要有</w:t>
      </w:r>
      <w:r>
        <w:rPr>
          <w:rFonts w:hint="default" w:ascii="Times New Roman" w:hAnsi="Times New Roman" w:eastAsia="宋体" w:cs="Times New Roman"/>
          <w:color w:val="auto"/>
          <w:kern w:val="2"/>
          <w:sz w:val="24"/>
          <w:szCs w:val="24"/>
          <w:u w:val="none" w:color="auto"/>
          <w:lang w:val="en-US" w:eastAsia="zh-CN"/>
        </w:rPr>
        <w:t>模具清理</w:t>
      </w:r>
      <w:r>
        <w:rPr>
          <w:rFonts w:hint="eastAsia" w:ascii="Times New Roman" w:hAnsi="Times New Roman" w:eastAsia="宋体" w:cs="Times New Roman"/>
          <w:color w:val="auto"/>
          <w:kern w:val="2"/>
          <w:sz w:val="24"/>
          <w:szCs w:val="24"/>
          <w:u w:val="none" w:color="auto"/>
          <w:lang w:val="en-US" w:eastAsia="zh-CN"/>
        </w:rPr>
        <w:t>废气</w:t>
      </w:r>
      <w:r>
        <w:rPr>
          <w:rFonts w:hint="default" w:ascii="Times New Roman" w:hAnsi="Times New Roman" w:eastAsia="宋体" w:cs="Times New Roman"/>
          <w:color w:val="auto"/>
          <w:kern w:val="2"/>
          <w:sz w:val="24"/>
          <w:szCs w:val="24"/>
          <w:u w:val="none" w:color="auto"/>
        </w:rPr>
        <w:t>、射砂成型</w:t>
      </w:r>
      <w:r>
        <w:rPr>
          <w:rFonts w:hint="eastAsia" w:ascii="Times New Roman" w:hAnsi="Times New Roman" w:eastAsia="宋体" w:cs="Times New Roman"/>
          <w:color w:val="auto"/>
          <w:kern w:val="2"/>
          <w:sz w:val="24"/>
          <w:szCs w:val="24"/>
          <w:u w:val="none" w:color="auto"/>
          <w:lang w:val="en-US" w:eastAsia="zh-CN"/>
        </w:rPr>
        <w:t>废气、</w:t>
      </w:r>
      <w:r>
        <w:rPr>
          <w:rFonts w:hint="default" w:ascii="Times New Roman" w:hAnsi="Times New Roman" w:eastAsia="宋体" w:cs="Times New Roman"/>
          <w:color w:val="auto"/>
          <w:kern w:val="2"/>
          <w:sz w:val="24"/>
          <w:szCs w:val="24"/>
          <w:u w:val="none" w:color="auto"/>
        </w:rPr>
        <w:t>熔炼废气</w:t>
      </w:r>
      <w:r>
        <w:rPr>
          <w:rFonts w:hint="eastAsia" w:ascii="Times New Roman" w:hAnsi="Times New Roman" w:eastAsia="宋体" w:cs="Times New Roman"/>
          <w:color w:val="auto"/>
          <w:kern w:val="2"/>
          <w:sz w:val="24"/>
          <w:szCs w:val="24"/>
          <w:u w:val="none" w:color="auto"/>
          <w:lang w:val="en-US" w:eastAsia="zh-CN"/>
        </w:rPr>
        <w:t>、</w:t>
      </w:r>
      <w:r>
        <w:rPr>
          <w:rFonts w:hint="default" w:ascii="Times New Roman" w:hAnsi="Times New Roman" w:eastAsia="宋体" w:cs="Times New Roman"/>
          <w:color w:val="auto"/>
          <w:kern w:val="2"/>
          <w:sz w:val="24"/>
          <w:szCs w:val="24"/>
          <w:u w:val="none" w:color="auto"/>
        </w:rPr>
        <w:t>浇注废气</w:t>
      </w:r>
      <w:r>
        <w:rPr>
          <w:rFonts w:hint="eastAsia" w:ascii="Times New Roman" w:hAnsi="Times New Roman" w:eastAsia="宋体" w:cs="Times New Roman"/>
          <w:color w:val="auto"/>
          <w:kern w:val="2"/>
          <w:sz w:val="24"/>
          <w:szCs w:val="24"/>
          <w:u w:val="none" w:color="auto"/>
          <w:lang w:eastAsia="zh-CN"/>
        </w:rPr>
        <w:t>、</w:t>
      </w:r>
      <w:r>
        <w:rPr>
          <w:rFonts w:hint="default" w:ascii="Times New Roman" w:hAnsi="Times New Roman" w:eastAsia="宋体" w:cs="Times New Roman"/>
          <w:color w:val="auto"/>
          <w:kern w:val="2"/>
          <w:sz w:val="24"/>
          <w:szCs w:val="24"/>
          <w:u w:val="none" w:color="auto"/>
        </w:rPr>
        <w:t>球冒分离</w:t>
      </w:r>
      <w:r>
        <w:rPr>
          <w:rFonts w:hint="eastAsia" w:ascii="Times New Roman" w:hAnsi="Times New Roman" w:eastAsia="宋体" w:cs="Times New Roman"/>
          <w:color w:val="auto"/>
          <w:kern w:val="2"/>
          <w:sz w:val="24"/>
          <w:szCs w:val="24"/>
          <w:u w:val="none" w:color="auto"/>
          <w:lang w:val="en-US" w:eastAsia="zh-CN"/>
        </w:rPr>
        <w:t>废气</w:t>
      </w:r>
      <w:r>
        <w:rPr>
          <w:rFonts w:hint="eastAsia" w:ascii="Times New Roman" w:hAnsi="Times New Roman" w:eastAsia="宋体" w:cs="Times New Roman"/>
          <w:color w:val="auto"/>
          <w:kern w:val="2"/>
          <w:sz w:val="24"/>
          <w:szCs w:val="24"/>
          <w:u w:val="none" w:color="auto"/>
          <w:lang w:eastAsia="zh-CN"/>
        </w:rPr>
        <w:t>、打磨清理</w:t>
      </w:r>
      <w:r>
        <w:rPr>
          <w:rFonts w:hint="eastAsia" w:ascii="Times New Roman" w:hAnsi="Times New Roman" w:eastAsia="宋体" w:cs="Times New Roman"/>
          <w:color w:val="auto"/>
          <w:kern w:val="2"/>
          <w:sz w:val="24"/>
          <w:szCs w:val="24"/>
          <w:u w:val="none" w:color="auto"/>
          <w:lang w:val="en-US" w:eastAsia="zh-CN"/>
        </w:rPr>
        <w:t>废气</w:t>
      </w:r>
      <w:r>
        <w:rPr>
          <w:rFonts w:hint="eastAsia" w:ascii="Times New Roman" w:hAnsi="Times New Roman" w:eastAsia="宋体" w:cs="Times New Roman"/>
          <w:color w:val="auto"/>
          <w:kern w:val="2"/>
          <w:sz w:val="24"/>
          <w:szCs w:val="24"/>
          <w:u w:val="none" w:color="auto"/>
          <w:lang w:eastAsia="zh-CN"/>
        </w:rPr>
        <w:t>、</w:t>
      </w:r>
      <w:r>
        <w:rPr>
          <w:rFonts w:hint="default" w:ascii="Times New Roman" w:hAnsi="Times New Roman" w:eastAsia="宋体" w:cs="Times New Roman"/>
          <w:color w:val="auto"/>
          <w:kern w:val="2"/>
          <w:sz w:val="24"/>
          <w:szCs w:val="24"/>
          <w:u w:val="none" w:color="auto"/>
        </w:rPr>
        <w:t>热处理</w:t>
      </w:r>
      <w:r>
        <w:rPr>
          <w:rFonts w:hint="eastAsia" w:ascii="Times New Roman" w:hAnsi="Times New Roman" w:eastAsia="宋体" w:cs="Times New Roman"/>
          <w:color w:val="auto"/>
          <w:kern w:val="2"/>
          <w:sz w:val="24"/>
          <w:szCs w:val="24"/>
          <w:u w:val="none" w:color="auto"/>
          <w:lang w:eastAsia="zh-CN"/>
        </w:rPr>
        <w:t>、</w:t>
      </w:r>
      <w:r>
        <w:rPr>
          <w:rFonts w:hint="eastAsia" w:ascii="Times New Roman" w:hAnsi="Times New Roman" w:eastAsia="宋体" w:cs="Times New Roman"/>
          <w:color w:val="auto"/>
          <w:kern w:val="2"/>
          <w:sz w:val="24"/>
          <w:szCs w:val="24"/>
          <w:u w:val="none" w:color="auto"/>
          <w:lang w:val="en-US" w:eastAsia="zh-CN"/>
        </w:rPr>
        <w:t>砂处理废气</w:t>
      </w:r>
      <w:r>
        <w:rPr>
          <w:rFonts w:hint="default" w:ascii="Times New Roman" w:hAnsi="Times New Roman" w:eastAsia="宋体" w:cs="Times New Roman"/>
          <w:color w:val="auto"/>
          <w:kern w:val="2"/>
          <w:sz w:val="24"/>
          <w:szCs w:val="24"/>
          <w:u w:val="none" w:color="auto"/>
        </w:rPr>
        <w:t>。</w:t>
      </w:r>
    </w:p>
    <w:p w14:paraId="2D6EF7F0">
      <w:pPr>
        <w:keepNext w:val="0"/>
        <w:keepLines w:val="0"/>
        <w:widowControl/>
        <w:suppressLineNumbers w:val="0"/>
        <w:snapToGrid w:val="0"/>
        <w:spacing w:before="0" w:beforeLines="0" w:beforeAutospacing="0" w:after="0" w:afterLines="0" w:afterAutospacing="0"/>
        <w:ind w:left="0" w:right="0" w:firstLine="480" w:firstLineChars="200"/>
        <w:jc w:val="both"/>
        <w:rPr>
          <w:rFonts w:hint="default" w:ascii="Times New Roman" w:hAnsi="Times New Roman" w:eastAsia="宋体" w:cs="Times New Roman"/>
          <w:color w:val="auto"/>
          <w:kern w:val="2"/>
          <w:sz w:val="24"/>
          <w:szCs w:val="24"/>
          <w:u w:val="none" w:color="auto"/>
        </w:rPr>
      </w:pPr>
      <w:r>
        <w:rPr>
          <w:rFonts w:hint="default" w:ascii="Times New Roman" w:hAnsi="Times New Roman" w:eastAsia="宋体" w:cs="Times New Roman"/>
          <w:color w:val="auto"/>
          <w:kern w:val="2"/>
          <w:sz w:val="24"/>
          <w:szCs w:val="24"/>
          <w:u w:val="none" w:color="auto"/>
        </w:rPr>
        <w:t>根据《排污许可证申请与核发技术规范 总则》（HJ942-2018）废气核算方法有自动检测数据核算法、手工监测数据核算法、物料平衡法核算以及采用产排污系数法进行核算，本项目选取产排污系数法进行计算，因此参考《排放源统计调查产排污核算方法和系数手册》的公告（环境部公告2021年第24号）/《排污许可证申请与核发技术规范 金属铸造工业》（HJ1115—2020）中废气排污系数法对污染物进行核算。</w:t>
      </w:r>
    </w:p>
    <w:p w14:paraId="12FE5B46">
      <w:pPr>
        <w:keepNext w:val="0"/>
        <w:keepLines w:val="0"/>
        <w:numPr>
          <w:ilvl w:val="0"/>
          <w:numId w:val="0"/>
        </w:numPr>
        <w:suppressLineNumbers w:val="0"/>
        <w:spacing w:before="0" w:beforeLines="0" w:beforeAutospacing="0" w:after="0" w:afterLines="0" w:afterAutospacing="0"/>
        <w:ind w:left="0" w:right="0" w:firstLine="482" w:firstLineChars="200"/>
        <w:jc w:val="both"/>
        <w:rPr>
          <w:rFonts w:hint="default" w:ascii="Times New Roman" w:hAnsi="Times New Roman" w:eastAsia="宋体" w:cs="Times New Roman"/>
          <w:b/>
          <w:color w:val="auto"/>
          <w:sz w:val="24"/>
          <w:szCs w:val="24"/>
        </w:rPr>
      </w:pPr>
      <w:r>
        <w:rPr>
          <w:rFonts w:hint="eastAsia" w:ascii="Times New Roman" w:hAnsi="Times New Roman" w:eastAsia="宋体" w:cs="Times New Roman"/>
          <w:b/>
          <w:color w:val="auto"/>
          <w:sz w:val="24"/>
          <w:szCs w:val="24"/>
          <w:lang w:val="en-US" w:eastAsia="zh-CN"/>
        </w:rPr>
        <w:t>1.</w:t>
      </w:r>
      <w:r>
        <w:rPr>
          <w:rFonts w:hint="default" w:ascii="Times New Roman" w:hAnsi="Times New Roman" w:eastAsia="宋体" w:cs="Times New Roman"/>
          <w:b/>
          <w:color w:val="auto"/>
          <w:sz w:val="24"/>
          <w:szCs w:val="24"/>
          <w:lang w:val="en-US" w:eastAsia="zh-CN"/>
        </w:rPr>
        <w:t>模具清理</w:t>
      </w:r>
      <w:r>
        <w:rPr>
          <w:rFonts w:hint="default" w:ascii="Times New Roman" w:hAnsi="Times New Roman" w:eastAsia="宋体" w:cs="Times New Roman"/>
          <w:b/>
          <w:color w:val="auto"/>
          <w:sz w:val="24"/>
          <w:szCs w:val="24"/>
        </w:rPr>
        <w:t>废气</w:t>
      </w:r>
    </w:p>
    <w:p w14:paraId="3BB01239">
      <w:pPr>
        <w:keepNext w:val="0"/>
        <w:keepLines w:val="0"/>
        <w:widowControl/>
        <w:suppressLineNumbers w:val="0"/>
        <w:snapToGrid w:val="0"/>
        <w:spacing w:before="0" w:beforeLines="0" w:beforeAutospacing="0" w:after="0" w:afterLines="0" w:afterAutospacing="0"/>
        <w:ind w:left="0" w:right="0" w:firstLine="480" w:firstLineChars="200"/>
        <w:jc w:val="both"/>
        <w:rPr>
          <w:rFonts w:hint="default" w:ascii="Times New Roman" w:hAnsi="Times New Roman" w:eastAsia="宋体" w:cs="Times New Roman"/>
          <w:color w:val="auto"/>
          <w:kern w:val="2"/>
          <w:sz w:val="24"/>
          <w:szCs w:val="24"/>
          <w:u w:val="none" w:color="auto"/>
        </w:rPr>
      </w:pPr>
      <w:r>
        <w:rPr>
          <w:rFonts w:hint="default" w:ascii="Times New Roman" w:hAnsi="Times New Roman" w:eastAsia="宋体" w:cs="Times New Roman"/>
          <w:color w:val="auto"/>
          <w:kern w:val="2"/>
          <w:sz w:val="24"/>
          <w:szCs w:val="24"/>
          <w:u w:val="none" w:color="auto"/>
          <w:lang w:val="en-US" w:eastAsia="zh-CN"/>
        </w:rPr>
        <w:t>开模取出铸件后，用压缩空气或机械方式清理金属模具型腔内的残留砂块和杂物。采用高压气枪清理模具时，会产生少量颗粒物（主要为残留型砂粉尘），由于残留砂</w:t>
      </w:r>
      <w:r>
        <w:rPr>
          <w:rFonts w:hint="eastAsia" w:ascii="Times New Roman" w:hAnsi="Times New Roman" w:eastAsia="宋体" w:cs="Times New Roman"/>
          <w:color w:val="auto"/>
          <w:kern w:val="2"/>
          <w:sz w:val="24"/>
          <w:szCs w:val="24"/>
          <w:u w:val="none" w:color="auto"/>
          <w:lang w:val="en-US" w:eastAsia="zh-CN"/>
        </w:rPr>
        <w:t>粉较少</w:t>
      </w:r>
      <w:r>
        <w:rPr>
          <w:rFonts w:hint="default" w:ascii="Times New Roman" w:hAnsi="Times New Roman" w:eastAsia="宋体" w:cs="Times New Roman"/>
          <w:color w:val="auto"/>
          <w:kern w:val="2"/>
          <w:sz w:val="24"/>
          <w:szCs w:val="24"/>
          <w:u w:val="none" w:color="auto"/>
          <w:lang w:val="en-US" w:eastAsia="zh-CN"/>
        </w:rPr>
        <w:t>，</w:t>
      </w:r>
      <w:r>
        <w:rPr>
          <w:rFonts w:hint="eastAsia" w:ascii="Times New Roman" w:hAnsi="Times New Roman" w:eastAsia="宋体" w:cs="Times New Roman"/>
          <w:color w:val="auto"/>
          <w:kern w:val="2"/>
          <w:sz w:val="24"/>
          <w:szCs w:val="24"/>
          <w:u w:val="none" w:color="auto"/>
          <w:lang w:val="en-US" w:eastAsia="zh-CN"/>
        </w:rPr>
        <w:t>颗粒物产生</w:t>
      </w:r>
      <w:r>
        <w:rPr>
          <w:rFonts w:hint="default" w:ascii="Times New Roman" w:hAnsi="Times New Roman" w:eastAsia="宋体" w:cs="Times New Roman"/>
          <w:color w:val="auto"/>
          <w:kern w:val="2"/>
          <w:sz w:val="24"/>
          <w:szCs w:val="24"/>
          <w:u w:val="none" w:color="auto"/>
          <w:lang w:val="en-US" w:eastAsia="zh-CN"/>
        </w:rPr>
        <w:t>浓度较低</w:t>
      </w:r>
      <w:r>
        <w:rPr>
          <w:rFonts w:hint="eastAsia" w:ascii="Times New Roman" w:hAnsi="Times New Roman" w:eastAsia="宋体" w:cs="Times New Roman"/>
          <w:color w:val="auto"/>
          <w:kern w:val="2"/>
          <w:sz w:val="24"/>
          <w:szCs w:val="24"/>
          <w:u w:val="none" w:color="auto"/>
          <w:lang w:val="en-US" w:eastAsia="zh-CN"/>
        </w:rPr>
        <w:t>，本次不进行定量分析，在加强车间封闭、洒水抑尘措施后颗粒物对外环境影响较小</w:t>
      </w:r>
      <w:r>
        <w:rPr>
          <w:rFonts w:hint="default" w:ascii="Times New Roman" w:hAnsi="Times New Roman" w:eastAsia="宋体" w:cs="Times New Roman"/>
          <w:color w:val="auto"/>
          <w:kern w:val="2"/>
          <w:sz w:val="24"/>
          <w:szCs w:val="24"/>
          <w:u w:val="none" w:color="auto"/>
          <w:lang w:val="en-US" w:eastAsia="zh-CN"/>
        </w:rPr>
        <w:t>。</w:t>
      </w:r>
    </w:p>
    <w:p w14:paraId="7FA92ECD">
      <w:pPr>
        <w:keepNext w:val="0"/>
        <w:keepLines w:val="0"/>
        <w:numPr>
          <w:ilvl w:val="0"/>
          <w:numId w:val="0"/>
        </w:numPr>
        <w:suppressLineNumbers w:val="0"/>
        <w:spacing w:before="0" w:beforeLines="0" w:beforeAutospacing="0" w:after="0" w:afterLines="0" w:afterAutospacing="0"/>
        <w:ind w:left="0" w:right="0" w:firstLine="482" w:firstLineChars="200"/>
        <w:jc w:val="both"/>
        <w:rPr>
          <w:rFonts w:hint="default" w:ascii="Times New Roman" w:hAnsi="Times New Roman" w:eastAsia="宋体" w:cs="Times New Roman"/>
          <w:b/>
          <w:color w:val="auto"/>
          <w:sz w:val="24"/>
          <w:szCs w:val="24"/>
        </w:rPr>
      </w:pPr>
      <w:r>
        <w:rPr>
          <w:rFonts w:hint="eastAsia" w:ascii="Times New Roman" w:hAnsi="Times New Roman" w:eastAsia="宋体" w:cs="Times New Roman"/>
          <w:b/>
          <w:color w:val="auto"/>
          <w:sz w:val="24"/>
          <w:szCs w:val="24"/>
          <w:lang w:val="en-US" w:eastAsia="zh-CN"/>
        </w:rPr>
        <w:t>2.</w:t>
      </w:r>
      <w:r>
        <w:rPr>
          <w:rFonts w:hint="default" w:ascii="Times New Roman" w:hAnsi="Times New Roman" w:eastAsia="宋体" w:cs="Times New Roman"/>
          <w:b/>
          <w:color w:val="auto"/>
          <w:sz w:val="24"/>
          <w:szCs w:val="24"/>
        </w:rPr>
        <w:t>熔炼废气</w:t>
      </w:r>
    </w:p>
    <w:p w14:paraId="054C26A2">
      <w:pPr>
        <w:keepNext w:val="0"/>
        <w:keepLines w:val="0"/>
        <w:widowControl/>
        <w:suppressLineNumbers w:val="0"/>
        <w:autoSpaceDE w:val="0"/>
        <w:snapToGrid w:val="0"/>
        <w:spacing w:before="0" w:beforeLines="0" w:beforeAutospacing="0" w:after="0" w:afterLines="0" w:afterAutospacing="0"/>
        <w:ind w:left="0" w:right="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根据《排放源统计调查产排污核算方法和系数手册—机械行业系数手册》中“熔炼”工艺中产排污系数表，本项目产污情况如下表。</w:t>
      </w:r>
    </w:p>
    <w:p w14:paraId="740D957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kern w:val="2"/>
          <w:sz w:val="21"/>
          <w:szCs w:val="21"/>
        </w:rPr>
      </w:pPr>
      <w:r>
        <w:rPr>
          <w:rFonts w:hint="default" w:ascii="Times New Roman" w:hAnsi="Times New Roman" w:eastAsia="宋体" w:cs="Times New Roman"/>
          <w:b/>
          <w:color w:val="auto"/>
          <w:kern w:val="2"/>
          <w:sz w:val="21"/>
          <w:szCs w:val="21"/>
          <w:lang w:bidi="ar"/>
        </w:rPr>
        <w:t>表</w:t>
      </w:r>
      <w:r>
        <w:rPr>
          <w:rFonts w:hint="default" w:ascii="Times New Roman" w:hAnsi="Times New Roman" w:eastAsia="宋体" w:cs="Times New Roman"/>
          <w:b/>
          <w:color w:val="auto"/>
          <w:kern w:val="2"/>
          <w:sz w:val="21"/>
          <w:szCs w:val="21"/>
          <w:lang w:val="en-US" w:eastAsia="zh-CN" w:bidi="ar"/>
        </w:rPr>
        <w:t>1</w:t>
      </w:r>
      <w:r>
        <w:rPr>
          <w:rFonts w:hint="default" w:ascii="Times New Roman" w:hAnsi="Times New Roman" w:eastAsia="宋体" w:cs="Times New Roman"/>
          <w:b/>
          <w:color w:val="auto"/>
          <w:kern w:val="2"/>
          <w:sz w:val="21"/>
          <w:szCs w:val="21"/>
          <w:lang w:bidi="ar"/>
        </w:rPr>
        <w:t xml:space="preserve"> 熔炼废气产排污情况一览表</w:t>
      </w:r>
    </w:p>
    <w:tbl>
      <w:tblPr>
        <w:tblStyle w:val="56"/>
        <w:tblW w:w="4999" w:type="pct"/>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793"/>
        <w:gridCol w:w="1887"/>
        <w:gridCol w:w="1151"/>
        <w:gridCol w:w="1230"/>
        <w:gridCol w:w="1486"/>
        <w:gridCol w:w="879"/>
        <w:gridCol w:w="1397"/>
      </w:tblGrid>
      <w:tr w14:paraId="37F25E09">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tcBorders>
              <w:top w:val="single" w:color="auto" w:sz="8" w:space="0"/>
              <w:left w:val="single" w:color="auto" w:sz="8" w:space="0"/>
              <w:bottom w:val="single" w:color="auto" w:sz="2" w:space="0"/>
              <w:right w:val="single" w:color="auto" w:sz="2" w:space="0"/>
              <w:tl2br w:val="nil"/>
              <w:tr2bl w:val="nil"/>
            </w:tcBorders>
            <w:noWrap w:val="0"/>
            <w:vAlign w:val="center"/>
          </w:tcPr>
          <w:p w14:paraId="464D8F3A">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产品名称</w:t>
            </w:r>
          </w:p>
        </w:tc>
        <w:tc>
          <w:tcPr>
            <w:tcW w:w="1771" w:type="dxa"/>
            <w:tcBorders>
              <w:top w:val="single" w:color="auto" w:sz="8" w:space="0"/>
              <w:left w:val="single" w:color="auto" w:sz="2" w:space="0"/>
              <w:bottom w:val="single" w:color="auto" w:sz="2" w:space="0"/>
              <w:right w:val="single" w:color="auto" w:sz="2" w:space="0"/>
              <w:tl2br w:val="nil"/>
              <w:tr2bl w:val="nil"/>
            </w:tcBorders>
            <w:noWrap w:val="0"/>
            <w:vAlign w:val="center"/>
          </w:tcPr>
          <w:p w14:paraId="68853766">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原料名称</w:t>
            </w:r>
          </w:p>
        </w:tc>
        <w:tc>
          <w:tcPr>
            <w:tcW w:w="1080" w:type="dxa"/>
            <w:tcBorders>
              <w:top w:val="single" w:color="auto" w:sz="8" w:space="0"/>
              <w:left w:val="single" w:color="auto" w:sz="2" w:space="0"/>
              <w:bottom w:val="single" w:color="auto" w:sz="2" w:space="0"/>
              <w:right w:val="single" w:color="auto" w:sz="2" w:space="0"/>
              <w:tl2br w:val="nil"/>
              <w:tr2bl w:val="nil"/>
            </w:tcBorders>
            <w:noWrap w:val="0"/>
            <w:vAlign w:val="center"/>
          </w:tcPr>
          <w:p w14:paraId="0949552F">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工艺名称</w:t>
            </w:r>
          </w:p>
        </w:tc>
        <w:tc>
          <w:tcPr>
            <w:tcW w:w="115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5996E05C">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污染物指标</w:t>
            </w:r>
          </w:p>
        </w:tc>
        <w:tc>
          <w:tcPr>
            <w:tcW w:w="139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5D24AAF2">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单位</w:t>
            </w:r>
          </w:p>
        </w:tc>
        <w:tc>
          <w:tcPr>
            <w:tcW w:w="82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113A0E23">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产物系数</w:t>
            </w:r>
          </w:p>
        </w:tc>
        <w:tc>
          <w:tcPr>
            <w:tcW w:w="1311" w:type="dxa"/>
            <w:tcBorders>
              <w:top w:val="single" w:color="auto" w:sz="8" w:space="0"/>
              <w:left w:val="single" w:color="auto" w:sz="2" w:space="0"/>
              <w:bottom w:val="single" w:color="auto" w:sz="2" w:space="0"/>
              <w:right w:val="single" w:color="auto" w:sz="8" w:space="0"/>
              <w:tl2br w:val="nil"/>
              <w:tr2bl w:val="nil"/>
            </w:tcBorders>
            <w:noWrap w:val="0"/>
            <w:vAlign w:val="center"/>
          </w:tcPr>
          <w:p w14:paraId="006EFAF6">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末端治理技术</w:t>
            </w:r>
          </w:p>
        </w:tc>
      </w:tr>
      <w:tr w14:paraId="7703294A">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vMerge w:val="restart"/>
            <w:tcBorders>
              <w:top w:val="single" w:color="auto" w:sz="2" w:space="0"/>
              <w:left w:val="single" w:color="auto" w:sz="8" w:space="0"/>
              <w:bottom w:val="single" w:color="auto" w:sz="2" w:space="0"/>
              <w:right w:val="single" w:color="auto" w:sz="2" w:space="0"/>
              <w:tl2br w:val="nil"/>
              <w:tr2bl w:val="nil"/>
            </w:tcBorders>
            <w:noWrap w:val="0"/>
            <w:vAlign w:val="center"/>
          </w:tcPr>
          <w:p w14:paraId="260BF71D">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铸件</w:t>
            </w:r>
          </w:p>
        </w:tc>
        <w:tc>
          <w:tcPr>
            <w:tcW w:w="1771" w:type="dxa"/>
            <w:vMerge w:val="restart"/>
            <w:tcBorders>
              <w:top w:val="single" w:color="auto" w:sz="2" w:space="0"/>
              <w:left w:val="single" w:color="auto" w:sz="2" w:space="0"/>
              <w:bottom w:val="single" w:color="auto" w:sz="2" w:space="0"/>
              <w:right w:val="single" w:color="auto" w:sz="2" w:space="0"/>
              <w:tl2br w:val="nil"/>
              <w:tr2bl w:val="nil"/>
            </w:tcBorders>
            <w:noWrap w:val="0"/>
            <w:vAlign w:val="center"/>
          </w:tcPr>
          <w:p w14:paraId="4C6E1AEC">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生铁、废钢、铁合金、中间合金锭、石灰石、增碳剂、电解铜</w:t>
            </w:r>
          </w:p>
        </w:tc>
        <w:tc>
          <w:tcPr>
            <w:tcW w:w="1080" w:type="dxa"/>
            <w:vMerge w:val="restart"/>
            <w:tcBorders>
              <w:top w:val="single" w:color="auto" w:sz="2" w:space="0"/>
              <w:left w:val="single" w:color="auto" w:sz="2" w:space="0"/>
              <w:bottom w:val="single" w:color="auto" w:sz="2" w:space="0"/>
              <w:right w:val="single" w:color="auto" w:sz="2" w:space="0"/>
              <w:tl2br w:val="nil"/>
              <w:tr2bl w:val="nil"/>
            </w:tcBorders>
            <w:noWrap w:val="0"/>
            <w:vAlign w:val="center"/>
          </w:tcPr>
          <w:p w14:paraId="02EA1158">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熔炼</w:t>
            </w:r>
            <w:r>
              <w:rPr>
                <w:rFonts w:hint="eastAsia" w:ascii="Times New Roman" w:hAnsi="Times New Roman" w:eastAsia="宋体" w:cs="Times New Roman"/>
                <w:color w:val="auto"/>
                <w:sz w:val="21"/>
                <w:szCs w:val="21"/>
                <w:lang w:eastAsia="zh-CN" w:bidi="ar"/>
              </w:rPr>
              <w:t>（</w:t>
            </w:r>
            <w:r>
              <w:rPr>
                <w:rFonts w:hint="default" w:ascii="Times New Roman" w:hAnsi="Times New Roman" w:eastAsia="宋体" w:cs="Times New Roman"/>
                <w:color w:val="auto"/>
                <w:sz w:val="21"/>
                <w:szCs w:val="21"/>
                <w:lang w:bidi="ar"/>
              </w:rPr>
              <w:t>感应电炉/电阻炉及其他</w:t>
            </w:r>
            <w:r>
              <w:rPr>
                <w:rFonts w:hint="eastAsia" w:ascii="Times New Roman" w:hAnsi="Times New Roman" w:eastAsia="宋体" w:cs="Times New Roman"/>
                <w:color w:val="auto"/>
                <w:sz w:val="21"/>
                <w:szCs w:val="21"/>
                <w:lang w:eastAsia="zh-CN" w:bidi="ar"/>
              </w:rPr>
              <w:t>）</w:t>
            </w:r>
          </w:p>
        </w:tc>
        <w:tc>
          <w:tcPr>
            <w:tcW w:w="115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7C2B0878">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工业废气量</w:t>
            </w:r>
          </w:p>
        </w:tc>
        <w:tc>
          <w:tcPr>
            <w:tcW w:w="139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786ED80C">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立方米/吨产品</w:t>
            </w:r>
          </w:p>
        </w:tc>
        <w:tc>
          <w:tcPr>
            <w:tcW w:w="82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7F00EAF7">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7483</w:t>
            </w:r>
          </w:p>
        </w:tc>
        <w:tc>
          <w:tcPr>
            <w:tcW w:w="1311" w:type="dxa"/>
            <w:tcBorders>
              <w:top w:val="single" w:color="auto" w:sz="2" w:space="0"/>
              <w:left w:val="single" w:color="auto" w:sz="2" w:space="0"/>
              <w:bottom w:val="single" w:color="auto" w:sz="2" w:space="0"/>
              <w:right w:val="single" w:color="auto" w:sz="8" w:space="0"/>
              <w:tl2br w:val="nil"/>
              <w:tr2bl w:val="nil"/>
            </w:tcBorders>
            <w:noWrap w:val="0"/>
            <w:vAlign w:val="center"/>
          </w:tcPr>
          <w:p w14:paraId="7739CEDB">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CA8EAFD">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vMerge w:val="continue"/>
            <w:tcBorders>
              <w:top w:val="single" w:color="auto" w:sz="2" w:space="0"/>
              <w:left w:val="single" w:color="auto" w:sz="8" w:space="0"/>
              <w:bottom w:val="single" w:color="auto" w:sz="2" w:space="0"/>
              <w:right w:val="single" w:color="auto" w:sz="2" w:space="0"/>
              <w:tl2br w:val="nil"/>
              <w:tr2bl w:val="nil"/>
            </w:tcBorders>
            <w:noWrap w:val="0"/>
            <w:vAlign w:val="center"/>
          </w:tcPr>
          <w:p w14:paraId="4C6B6EFE">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bidi="ar"/>
              </w:rPr>
            </w:pPr>
          </w:p>
        </w:tc>
        <w:tc>
          <w:tcPr>
            <w:tcW w:w="1771" w:type="dxa"/>
            <w:vMerge w:val="continue"/>
            <w:tcBorders>
              <w:top w:val="single" w:color="auto" w:sz="2" w:space="0"/>
              <w:left w:val="single" w:color="auto" w:sz="2" w:space="0"/>
              <w:bottom w:val="single" w:color="auto" w:sz="2" w:space="0"/>
              <w:right w:val="single" w:color="auto" w:sz="2" w:space="0"/>
              <w:tl2br w:val="nil"/>
              <w:tr2bl w:val="nil"/>
            </w:tcBorders>
            <w:noWrap w:val="0"/>
            <w:vAlign w:val="center"/>
          </w:tcPr>
          <w:p w14:paraId="334944E5">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bidi="ar"/>
              </w:rPr>
            </w:pPr>
          </w:p>
        </w:tc>
        <w:tc>
          <w:tcPr>
            <w:tcW w:w="1080" w:type="dxa"/>
            <w:vMerge w:val="continue"/>
            <w:tcBorders>
              <w:top w:val="single" w:color="auto" w:sz="2" w:space="0"/>
              <w:left w:val="single" w:color="auto" w:sz="2" w:space="0"/>
              <w:bottom w:val="single" w:color="auto" w:sz="2" w:space="0"/>
              <w:right w:val="single" w:color="auto" w:sz="2" w:space="0"/>
              <w:tl2br w:val="nil"/>
              <w:tr2bl w:val="nil"/>
            </w:tcBorders>
            <w:noWrap w:val="0"/>
            <w:vAlign w:val="center"/>
          </w:tcPr>
          <w:p w14:paraId="1491DDB8">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bidi="ar"/>
              </w:rPr>
            </w:pPr>
          </w:p>
        </w:tc>
        <w:tc>
          <w:tcPr>
            <w:tcW w:w="115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281BE818">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颗粒物</w:t>
            </w:r>
          </w:p>
        </w:tc>
        <w:tc>
          <w:tcPr>
            <w:tcW w:w="139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63903276">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千克/吨产品</w:t>
            </w:r>
          </w:p>
        </w:tc>
        <w:tc>
          <w:tcPr>
            <w:tcW w:w="82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67B64DC6">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0.479</w:t>
            </w:r>
          </w:p>
        </w:tc>
        <w:tc>
          <w:tcPr>
            <w:tcW w:w="1311" w:type="dxa"/>
            <w:tcBorders>
              <w:top w:val="single" w:color="auto" w:sz="2" w:space="0"/>
              <w:left w:val="single" w:color="auto" w:sz="2" w:space="0"/>
              <w:bottom w:val="single" w:color="auto" w:sz="2" w:space="0"/>
              <w:right w:val="single" w:color="auto" w:sz="8" w:space="0"/>
              <w:tl2br w:val="nil"/>
              <w:tr2bl w:val="nil"/>
            </w:tcBorders>
            <w:noWrap w:val="0"/>
            <w:vAlign w:val="center"/>
          </w:tcPr>
          <w:p w14:paraId="6A7EF007">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袋式除尘</w:t>
            </w:r>
          </w:p>
        </w:tc>
      </w:tr>
    </w:tbl>
    <w:p w14:paraId="626C0F93">
      <w:pPr>
        <w:keepNext w:val="0"/>
        <w:keepLines w:val="0"/>
        <w:widowControl/>
        <w:suppressLineNumbers w:val="0"/>
        <w:snapToGrid w:val="0"/>
        <w:spacing w:before="0" w:beforeLines="0" w:beforeAutospacing="0" w:after="0" w:afterLines="0" w:afterAutospacing="0"/>
        <w:ind w:left="0" w:right="0" w:firstLine="480" w:firstLineChars="200"/>
        <w:jc w:val="both"/>
        <w:rPr>
          <w:rFonts w:hint="default" w:ascii="Times New Roman" w:hAnsi="Times New Roman" w:eastAsia="宋体" w:cs="Times New Roman"/>
          <w:color w:val="auto"/>
          <w:kern w:val="2"/>
          <w:sz w:val="24"/>
          <w:szCs w:val="24"/>
          <w:u w:val="none" w:color="auto"/>
        </w:rPr>
      </w:pPr>
      <w:r>
        <w:rPr>
          <w:rFonts w:hint="default" w:ascii="Times New Roman" w:hAnsi="Times New Roman" w:eastAsia="宋体" w:cs="Times New Roman"/>
          <w:color w:val="auto"/>
          <w:kern w:val="2"/>
          <w:sz w:val="24"/>
          <w:szCs w:val="24"/>
          <w:u w:val="none" w:color="auto"/>
        </w:rPr>
        <w:t>本项目采用中频感应电炉，每天熔炼工序运行</w:t>
      </w:r>
      <w:r>
        <w:rPr>
          <w:rFonts w:hint="eastAsia" w:ascii="Times New Roman" w:hAnsi="Times New Roman" w:eastAsia="宋体" w:cs="Times New Roman"/>
          <w:color w:val="auto"/>
          <w:kern w:val="2"/>
          <w:sz w:val="24"/>
          <w:szCs w:val="24"/>
          <w:u w:val="none" w:color="auto"/>
          <w:lang w:val="en-US" w:eastAsia="zh-CN"/>
        </w:rPr>
        <w:t>12</w:t>
      </w:r>
      <w:r>
        <w:rPr>
          <w:rFonts w:hint="default" w:ascii="Times New Roman" w:hAnsi="Times New Roman" w:eastAsia="宋体" w:cs="Times New Roman"/>
          <w:color w:val="auto"/>
          <w:kern w:val="2"/>
          <w:sz w:val="24"/>
          <w:szCs w:val="24"/>
          <w:u w:val="none" w:color="auto"/>
        </w:rPr>
        <w:t>h，年运行时间约为</w:t>
      </w:r>
      <w:r>
        <w:rPr>
          <w:rFonts w:hint="eastAsia" w:ascii="Times New Roman" w:hAnsi="Times New Roman" w:eastAsia="宋体" w:cs="Times New Roman"/>
          <w:color w:val="auto"/>
          <w:kern w:val="2"/>
          <w:sz w:val="24"/>
          <w:szCs w:val="24"/>
          <w:u w:val="none" w:color="auto"/>
          <w:lang w:val="en-US" w:eastAsia="zh-CN"/>
        </w:rPr>
        <w:t>3600</w:t>
      </w:r>
      <w:r>
        <w:rPr>
          <w:rFonts w:hint="default" w:ascii="Times New Roman" w:hAnsi="Times New Roman" w:eastAsia="宋体" w:cs="Times New Roman"/>
          <w:color w:val="auto"/>
          <w:kern w:val="2"/>
          <w:sz w:val="24"/>
          <w:szCs w:val="24"/>
          <w:u w:val="none" w:color="auto"/>
        </w:rPr>
        <w:t>h。在原料熔炼金属时由于金属中含有各种杂质因此会产生一定量的废气和烟尘，参照《排放源统计调查产排污核算方法和系数手册—机械行业系数手册》中“熔炼（感应电炉/电阻炉及其他）”工艺，熔炼废物中污染物指标仅为颗粒物，无重金属产生，中频电炉熔炼颗粒物产污系数为0.479kg/t-产品，工业废气量7483m</w:t>
      </w:r>
      <w:r>
        <w:rPr>
          <w:rFonts w:hint="default" w:ascii="Times New Roman" w:hAnsi="Times New Roman" w:eastAsia="宋体" w:cs="Times New Roman"/>
          <w:color w:val="auto"/>
          <w:kern w:val="2"/>
          <w:sz w:val="24"/>
          <w:szCs w:val="24"/>
          <w:u w:val="none" w:color="auto"/>
          <w:vertAlign w:val="superscript"/>
        </w:rPr>
        <w:t>3</w:t>
      </w:r>
      <w:r>
        <w:rPr>
          <w:rFonts w:hint="default" w:ascii="Times New Roman" w:hAnsi="Times New Roman" w:eastAsia="宋体" w:cs="Times New Roman"/>
          <w:color w:val="auto"/>
          <w:kern w:val="2"/>
          <w:sz w:val="24"/>
          <w:szCs w:val="24"/>
          <w:u w:val="none" w:color="auto"/>
        </w:rPr>
        <w:t>/t-产品。</w:t>
      </w:r>
    </w:p>
    <w:p w14:paraId="4899BB14">
      <w:pPr>
        <w:keepNext w:val="0"/>
        <w:keepLines w:val="0"/>
        <w:widowControl/>
        <w:suppressLineNumbers w:val="0"/>
        <w:snapToGrid w:val="0"/>
        <w:spacing w:before="0" w:beforeLines="0" w:beforeAutospacing="0" w:after="0" w:afterLines="0" w:afterAutospacing="0"/>
        <w:ind w:left="0" w:right="0" w:firstLine="480" w:firstLineChars="200"/>
        <w:jc w:val="both"/>
        <w:rPr>
          <w:rFonts w:hint="default" w:ascii="Times New Roman" w:hAnsi="Times New Roman" w:eastAsia="宋体" w:cs="Times New Roman"/>
          <w:color w:val="auto"/>
          <w:kern w:val="2"/>
          <w:sz w:val="24"/>
          <w:szCs w:val="24"/>
          <w:highlight w:val="yellow"/>
          <w:u w:val="none" w:color="auto"/>
        </w:rPr>
      </w:pPr>
      <w:r>
        <w:rPr>
          <w:rFonts w:hint="default" w:ascii="Times New Roman" w:hAnsi="Times New Roman" w:eastAsia="宋体" w:cs="Times New Roman"/>
          <w:color w:val="auto"/>
          <w:kern w:val="2"/>
          <w:sz w:val="24"/>
          <w:szCs w:val="24"/>
          <w:u w:val="none" w:color="auto"/>
        </w:rPr>
        <w:t>本项目铸件</w:t>
      </w:r>
      <w:r>
        <w:rPr>
          <w:rFonts w:hint="eastAsia" w:ascii="Times New Roman" w:hAnsi="Times New Roman" w:eastAsia="宋体" w:cs="Times New Roman"/>
          <w:color w:val="auto"/>
          <w:kern w:val="2"/>
          <w:sz w:val="24"/>
          <w:szCs w:val="24"/>
          <w:u w:val="none" w:color="auto"/>
          <w:lang w:val="en-US" w:eastAsia="zh-CN"/>
        </w:rPr>
        <w:t>产量为5000</w:t>
      </w:r>
      <w:r>
        <w:rPr>
          <w:rFonts w:hint="default" w:ascii="Times New Roman" w:hAnsi="Times New Roman" w:eastAsia="宋体" w:cs="Times New Roman"/>
          <w:color w:val="auto"/>
          <w:kern w:val="2"/>
          <w:sz w:val="24"/>
          <w:szCs w:val="24"/>
          <w:u w:val="none" w:color="auto"/>
        </w:rPr>
        <w:t>吨，则经计算烟尘产生量为</w:t>
      </w:r>
      <w:r>
        <w:rPr>
          <w:rFonts w:hint="eastAsia" w:ascii="Times New Roman" w:hAnsi="Times New Roman" w:eastAsia="宋体" w:cs="Times New Roman"/>
          <w:color w:val="auto"/>
          <w:kern w:val="2"/>
          <w:sz w:val="24"/>
          <w:szCs w:val="24"/>
          <w:u w:val="none" w:color="auto"/>
          <w:lang w:val="en-US" w:eastAsia="zh-CN"/>
        </w:rPr>
        <w:t>2.395</w:t>
      </w:r>
      <w:r>
        <w:rPr>
          <w:rFonts w:hint="default" w:ascii="Times New Roman" w:hAnsi="Times New Roman" w:eastAsia="宋体" w:cs="Times New Roman"/>
          <w:color w:val="auto"/>
          <w:kern w:val="2"/>
          <w:sz w:val="24"/>
          <w:szCs w:val="24"/>
          <w:u w:val="none" w:color="auto"/>
        </w:rPr>
        <w:t>t/a，拟在中频炉上方</w:t>
      </w:r>
      <w:r>
        <w:rPr>
          <w:rFonts w:hint="default" w:ascii="Times New Roman" w:hAnsi="Times New Roman" w:eastAsia="宋体" w:cs="Times New Roman"/>
          <w:color w:val="auto"/>
          <w:kern w:val="2"/>
          <w:sz w:val="24"/>
          <w:szCs w:val="24"/>
          <w:u w:val="none" w:color="auto"/>
          <w:lang w:val="en-US" w:eastAsia="zh-CN"/>
        </w:rPr>
        <w:t>设置炉盖一体化</w:t>
      </w:r>
      <w:r>
        <w:rPr>
          <w:rFonts w:hint="eastAsia" w:ascii="Times New Roman" w:hAnsi="Times New Roman" w:eastAsia="宋体" w:cs="Times New Roman"/>
          <w:color w:val="auto"/>
          <w:kern w:val="2"/>
          <w:sz w:val="24"/>
          <w:szCs w:val="24"/>
          <w:u w:val="none" w:color="auto"/>
          <w:lang w:val="en-US" w:eastAsia="zh-CN"/>
        </w:rPr>
        <w:t>废气收集</w:t>
      </w:r>
      <w:r>
        <w:rPr>
          <w:rFonts w:hint="default" w:ascii="Times New Roman" w:hAnsi="Times New Roman" w:eastAsia="宋体" w:cs="Times New Roman"/>
          <w:color w:val="auto"/>
          <w:kern w:val="2"/>
          <w:sz w:val="24"/>
          <w:szCs w:val="24"/>
          <w:u w:val="none" w:color="auto"/>
          <w:lang w:val="en-US" w:eastAsia="zh-CN"/>
        </w:rPr>
        <w:t>装置</w:t>
      </w:r>
      <w:r>
        <w:rPr>
          <w:rFonts w:hint="default" w:ascii="Times New Roman" w:hAnsi="Times New Roman" w:eastAsia="宋体" w:cs="Times New Roman"/>
          <w:color w:val="auto"/>
          <w:kern w:val="2"/>
          <w:sz w:val="24"/>
          <w:szCs w:val="24"/>
          <w:u w:val="none" w:color="auto"/>
        </w:rPr>
        <w:t>。参考《袋式除尘工程通用技术规范》</w:t>
      </w:r>
      <w:r>
        <w:rPr>
          <w:rFonts w:hint="eastAsia" w:ascii="Times New Roman" w:hAnsi="Times New Roman" w:eastAsia="宋体" w:cs="Times New Roman"/>
          <w:color w:val="auto"/>
          <w:kern w:val="2"/>
          <w:sz w:val="24"/>
          <w:szCs w:val="24"/>
          <w:u w:val="none" w:color="auto"/>
          <w:lang w:eastAsia="zh-CN"/>
        </w:rPr>
        <w:t>（</w:t>
      </w:r>
      <w:r>
        <w:rPr>
          <w:rFonts w:hint="default" w:ascii="Times New Roman" w:hAnsi="Times New Roman" w:eastAsia="宋体" w:cs="Times New Roman"/>
          <w:color w:val="auto"/>
          <w:kern w:val="2"/>
          <w:sz w:val="24"/>
          <w:szCs w:val="24"/>
          <w:u w:val="none" w:color="auto"/>
        </w:rPr>
        <w:t>HJ2020-2012</w:t>
      </w:r>
      <w:r>
        <w:rPr>
          <w:rFonts w:hint="eastAsia" w:ascii="Times New Roman" w:hAnsi="Times New Roman" w:eastAsia="宋体" w:cs="Times New Roman"/>
          <w:color w:val="auto"/>
          <w:kern w:val="2"/>
          <w:sz w:val="24"/>
          <w:szCs w:val="24"/>
          <w:u w:val="none" w:color="auto"/>
          <w:lang w:eastAsia="zh-CN"/>
        </w:rPr>
        <w:t>）</w:t>
      </w:r>
      <w:r>
        <w:rPr>
          <w:rFonts w:hint="default" w:ascii="Times New Roman" w:hAnsi="Times New Roman" w:eastAsia="宋体" w:cs="Times New Roman"/>
          <w:color w:val="auto"/>
          <w:kern w:val="2"/>
          <w:sz w:val="24"/>
          <w:szCs w:val="24"/>
          <w:u w:val="none" w:color="auto"/>
        </w:rPr>
        <w:t>，集气罩应能实现对烟气</w:t>
      </w:r>
      <w:r>
        <w:rPr>
          <w:rFonts w:hint="eastAsia" w:ascii="Times New Roman" w:hAnsi="Times New Roman" w:eastAsia="宋体" w:cs="Times New Roman"/>
          <w:color w:val="auto"/>
          <w:kern w:val="2"/>
          <w:sz w:val="24"/>
          <w:szCs w:val="24"/>
          <w:u w:val="none" w:color="auto"/>
          <w:lang w:eastAsia="zh-CN"/>
        </w:rPr>
        <w:t>（</w:t>
      </w:r>
      <w:r>
        <w:rPr>
          <w:rFonts w:hint="default" w:ascii="Times New Roman" w:hAnsi="Times New Roman" w:eastAsia="宋体" w:cs="Times New Roman"/>
          <w:color w:val="auto"/>
          <w:kern w:val="2"/>
          <w:sz w:val="24"/>
          <w:szCs w:val="24"/>
          <w:u w:val="none" w:color="auto"/>
        </w:rPr>
        <w:t>尘</w:t>
      </w:r>
      <w:r>
        <w:rPr>
          <w:rFonts w:hint="eastAsia" w:ascii="Times New Roman" w:hAnsi="Times New Roman" w:eastAsia="宋体" w:cs="Times New Roman"/>
          <w:color w:val="auto"/>
          <w:kern w:val="2"/>
          <w:sz w:val="24"/>
          <w:szCs w:val="24"/>
          <w:u w:val="none" w:color="auto"/>
          <w:lang w:eastAsia="zh-CN"/>
        </w:rPr>
        <w:t>）</w:t>
      </w:r>
      <w:r>
        <w:rPr>
          <w:rFonts w:hint="default" w:ascii="Times New Roman" w:hAnsi="Times New Roman" w:eastAsia="宋体" w:cs="Times New Roman"/>
          <w:color w:val="auto"/>
          <w:kern w:val="2"/>
          <w:sz w:val="24"/>
          <w:szCs w:val="24"/>
          <w:u w:val="none" w:color="auto"/>
        </w:rPr>
        <w:t>的捕集效果，捕集率不低于：密闭罩100%、半密闭罩95%、吹吸罩90%、屋顶排烟罩90%。根据本项目特点，中频炉在投加金属、投加</w:t>
      </w:r>
      <w:r>
        <w:rPr>
          <w:rFonts w:hint="eastAsia" w:ascii="Times New Roman" w:hAnsi="Times New Roman" w:eastAsia="宋体" w:cs="Times New Roman"/>
          <w:color w:val="auto"/>
          <w:kern w:val="2"/>
          <w:sz w:val="24"/>
          <w:szCs w:val="24"/>
          <w:u w:val="none" w:color="auto"/>
          <w:lang w:val="en-US" w:eastAsia="zh-CN"/>
        </w:rPr>
        <w:t>辅料</w:t>
      </w:r>
      <w:r>
        <w:rPr>
          <w:rFonts w:hint="default" w:ascii="Times New Roman" w:hAnsi="Times New Roman" w:eastAsia="宋体" w:cs="Times New Roman"/>
          <w:color w:val="auto"/>
          <w:kern w:val="2"/>
          <w:sz w:val="24"/>
          <w:szCs w:val="24"/>
          <w:u w:val="none" w:color="auto"/>
        </w:rPr>
        <w:t>、开炉的时候会有部分废气溢出，因此本项目炉盖一体化装置收集效率按90%计。经计算，本工艺中产生的颗粒物为</w:t>
      </w:r>
      <w:r>
        <w:rPr>
          <w:rFonts w:hint="eastAsia" w:ascii="Times New Roman" w:hAnsi="Times New Roman" w:eastAsia="宋体" w:cs="Times New Roman"/>
          <w:color w:val="auto"/>
          <w:kern w:val="2"/>
          <w:sz w:val="24"/>
          <w:szCs w:val="24"/>
          <w:u w:val="none" w:color="auto"/>
          <w:lang w:val="en-US" w:eastAsia="zh-CN"/>
        </w:rPr>
        <w:t>2.395</w:t>
      </w:r>
      <w:r>
        <w:rPr>
          <w:rFonts w:hint="default" w:ascii="Times New Roman" w:hAnsi="Times New Roman" w:eastAsia="宋体" w:cs="Times New Roman"/>
          <w:color w:val="auto"/>
          <w:kern w:val="2"/>
          <w:sz w:val="24"/>
          <w:szCs w:val="24"/>
          <w:u w:val="none" w:color="auto"/>
        </w:rPr>
        <w:t>t/a，熔炼废气（颗粒物）有组织收集量为</w:t>
      </w:r>
      <w:r>
        <w:rPr>
          <w:rFonts w:hint="eastAsia" w:ascii="Times New Roman" w:hAnsi="Times New Roman" w:eastAsia="宋体" w:cs="Times New Roman"/>
          <w:color w:val="auto"/>
          <w:kern w:val="2"/>
          <w:sz w:val="24"/>
          <w:szCs w:val="24"/>
          <w:u w:val="none" w:color="auto"/>
          <w:lang w:val="en-US" w:eastAsia="zh-CN"/>
        </w:rPr>
        <w:t>2.156</w:t>
      </w:r>
      <w:r>
        <w:rPr>
          <w:rFonts w:hint="default" w:ascii="Times New Roman" w:hAnsi="Times New Roman" w:eastAsia="宋体" w:cs="Times New Roman"/>
          <w:color w:val="auto"/>
          <w:kern w:val="2"/>
          <w:sz w:val="24"/>
          <w:szCs w:val="24"/>
          <w:u w:val="none" w:color="auto"/>
        </w:rPr>
        <w:t>t/a，无组织排放量为0.</w:t>
      </w:r>
      <w:r>
        <w:rPr>
          <w:rFonts w:hint="eastAsia" w:ascii="Times New Roman" w:hAnsi="Times New Roman" w:eastAsia="宋体" w:cs="Times New Roman"/>
          <w:color w:val="auto"/>
          <w:kern w:val="2"/>
          <w:sz w:val="24"/>
          <w:szCs w:val="24"/>
          <w:u w:val="none" w:color="auto"/>
          <w:lang w:val="en-US" w:eastAsia="zh-CN"/>
        </w:rPr>
        <w:t>240</w:t>
      </w:r>
      <w:r>
        <w:rPr>
          <w:rFonts w:hint="default" w:ascii="Times New Roman" w:hAnsi="Times New Roman" w:eastAsia="宋体" w:cs="Times New Roman"/>
          <w:color w:val="auto"/>
          <w:kern w:val="2"/>
          <w:sz w:val="24"/>
          <w:szCs w:val="24"/>
          <w:u w:val="none" w:color="auto"/>
        </w:rPr>
        <w:t>t/a，无组织排放速率为0.0</w:t>
      </w:r>
      <w:r>
        <w:rPr>
          <w:rFonts w:hint="eastAsia" w:ascii="Times New Roman" w:hAnsi="Times New Roman" w:eastAsia="宋体" w:cs="Times New Roman"/>
          <w:color w:val="auto"/>
          <w:kern w:val="2"/>
          <w:sz w:val="24"/>
          <w:szCs w:val="24"/>
          <w:u w:val="none" w:color="auto"/>
          <w:lang w:val="en-US" w:eastAsia="zh-CN"/>
        </w:rPr>
        <w:t>67</w:t>
      </w:r>
      <w:r>
        <w:rPr>
          <w:rFonts w:hint="default" w:ascii="Times New Roman" w:hAnsi="Times New Roman" w:eastAsia="宋体" w:cs="Times New Roman"/>
          <w:color w:val="auto"/>
          <w:kern w:val="2"/>
          <w:sz w:val="24"/>
          <w:szCs w:val="24"/>
          <w:u w:val="none" w:color="auto"/>
        </w:rPr>
        <w:t>kg/h。</w:t>
      </w:r>
    </w:p>
    <w:p w14:paraId="374C71CC">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eastAsia="宋体" w:cs="Times New Roman"/>
          <w:b/>
          <w:color w:val="auto"/>
          <w:sz w:val="24"/>
          <w:szCs w:val="24"/>
        </w:rPr>
      </w:pPr>
      <w:r>
        <w:rPr>
          <w:rFonts w:hint="eastAsia" w:ascii="Times New Roman" w:hAnsi="Times New Roman" w:eastAsia="宋体" w:cs="Times New Roman"/>
          <w:b/>
          <w:color w:val="auto"/>
          <w:sz w:val="24"/>
          <w:szCs w:val="24"/>
          <w:lang w:val="en-US" w:eastAsia="zh-CN"/>
        </w:rPr>
        <w:t>3.造型</w:t>
      </w:r>
      <w:r>
        <w:rPr>
          <w:rFonts w:hint="default" w:ascii="Times New Roman" w:hAnsi="Times New Roman" w:eastAsia="宋体" w:cs="Times New Roman"/>
          <w:b/>
          <w:color w:val="auto"/>
          <w:sz w:val="24"/>
          <w:szCs w:val="24"/>
        </w:rPr>
        <w:t>废气</w:t>
      </w:r>
    </w:p>
    <w:p w14:paraId="4B2D5F6D">
      <w:pPr>
        <w:keepNext w:val="0"/>
        <w:keepLines w:val="0"/>
        <w:widowControl/>
        <w:suppressLineNumbers w:val="0"/>
        <w:autoSpaceDE w:val="0"/>
        <w:snapToGrid w:val="0"/>
        <w:spacing w:before="0" w:beforeAutospacing="0" w:after="0" w:afterAutospacing="0"/>
        <w:ind w:left="0" w:right="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根据《排放源统计调查产排污核算方法和系数手册—机械行业系数手册》中“造型/浇注”工艺中产排污系数表，本项目产污情况如下表。</w:t>
      </w:r>
    </w:p>
    <w:p w14:paraId="7FC41B4A">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b/>
          <w:color w:val="auto"/>
          <w:kern w:val="2"/>
          <w:sz w:val="21"/>
          <w:szCs w:val="21"/>
          <w:lang w:bidi="ar"/>
        </w:rPr>
      </w:pPr>
      <w:r>
        <w:rPr>
          <w:rFonts w:hint="default" w:ascii="Times New Roman" w:hAnsi="Times New Roman" w:eastAsia="宋体" w:cs="Times New Roman"/>
          <w:b/>
          <w:color w:val="auto"/>
          <w:kern w:val="2"/>
          <w:sz w:val="21"/>
          <w:szCs w:val="21"/>
          <w:lang w:bidi="ar"/>
        </w:rPr>
        <w:t xml:space="preserve">表2 </w:t>
      </w:r>
      <w:r>
        <w:rPr>
          <w:rFonts w:hint="default" w:ascii="Times New Roman" w:hAnsi="Times New Roman" w:eastAsia="宋体" w:cs="Times New Roman"/>
          <w:b/>
          <w:color w:val="auto"/>
          <w:kern w:val="2"/>
          <w:sz w:val="21"/>
          <w:szCs w:val="21"/>
          <w:lang w:val="en-US" w:eastAsia="zh-CN" w:bidi="ar"/>
        </w:rPr>
        <w:t>造型</w:t>
      </w:r>
      <w:r>
        <w:rPr>
          <w:rFonts w:hint="default" w:ascii="Times New Roman" w:hAnsi="Times New Roman" w:eastAsia="宋体" w:cs="Times New Roman"/>
          <w:b/>
          <w:color w:val="auto"/>
          <w:kern w:val="2"/>
          <w:sz w:val="21"/>
          <w:szCs w:val="21"/>
          <w:lang w:bidi="ar"/>
        </w:rPr>
        <w:t>废气产排污情况一览表</w:t>
      </w:r>
    </w:p>
    <w:tbl>
      <w:tblPr>
        <w:tblStyle w:val="56"/>
        <w:tblW w:w="4999" w:type="pct"/>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793"/>
        <w:gridCol w:w="1232"/>
        <w:gridCol w:w="1438"/>
        <w:gridCol w:w="1598"/>
        <w:gridCol w:w="1486"/>
        <w:gridCol w:w="879"/>
        <w:gridCol w:w="1397"/>
      </w:tblGrid>
      <w:tr w14:paraId="3936D1A2">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tcBorders>
              <w:top w:val="single" w:color="auto" w:sz="8" w:space="0"/>
              <w:left w:val="single" w:color="auto" w:sz="8" w:space="0"/>
              <w:bottom w:val="single" w:color="auto" w:sz="2" w:space="0"/>
              <w:right w:val="single" w:color="auto" w:sz="2" w:space="0"/>
              <w:tl2br w:val="nil"/>
              <w:tr2bl w:val="nil"/>
            </w:tcBorders>
            <w:noWrap w:val="0"/>
            <w:vAlign w:val="center"/>
          </w:tcPr>
          <w:p w14:paraId="45B94817">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产品名称</w:t>
            </w:r>
          </w:p>
        </w:tc>
        <w:tc>
          <w:tcPr>
            <w:tcW w:w="1156" w:type="dxa"/>
            <w:tcBorders>
              <w:top w:val="single" w:color="auto" w:sz="8" w:space="0"/>
              <w:left w:val="single" w:color="auto" w:sz="2" w:space="0"/>
              <w:bottom w:val="single" w:color="auto" w:sz="2" w:space="0"/>
              <w:right w:val="single" w:color="auto" w:sz="2" w:space="0"/>
              <w:tl2br w:val="nil"/>
              <w:tr2bl w:val="nil"/>
            </w:tcBorders>
            <w:noWrap w:val="0"/>
            <w:vAlign w:val="center"/>
          </w:tcPr>
          <w:p w14:paraId="6CF91AEF">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原料名称</w:t>
            </w:r>
          </w:p>
        </w:tc>
        <w:tc>
          <w:tcPr>
            <w:tcW w:w="1350" w:type="dxa"/>
            <w:tcBorders>
              <w:top w:val="single" w:color="auto" w:sz="8" w:space="0"/>
              <w:left w:val="single" w:color="auto" w:sz="2" w:space="0"/>
              <w:bottom w:val="single" w:color="auto" w:sz="2" w:space="0"/>
              <w:right w:val="single" w:color="auto" w:sz="2" w:space="0"/>
              <w:tl2br w:val="nil"/>
              <w:tr2bl w:val="nil"/>
            </w:tcBorders>
            <w:noWrap w:val="0"/>
            <w:vAlign w:val="center"/>
          </w:tcPr>
          <w:p w14:paraId="5D022429">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工艺名称</w:t>
            </w:r>
          </w:p>
        </w:tc>
        <w:tc>
          <w:tcPr>
            <w:tcW w:w="1500" w:type="dxa"/>
            <w:tcBorders>
              <w:top w:val="single" w:color="auto" w:sz="8" w:space="0"/>
              <w:left w:val="single" w:color="auto" w:sz="2" w:space="0"/>
              <w:bottom w:val="single" w:color="auto" w:sz="2" w:space="0"/>
              <w:right w:val="single" w:color="auto" w:sz="2" w:space="0"/>
              <w:tl2br w:val="nil"/>
              <w:tr2bl w:val="nil"/>
            </w:tcBorders>
            <w:noWrap w:val="0"/>
            <w:vAlign w:val="center"/>
          </w:tcPr>
          <w:p w14:paraId="4055DF07">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污染物指标</w:t>
            </w:r>
          </w:p>
        </w:tc>
        <w:tc>
          <w:tcPr>
            <w:tcW w:w="139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739B4DC7">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单位</w:t>
            </w:r>
          </w:p>
        </w:tc>
        <w:tc>
          <w:tcPr>
            <w:tcW w:w="82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0FBD0321">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产物系数</w:t>
            </w:r>
          </w:p>
        </w:tc>
        <w:tc>
          <w:tcPr>
            <w:tcW w:w="1311" w:type="dxa"/>
            <w:tcBorders>
              <w:top w:val="single" w:color="auto" w:sz="8" w:space="0"/>
              <w:left w:val="single" w:color="auto" w:sz="2" w:space="0"/>
              <w:bottom w:val="single" w:color="auto" w:sz="2" w:space="0"/>
              <w:right w:val="single" w:color="auto" w:sz="8" w:space="0"/>
              <w:tl2br w:val="nil"/>
              <w:tr2bl w:val="nil"/>
            </w:tcBorders>
            <w:noWrap w:val="0"/>
            <w:vAlign w:val="center"/>
          </w:tcPr>
          <w:p w14:paraId="66D2D8E4">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末端治理技术</w:t>
            </w:r>
          </w:p>
        </w:tc>
      </w:tr>
      <w:tr w14:paraId="31DBF667">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vMerge w:val="restart"/>
            <w:tcBorders>
              <w:left w:val="single" w:color="auto" w:sz="8" w:space="0"/>
              <w:right w:val="single" w:color="auto" w:sz="2" w:space="0"/>
              <w:tl2br w:val="nil"/>
              <w:tr2bl w:val="nil"/>
            </w:tcBorders>
            <w:noWrap w:val="0"/>
            <w:vAlign w:val="center"/>
          </w:tcPr>
          <w:p w14:paraId="4F15C95C">
            <w:pPr>
              <w:keepNext w:val="0"/>
              <w:keepLines w:val="0"/>
              <w:suppressLineNumbers w:val="0"/>
              <w:spacing w:before="0" w:beforeLines="0" w:beforeAutospacing="0" w:after="0" w:afterLines="0" w:afterAutospacing="0" w:line="240" w:lineRule="auto"/>
              <w:ind w:left="0" w:right="0"/>
              <w:jc w:val="center"/>
              <w:rPr>
                <w:rFonts w:hint="eastAsia" w:ascii="Times New Roman" w:hAnsi="Times New Roman" w:eastAsia="宋体" w:cs="Times New Roman"/>
                <w:color w:val="auto"/>
                <w:sz w:val="20"/>
                <w:szCs w:val="20"/>
                <w:lang w:val="en-US" w:eastAsia="zh-CN"/>
              </w:rPr>
            </w:pPr>
            <w:r>
              <w:rPr>
                <w:rFonts w:hint="eastAsia" w:ascii="Times New Roman" w:hAnsi="Times New Roman" w:eastAsia="宋体" w:cs="Times New Roman"/>
                <w:color w:val="auto"/>
                <w:sz w:val="20"/>
                <w:szCs w:val="20"/>
                <w:lang w:val="en-US" w:eastAsia="zh-CN"/>
              </w:rPr>
              <w:t>铸件</w:t>
            </w:r>
          </w:p>
        </w:tc>
        <w:tc>
          <w:tcPr>
            <w:tcW w:w="1156" w:type="dxa"/>
            <w:vMerge w:val="restart"/>
            <w:tcBorders>
              <w:top w:val="single" w:color="auto" w:sz="2" w:space="0"/>
              <w:left w:val="single" w:color="auto" w:sz="2" w:space="0"/>
              <w:bottom w:val="single" w:color="auto" w:sz="2" w:space="0"/>
              <w:right w:val="single" w:color="auto" w:sz="2" w:space="0"/>
              <w:tl2br w:val="nil"/>
              <w:tr2bl w:val="nil"/>
            </w:tcBorders>
            <w:noWrap w:val="0"/>
            <w:vAlign w:val="center"/>
          </w:tcPr>
          <w:p w14:paraId="3493C079">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金属液等、脱模剂</w:t>
            </w:r>
          </w:p>
        </w:tc>
        <w:tc>
          <w:tcPr>
            <w:tcW w:w="1350" w:type="dxa"/>
            <w:vMerge w:val="restart"/>
            <w:tcBorders>
              <w:top w:val="single" w:color="auto" w:sz="2" w:space="0"/>
              <w:left w:val="single" w:color="auto" w:sz="2" w:space="0"/>
              <w:bottom w:val="single" w:color="auto" w:sz="2" w:space="0"/>
              <w:right w:val="single" w:color="auto" w:sz="2" w:space="0"/>
              <w:tl2br w:val="nil"/>
              <w:tr2bl w:val="nil"/>
            </w:tcBorders>
            <w:noWrap w:val="0"/>
            <w:vAlign w:val="center"/>
          </w:tcPr>
          <w:p w14:paraId="3F4542AA">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造型/浇注</w:t>
            </w:r>
            <w:r>
              <w:rPr>
                <w:rFonts w:hint="eastAsia" w:ascii="Times New Roman" w:hAnsi="Times New Roman" w:eastAsia="宋体" w:cs="Times New Roman"/>
                <w:color w:val="auto"/>
                <w:sz w:val="21"/>
                <w:szCs w:val="21"/>
                <w:lang w:eastAsia="zh-CN" w:bidi="ar"/>
              </w:rPr>
              <w:t>（</w:t>
            </w:r>
            <w:r>
              <w:rPr>
                <w:rFonts w:hint="default" w:ascii="Times New Roman" w:hAnsi="Times New Roman" w:eastAsia="宋体" w:cs="Times New Roman"/>
                <w:color w:val="auto"/>
                <w:sz w:val="21"/>
                <w:szCs w:val="21"/>
                <w:lang w:bidi="ar"/>
              </w:rPr>
              <w:t>重力、低压：限金属型，石膏/陶瓷型/石墨型等</w:t>
            </w:r>
            <w:r>
              <w:rPr>
                <w:rFonts w:hint="eastAsia" w:ascii="Times New Roman" w:hAnsi="Times New Roman" w:eastAsia="宋体" w:cs="Times New Roman"/>
                <w:color w:val="auto"/>
                <w:sz w:val="21"/>
                <w:szCs w:val="21"/>
                <w:lang w:eastAsia="zh-CN" w:bidi="ar"/>
              </w:rPr>
              <w:t>）</w:t>
            </w:r>
          </w:p>
        </w:tc>
        <w:tc>
          <w:tcPr>
            <w:tcW w:w="1500" w:type="dxa"/>
            <w:tcBorders>
              <w:top w:val="single" w:color="auto" w:sz="2" w:space="0"/>
              <w:left w:val="single" w:color="auto" w:sz="2" w:space="0"/>
              <w:bottom w:val="single" w:color="auto" w:sz="2" w:space="0"/>
              <w:right w:val="single" w:color="auto" w:sz="2" w:space="0"/>
              <w:tl2br w:val="nil"/>
              <w:tr2bl w:val="nil"/>
            </w:tcBorders>
            <w:noWrap w:val="0"/>
            <w:vAlign w:val="center"/>
          </w:tcPr>
          <w:p w14:paraId="7618AD10">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工业废气量</w:t>
            </w:r>
          </w:p>
        </w:tc>
        <w:tc>
          <w:tcPr>
            <w:tcW w:w="139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098BACF3">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立方米/吨产品</w:t>
            </w:r>
          </w:p>
        </w:tc>
        <w:tc>
          <w:tcPr>
            <w:tcW w:w="82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736B47A0">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6000</w:t>
            </w:r>
          </w:p>
        </w:tc>
        <w:tc>
          <w:tcPr>
            <w:tcW w:w="1311" w:type="dxa"/>
            <w:tcBorders>
              <w:top w:val="single" w:color="auto" w:sz="2" w:space="0"/>
              <w:left w:val="single" w:color="auto" w:sz="2" w:space="0"/>
              <w:bottom w:val="single" w:color="auto" w:sz="2" w:space="0"/>
              <w:right w:val="single" w:color="auto" w:sz="8" w:space="0"/>
              <w:tl2br w:val="nil"/>
              <w:tr2bl w:val="nil"/>
            </w:tcBorders>
            <w:noWrap w:val="0"/>
            <w:vAlign w:val="center"/>
          </w:tcPr>
          <w:p w14:paraId="3490A8EA">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8A87D75">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vMerge w:val="continue"/>
            <w:tcBorders>
              <w:left w:val="single" w:color="auto" w:sz="8" w:space="0"/>
              <w:right w:val="single" w:color="auto" w:sz="2" w:space="0"/>
              <w:tl2br w:val="nil"/>
              <w:tr2bl w:val="nil"/>
            </w:tcBorders>
            <w:noWrap w:val="0"/>
            <w:vAlign w:val="center"/>
          </w:tcPr>
          <w:p w14:paraId="5272EE69">
            <w:pPr>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sz w:val="20"/>
                <w:szCs w:val="20"/>
              </w:rPr>
            </w:pPr>
          </w:p>
        </w:tc>
        <w:tc>
          <w:tcPr>
            <w:tcW w:w="1156" w:type="dxa"/>
            <w:vMerge w:val="continue"/>
            <w:tcBorders>
              <w:top w:val="single" w:color="auto" w:sz="2" w:space="0"/>
              <w:left w:val="single" w:color="auto" w:sz="2" w:space="0"/>
              <w:bottom w:val="single" w:color="auto" w:sz="2" w:space="0"/>
              <w:right w:val="single" w:color="auto" w:sz="2" w:space="0"/>
              <w:tl2br w:val="nil"/>
              <w:tr2bl w:val="nil"/>
            </w:tcBorders>
            <w:noWrap w:val="0"/>
            <w:vAlign w:val="center"/>
          </w:tcPr>
          <w:p w14:paraId="23A816AB">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0"/>
                <w:szCs w:val="20"/>
              </w:rPr>
            </w:pPr>
          </w:p>
        </w:tc>
        <w:tc>
          <w:tcPr>
            <w:tcW w:w="1350" w:type="dxa"/>
            <w:vMerge w:val="continue"/>
            <w:tcBorders>
              <w:top w:val="single" w:color="auto" w:sz="2" w:space="0"/>
              <w:left w:val="single" w:color="auto" w:sz="2" w:space="0"/>
              <w:bottom w:val="single" w:color="auto" w:sz="2" w:space="0"/>
              <w:right w:val="single" w:color="auto" w:sz="2" w:space="0"/>
              <w:tl2br w:val="nil"/>
              <w:tr2bl w:val="nil"/>
            </w:tcBorders>
            <w:noWrap w:val="0"/>
            <w:vAlign w:val="center"/>
          </w:tcPr>
          <w:p w14:paraId="6801E5CA">
            <w:pPr>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color w:val="auto"/>
                <w:sz w:val="20"/>
                <w:szCs w:val="20"/>
              </w:rPr>
            </w:pPr>
          </w:p>
        </w:tc>
        <w:tc>
          <w:tcPr>
            <w:tcW w:w="1500" w:type="dxa"/>
            <w:tcBorders>
              <w:top w:val="single" w:color="auto" w:sz="2" w:space="0"/>
              <w:left w:val="single" w:color="auto" w:sz="2" w:space="0"/>
              <w:bottom w:val="single" w:color="auto" w:sz="2" w:space="0"/>
              <w:right w:val="single" w:color="auto" w:sz="2" w:space="0"/>
              <w:tl2br w:val="nil"/>
              <w:tr2bl w:val="nil"/>
            </w:tcBorders>
            <w:noWrap w:val="0"/>
            <w:vAlign w:val="center"/>
          </w:tcPr>
          <w:p w14:paraId="191C7D20">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颗粒物</w:t>
            </w:r>
          </w:p>
        </w:tc>
        <w:tc>
          <w:tcPr>
            <w:tcW w:w="139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59CB7D7C">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千克/吨产品</w:t>
            </w:r>
          </w:p>
        </w:tc>
        <w:tc>
          <w:tcPr>
            <w:tcW w:w="82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5CC4D025">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0.247</w:t>
            </w:r>
          </w:p>
        </w:tc>
        <w:tc>
          <w:tcPr>
            <w:tcW w:w="1311" w:type="dxa"/>
            <w:tcBorders>
              <w:top w:val="single" w:color="auto" w:sz="2" w:space="0"/>
              <w:left w:val="single" w:color="auto" w:sz="2" w:space="0"/>
              <w:bottom w:val="single" w:color="auto" w:sz="2" w:space="0"/>
              <w:right w:val="single" w:color="auto" w:sz="8" w:space="0"/>
              <w:tl2br w:val="nil"/>
              <w:tr2bl w:val="nil"/>
            </w:tcBorders>
            <w:noWrap w:val="0"/>
            <w:vAlign w:val="center"/>
          </w:tcPr>
          <w:p w14:paraId="7BD74EC0">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袋式除尘</w:t>
            </w:r>
          </w:p>
        </w:tc>
      </w:tr>
    </w:tbl>
    <w:p w14:paraId="15AB6FE8">
      <w:pPr>
        <w:keepNext w:val="0"/>
        <w:keepLines w:val="0"/>
        <w:widowControl/>
        <w:suppressLineNumbers w:val="0"/>
        <w:snapToGrid w:val="0"/>
        <w:spacing w:before="0" w:beforeAutospacing="0" w:after="0" w:afterAutospacing="0"/>
        <w:ind w:left="0" w:right="0" w:firstLine="480" w:firstLineChars="200"/>
        <w:jc w:val="both"/>
        <w:rPr>
          <w:rFonts w:hint="default" w:ascii="Times New Roman" w:hAnsi="Times New Roman" w:eastAsia="宋体" w:cs="Times New Roman"/>
          <w:color w:val="auto"/>
          <w:kern w:val="2"/>
          <w:sz w:val="24"/>
          <w:szCs w:val="24"/>
          <w:u w:val="none" w:color="auto"/>
        </w:rPr>
      </w:pPr>
      <w:r>
        <w:rPr>
          <w:rFonts w:hint="default" w:ascii="Times New Roman" w:hAnsi="Times New Roman" w:eastAsia="宋体" w:cs="Times New Roman"/>
          <w:color w:val="auto"/>
          <w:kern w:val="2"/>
          <w:sz w:val="24"/>
          <w:szCs w:val="24"/>
          <w:u w:val="none" w:color="auto"/>
        </w:rPr>
        <w:t>造型过程中产生的废气，参照《排放源统计调查产排污核算方法和系数手册—机械行业系数手册》中“造型/浇注</w:t>
      </w:r>
      <w:r>
        <w:rPr>
          <w:rFonts w:hint="eastAsia" w:ascii="Times New Roman" w:hAnsi="Times New Roman" w:eastAsia="宋体" w:cs="Times New Roman"/>
          <w:color w:val="auto"/>
          <w:kern w:val="2"/>
          <w:sz w:val="24"/>
          <w:szCs w:val="24"/>
          <w:u w:val="none" w:color="auto"/>
          <w:lang w:eastAsia="zh-CN"/>
        </w:rPr>
        <w:t>（</w:t>
      </w:r>
      <w:r>
        <w:rPr>
          <w:rFonts w:hint="default" w:ascii="Times New Roman" w:hAnsi="Times New Roman" w:eastAsia="宋体" w:cs="Times New Roman"/>
          <w:color w:val="auto"/>
          <w:kern w:val="2"/>
          <w:sz w:val="24"/>
          <w:szCs w:val="24"/>
          <w:u w:val="none" w:color="auto"/>
        </w:rPr>
        <w:t>重力、低压：限金属型，石膏/陶瓷型/石墨型等</w:t>
      </w:r>
      <w:r>
        <w:rPr>
          <w:rFonts w:hint="eastAsia" w:ascii="Times New Roman" w:hAnsi="Times New Roman" w:eastAsia="宋体" w:cs="Times New Roman"/>
          <w:color w:val="auto"/>
          <w:kern w:val="2"/>
          <w:sz w:val="24"/>
          <w:szCs w:val="24"/>
          <w:u w:val="none" w:color="auto"/>
          <w:lang w:eastAsia="zh-CN"/>
        </w:rPr>
        <w:t>）</w:t>
      </w:r>
      <w:r>
        <w:rPr>
          <w:rFonts w:hint="default" w:ascii="Times New Roman" w:hAnsi="Times New Roman" w:eastAsia="宋体" w:cs="Times New Roman"/>
          <w:color w:val="auto"/>
          <w:kern w:val="2"/>
          <w:sz w:val="24"/>
          <w:szCs w:val="24"/>
          <w:u w:val="none" w:color="auto"/>
        </w:rPr>
        <w:t>”工艺颗粒物产污系数为0.</w:t>
      </w:r>
      <w:r>
        <w:rPr>
          <w:rFonts w:hint="eastAsia" w:ascii="Times New Roman" w:hAnsi="Times New Roman" w:eastAsia="宋体" w:cs="Times New Roman"/>
          <w:color w:val="auto"/>
          <w:kern w:val="2"/>
          <w:sz w:val="24"/>
          <w:szCs w:val="24"/>
          <w:u w:val="none" w:color="auto"/>
          <w:lang w:val="en-US" w:eastAsia="zh-CN"/>
        </w:rPr>
        <w:t>247</w:t>
      </w:r>
      <w:r>
        <w:rPr>
          <w:rFonts w:hint="default" w:ascii="Times New Roman" w:hAnsi="Times New Roman" w:eastAsia="宋体" w:cs="Times New Roman"/>
          <w:color w:val="auto"/>
          <w:kern w:val="2"/>
          <w:sz w:val="24"/>
          <w:szCs w:val="24"/>
          <w:u w:val="none" w:color="auto"/>
        </w:rPr>
        <w:t>kg/t-产品，每天造型工序运行</w:t>
      </w:r>
      <w:r>
        <w:rPr>
          <w:rFonts w:hint="eastAsia" w:ascii="Times New Roman" w:hAnsi="Times New Roman" w:eastAsia="宋体" w:cs="Times New Roman"/>
          <w:color w:val="auto"/>
          <w:kern w:val="2"/>
          <w:sz w:val="24"/>
          <w:szCs w:val="24"/>
          <w:u w:val="none" w:color="auto"/>
          <w:lang w:val="en-US" w:eastAsia="zh-CN"/>
        </w:rPr>
        <w:t>12</w:t>
      </w:r>
      <w:r>
        <w:rPr>
          <w:rFonts w:hint="default" w:ascii="Times New Roman" w:hAnsi="Times New Roman" w:eastAsia="宋体" w:cs="Times New Roman"/>
          <w:color w:val="auto"/>
          <w:kern w:val="2"/>
          <w:sz w:val="24"/>
          <w:szCs w:val="24"/>
          <w:u w:val="none" w:color="auto"/>
        </w:rPr>
        <w:t>h，年运行时间约为</w:t>
      </w:r>
      <w:r>
        <w:rPr>
          <w:rFonts w:hint="eastAsia" w:ascii="Times New Roman" w:hAnsi="Times New Roman" w:eastAsia="宋体" w:cs="Times New Roman"/>
          <w:color w:val="auto"/>
          <w:kern w:val="2"/>
          <w:sz w:val="24"/>
          <w:szCs w:val="24"/>
          <w:u w:val="none" w:color="auto"/>
          <w:lang w:val="en-US" w:eastAsia="zh-CN"/>
        </w:rPr>
        <w:t>3600</w:t>
      </w:r>
      <w:r>
        <w:rPr>
          <w:rFonts w:hint="default" w:ascii="Times New Roman" w:hAnsi="Times New Roman" w:eastAsia="宋体" w:cs="Times New Roman"/>
          <w:color w:val="auto"/>
          <w:kern w:val="2"/>
          <w:sz w:val="24"/>
          <w:szCs w:val="24"/>
          <w:u w:val="none" w:color="auto"/>
        </w:rPr>
        <w:t>h</w:t>
      </w:r>
      <w:r>
        <w:rPr>
          <w:rFonts w:hint="eastAsia" w:ascii="Times New Roman" w:hAnsi="Times New Roman" w:eastAsia="宋体" w:cs="Times New Roman"/>
          <w:color w:val="auto"/>
          <w:kern w:val="2"/>
          <w:sz w:val="24"/>
          <w:szCs w:val="24"/>
          <w:u w:val="none" w:color="auto"/>
          <w:lang w:eastAsia="zh-CN"/>
        </w:rPr>
        <w:t>。</w:t>
      </w:r>
      <w:r>
        <w:rPr>
          <w:rFonts w:hint="default" w:ascii="Times New Roman" w:hAnsi="Times New Roman" w:eastAsia="宋体" w:cs="Times New Roman"/>
          <w:color w:val="auto"/>
          <w:kern w:val="2"/>
          <w:sz w:val="24"/>
          <w:szCs w:val="24"/>
          <w:u w:val="none" w:color="auto"/>
        </w:rPr>
        <w:t>本项目</w:t>
      </w:r>
      <w:r>
        <w:rPr>
          <w:rFonts w:hint="default" w:ascii="Times New Roman" w:hAnsi="Times New Roman" w:eastAsia="宋体" w:cs="Times New Roman"/>
          <w:color w:val="auto"/>
          <w:kern w:val="2"/>
          <w:sz w:val="24"/>
          <w:szCs w:val="24"/>
          <w:u w:val="none" w:color="auto"/>
          <w:lang w:val="en-US" w:eastAsia="zh-CN"/>
        </w:rPr>
        <w:t>造型</w:t>
      </w:r>
      <w:r>
        <w:rPr>
          <w:rFonts w:hint="eastAsia" w:ascii="Times New Roman" w:hAnsi="Times New Roman" w:eastAsia="宋体" w:cs="Times New Roman"/>
          <w:color w:val="auto"/>
          <w:kern w:val="2"/>
          <w:sz w:val="24"/>
          <w:szCs w:val="24"/>
          <w:u w:val="none" w:color="auto"/>
          <w:lang w:val="en-US" w:eastAsia="zh-CN"/>
        </w:rPr>
        <w:t>工序采用集气罩对废气进行收集，</w:t>
      </w:r>
      <w:r>
        <w:rPr>
          <w:rFonts w:hint="default" w:ascii="Times New Roman" w:hAnsi="Times New Roman" w:eastAsia="宋体" w:cs="Times New Roman"/>
          <w:color w:val="auto"/>
          <w:kern w:val="2"/>
          <w:sz w:val="24"/>
          <w:szCs w:val="24"/>
          <w:u w:val="none" w:color="auto"/>
        </w:rPr>
        <w:t>采用的集气罩属于顶吸罩，</w:t>
      </w:r>
      <w:r>
        <w:rPr>
          <w:rFonts w:hint="default" w:ascii="Times New Roman" w:hAnsi="Times New Roman" w:eastAsia="宋体" w:cs="Times New Roman"/>
          <w:color w:val="auto"/>
          <w:kern w:val="2"/>
          <w:sz w:val="24"/>
          <w:szCs w:val="24"/>
          <w:u w:val="none" w:color="auto"/>
          <w:lang w:val="en-US" w:eastAsia="zh-CN"/>
        </w:rPr>
        <w:t>根据上文分析</w:t>
      </w:r>
      <w:r>
        <w:rPr>
          <w:rFonts w:hint="default" w:ascii="Times New Roman" w:hAnsi="Times New Roman" w:eastAsia="宋体" w:cs="Times New Roman"/>
          <w:color w:val="auto"/>
          <w:kern w:val="2"/>
          <w:sz w:val="24"/>
          <w:szCs w:val="24"/>
          <w:u w:val="none" w:color="auto"/>
        </w:rPr>
        <w:t>集气罩收集效率取值为90%。经计算，本工艺中产生的颗粒物为</w:t>
      </w:r>
      <w:r>
        <w:rPr>
          <w:rFonts w:hint="eastAsia" w:ascii="Times New Roman" w:hAnsi="Times New Roman" w:eastAsia="宋体" w:cs="Times New Roman"/>
          <w:color w:val="auto"/>
          <w:kern w:val="2"/>
          <w:sz w:val="24"/>
          <w:szCs w:val="24"/>
          <w:u w:val="none" w:color="auto"/>
          <w:lang w:val="en-US" w:eastAsia="zh-CN"/>
        </w:rPr>
        <w:t>1.235</w:t>
      </w:r>
      <w:r>
        <w:rPr>
          <w:rFonts w:hint="default" w:ascii="Times New Roman" w:hAnsi="Times New Roman" w:eastAsia="宋体" w:cs="Times New Roman"/>
          <w:color w:val="auto"/>
          <w:kern w:val="2"/>
          <w:sz w:val="24"/>
          <w:szCs w:val="24"/>
          <w:u w:val="none" w:color="auto"/>
        </w:rPr>
        <w:t>t/a，则有组织废气产生量为1.</w:t>
      </w:r>
      <w:r>
        <w:rPr>
          <w:rFonts w:hint="eastAsia" w:ascii="Times New Roman" w:hAnsi="Times New Roman" w:eastAsia="宋体" w:cs="Times New Roman"/>
          <w:color w:val="auto"/>
          <w:kern w:val="2"/>
          <w:sz w:val="24"/>
          <w:szCs w:val="24"/>
          <w:u w:val="none" w:color="auto"/>
          <w:lang w:val="en-US" w:eastAsia="zh-CN"/>
        </w:rPr>
        <w:t>112</w:t>
      </w:r>
      <w:r>
        <w:rPr>
          <w:rFonts w:hint="default" w:ascii="Times New Roman" w:hAnsi="Times New Roman" w:eastAsia="宋体" w:cs="Times New Roman"/>
          <w:color w:val="auto"/>
          <w:kern w:val="2"/>
          <w:sz w:val="24"/>
          <w:szCs w:val="24"/>
          <w:u w:val="none" w:color="auto"/>
        </w:rPr>
        <w:t>t/a，无组织废气产生量为0.1</w:t>
      </w:r>
      <w:r>
        <w:rPr>
          <w:rFonts w:hint="eastAsia" w:ascii="Times New Roman" w:hAnsi="Times New Roman" w:eastAsia="宋体" w:cs="Times New Roman"/>
          <w:color w:val="auto"/>
          <w:kern w:val="2"/>
          <w:sz w:val="24"/>
          <w:szCs w:val="24"/>
          <w:u w:val="none" w:color="auto"/>
          <w:lang w:val="en-US" w:eastAsia="zh-CN"/>
        </w:rPr>
        <w:t>24</w:t>
      </w:r>
      <w:r>
        <w:rPr>
          <w:rFonts w:hint="default" w:ascii="Times New Roman" w:hAnsi="Times New Roman" w:eastAsia="宋体" w:cs="Times New Roman"/>
          <w:color w:val="auto"/>
          <w:kern w:val="2"/>
          <w:sz w:val="24"/>
          <w:szCs w:val="24"/>
          <w:u w:val="none" w:color="auto"/>
        </w:rPr>
        <w:t>t/a</w:t>
      </w:r>
      <w:r>
        <w:rPr>
          <w:rFonts w:hint="eastAsia" w:ascii="Times New Roman" w:hAnsi="Times New Roman" w:eastAsia="宋体" w:cs="Times New Roman"/>
          <w:color w:val="auto"/>
          <w:kern w:val="2"/>
          <w:sz w:val="24"/>
          <w:szCs w:val="24"/>
          <w:u w:val="none" w:color="auto"/>
          <w:lang w:eastAsia="zh-CN"/>
        </w:rPr>
        <w:t>，无组织排放速率为0.0</w:t>
      </w:r>
      <w:r>
        <w:rPr>
          <w:rFonts w:hint="eastAsia" w:ascii="Times New Roman" w:hAnsi="Times New Roman" w:eastAsia="宋体" w:cs="Times New Roman"/>
          <w:color w:val="auto"/>
          <w:kern w:val="2"/>
          <w:sz w:val="24"/>
          <w:szCs w:val="24"/>
          <w:u w:val="none" w:color="auto"/>
          <w:lang w:val="en-US" w:eastAsia="zh-CN"/>
        </w:rPr>
        <w:t>34</w:t>
      </w:r>
      <w:r>
        <w:rPr>
          <w:rFonts w:hint="eastAsia" w:ascii="Times New Roman" w:hAnsi="Times New Roman" w:eastAsia="宋体" w:cs="Times New Roman"/>
          <w:color w:val="auto"/>
          <w:kern w:val="2"/>
          <w:sz w:val="24"/>
          <w:szCs w:val="24"/>
          <w:u w:val="none" w:color="auto"/>
          <w:lang w:eastAsia="zh-CN"/>
        </w:rPr>
        <w:t>kg/h</w:t>
      </w:r>
      <w:r>
        <w:rPr>
          <w:rFonts w:hint="default" w:ascii="Times New Roman" w:hAnsi="Times New Roman" w:eastAsia="宋体" w:cs="Times New Roman"/>
          <w:color w:val="auto"/>
          <w:kern w:val="2"/>
          <w:sz w:val="24"/>
          <w:szCs w:val="24"/>
          <w:u w:val="none" w:color="auto"/>
        </w:rPr>
        <w:t>。</w:t>
      </w:r>
    </w:p>
    <w:p w14:paraId="6668CCDA">
      <w:pPr>
        <w:keepNext w:val="0"/>
        <w:keepLines w:val="0"/>
        <w:numPr>
          <w:ilvl w:val="0"/>
          <w:numId w:val="0"/>
        </w:numPr>
        <w:suppressLineNumbers w:val="0"/>
        <w:spacing w:before="0" w:beforeLines="0" w:beforeAutospacing="0" w:after="0" w:afterLines="0" w:afterAutospacing="0"/>
        <w:ind w:left="0" w:right="0" w:firstLine="482" w:firstLineChars="200"/>
        <w:jc w:val="both"/>
        <w:rPr>
          <w:rFonts w:hint="default" w:ascii="Times New Roman" w:hAnsi="Times New Roman" w:eastAsia="宋体" w:cs="Times New Roman"/>
          <w:b/>
          <w:color w:val="auto"/>
          <w:sz w:val="24"/>
          <w:szCs w:val="24"/>
        </w:rPr>
      </w:pPr>
      <w:r>
        <w:rPr>
          <w:rFonts w:hint="eastAsia" w:ascii="Times New Roman" w:hAnsi="Times New Roman" w:eastAsia="宋体" w:cs="Times New Roman"/>
          <w:b/>
          <w:color w:val="auto"/>
          <w:sz w:val="24"/>
          <w:szCs w:val="24"/>
          <w:lang w:val="en-US" w:eastAsia="zh-CN"/>
        </w:rPr>
        <w:t>4.</w:t>
      </w:r>
      <w:r>
        <w:rPr>
          <w:rFonts w:hint="default" w:ascii="Times New Roman" w:hAnsi="Times New Roman" w:eastAsia="宋体" w:cs="Times New Roman"/>
          <w:b/>
          <w:color w:val="auto"/>
          <w:sz w:val="24"/>
          <w:szCs w:val="24"/>
        </w:rPr>
        <w:t>砂处理工序</w:t>
      </w:r>
    </w:p>
    <w:p w14:paraId="74EEB4A1">
      <w:pPr>
        <w:keepNext w:val="0"/>
        <w:keepLines w:val="0"/>
        <w:widowControl/>
        <w:suppressLineNumbers w:val="0"/>
        <w:autoSpaceDE w:val="0"/>
        <w:snapToGrid w:val="0"/>
        <w:spacing w:before="0" w:beforeLines="0" w:beforeAutospacing="0" w:after="0" w:afterLines="0" w:afterAutospacing="0"/>
        <w:ind w:left="0" w:right="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《排放源统计调查产排污核算方法和系数手册—机械行业系数手册》</w:t>
      </w:r>
      <w:r>
        <w:rPr>
          <w:rFonts w:hint="eastAsia" w:ascii="Times New Roman" w:hAnsi="Times New Roman" w:eastAsia="宋体" w:cs="Times New Roman"/>
          <w:color w:val="auto"/>
          <w:kern w:val="2"/>
          <w:sz w:val="24"/>
          <w:szCs w:val="24"/>
          <w:lang w:val="en-US" w:eastAsia="zh-CN" w:bidi="ar"/>
        </w:rPr>
        <w:t>中无金属覆砂（水玻璃砂）“砂处理”工艺产排污系数，铁模覆砂（水玻璃砂）砂处理原料与砂处理（熔模）相近，因此</w:t>
      </w:r>
      <w:r>
        <w:rPr>
          <w:rFonts w:hint="default" w:ascii="Times New Roman" w:hAnsi="Times New Roman" w:eastAsia="宋体" w:cs="Times New Roman"/>
          <w:color w:val="auto"/>
          <w:kern w:val="2"/>
          <w:sz w:val="24"/>
          <w:szCs w:val="24"/>
          <w:lang w:bidi="ar"/>
        </w:rPr>
        <w:t>根据《排放源统计调查产排污核算方法和系数手册—机械行业系数手册》中“</w:t>
      </w:r>
      <w:r>
        <w:rPr>
          <w:rFonts w:hint="default" w:ascii="Times New Roman" w:hAnsi="Times New Roman" w:eastAsia="宋体" w:cs="Times New Roman"/>
          <w:color w:val="auto"/>
          <w:kern w:val="2"/>
          <w:sz w:val="24"/>
          <w:szCs w:val="24"/>
          <w:lang w:val="en-US" w:eastAsia="zh-CN" w:bidi="ar"/>
        </w:rPr>
        <w:t>砂处理（熔模）</w:t>
      </w:r>
      <w:r>
        <w:rPr>
          <w:rFonts w:hint="default" w:ascii="Times New Roman" w:hAnsi="Times New Roman" w:eastAsia="宋体" w:cs="Times New Roman"/>
          <w:color w:val="auto"/>
          <w:kern w:val="2"/>
          <w:sz w:val="24"/>
          <w:szCs w:val="24"/>
          <w:lang w:bidi="ar"/>
        </w:rPr>
        <w:t>”工艺中产排污系数</w:t>
      </w:r>
      <w:r>
        <w:rPr>
          <w:rFonts w:hint="eastAsia" w:ascii="Times New Roman" w:hAnsi="Times New Roman" w:eastAsia="宋体" w:cs="Times New Roman"/>
          <w:color w:val="auto"/>
          <w:kern w:val="2"/>
          <w:sz w:val="24"/>
          <w:szCs w:val="24"/>
          <w:lang w:val="en-US" w:eastAsia="zh-CN" w:bidi="ar"/>
        </w:rPr>
        <w:t>进行核算</w:t>
      </w:r>
      <w:r>
        <w:rPr>
          <w:rFonts w:hint="default" w:ascii="Times New Roman" w:hAnsi="Times New Roman" w:eastAsia="宋体" w:cs="Times New Roman"/>
          <w:color w:val="auto"/>
          <w:kern w:val="2"/>
          <w:sz w:val="24"/>
          <w:szCs w:val="24"/>
          <w:lang w:bidi="ar"/>
        </w:rPr>
        <w:t>，本项目产污情况如下表。</w:t>
      </w:r>
    </w:p>
    <w:p w14:paraId="0445AFC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kern w:val="2"/>
          <w:sz w:val="21"/>
          <w:szCs w:val="21"/>
        </w:rPr>
      </w:pPr>
      <w:r>
        <w:rPr>
          <w:rFonts w:hint="default" w:ascii="Times New Roman" w:hAnsi="Times New Roman" w:eastAsia="宋体" w:cs="Times New Roman"/>
          <w:b/>
          <w:color w:val="auto"/>
          <w:kern w:val="2"/>
          <w:sz w:val="21"/>
          <w:szCs w:val="21"/>
          <w:lang w:bidi="ar"/>
        </w:rPr>
        <w:t>表</w:t>
      </w:r>
      <w:r>
        <w:rPr>
          <w:rFonts w:hint="eastAsia" w:ascii="Times New Roman" w:hAnsi="Times New Roman" w:eastAsia="宋体" w:cs="Times New Roman"/>
          <w:b/>
          <w:color w:val="auto"/>
          <w:kern w:val="2"/>
          <w:sz w:val="21"/>
          <w:szCs w:val="21"/>
          <w:lang w:val="en-US" w:eastAsia="zh-CN" w:bidi="ar"/>
        </w:rPr>
        <w:t>3</w:t>
      </w:r>
      <w:r>
        <w:rPr>
          <w:rFonts w:hint="default" w:ascii="Times New Roman" w:hAnsi="Times New Roman" w:eastAsia="宋体" w:cs="Times New Roman"/>
          <w:b/>
          <w:color w:val="auto"/>
          <w:kern w:val="2"/>
          <w:sz w:val="21"/>
          <w:szCs w:val="21"/>
          <w:lang w:bidi="ar"/>
        </w:rPr>
        <w:t xml:space="preserve"> 砂处理废气产排污情况一览表</w:t>
      </w:r>
    </w:p>
    <w:tbl>
      <w:tblPr>
        <w:tblStyle w:val="56"/>
        <w:tblW w:w="8281" w:type="dxa"/>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744"/>
        <w:gridCol w:w="1381"/>
        <w:gridCol w:w="1470"/>
        <w:gridCol w:w="1155"/>
        <w:gridCol w:w="1395"/>
        <w:gridCol w:w="825"/>
        <w:gridCol w:w="1311"/>
      </w:tblGrid>
      <w:tr w14:paraId="1153792C">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tcBorders>
              <w:top w:val="single" w:color="auto" w:sz="8" w:space="0"/>
              <w:left w:val="single" w:color="auto" w:sz="8" w:space="0"/>
              <w:bottom w:val="single" w:color="auto" w:sz="2" w:space="0"/>
              <w:right w:val="single" w:color="auto" w:sz="2" w:space="0"/>
              <w:tl2br w:val="nil"/>
              <w:tr2bl w:val="nil"/>
            </w:tcBorders>
            <w:noWrap w:val="0"/>
            <w:vAlign w:val="center"/>
          </w:tcPr>
          <w:p w14:paraId="2D31AECF">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产品名称</w:t>
            </w:r>
          </w:p>
        </w:tc>
        <w:tc>
          <w:tcPr>
            <w:tcW w:w="1381" w:type="dxa"/>
            <w:tcBorders>
              <w:top w:val="single" w:color="auto" w:sz="8" w:space="0"/>
              <w:left w:val="single" w:color="auto" w:sz="2" w:space="0"/>
              <w:bottom w:val="single" w:color="auto" w:sz="2" w:space="0"/>
              <w:right w:val="single" w:color="auto" w:sz="2" w:space="0"/>
              <w:tl2br w:val="nil"/>
              <w:tr2bl w:val="nil"/>
            </w:tcBorders>
            <w:noWrap w:val="0"/>
            <w:vAlign w:val="center"/>
          </w:tcPr>
          <w:p w14:paraId="079D3178">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原料名称</w:t>
            </w:r>
          </w:p>
        </w:tc>
        <w:tc>
          <w:tcPr>
            <w:tcW w:w="1470" w:type="dxa"/>
            <w:tcBorders>
              <w:top w:val="single" w:color="auto" w:sz="8" w:space="0"/>
              <w:left w:val="single" w:color="auto" w:sz="2" w:space="0"/>
              <w:bottom w:val="single" w:color="auto" w:sz="2" w:space="0"/>
              <w:right w:val="single" w:color="auto" w:sz="2" w:space="0"/>
              <w:tl2br w:val="nil"/>
              <w:tr2bl w:val="nil"/>
            </w:tcBorders>
            <w:noWrap w:val="0"/>
            <w:vAlign w:val="center"/>
          </w:tcPr>
          <w:p w14:paraId="505EE639">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工艺名称</w:t>
            </w:r>
          </w:p>
        </w:tc>
        <w:tc>
          <w:tcPr>
            <w:tcW w:w="115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52D47843">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污染物指标</w:t>
            </w:r>
          </w:p>
        </w:tc>
        <w:tc>
          <w:tcPr>
            <w:tcW w:w="139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0839A7D5">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单位</w:t>
            </w:r>
          </w:p>
        </w:tc>
        <w:tc>
          <w:tcPr>
            <w:tcW w:w="82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7E327EAE">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产物系数</w:t>
            </w:r>
          </w:p>
        </w:tc>
        <w:tc>
          <w:tcPr>
            <w:tcW w:w="1311" w:type="dxa"/>
            <w:tcBorders>
              <w:top w:val="single" w:color="auto" w:sz="8" w:space="0"/>
              <w:left w:val="single" w:color="auto" w:sz="2" w:space="0"/>
              <w:bottom w:val="single" w:color="auto" w:sz="2" w:space="0"/>
              <w:right w:val="single" w:color="auto" w:sz="8" w:space="0"/>
              <w:tl2br w:val="nil"/>
              <w:tr2bl w:val="nil"/>
            </w:tcBorders>
            <w:noWrap w:val="0"/>
            <w:vAlign w:val="center"/>
          </w:tcPr>
          <w:p w14:paraId="19EE837D">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末端治理技术</w:t>
            </w:r>
          </w:p>
        </w:tc>
      </w:tr>
      <w:tr w14:paraId="379319DD">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vMerge w:val="restart"/>
            <w:tcBorders>
              <w:top w:val="single" w:color="auto" w:sz="2" w:space="0"/>
              <w:left w:val="single" w:color="auto" w:sz="8" w:space="0"/>
              <w:bottom w:val="single" w:color="auto" w:sz="2" w:space="0"/>
              <w:right w:val="single" w:color="auto" w:sz="2" w:space="0"/>
              <w:tl2br w:val="nil"/>
              <w:tr2bl w:val="nil"/>
            </w:tcBorders>
            <w:noWrap w:val="0"/>
            <w:vAlign w:val="center"/>
          </w:tcPr>
          <w:p w14:paraId="5B7B4984">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铸件</w:t>
            </w:r>
          </w:p>
        </w:tc>
        <w:tc>
          <w:tcPr>
            <w:tcW w:w="1381" w:type="dxa"/>
            <w:vMerge w:val="restart"/>
            <w:tcBorders>
              <w:top w:val="single" w:color="auto" w:sz="2" w:space="0"/>
              <w:left w:val="single" w:color="auto" w:sz="2" w:space="0"/>
              <w:bottom w:val="single" w:color="auto" w:sz="2" w:space="0"/>
              <w:right w:val="single" w:color="auto" w:sz="2" w:space="0"/>
              <w:tl2br w:val="nil"/>
              <w:tr2bl w:val="nil"/>
            </w:tcBorders>
            <w:noWrap w:val="0"/>
            <w:vAlign w:val="center"/>
          </w:tcPr>
          <w:p w14:paraId="0A3B2B7C">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水玻璃、硅溶胶、原砂、再生砂、硬化剂</w:t>
            </w:r>
          </w:p>
        </w:tc>
        <w:tc>
          <w:tcPr>
            <w:tcW w:w="1470" w:type="dxa"/>
            <w:vMerge w:val="restart"/>
            <w:tcBorders>
              <w:top w:val="single" w:color="auto" w:sz="2" w:space="0"/>
              <w:left w:val="single" w:color="auto" w:sz="2" w:space="0"/>
              <w:bottom w:val="single" w:color="auto" w:sz="2" w:space="0"/>
              <w:right w:val="single" w:color="auto" w:sz="2" w:space="0"/>
              <w:tl2br w:val="nil"/>
              <w:tr2bl w:val="nil"/>
            </w:tcBorders>
            <w:noWrap w:val="0"/>
            <w:vAlign w:val="center"/>
          </w:tcPr>
          <w:p w14:paraId="3324D1B6">
            <w:pPr>
              <w:keepNext w:val="0"/>
              <w:keepLines w:val="0"/>
              <w:widowControl/>
              <w:suppressLineNumbers w:val="0"/>
              <w:autoSpaceDE w:val="0"/>
              <w:snapToGrid w:val="0"/>
              <w:spacing w:before="0" w:beforeAutospacing="0" w:after="0" w:afterAutospacing="0" w:line="240" w:lineRule="auto"/>
              <w:ind w:left="0" w:right="0"/>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bidi="ar"/>
              </w:rPr>
              <w:t>砂处理</w:t>
            </w:r>
            <w:r>
              <w:rPr>
                <w:rFonts w:hint="eastAsia" w:ascii="Times New Roman" w:hAnsi="Times New Roman" w:eastAsia="宋体" w:cs="Times New Roman"/>
                <w:color w:val="auto"/>
                <w:sz w:val="21"/>
                <w:szCs w:val="21"/>
                <w:lang w:eastAsia="zh-CN" w:bidi="ar"/>
              </w:rPr>
              <w:t>（</w:t>
            </w:r>
            <w:r>
              <w:rPr>
                <w:rFonts w:hint="eastAsia" w:ascii="Times New Roman" w:hAnsi="Times New Roman" w:eastAsia="宋体" w:cs="Times New Roman"/>
                <w:color w:val="auto"/>
                <w:sz w:val="21"/>
                <w:szCs w:val="21"/>
                <w:lang w:val="en-US" w:eastAsia="zh-CN" w:bidi="ar"/>
              </w:rPr>
              <w:t>熔模</w:t>
            </w:r>
            <w:r>
              <w:rPr>
                <w:rFonts w:hint="eastAsia" w:ascii="Times New Roman" w:hAnsi="Times New Roman" w:eastAsia="宋体" w:cs="Times New Roman"/>
                <w:color w:val="auto"/>
                <w:sz w:val="21"/>
                <w:szCs w:val="21"/>
                <w:lang w:eastAsia="zh-CN" w:bidi="ar"/>
              </w:rPr>
              <w:t>）</w:t>
            </w:r>
          </w:p>
        </w:tc>
        <w:tc>
          <w:tcPr>
            <w:tcW w:w="115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4C210133">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工业废气量</w:t>
            </w:r>
          </w:p>
        </w:tc>
        <w:tc>
          <w:tcPr>
            <w:tcW w:w="139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2142B56C">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立方米/吨产品</w:t>
            </w:r>
          </w:p>
        </w:tc>
        <w:tc>
          <w:tcPr>
            <w:tcW w:w="82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0C80C0FB">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15347</w:t>
            </w:r>
          </w:p>
        </w:tc>
        <w:tc>
          <w:tcPr>
            <w:tcW w:w="1311" w:type="dxa"/>
            <w:tcBorders>
              <w:top w:val="single" w:color="auto" w:sz="2" w:space="0"/>
              <w:left w:val="single" w:color="auto" w:sz="2" w:space="0"/>
              <w:bottom w:val="single" w:color="auto" w:sz="2" w:space="0"/>
              <w:right w:val="single" w:color="auto" w:sz="8" w:space="0"/>
              <w:tl2br w:val="nil"/>
              <w:tr2bl w:val="nil"/>
            </w:tcBorders>
            <w:noWrap w:val="0"/>
            <w:vAlign w:val="center"/>
          </w:tcPr>
          <w:p w14:paraId="5C3C7768">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A64ED89">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vMerge w:val="continue"/>
            <w:tcBorders>
              <w:top w:val="single" w:color="auto" w:sz="2" w:space="0"/>
              <w:left w:val="single" w:color="auto" w:sz="8" w:space="0"/>
              <w:bottom w:val="single" w:color="auto" w:sz="2" w:space="0"/>
              <w:right w:val="single" w:color="auto" w:sz="2" w:space="0"/>
              <w:tl2br w:val="nil"/>
              <w:tr2bl w:val="nil"/>
            </w:tcBorders>
            <w:noWrap w:val="0"/>
            <w:vAlign w:val="center"/>
          </w:tcPr>
          <w:p w14:paraId="649EFF33">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bidi="ar"/>
              </w:rPr>
            </w:pPr>
          </w:p>
        </w:tc>
        <w:tc>
          <w:tcPr>
            <w:tcW w:w="1381" w:type="dxa"/>
            <w:vMerge w:val="continue"/>
            <w:tcBorders>
              <w:top w:val="single" w:color="auto" w:sz="2" w:space="0"/>
              <w:left w:val="single" w:color="auto" w:sz="2" w:space="0"/>
              <w:bottom w:val="single" w:color="auto" w:sz="2" w:space="0"/>
              <w:right w:val="single" w:color="auto" w:sz="2" w:space="0"/>
              <w:tl2br w:val="nil"/>
              <w:tr2bl w:val="nil"/>
            </w:tcBorders>
            <w:noWrap w:val="0"/>
            <w:vAlign w:val="center"/>
          </w:tcPr>
          <w:p w14:paraId="0E1CDC8C">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bidi="ar"/>
              </w:rPr>
            </w:pPr>
          </w:p>
        </w:tc>
        <w:tc>
          <w:tcPr>
            <w:tcW w:w="1470" w:type="dxa"/>
            <w:vMerge w:val="continue"/>
            <w:tcBorders>
              <w:top w:val="single" w:color="auto" w:sz="2" w:space="0"/>
              <w:left w:val="single" w:color="auto" w:sz="2" w:space="0"/>
              <w:bottom w:val="single" w:color="auto" w:sz="2" w:space="0"/>
              <w:right w:val="single" w:color="auto" w:sz="2" w:space="0"/>
              <w:tl2br w:val="nil"/>
              <w:tr2bl w:val="nil"/>
            </w:tcBorders>
            <w:noWrap w:val="0"/>
            <w:vAlign w:val="center"/>
          </w:tcPr>
          <w:p w14:paraId="5E7A2C14">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bidi="ar"/>
              </w:rPr>
            </w:pPr>
          </w:p>
        </w:tc>
        <w:tc>
          <w:tcPr>
            <w:tcW w:w="115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4F465AF9">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颗粒物</w:t>
            </w:r>
          </w:p>
        </w:tc>
        <w:tc>
          <w:tcPr>
            <w:tcW w:w="139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5EE12909">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千克/吨产品</w:t>
            </w:r>
          </w:p>
        </w:tc>
        <w:tc>
          <w:tcPr>
            <w:tcW w:w="82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382F7D41">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
              </w:rPr>
              <w:t>3.48</w:t>
            </w:r>
          </w:p>
        </w:tc>
        <w:tc>
          <w:tcPr>
            <w:tcW w:w="1311" w:type="dxa"/>
            <w:tcBorders>
              <w:top w:val="single" w:color="auto" w:sz="2" w:space="0"/>
              <w:left w:val="single" w:color="auto" w:sz="2" w:space="0"/>
              <w:bottom w:val="single" w:color="auto" w:sz="2" w:space="0"/>
              <w:right w:val="single" w:color="auto" w:sz="8" w:space="0"/>
              <w:tl2br w:val="nil"/>
              <w:tr2bl w:val="nil"/>
            </w:tcBorders>
            <w:noWrap w:val="0"/>
            <w:vAlign w:val="center"/>
          </w:tcPr>
          <w:p w14:paraId="147FAE67">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袋式除尘</w:t>
            </w:r>
          </w:p>
        </w:tc>
      </w:tr>
    </w:tbl>
    <w:p w14:paraId="4739BE22">
      <w:pPr>
        <w:keepNext w:val="0"/>
        <w:keepLines w:val="0"/>
        <w:widowControl/>
        <w:suppressLineNumbers w:val="0"/>
        <w:snapToGrid w:val="0"/>
        <w:spacing w:before="0" w:beforeLines="0" w:beforeAutospacing="0" w:after="0" w:afterLines="0" w:afterAutospacing="0"/>
        <w:ind w:left="0" w:right="0" w:firstLine="480" w:firstLineChars="200"/>
        <w:jc w:val="both"/>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砂处理工序年运行时间为</w:t>
      </w:r>
      <w:r>
        <w:rPr>
          <w:rFonts w:hint="eastAsia" w:ascii="Times New Roman" w:hAnsi="Times New Roman" w:eastAsia="宋体" w:cs="Times New Roman"/>
          <w:color w:val="auto"/>
          <w:sz w:val="24"/>
          <w:szCs w:val="24"/>
          <w:u w:val="none" w:color="auto"/>
          <w:lang w:val="en-US" w:eastAsia="zh-CN"/>
        </w:rPr>
        <w:t>3600</w:t>
      </w:r>
      <w:r>
        <w:rPr>
          <w:rFonts w:hint="default" w:ascii="Times New Roman" w:hAnsi="Times New Roman" w:eastAsia="宋体" w:cs="Times New Roman"/>
          <w:color w:val="auto"/>
          <w:sz w:val="24"/>
          <w:szCs w:val="24"/>
          <w:u w:val="none" w:color="auto"/>
        </w:rPr>
        <w:t>h，本项目砂处理</w:t>
      </w:r>
      <w:r>
        <w:rPr>
          <w:rFonts w:hint="default" w:ascii="Times New Roman" w:hAnsi="Times New Roman" w:eastAsia="宋体" w:cs="Times New Roman"/>
          <w:color w:val="auto"/>
          <w:sz w:val="24"/>
          <w:szCs w:val="24"/>
          <w:u w:val="none" w:color="auto"/>
          <w:lang w:val="en-US" w:eastAsia="zh-CN"/>
        </w:rPr>
        <w:t>工序密闭</w:t>
      </w:r>
      <w:r>
        <w:rPr>
          <w:rFonts w:hint="default"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砂处理</w:t>
      </w:r>
      <w:r>
        <w:rPr>
          <w:rFonts w:hint="default" w:ascii="Times New Roman" w:hAnsi="Times New Roman" w:eastAsia="宋体" w:cs="Times New Roman"/>
          <w:color w:val="auto"/>
          <w:sz w:val="24"/>
          <w:szCs w:val="24"/>
          <w:u w:val="none" w:color="auto"/>
        </w:rPr>
        <w:t>废气经设备密闭操作+自带集气管道收集，集气效率</w:t>
      </w:r>
      <w:r>
        <w:rPr>
          <w:rFonts w:hint="default" w:ascii="Times New Roman" w:hAnsi="Times New Roman" w:eastAsia="宋体" w:cs="Times New Roman"/>
          <w:color w:val="auto"/>
          <w:sz w:val="24"/>
          <w:szCs w:val="24"/>
          <w:u w:val="none" w:color="auto"/>
          <w:lang w:val="en-US" w:eastAsia="zh-CN"/>
        </w:rPr>
        <w:t>按</w:t>
      </w:r>
      <w:r>
        <w:rPr>
          <w:rFonts w:hint="default" w:ascii="Times New Roman" w:hAnsi="Times New Roman" w:eastAsia="宋体" w:cs="Times New Roman"/>
          <w:color w:val="auto"/>
          <w:sz w:val="24"/>
          <w:szCs w:val="24"/>
          <w:u w:val="none" w:color="auto"/>
        </w:rPr>
        <w:t>9</w:t>
      </w:r>
      <w:r>
        <w:rPr>
          <w:rFonts w:hint="default" w:ascii="Times New Roman" w:hAnsi="Times New Roman" w:eastAsia="宋体" w:cs="Times New Roman"/>
          <w:color w:val="auto"/>
          <w:sz w:val="24"/>
          <w:szCs w:val="24"/>
          <w:u w:val="none" w:color="auto"/>
          <w:lang w:val="en-US" w:eastAsia="zh-CN"/>
        </w:rPr>
        <w:t>8</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z w:val="24"/>
          <w:szCs w:val="24"/>
          <w:u w:val="none" w:color="auto"/>
          <w:lang w:val="en-US" w:eastAsia="zh-CN"/>
        </w:rPr>
        <w:t>计</w:t>
      </w:r>
      <w:r>
        <w:rPr>
          <w:rFonts w:hint="default" w:ascii="Times New Roman" w:hAnsi="Times New Roman" w:eastAsia="宋体" w:cs="Times New Roman"/>
          <w:color w:val="auto"/>
          <w:sz w:val="24"/>
          <w:szCs w:val="24"/>
          <w:u w:val="none" w:color="auto"/>
        </w:rPr>
        <w:t>，经计算，本工艺中产生的颗粒物为</w:t>
      </w:r>
      <w:r>
        <w:rPr>
          <w:rFonts w:hint="eastAsia" w:ascii="Times New Roman" w:hAnsi="Times New Roman" w:eastAsia="宋体" w:cs="Times New Roman"/>
          <w:color w:val="auto"/>
          <w:sz w:val="24"/>
          <w:szCs w:val="24"/>
          <w:u w:val="none" w:color="auto"/>
          <w:lang w:val="en-US" w:eastAsia="zh-CN"/>
        </w:rPr>
        <w:t>17.400</w:t>
      </w:r>
      <w:r>
        <w:rPr>
          <w:rFonts w:hint="default" w:ascii="Times New Roman" w:hAnsi="Times New Roman" w:eastAsia="宋体" w:cs="Times New Roman"/>
          <w:color w:val="auto"/>
          <w:sz w:val="24"/>
          <w:szCs w:val="24"/>
          <w:u w:val="none" w:color="auto"/>
        </w:rPr>
        <w:t>t/a，则有组织废气颗粒物产生量为</w:t>
      </w:r>
      <w:r>
        <w:rPr>
          <w:rFonts w:hint="eastAsia" w:ascii="Times New Roman" w:hAnsi="Times New Roman" w:eastAsia="宋体" w:cs="Times New Roman"/>
          <w:color w:val="auto"/>
          <w:sz w:val="24"/>
          <w:szCs w:val="24"/>
          <w:u w:val="none" w:color="auto"/>
          <w:lang w:val="en-US" w:eastAsia="zh-CN"/>
        </w:rPr>
        <w:t>17.052</w:t>
      </w:r>
      <w:r>
        <w:rPr>
          <w:rFonts w:hint="default" w:ascii="Times New Roman" w:hAnsi="Times New Roman" w:eastAsia="宋体" w:cs="Times New Roman"/>
          <w:color w:val="auto"/>
          <w:sz w:val="24"/>
          <w:szCs w:val="24"/>
          <w:u w:val="none" w:color="auto"/>
        </w:rPr>
        <w:t>t/a，无组织废气颗粒物产生量为0.</w:t>
      </w:r>
      <w:r>
        <w:rPr>
          <w:rFonts w:hint="eastAsia" w:ascii="Times New Roman" w:hAnsi="Times New Roman" w:eastAsia="宋体" w:cs="Times New Roman"/>
          <w:color w:val="auto"/>
          <w:sz w:val="24"/>
          <w:szCs w:val="24"/>
          <w:u w:val="none" w:color="auto"/>
          <w:lang w:val="en-US" w:eastAsia="zh-CN"/>
        </w:rPr>
        <w:t>348</w:t>
      </w:r>
      <w:r>
        <w:rPr>
          <w:rFonts w:hint="default" w:ascii="Times New Roman" w:hAnsi="Times New Roman" w:eastAsia="宋体" w:cs="Times New Roman"/>
          <w:color w:val="auto"/>
          <w:sz w:val="24"/>
          <w:szCs w:val="24"/>
          <w:u w:val="none" w:color="auto"/>
        </w:rPr>
        <w:t>t/a</w:t>
      </w:r>
      <w:r>
        <w:rPr>
          <w:rFonts w:hint="default" w:ascii="Times New Roman" w:hAnsi="Times New Roman" w:eastAsia="宋体" w:cs="Times New Roman"/>
          <w:color w:val="auto"/>
          <w:sz w:val="24"/>
          <w:szCs w:val="24"/>
          <w:u w:val="none" w:color="auto"/>
          <w:lang w:eastAsia="zh-CN"/>
        </w:rPr>
        <w:t>，无组织排放速率为0.</w:t>
      </w:r>
      <w:r>
        <w:rPr>
          <w:rFonts w:hint="eastAsia" w:ascii="Times New Roman" w:hAnsi="Times New Roman" w:eastAsia="宋体" w:cs="Times New Roman"/>
          <w:color w:val="auto"/>
          <w:sz w:val="24"/>
          <w:szCs w:val="24"/>
          <w:u w:val="none" w:color="auto"/>
          <w:lang w:val="en-US" w:eastAsia="zh-CN"/>
        </w:rPr>
        <w:t>097</w:t>
      </w:r>
      <w:r>
        <w:rPr>
          <w:rFonts w:hint="default" w:ascii="Times New Roman" w:hAnsi="Times New Roman" w:eastAsia="宋体" w:cs="Times New Roman"/>
          <w:color w:val="auto"/>
          <w:sz w:val="24"/>
          <w:szCs w:val="24"/>
          <w:u w:val="none" w:color="auto"/>
          <w:lang w:eastAsia="zh-CN"/>
        </w:rPr>
        <w:t>kg/h</w:t>
      </w:r>
      <w:r>
        <w:rPr>
          <w:rFonts w:hint="default" w:ascii="Times New Roman" w:hAnsi="Times New Roman" w:eastAsia="宋体" w:cs="Times New Roman"/>
          <w:color w:val="auto"/>
          <w:sz w:val="24"/>
          <w:szCs w:val="24"/>
          <w:u w:val="none" w:color="auto"/>
        </w:rPr>
        <w:t>。</w:t>
      </w:r>
    </w:p>
    <w:p w14:paraId="57434008">
      <w:pPr>
        <w:keepNext w:val="0"/>
        <w:keepLines w:val="0"/>
        <w:numPr>
          <w:ilvl w:val="0"/>
          <w:numId w:val="0"/>
        </w:numPr>
        <w:suppressLineNumbers w:val="0"/>
        <w:spacing w:before="0" w:beforeLines="0" w:beforeAutospacing="0" w:after="0" w:afterLines="0" w:afterAutospacing="0"/>
        <w:ind w:left="0" w:right="0" w:firstLine="482" w:firstLineChars="200"/>
        <w:jc w:val="both"/>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1.</w:t>
      </w:r>
      <w:r>
        <w:rPr>
          <w:rFonts w:hint="eastAsia" w:ascii="Times New Roman" w:hAnsi="Times New Roman" w:eastAsia="宋体" w:cs="Times New Roman"/>
          <w:b/>
          <w:color w:val="auto"/>
          <w:sz w:val="24"/>
          <w:szCs w:val="24"/>
          <w:lang w:val="en-US" w:eastAsia="zh-CN"/>
        </w:rPr>
        <w:t>5</w:t>
      </w:r>
      <w:r>
        <w:rPr>
          <w:rFonts w:hint="eastAsia" w:ascii="Times New Roman" w:hAnsi="Times New Roman" w:eastAsia="宋体" w:cs="Times New Roman"/>
          <w:b/>
          <w:bCs/>
          <w:color w:val="auto"/>
          <w:kern w:val="2"/>
          <w:sz w:val="24"/>
          <w:szCs w:val="24"/>
          <w:lang w:val="en-US" w:eastAsia="zh-CN" w:bidi="ar"/>
        </w:rPr>
        <w:t>打磨清理</w:t>
      </w:r>
      <w:r>
        <w:rPr>
          <w:rFonts w:hint="default" w:ascii="Times New Roman" w:hAnsi="Times New Roman" w:eastAsia="宋体" w:cs="Times New Roman"/>
          <w:b/>
          <w:color w:val="auto"/>
          <w:sz w:val="24"/>
          <w:szCs w:val="24"/>
        </w:rPr>
        <w:t>废气</w:t>
      </w:r>
    </w:p>
    <w:p w14:paraId="3AC3237A">
      <w:pPr>
        <w:keepNext w:val="0"/>
        <w:keepLines w:val="0"/>
        <w:widowControl/>
        <w:numPr>
          <w:ilvl w:val="0"/>
          <w:numId w:val="0"/>
        </w:numPr>
        <w:suppressLineNumbers w:val="0"/>
        <w:autoSpaceDE w:val="0"/>
        <w:snapToGrid w:val="0"/>
        <w:spacing w:before="0" w:beforeAutospacing="0" w:after="0" w:afterAutospacing="0"/>
        <w:ind w:left="0" w:right="0" w:rightChars="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根据《排放源统计调查产排污核算方法和系数手册—机械行业系数手册》中“预处理”工艺中产排污系数表，本项目</w:t>
      </w:r>
      <w:r>
        <w:rPr>
          <w:rFonts w:hint="eastAsia" w:ascii="Times New Roman" w:hAnsi="Times New Roman" w:eastAsia="宋体" w:cs="Times New Roman"/>
          <w:color w:val="auto"/>
          <w:kern w:val="2"/>
          <w:sz w:val="24"/>
          <w:szCs w:val="24"/>
          <w:lang w:val="en-US" w:eastAsia="zh-CN" w:bidi="ar"/>
        </w:rPr>
        <w:t>打磨</w:t>
      </w:r>
      <w:r>
        <w:rPr>
          <w:rFonts w:hint="default" w:ascii="Times New Roman" w:hAnsi="Times New Roman" w:eastAsia="宋体" w:cs="Times New Roman"/>
          <w:color w:val="auto"/>
          <w:kern w:val="2"/>
          <w:sz w:val="24"/>
          <w:szCs w:val="24"/>
          <w:lang w:bidi="ar"/>
        </w:rPr>
        <w:t>清理工序产污情况如下表。</w:t>
      </w:r>
    </w:p>
    <w:p w14:paraId="02F7C9DB">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b/>
          <w:color w:val="auto"/>
          <w:kern w:val="2"/>
          <w:sz w:val="21"/>
          <w:szCs w:val="21"/>
        </w:rPr>
      </w:pPr>
      <w:r>
        <w:rPr>
          <w:rFonts w:hint="default" w:ascii="Times New Roman" w:hAnsi="Times New Roman" w:eastAsia="宋体" w:cs="Times New Roman"/>
          <w:b/>
          <w:color w:val="auto"/>
          <w:kern w:val="2"/>
          <w:sz w:val="21"/>
          <w:szCs w:val="21"/>
          <w:lang w:bidi="ar"/>
        </w:rPr>
        <w:t>表</w:t>
      </w:r>
      <w:r>
        <w:rPr>
          <w:rFonts w:hint="eastAsia" w:ascii="Times New Roman" w:hAnsi="Times New Roman" w:eastAsia="宋体" w:cs="Times New Roman"/>
          <w:b/>
          <w:color w:val="auto"/>
          <w:kern w:val="2"/>
          <w:sz w:val="21"/>
          <w:szCs w:val="21"/>
          <w:lang w:val="en-US" w:eastAsia="zh-CN" w:bidi="ar"/>
        </w:rPr>
        <w:t>4</w:t>
      </w:r>
      <w:r>
        <w:rPr>
          <w:rFonts w:hint="default" w:ascii="Times New Roman" w:hAnsi="Times New Roman" w:eastAsia="宋体" w:cs="Times New Roman"/>
          <w:b/>
          <w:color w:val="auto"/>
          <w:kern w:val="2"/>
          <w:sz w:val="21"/>
          <w:szCs w:val="21"/>
          <w:lang w:bidi="ar"/>
        </w:rPr>
        <w:t xml:space="preserve"> </w:t>
      </w:r>
      <w:r>
        <w:rPr>
          <w:rFonts w:hint="eastAsia" w:ascii="Times New Roman" w:hAnsi="Times New Roman" w:eastAsia="宋体" w:cs="Times New Roman"/>
          <w:b/>
          <w:color w:val="auto"/>
          <w:kern w:val="2"/>
          <w:sz w:val="21"/>
          <w:szCs w:val="21"/>
          <w:lang w:val="en-US" w:eastAsia="zh-CN" w:bidi="ar"/>
        </w:rPr>
        <w:t>打磨</w:t>
      </w:r>
      <w:r>
        <w:rPr>
          <w:rFonts w:hint="default" w:ascii="Times New Roman" w:hAnsi="Times New Roman" w:eastAsia="宋体" w:cs="Times New Roman"/>
          <w:b/>
          <w:color w:val="auto"/>
          <w:kern w:val="2"/>
          <w:sz w:val="21"/>
          <w:szCs w:val="21"/>
          <w:lang w:bidi="ar"/>
        </w:rPr>
        <w:t>清理废气产排污情况一览表</w:t>
      </w:r>
    </w:p>
    <w:tbl>
      <w:tblPr>
        <w:tblStyle w:val="56"/>
        <w:tblW w:w="8281" w:type="dxa"/>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744"/>
        <w:gridCol w:w="2221"/>
        <w:gridCol w:w="1095"/>
        <w:gridCol w:w="1080"/>
        <w:gridCol w:w="1005"/>
        <w:gridCol w:w="825"/>
        <w:gridCol w:w="1311"/>
      </w:tblGrid>
      <w:tr w14:paraId="6BAAB4D0">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tcBorders>
              <w:top w:val="single" w:color="auto" w:sz="8" w:space="0"/>
              <w:left w:val="single" w:color="auto" w:sz="8" w:space="0"/>
              <w:bottom w:val="single" w:color="auto" w:sz="2" w:space="0"/>
              <w:right w:val="single" w:color="auto" w:sz="2" w:space="0"/>
              <w:tl2br w:val="nil"/>
              <w:tr2bl w:val="nil"/>
            </w:tcBorders>
            <w:noWrap w:val="0"/>
            <w:vAlign w:val="center"/>
          </w:tcPr>
          <w:p w14:paraId="5DE14A8D">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产品名称</w:t>
            </w:r>
          </w:p>
        </w:tc>
        <w:tc>
          <w:tcPr>
            <w:tcW w:w="2221" w:type="dxa"/>
            <w:tcBorders>
              <w:top w:val="single" w:color="auto" w:sz="8" w:space="0"/>
              <w:left w:val="single" w:color="auto" w:sz="2" w:space="0"/>
              <w:bottom w:val="single" w:color="auto" w:sz="2" w:space="0"/>
              <w:right w:val="single" w:color="auto" w:sz="2" w:space="0"/>
              <w:tl2br w:val="nil"/>
              <w:tr2bl w:val="nil"/>
            </w:tcBorders>
            <w:noWrap w:val="0"/>
            <w:vAlign w:val="center"/>
          </w:tcPr>
          <w:p w14:paraId="23BBE41A">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原料名称</w:t>
            </w:r>
          </w:p>
        </w:tc>
        <w:tc>
          <w:tcPr>
            <w:tcW w:w="109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7DEBACA7">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工艺名称</w:t>
            </w:r>
          </w:p>
        </w:tc>
        <w:tc>
          <w:tcPr>
            <w:tcW w:w="1080" w:type="dxa"/>
            <w:tcBorders>
              <w:top w:val="single" w:color="auto" w:sz="8" w:space="0"/>
              <w:left w:val="single" w:color="auto" w:sz="2" w:space="0"/>
              <w:bottom w:val="single" w:color="auto" w:sz="2" w:space="0"/>
              <w:right w:val="single" w:color="auto" w:sz="2" w:space="0"/>
              <w:tl2br w:val="nil"/>
              <w:tr2bl w:val="nil"/>
            </w:tcBorders>
            <w:noWrap w:val="0"/>
            <w:vAlign w:val="center"/>
          </w:tcPr>
          <w:p w14:paraId="44720931">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污染物指标</w:t>
            </w:r>
          </w:p>
        </w:tc>
        <w:tc>
          <w:tcPr>
            <w:tcW w:w="100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61AC5140">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单位</w:t>
            </w:r>
          </w:p>
        </w:tc>
        <w:tc>
          <w:tcPr>
            <w:tcW w:w="82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269750A5">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产物系数</w:t>
            </w:r>
          </w:p>
        </w:tc>
        <w:tc>
          <w:tcPr>
            <w:tcW w:w="1311" w:type="dxa"/>
            <w:tcBorders>
              <w:top w:val="single" w:color="auto" w:sz="8" w:space="0"/>
              <w:left w:val="single" w:color="auto" w:sz="2" w:space="0"/>
              <w:bottom w:val="single" w:color="auto" w:sz="2" w:space="0"/>
              <w:right w:val="single" w:color="auto" w:sz="8" w:space="0"/>
              <w:tl2br w:val="nil"/>
              <w:tr2bl w:val="nil"/>
            </w:tcBorders>
            <w:noWrap w:val="0"/>
            <w:vAlign w:val="center"/>
          </w:tcPr>
          <w:p w14:paraId="5F49ABB4">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末端治理技术</w:t>
            </w:r>
          </w:p>
        </w:tc>
      </w:tr>
      <w:tr w14:paraId="15B834F8">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vMerge w:val="restart"/>
            <w:tcBorders>
              <w:top w:val="single" w:color="auto" w:sz="2" w:space="0"/>
              <w:left w:val="single" w:color="auto" w:sz="8" w:space="0"/>
              <w:bottom w:val="single" w:color="auto" w:sz="2" w:space="0"/>
              <w:right w:val="single" w:color="auto" w:sz="2" w:space="0"/>
              <w:tl2br w:val="nil"/>
              <w:tr2bl w:val="nil"/>
            </w:tcBorders>
            <w:noWrap w:val="0"/>
            <w:vAlign w:val="center"/>
          </w:tcPr>
          <w:p w14:paraId="513F2DD9">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干式预处理件</w:t>
            </w:r>
          </w:p>
        </w:tc>
        <w:tc>
          <w:tcPr>
            <w:tcW w:w="2221" w:type="dxa"/>
            <w:vMerge w:val="restart"/>
            <w:tcBorders>
              <w:top w:val="single" w:color="auto" w:sz="2" w:space="0"/>
              <w:left w:val="single" w:color="auto" w:sz="2" w:space="0"/>
              <w:bottom w:val="single" w:color="auto" w:sz="2" w:space="0"/>
              <w:right w:val="single" w:color="auto" w:sz="2" w:space="0"/>
              <w:tl2br w:val="nil"/>
              <w:tr2bl w:val="nil"/>
            </w:tcBorders>
            <w:noWrap w:val="0"/>
            <w:vAlign w:val="center"/>
          </w:tcPr>
          <w:p w14:paraId="649E273A">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钢材（含板材、构件等）、铝材（含板材、构件等）、铝合金（含板材、构件等）、铁材、</w:t>
            </w:r>
            <w:r>
              <w:rPr>
                <w:rFonts w:hint="eastAsia" w:ascii="Times New Roman" w:hAnsi="Times New Roman" w:eastAsia="宋体" w:cs="Times New Roman"/>
                <w:color w:val="auto"/>
                <w:sz w:val="21"/>
                <w:szCs w:val="21"/>
                <w:lang w:eastAsia="zh-CN" w:bidi="ar"/>
              </w:rPr>
              <w:t>其他</w:t>
            </w:r>
            <w:r>
              <w:rPr>
                <w:rFonts w:hint="default" w:ascii="Times New Roman" w:hAnsi="Times New Roman" w:eastAsia="宋体" w:cs="Times New Roman"/>
                <w:color w:val="auto"/>
                <w:sz w:val="21"/>
                <w:szCs w:val="21"/>
                <w:lang w:bidi="ar"/>
              </w:rPr>
              <w:t>金属材料</w:t>
            </w:r>
          </w:p>
        </w:tc>
        <w:tc>
          <w:tcPr>
            <w:tcW w:w="1095" w:type="dxa"/>
            <w:vMerge w:val="restart"/>
            <w:tcBorders>
              <w:top w:val="single" w:color="auto" w:sz="2" w:space="0"/>
              <w:left w:val="single" w:color="auto" w:sz="2" w:space="0"/>
              <w:bottom w:val="single" w:color="auto" w:sz="2" w:space="0"/>
              <w:right w:val="single" w:color="auto" w:sz="2" w:space="0"/>
              <w:tl2br w:val="nil"/>
              <w:tr2bl w:val="nil"/>
            </w:tcBorders>
            <w:noWrap w:val="0"/>
            <w:vAlign w:val="center"/>
          </w:tcPr>
          <w:p w14:paraId="266A03B3">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抛丸、喷砂、打磨、滚筒</w:t>
            </w:r>
          </w:p>
        </w:tc>
        <w:tc>
          <w:tcPr>
            <w:tcW w:w="1080" w:type="dxa"/>
            <w:tcBorders>
              <w:top w:val="single" w:color="auto" w:sz="2" w:space="0"/>
              <w:left w:val="single" w:color="auto" w:sz="2" w:space="0"/>
              <w:bottom w:val="single" w:color="auto" w:sz="2" w:space="0"/>
              <w:right w:val="single" w:color="auto" w:sz="2" w:space="0"/>
              <w:tl2br w:val="nil"/>
              <w:tr2bl w:val="nil"/>
            </w:tcBorders>
            <w:noWrap w:val="0"/>
            <w:vAlign w:val="center"/>
          </w:tcPr>
          <w:p w14:paraId="779F8CE2">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工业废气量</w:t>
            </w:r>
          </w:p>
        </w:tc>
        <w:tc>
          <w:tcPr>
            <w:tcW w:w="100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58F9FC9B">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立方米/吨原料</w:t>
            </w:r>
          </w:p>
        </w:tc>
        <w:tc>
          <w:tcPr>
            <w:tcW w:w="82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2995FE23">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8500</w:t>
            </w:r>
          </w:p>
        </w:tc>
        <w:tc>
          <w:tcPr>
            <w:tcW w:w="1311" w:type="dxa"/>
            <w:tcBorders>
              <w:top w:val="single" w:color="auto" w:sz="2" w:space="0"/>
              <w:left w:val="single" w:color="auto" w:sz="2" w:space="0"/>
              <w:bottom w:val="single" w:color="auto" w:sz="2" w:space="0"/>
              <w:right w:val="single" w:color="auto" w:sz="8" w:space="0"/>
              <w:tl2br w:val="nil"/>
              <w:tr2bl w:val="nil"/>
            </w:tcBorders>
            <w:noWrap w:val="0"/>
            <w:vAlign w:val="center"/>
          </w:tcPr>
          <w:p w14:paraId="086FFEF9">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1813CBE">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vMerge w:val="continue"/>
            <w:tcBorders>
              <w:top w:val="single" w:color="auto" w:sz="2" w:space="0"/>
              <w:left w:val="single" w:color="auto" w:sz="8" w:space="0"/>
              <w:bottom w:val="single" w:color="auto" w:sz="2" w:space="0"/>
              <w:right w:val="single" w:color="auto" w:sz="2" w:space="0"/>
              <w:tl2br w:val="nil"/>
              <w:tr2bl w:val="nil"/>
            </w:tcBorders>
            <w:noWrap w:val="0"/>
            <w:vAlign w:val="center"/>
          </w:tcPr>
          <w:p w14:paraId="23A451BD">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bidi="ar"/>
              </w:rPr>
            </w:pPr>
          </w:p>
        </w:tc>
        <w:tc>
          <w:tcPr>
            <w:tcW w:w="2221" w:type="dxa"/>
            <w:vMerge w:val="continue"/>
            <w:tcBorders>
              <w:top w:val="single" w:color="auto" w:sz="2" w:space="0"/>
              <w:left w:val="single" w:color="auto" w:sz="2" w:space="0"/>
              <w:bottom w:val="single" w:color="auto" w:sz="2" w:space="0"/>
              <w:right w:val="single" w:color="auto" w:sz="2" w:space="0"/>
              <w:tl2br w:val="nil"/>
              <w:tr2bl w:val="nil"/>
            </w:tcBorders>
            <w:noWrap w:val="0"/>
            <w:vAlign w:val="center"/>
          </w:tcPr>
          <w:p w14:paraId="6E934245">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bidi="ar"/>
              </w:rPr>
            </w:pPr>
          </w:p>
        </w:tc>
        <w:tc>
          <w:tcPr>
            <w:tcW w:w="1095" w:type="dxa"/>
            <w:vMerge w:val="continue"/>
            <w:tcBorders>
              <w:top w:val="single" w:color="auto" w:sz="2" w:space="0"/>
              <w:left w:val="single" w:color="auto" w:sz="2" w:space="0"/>
              <w:bottom w:val="single" w:color="auto" w:sz="2" w:space="0"/>
              <w:right w:val="single" w:color="auto" w:sz="2" w:space="0"/>
              <w:tl2br w:val="nil"/>
              <w:tr2bl w:val="nil"/>
            </w:tcBorders>
            <w:noWrap w:val="0"/>
            <w:vAlign w:val="center"/>
          </w:tcPr>
          <w:p w14:paraId="2CC90BAF">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lang w:bidi="ar"/>
              </w:rPr>
            </w:pPr>
          </w:p>
        </w:tc>
        <w:tc>
          <w:tcPr>
            <w:tcW w:w="1080" w:type="dxa"/>
            <w:tcBorders>
              <w:top w:val="single" w:color="auto" w:sz="2" w:space="0"/>
              <w:left w:val="single" w:color="auto" w:sz="2" w:space="0"/>
              <w:bottom w:val="single" w:color="auto" w:sz="2" w:space="0"/>
              <w:right w:val="single" w:color="auto" w:sz="2" w:space="0"/>
              <w:tl2br w:val="nil"/>
              <w:tr2bl w:val="nil"/>
            </w:tcBorders>
            <w:noWrap w:val="0"/>
            <w:vAlign w:val="center"/>
          </w:tcPr>
          <w:p w14:paraId="249436D1">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颗粒物</w:t>
            </w:r>
          </w:p>
        </w:tc>
        <w:tc>
          <w:tcPr>
            <w:tcW w:w="100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7FAECFD8">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千克/吨原料</w:t>
            </w:r>
          </w:p>
        </w:tc>
        <w:tc>
          <w:tcPr>
            <w:tcW w:w="825" w:type="dxa"/>
            <w:tcBorders>
              <w:top w:val="single" w:color="auto" w:sz="2" w:space="0"/>
              <w:left w:val="single" w:color="auto" w:sz="2" w:space="0"/>
              <w:bottom w:val="single" w:color="auto" w:sz="2" w:space="0"/>
              <w:right w:val="single" w:color="auto" w:sz="2" w:space="0"/>
              <w:tl2br w:val="nil"/>
              <w:tr2bl w:val="nil"/>
            </w:tcBorders>
            <w:noWrap w:val="0"/>
            <w:vAlign w:val="center"/>
          </w:tcPr>
          <w:p w14:paraId="5D8E412B">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2.19</w:t>
            </w:r>
          </w:p>
        </w:tc>
        <w:tc>
          <w:tcPr>
            <w:tcW w:w="1311" w:type="dxa"/>
            <w:tcBorders>
              <w:top w:val="single" w:color="auto" w:sz="2" w:space="0"/>
              <w:left w:val="single" w:color="auto" w:sz="2" w:space="0"/>
              <w:bottom w:val="single" w:color="auto" w:sz="2" w:space="0"/>
              <w:right w:val="single" w:color="auto" w:sz="8" w:space="0"/>
              <w:tl2br w:val="nil"/>
              <w:tr2bl w:val="nil"/>
            </w:tcBorders>
            <w:noWrap w:val="0"/>
            <w:vAlign w:val="center"/>
          </w:tcPr>
          <w:p w14:paraId="7BD97665">
            <w:pPr>
              <w:keepNext w:val="0"/>
              <w:keepLines w:val="0"/>
              <w:widowControl/>
              <w:suppressLineNumbers w:val="0"/>
              <w:autoSpaceDE w:val="0"/>
              <w:snapToGrid w:val="0"/>
              <w:spacing w:before="0" w:beforeLines="0" w:beforeAutospacing="0" w:after="0" w:afterLines="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袋式除尘</w:t>
            </w:r>
          </w:p>
        </w:tc>
      </w:tr>
    </w:tbl>
    <w:p w14:paraId="16063ED3">
      <w:pPr>
        <w:keepNext w:val="0"/>
        <w:keepLines w:val="0"/>
        <w:widowControl/>
        <w:suppressLineNumbers w:val="0"/>
        <w:snapToGrid w:val="0"/>
        <w:spacing w:before="0" w:beforeLines="0" w:beforeAutospacing="0" w:after="0" w:afterLines="0" w:afterAutospacing="0"/>
        <w:ind w:left="0" w:right="0" w:firstLine="480" w:firstLineChars="200"/>
        <w:jc w:val="both"/>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根据《排放源统计调查产排污核算方法和系数手册》</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2021年6月</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机械行业产排污系数手册预处理核算环节（抛丸、打磨），钢材</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含板材构件等</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、铁材、</w:t>
      </w:r>
      <w:r>
        <w:rPr>
          <w:rFonts w:hint="eastAsia" w:ascii="Times New Roman" w:hAnsi="Times New Roman" w:eastAsia="宋体" w:cs="Times New Roman"/>
          <w:color w:val="auto"/>
          <w:sz w:val="24"/>
          <w:szCs w:val="24"/>
          <w:u w:val="none" w:color="auto"/>
          <w:lang w:eastAsia="zh-CN"/>
        </w:rPr>
        <w:t>其他</w:t>
      </w:r>
      <w:r>
        <w:rPr>
          <w:rFonts w:hint="default" w:ascii="Times New Roman" w:hAnsi="Times New Roman" w:eastAsia="宋体" w:cs="Times New Roman"/>
          <w:color w:val="auto"/>
          <w:sz w:val="24"/>
          <w:szCs w:val="24"/>
          <w:u w:val="none" w:color="auto"/>
        </w:rPr>
        <w:t>金属材料等抛丸颗粒物产污系数2.19千克/吨</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原料，本项目</w:t>
      </w:r>
      <w:r>
        <w:rPr>
          <w:rFonts w:hint="eastAsia" w:ascii="Times New Roman" w:hAnsi="Times New Roman" w:eastAsia="宋体" w:cs="Times New Roman"/>
          <w:color w:val="auto"/>
          <w:sz w:val="24"/>
          <w:szCs w:val="24"/>
          <w:u w:val="none" w:color="auto"/>
          <w:lang w:val="en-US" w:eastAsia="zh-CN"/>
        </w:rPr>
        <w:t>采用</w:t>
      </w:r>
      <w:r>
        <w:rPr>
          <w:rFonts w:hint="default" w:ascii="Times New Roman" w:hAnsi="Times New Roman" w:eastAsia="宋体" w:cs="Times New Roman"/>
          <w:color w:val="auto"/>
          <w:sz w:val="24"/>
          <w:szCs w:val="24"/>
          <w:u w:val="none" w:color="auto"/>
          <w:lang w:val="en-US" w:eastAsia="zh-CN"/>
        </w:rPr>
        <w:t>滚筒式滚球机</w:t>
      </w:r>
      <w:r>
        <w:rPr>
          <w:rFonts w:hint="eastAsia" w:ascii="Times New Roman" w:hAnsi="Times New Roman" w:eastAsia="宋体" w:cs="Times New Roman"/>
          <w:color w:val="auto"/>
          <w:sz w:val="24"/>
          <w:szCs w:val="24"/>
          <w:u w:val="none" w:color="auto"/>
          <w:lang w:val="en-US" w:eastAsia="zh-CN"/>
        </w:rPr>
        <w:t>进行铸件打磨清理，</w:t>
      </w:r>
      <w:r>
        <w:rPr>
          <w:rFonts w:hint="default" w:ascii="Times New Roman" w:hAnsi="Times New Roman" w:eastAsia="宋体" w:cs="Times New Roman"/>
          <w:color w:val="auto"/>
          <w:sz w:val="24"/>
          <w:szCs w:val="24"/>
          <w:u w:val="none" w:color="auto"/>
        </w:rPr>
        <w:t>需要清理的工件量5000t/a，</w:t>
      </w:r>
      <w:r>
        <w:rPr>
          <w:rFonts w:hint="default" w:ascii="Times New Roman" w:hAnsi="Times New Roman" w:eastAsia="宋体" w:cs="Times New Roman"/>
          <w:color w:val="auto"/>
          <w:sz w:val="24"/>
          <w:szCs w:val="24"/>
          <w:u w:val="none" w:color="auto"/>
          <w:lang w:val="en-US" w:eastAsia="zh-CN"/>
        </w:rPr>
        <w:t>打磨清理</w:t>
      </w:r>
      <w:r>
        <w:rPr>
          <w:rFonts w:hint="default" w:ascii="Times New Roman" w:hAnsi="Times New Roman" w:eastAsia="宋体" w:cs="Times New Roman"/>
          <w:color w:val="auto"/>
          <w:sz w:val="24"/>
          <w:szCs w:val="24"/>
          <w:u w:val="none" w:color="auto"/>
        </w:rPr>
        <w:t>工序年运行</w:t>
      </w:r>
      <w:r>
        <w:rPr>
          <w:rFonts w:hint="eastAsia" w:ascii="Times New Roman" w:hAnsi="Times New Roman" w:eastAsia="宋体" w:cs="Times New Roman"/>
          <w:color w:val="auto"/>
          <w:sz w:val="24"/>
          <w:szCs w:val="24"/>
          <w:u w:val="none" w:color="auto"/>
          <w:lang w:val="en-US" w:eastAsia="zh-CN"/>
        </w:rPr>
        <w:t>3600</w:t>
      </w:r>
      <w:r>
        <w:rPr>
          <w:rFonts w:hint="default" w:ascii="Times New Roman" w:hAnsi="Times New Roman" w:eastAsia="宋体" w:cs="Times New Roman"/>
          <w:color w:val="auto"/>
          <w:sz w:val="24"/>
          <w:szCs w:val="24"/>
          <w:u w:val="none" w:color="auto"/>
        </w:rPr>
        <w:t>h。本项目</w:t>
      </w:r>
      <w:r>
        <w:rPr>
          <w:rFonts w:hint="default" w:ascii="Times New Roman" w:hAnsi="Times New Roman" w:eastAsia="宋体" w:cs="Times New Roman"/>
          <w:color w:val="auto"/>
          <w:sz w:val="24"/>
          <w:szCs w:val="24"/>
          <w:u w:val="none" w:color="auto"/>
          <w:lang w:val="en-US" w:eastAsia="zh-CN"/>
        </w:rPr>
        <w:t>打磨清理</w:t>
      </w:r>
      <w:r>
        <w:rPr>
          <w:rFonts w:hint="default" w:ascii="Times New Roman" w:hAnsi="Times New Roman" w:eastAsia="宋体" w:cs="Times New Roman"/>
          <w:color w:val="auto"/>
          <w:sz w:val="24"/>
          <w:szCs w:val="24"/>
          <w:u w:val="none" w:color="auto"/>
        </w:rPr>
        <w:t>废气经设备密闭操作+自带集气管道收集，</w:t>
      </w:r>
      <w:r>
        <w:rPr>
          <w:rFonts w:hint="eastAsia" w:ascii="Times New Roman" w:hAnsi="Times New Roman" w:eastAsia="宋体" w:cs="Times New Roman"/>
          <w:color w:val="auto"/>
          <w:sz w:val="24"/>
          <w:szCs w:val="24"/>
          <w:u w:val="none" w:color="auto"/>
          <w:lang w:val="en-US" w:eastAsia="zh-CN"/>
        </w:rPr>
        <w:t>废气</w:t>
      </w:r>
      <w:r>
        <w:rPr>
          <w:rFonts w:hint="default" w:ascii="Times New Roman" w:hAnsi="Times New Roman" w:eastAsia="宋体" w:cs="Times New Roman"/>
          <w:color w:val="auto"/>
          <w:sz w:val="24"/>
          <w:szCs w:val="24"/>
          <w:u w:val="none" w:color="auto"/>
        </w:rPr>
        <w:t>收集效率按</w:t>
      </w:r>
      <w:r>
        <w:rPr>
          <w:rFonts w:hint="default" w:ascii="Times New Roman" w:hAnsi="Times New Roman" w:eastAsia="宋体" w:cs="Times New Roman"/>
          <w:color w:val="auto"/>
          <w:sz w:val="24"/>
          <w:szCs w:val="24"/>
          <w:u w:val="none" w:color="auto"/>
          <w:lang w:val="en-US" w:eastAsia="zh-CN"/>
        </w:rPr>
        <w:t>98</w:t>
      </w:r>
      <w:r>
        <w:rPr>
          <w:rFonts w:hint="default" w:ascii="Times New Roman" w:hAnsi="Times New Roman" w:eastAsia="宋体" w:cs="Times New Roman"/>
          <w:color w:val="auto"/>
          <w:sz w:val="24"/>
          <w:szCs w:val="24"/>
          <w:u w:val="none" w:color="auto"/>
        </w:rPr>
        <w:t>%计，经计算，本工艺中产生的颗粒物为</w:t>
      </w:r>
      <w:r>
        <w:rPr>
          <w:rFonts w:hint="eastAsia" w:ascii="Times New Roman" w:hAnsi="Times New Roman" w:eastAsia="宋体" w:cs="Times New Roman"/>
          <w:color w:val="auto"/>
          <w:sz w:val="24"/>
          <w:szCs w:val="24"/>
          <w:u w:val="none" w:color="auto"/>
          <w:lang w:val="en-US" w:eastAsia="zh-CN"/>
        </w:rPr>
        <w:t>10.950</w:t>
      </w:r>
      <w:r>
        <w:rPr>
          <w:rFonts w:hint="default" w:ascii="Times New Roman" w:hAnsi="Times New Roman" w:eastAsia="宋体" w:cs="Times New Roman"/>
          <w:color w:val="auto"/>
          <w:sz w:val="24"/>
          <w:szCs w:val="24"/>
          <w:u w:val="none" w:color="auto"/>
        </w:rPr>
        <w:t>t/a，则有组织废气颗粒物产生量为</w:t>
      </w:r>
      <w:r>
        <w:rPr>
          <w:rFonts w:hint="eastAsia" w:ascii="Times New Roman" w:hAnsi="Times New Roman" w:eastAsia="宋体" w:cs="Times New Roman"/>
          <w:color w:val="auto"/>
          <w:sz w:val="24"/>
          <w:szCs w:val="24"/>
          <w:u w:val="none" w:color="auto"/>
          <w:lang w:val="en-US" w:eastAsia="zh-CN"/>
        </w:rPr>
        <w:t>10.731</w:t>
      </w:r>
      <w:r>
        <w:rPr>
          <w:rFonts w:hint="default" w:ascii="Times New Roman" w:hAnsi="Times New Roman" w:eastAsia="宋体" w:cs="Times New Roman"/>
          <w:color w:val="auto"/>
          <w:sz w:val="24"/>
          <w:szCs w:val="24"/>
          <w:u w:val="none" w:color="auto"/>
        </w:rPr>
        <w:t>t/a，无组织废气颗粒物产生量为0.</w:t>
      </w:r>
      <w:r>
        <w:rPr>
          <w:rFonts w:hint="eastAsia" w:ascii="Times New Roman" w:hAnsi="Times New Roman" w:eastAsia="宋体" w:cs="Times New Roman"/>
          <w:color w:val="auto"/>
          <w:sz w:val="24"/>
          <w:szCs w:val="24"/>
          <w:u w:val="none" w:color="auto"/>
          <w:lang w:val="en-US" w:eastAsia="zh-CN"/>
        </w:rPr>
        <w:t>219</w:t>
      </w:r>
      <w:r>
        <w:rPr>
          <w:rFonts w:hint="default" w:ascii="Times New Roman" w:hAnsi="Times New Roman" w:eastAsia="宋体" w:cs="Times New Roman"/>
          <w:color w:val="auto"/>
          <w:sz w:val="24"/>
          <w:szCs w:val="24"/>
          <w:u w:val="none" w:color="auto"/>
        </w:rPr>
        <w:t>t/a</w:t>
      </w:r>
      <w:r>
        <w:rPr>
          <w:rFonts w:hint="default" w:ascii="Times New Roman" w:hAnsi="Times New Roman" w:eastAsia="宋体" w:cs="Times New Roman"/>
          <w:color w:val="auto"/>
          <w:sz w:val="24"/>
          <w:szCs w:val="24"/>
          <w:u w:val="none" w:color="auto"/>
          <w:lang w:eastAsia="zh-CN"/>
        </w:rPr>
        <w:t>，无组织排放速率为0.</w:t>
      </w:r>
      <w:r>
        <w:rPr>
          <w:rFonts w:hint="eastAsia" w:ascii="Times New Roman" w:hAnsi="Times New Roman" w:eastAsia="宋体" w:cs="Times New Roman"/>
          <w:color w:val="auto"/>
          <w:sz w:val="24"/>
          <w:szCs w:val="24"/>
          <w:u w:val="none" w:color="auto"/>
          <w:lang w:val="en-US" w:eastAsia="zh-CN"/>
        </w:rPr>
        <w:t>061</w:t>
      </w:r>
      <w:r>
        <w:rPr>
          <w:rFonts w:hint="default" w:ascii="Times New Roman" w:hAnsi="Times New Roman" w:eastAsia="宋体" w:cs="Times New Roman"/>
          <w:color w:val="auto"/>
          <w:sz w:val="24"/>
          <w:szCs w:val="24"/>
          <w:u w:val="none" w:color="auto"/>
          <w:lang w:eastAsia="zh-CN"/>
        </w:rPr>
        <w:t>kg/h</w:t>
      </w:r>
      <w:r>
        <w:rPr>
          <w:rFonts w:hint="default" w:ascii="Times New Roman" w:hAnsi="Times New Roman" w:eastAsia="宋体" w:cs="Times New Roman"/>
          <w:color w:val="auto"/>
          <w:sz w:val="24"/>
          <w:szCs w:val="24"/>
          <w:u w:val="none" w:color="auto"/>
        </w:rPr>
        <w:t>。</w:t>
      </w:r>
    </w:p>
    <w:p w14:paraId="0EC2393A">
      <w:pPr>
        <w:keepNext w:val="0"/>
        <w:keepLines w:val="0"/>
        <w:numPr>
          <w:ilvl w:val="0"/>
          <w:numId w:val="0"/>
        </w:numPr>
        <w:suppressLineNumbers w:val="0"/>
        <w:spacing w:before="0" w:beforeAutospacing="0" w:after="0" w:afterAutospacing="0"/>
        <w:ind w:left="0" w:right="0" w:firstLine="482" w:firstLineChars="200"/>
        <w:jc w:val="both"/>
        <w:rPr>
          <w:rFonts w:hint="eastAsia" w:ascii="Times New Roman" w:hAnsi="Times New Roman" w:eastAsia="宋体" w:cs="Times New Roman"/>
          <w:b/>
          <w:color w:val="auto"/>
          <w:sz w:val="24"/>
          <w:szCs w:val="24"/>
          <w:lang w:val="en-US" w:eastAsia="zh-CN"/>
        </w:rPr>
      </w:pPr>
      <w:r>
        <w:rPr>
          <w:rFonts w:hint="default" w:ascii="Times New Roman" w:hAnsi="Times New Roman" w:eastAsia="宋体" w:cs="Times New Roman"/>
          <w:b/>
          <w:color w:val="auto"/>
          <w:sz w:val="24"/>
          <w:szCs w:val="24"/>
        </w:rPr>
        <w:t>本项目熔炼废气</w:t>
      </w:r>
      <w:r>
        <w:rPr>
          <w:rFonts w:hint="eastAsia" w:ascii="Times New Roman" w:hAnsi="Times New Roman" w:eastAsia="宋体" w:cs="Times New Roman"/>
          <w:b/>
          <w:color w:val="auto"/>
          <w:sz w:val="24"/>
          <w:szCs w:val="24"/>
          <w:lang w:eastAsia="zh-CN"/>
        </w:rPr>
        <w:t>、</w:t>
      </w:r>
      <w:r>
        <w:rPr>
          <w:rFonts w:hint="eastAsia" w:ascii="Times New Roman" w:hAnsi="Times New Roman" w:eastAsia="宋体" w:cs="Times New Roman"/>
          <w:b/>
          <w:color w:val="auto"/>
          <w:sz w:val="24"/>
          <w:szCs w:val="24"/>
          <w:lang w:val="en-US" w:eastAsia="zh-CN"/>
        </w:rPr>
        <w:t>造型废气、</w:t>
      </w:r>
      <w:r>
        <w:rPr>
          <w:rFonts w:hint="default" w:ascii="Times New Roman" w:hAnsi="Times New Roman" w:eastAsia="宋体" w:cs="Times New Roman"/>
          <w:b/>
          <w:color w:val="auto"/>
          <w:sz w:val="24"/>
          <w:szCs w:val="24"/>
        </w:rPr>
        <w:t>砂处理废气</w:t>
      </w:r>
      <w:r>
        <w:rPr>
          <w:rFonts w:hint="eastAsia" w:ascii="Times New Roman" w:hAnsi="Times New Roman" w:eastAsia="宋体" w:cs="Times New Roman"/>
          <w:b/>
          <w:color w:val="auto"/>
          <w:sz w:val="24"/>
          <w:szCs w:val="24"/>
          <w:lang w:eastAsia="zh-CN"/>
        </w:rPr>
        <w:t>、</w:t>
      </w:r>
      <w:r>
        <w:rPr>
          <w:rFonts w:hint="eastAsia" w:ascii="Times New Roman" w:hAnsi="Times New Roman" w:eastAsia="宋体" w:cs="Times New Roman"/>
          <w:b/>
          <w:color w:val="auto"/>
          <w:sz w:val="24"/>
          <w:szCs w:val="24"/>
          <w:lang w:val="en-US" w:eastAsia="zh-CN"/>
        </w:rPr>
        <w:t>打磨清理</w:t>
      </w:r>
      <w:r>
        <w:rPr>
          <w:rFonts w:hint="eastAsia" w:ascii="Times New Roman" w:hAnsi="Times New Roman" w:eastAsia="宋体" w:cs="Times New Roman"/>
          <w:b/>
          <w:color w:val="auto"/>
          <w:sz w:val="24"/>
          <w:szCs w:val="24"/>
          <w:lang w:eastAsia="zh-CN"/>
        </w:rPr>
        <w:t>废气</w:t>
      </w:r>
      <w:r>
        <w:rPr>
          <w:rFonts w:hint="eastAsia" w:ascii="Times New Roman" w:hAnsi="Times New Roman" w:eastAsia="宋体" w:cs="Times New Roman"/>
          <w:b/>
          <w:color w:val="auto"/>
          <w:sz w:val="24"/>
          <w:szCs w:val="24"/>
          <w:lang w:val="en-US" w:eastAsia="zh-CN"/>
        </w:rPr>
        <w:t>经收集后</w:t>
      </w:r>
      <w:r>
        <w:rPr>
          <w:rFonts w:hint="default" w:ascii="Times New Roman" w:hAnsi="Times New Roman" w:eastAsia="宋体" w:cs="Times New Roman"/>
          <w:b/>
          <w:color w:val="auto"/>
          <w:sz w:val="24"/>
          <w:szCs w:val="24"/>
        </w:rPr>
        <w:t>经一套</w:t>
      </w:r>
      <w:r>
        <w:rPr>
          <w:rFonts w:hint="eastAsia" w:ascii="Times New Roman" w:hAnsi="Times New Roman" w:eastAsia="宋体" w:cs="Times New Roman"/>
          <w:b/>
          <w:color w:val="auto"/>
          <w:sz w:val="24"/>
          <w:szCs w:val="24"/>
          <w:lang w:val="en-US" w:eastAsia="zh-CN"/>
        </w:rPr>
        <w:t>布袋除尘器</w:t>
      </w:r>
      <w:r>
        <w:rPr>
          <w:rFonts w:hint="default" w:ascii="Times New Roman" w:hAnsi="Times New Roman" w:eastAsia="宋体" w:cs="Times New Roman"/>
          <w:b/>
          <w:color w:val="auto"/>
          <w:sz w:val="24"/>
          <w:szCs w:val="24"/>
        </w:rPr>
        <w:t>处理后</w:t>
      </w:r>
      <w:r>
        <w:rPr>
          <w:rFonts w:hint="eastAsia" w:ascii="Times New Roman" w:hAnsi="Times New Roman" w:eastAsia="宋体" w:cs="Times New Roman"/>
          <w:b/>
          <w:color w:val="auto"/>
          <w:sz w:val="24"/>
          <w:szCs w:val="24"/>
          <w:lang w:val="en-US" w:eastAsia="zh-CN"/>
        </w:rPr>
        <w:t>通过1根</w:t>
      </w:r>
      <w:r>
        <w:rPr>
          <w:rFonts w:hint="default" w:ascii="Times New Roman" w:hAnsi="Times New Roman" w:eastAsia="宋体" w:cs="Times New Roman"/>
          <w:b/>
          <w:color w:val="auto"/>
          <w:sz w:val="24"/>
          <w:szCs w:val="24"/>
        </w:rPr>
        <w:t>15m排气筒（DA001）外排，熔炼工序风机风量为</w:t>
      </w:r>
      <w:r>
        <w:rPr>
          <w:rFonts w:hint="eastAsia" w:ascii="Times New Roman" w:hAnsi="Times New Roman" w:eastAsia="宋体" w:cs="Times New Roman"/>
          <w:b/>
          <w:color w:val="auto"/>
          <w:sz w:val="24"/>
          <w:szCs w:val="24"/>
          <w:lang w:val="en-US" w:eastAsia="zh-CN"/>
        </w:rPr>
        <w:t>10395</w:t>
      </w:r>
      <w:r>
        <w:rPr>
          <w:rFonts w:hint="default" w:ascii="Times New Roman" w:hAnsi="Times New Roman" w:eastAsia="宋体" w:cs="Times New Roman"/>
          <w:b/>
          <w:color w:val="auto"/>
          <w:sz w:val="24"/>
          <w:szCs w:val="24"/>
        </w:rPr>
        <w:t>m</w:t>
      </w:r>
      <w:r>
        <w:rPr>
          <w:rFonts w:hint="default" w:ascii="Times New Roman" w:hAnsi="Times New Roman" w:eastAsia="宋体" w:cs="Times New Roman"/>
          <w:b/>
          <w:color w:val="auto"/>
          <w:sz w:val="24"/>
          <w:szCs w:val="24"/>
          <w:vertAlign w:val="superscript"/>
        </w:rPr>
        <w:t>3</w:t>
      </w:r>
      <w:r>
        <w:rPr>
          <w:rFonts w:hint="default" w:ascii="Times New Roman" w:hAnsi="Times New Roman" w:eastAsia="宋体" w:cs="Times New Roman"/>
          <w:b/>
          <w:color w:val="auto"/>
          <w:sz w:val="24"/>
          <w:szCs w:val="24"/>
        </w:rPr>
        <w:t>/h，</w:t>
      </w:r>
      <w:r>
        <w:rPr>
          <w:rFonts w:hint="default" w:ascii="Times New Roman" w:hAnsi="Times New Roman" w:eastAsia="宋体" w:cs="Times New Roman"/>
          <w:b/>
          <w:color w:val="auto"/>
          <w:sz w:val="24"/>
          <w:szCs w:val="24"/>
          <w:lang w:val="en-US" w:eastAsia="zh-CN"/>
        </w:rPr>
        <w:t>造型</w:t>
      </w:r>
      <w:r>
        <w:rPr>
          <w:rFonts w:hint="default" w:ascii="Times New Roman" w:hAnsi="Times New Roman" w:eastAsia="宋体" w:cs="Times New Roman"/>
          <w:b/>
          <w:color w:val="auto"/>
          <w:sz w:val="24"/>
          <w:szCs w:val="24"/>
        </w:rPr>
        <w:t>工序风机风量为</w:t>
      </w:r>
      <w:r>
        <w:rPr>
          <w:rFonts w:hint="eastAsia" w:ascii="Times New Roman" w:hAnsi="Times New Roman" w:eastAsia="宋体" w:cs="Times New Roman"/>
          <w:b/>
          <w:color w:val="auto"/>
          <w:sz w:val="24"/>
          <w:szCs w:val="24"/>
          <w:lang w:val="en-US" w:eastAsia="zh-CN"/>
        </w:rPr>
        <w:t>8333</w:t>
      </w:r>
      <w:r>
        <w:rPr>
          <w:rFonts w:hint="default" w:ascii="Times New Roman" w:hAnsi="Times New Roman" w:eastAsia="宋体" w:cs="Times New Roman"/>
          <w:b/>
          <w:color w:val="auto"/>
          <w:sz w:val="24"/>
          <w:szCs w:val="24"/>
        </w:rPr>
        <w:t>m</w:t>
      </w:r>
      <w:r>
        <w:rPr>
          <w:rFonts w:hint="default" w:ascii="Times New Roman" w:hAnsi="Times New Roman" w:eastAsia="宋体" w:cs="Times New Roman"/>
          <w:b/>
          <w:color w:val="auto"/>
          <w:sz w:val="24"/>
          <w:szCs w:val="24"/>
          <w:vertAlign w:val="superscript"/>
        </w:rPr>
        <w:t>3</w:t>
      </w:r>
      <w:r>
        <w:rPr>
          <w:rFonts w:hint="default" w:ascii="Times New Roman" w:hAnsi="Times New Roman" w:eastAsia="宋体" w:cs="Times New Roman"/>
          <w:b/>
          <w:color w:val="auto"/>
          <w:sz w:val="24"/>
          <w:szCs w:val="24"/>
        </w:rPr>
        <w:t>/h，砂处理工序风量为</w:t>
      </w:r>
      <w:r>
        <w:rPr>
          <w:rFonts w:hint="eastAsia" w:ascii="Times New Roman" w:hAnsi="Times New Roman" w:eastAsia="宋体" w:cs="Times New Roman"/>
          <w:b/>
          <w:color w:val="auto"/>
          <w:sz w:val="24"/>
          <w:szCs w:val="24"/>
          <w:lang w:val="en-US" w:eastAsia="zh-CN"/>
        </w:rPr>
        <w:t>21315</w:t>
      </w:r>
      <w:r>
        <w:rPr>
          <w:rFonts w:hint="default" w:ascii="Times New Roman" w:hAnsi="Times New Roman" w:eastAsia="宋体" w:cs="Times New Roman"/>
          <w:b/>
          <w:color w:val="auto"/>
          <w:sz w:val="24"/>
          <w:szCs w:val="24"/>
        </w:rPr>
        <w:t>m</w:t>
      </w:r>
      <w:r>
        <w:rPr>
          <w:rFonts w:hint="default" w:ascii="Times New Roman" w:hAnsi="Times New Roman" w:eastAsia="宋体" w:cs="Times New Roman"/>
          <w:b/>
          <w:color w:val="auto"/>
          <w:sz w:val="24"/>
          <w:szCs w:val="24"/>
          <w:vertAlign w:val="superscript"/>
        </w:rPr>
        <w:t>3</w:t>
      </w:r>
      <w:r>
        <w:rPr>
          <w:rFonts w:hint="default" w:ascii="Times New Roman" w:hAnsi="Times New Roman" w:eastAsia="宋体" w:cs="Times New Roman"/>
          <w:b/>
          <w:color w:val="auto"/>
          <w:sz w:val="24"/>
          <w:szCs w:val="24"/>
        </w:rPr>
        <w:t>/h</w:t>
      </w:r>
      <w:r>
        <w:rPr>
          <w:rFonts w:hint="eastAsia" w:ascii="Times New Roman" w:hAnsi="Times New Roman" w:eastAsia="宋体" w:cs="Times New Roman"/>
          <w:b/>
          <w:color w:val="auto"/>
          <w:sz w:val="24"/>
          <w:szCs w:val="24"/>
          <w:lang w:eastAsia="zh-CN"/>
        </w:rPr>
        <w:t>，</w:t>
      </w:r>
      <w:r>
        <w:rPr>
          <w:rFonts w:hint="eastAsia" w:ascii="Times New Roman" w:hAnsi="Times New Roman" w:eastAsia="宋体" w:cs="Times New Roman"/>
          <w:b/>
          <w:color w:val="auto"/>
          <w:sz w:val="24"/>
          <w:szCs w:val="24"/>
          <w:lang w:val="en-US" w:eastAsia="zh-CN"/>
        </w:rPr>
        <w:t>打磨清理</w:t>
      </w:r>
      <w:r>
        <w:rPr>
          <w:rFonts w:hint="eastAsia" w:ascii="Times New Roman" w:hAnsi="Times New Roman" w:eastAsia="宋体" w:cs="Times New Roman"/>
          <w:b/>
          <w:color w:val="auto"/>
          <w:sz w:val="24"/>
          <w:szCs w:val="24"/>
          <w:lang w:eastAsia="zh-CN"/>
        </w:rPr>
        <w:t>工序风机风量为</w:t>
      </w:r>
      <w:r>
        <w:rPr>
          <w:rFonts w:hint="eastAsia" w:ascii="Times New Roman" w:hAnsi="Times New Roman" w:eastAsia="宋体" w:cs="Times New Roman"/>
          <w:b/>
          <w:color w:val="auto"/>
          <w:sz w:val="24"/>
          <w:szCs w:val="24"/>
          <w:lang w:val="en-US" w:eastAsia="zh-CN"/>
        </w:rPr>
        <w:t>11806</w:t>
      </w:r>
      <w:r>
        <w:rPr>
          <w:rFonts w:hint="eastAsia" w:ascii="Times New Roman" w:hAnsi="Times New Roman" w:eastAsia="宋体" w:cs="Times New Roman"/>
          <w:b/>
          <w:color w:val="auto"/>
          <w:sz w:val="24"/>
          <w:szCs w:val="24"/>
          <w:lang w:eastAsia="zh-CN"/>
        </w:rPr>
        <w:t>m</w:t>
      </w:r>
      <w:r>
        <w:rPr>
          <w:rFonts w:hint="eastAsia" w:ascii="Times New Roman" w:hAnsi="Times New Roman" w:eastAsia="宋体" w:cs="Times New Roman"/>
          <w:b/>
          <w:color w:val="auto"/>
          <w:sz w:val="24"/>
          <w:szCs w:val="24"/>
          <w:vertAlign w:val="superscript"/>
          <w:lang w:eastAsia="zh-CN"/>
        </w:rPr>
        <w:t>3</w:t>
      </w:r>
      <w:r>
        <w:rPr>
          <w:rFonts w:hint="eastAsia" w:ascii="Times New Roman" w:hAnsi="Times New Roman" w:eastAsia="宋体" w:cs="Times New Roman"/>
          <w:b/>
          <w:color w:val="auto"/>
          <w:sz w:val="24"/>
          <w:szCs w:val="24"/>
          <w:lang w:eastAsia="zh-CN"/>
        </w:rPr>
        <w:t>/h</w:t>
      </w:r>
      <w:r>
        <w:rPr>
          <w:rFonts w:hint="default" w:ascii="Times New Roman" w:hAnsi="Times New Roman" w:eastAsia="宋体" w:cs="Times New Roman"/>
          <w:b/>
          <w:color w:val="auto"/>
          <w:sz w:val="24"/>
          <w:szCs w:val="24"/>
        </w:rPr>
        <w:t>。DA001号排气筒（熔炼废气</w:t>
      </w:r>
      <w:r>
        <w:rPr>
          <w:rFonts w:hint="default" w:ascii="Times New Roman" w:hAnsi="Times New Roman" w:eastAsia="宋体" w:cs="Times New Roman"/>
          <w:b/>
          <w:color w:val="auto"/>
          <w:sz w:val="24"/>
          <w:szCs w:val="24"/>
          <w:lang w:eastAsia="zh-CN"/>
        </w:rPr>
        <w:t>、</w:t>
      </w:r>
      <w:r>
        <w:rPr>
          <w:rFonts w:hint="default" w:ascii="Times New Roman" w:hAnsi="Times New Roman" w:eastAsia="宋体" w:cs="Times New Roman"/>
          <w:b/>
          <w:color w:val="auto"/>
          <w:sz w:val="24"/>
          <w:szCs w:val="24"/>
          <w:lang w:val="en-US" w:eastAsia="zh-CN"/>
        </w:rPr>
        <w:t>造型废气、</w:t>
      </w:r>
      <w:r>
        <w:rPr>
          <w:rFonts w:hint="default" w:ascii="Times New Roman" w:hAnsi="Times New Roman" w:eastAsia="宋体" w:cs="Times New Roman"/>
          <w:b/>
          <w:color w:val="auto"/>
          <w:sz w:val="24"/>
          <w:szCs w:val="24"/>
        </w:rPr>
        <w:t>砂处理废气</w:t>
      </w:r>
      <w:r>
        <w:rPr>
          <w:rFonts w:hint="default" w:ascii="Times New Roman" w:hAnsi="Times New Roman" w:eastAsia="宋体" w:cs="Times New Roman"/>
          <w:b/>
          <w:color w:val="auto"/>
          <w:sz w:val="24"/>
          <w:szCs w:val="24"/>
          <w:lang w:eastAsia="zh-CN"/>
        </w:rPr>
        <w:t>、</w:t>
      </w:r>
      <w:r>
        <w:rPr>
          <w:rFonts w:hint="default" w:ascii="Times New Roman" w:hAnsi="Times New Roman" w:eastAsia="宋体" w:cs="Times New Roman"/>
          <w:b/>
          <w:color w:val="auto"/>
          <w:sz w:val="24"/>
          <w:szCs w:val="24"/>
          <w:lang w:val="en-US" w:eastAsia="zh-CN"/>
        </w:rPr>
        <w:t>打磨清理</w:t>
      </w:r>
      <w:r>
        <w:rPr>
          <w:rFonts w:hint="default" w:ascii="Times New Roman" w:hAnsi="Times New Roman" w:eastAsia="宋体" w:cs="Times New Roman"/>
          <w:b/>
          <w:color w:val="auto"/>
          <w:sz w:val="24"/>
          <w:szCs w:val="24"/>
          <w:lang w:eastAsia="zh-CN"/>
        </w:rPr>
        <w:t>废气</w:t>
      </w:r>
      <w:r>
        <w:rPr>
          <w:rFonts w:hint="default" w:ascii="Times New Roman" w:hAnsi="Times New Roman" w:eastAsia="宋体" w:cs="Times New Roman"/>
          <w:b/>
          <w:color w:val="auto"/>
          <w:sz w:val="24"/>
          <w:szCs w:val="24"/>
        </w:rPr>
        <w:t>）</w:t>
      </w:r>
      <w:r>
        <w:rPr>
          <w:rFonts w:hint="eastAsia" w:ascii="Times New Roman" w:hAnsi="Times New Roman" w:eastAsia="宋体" w:cs="Times New Roman"/>
          <w:b/>
          <w:color w:val="auto"/>
          <w:sz w:val="24"/>
          <w:szCs w:val="24"/>
          <w:lang w:val="en-US" w:eastAsia="zh-CN"/>
        </w:rPr>
        <w:t>废气量为51847m</w:t>
      </w:r>
      <w:r>
        <w:rPr>
          <w:rFonts w:hint="eastAsia" w:ascii="Times New Roman" w:hAnsi="Times New Roman" w:eastAsia="宋体" w:cs="Times New Roman"/>
          <w:b/>
          <w:color w:val="auto"/>
          <w:sz w:val="24"/>
          <w:szCs w:val="24"/>
          <w:vertAlign w:val="superscript"/>
          <w:lang w:val="en-US" w:eastAsia="zh-CN"/>
        </w:rPr>
        <w:t>3</w:t>
      </w:r>
      <w:r>
        <w:rPr>
          <w:rFonts w:hint="eastAsia" w:ascii="Times New Roman" w:hAnsi="Times New Roman" w:eastAsia="宋体" w:cs="Times New Roman"/>
          <w:b/>
          <w:color w:val="auto"/>
          <w:sz w:val="24"/>
          <w:szCs w:val="24"/>
          <w:lang w:val="en-US" w:eastAsia="zh-CN"/>
        </w:rPr>
        <w:t>/h，</w:t>
      </w:r>
      <w:r>
        <w:rPr>
          <w:rFonts w:hint="default" w:ascii="Times New Roman" w:hAnsi="Times New Roman" w:eastAsia="宋体" w:cs="Times New Roman"/>
          <w:b/>
          <w:color w:val="auto"/>
          <w:sz w:val="24"/>
          <w:szCs w:val="24"/>
        </w:rPr>
        <w:t>颗粒物有组织</w:t>
      </w:r>
      <w:r>
        <w:rPr>
          <w:rFonts w:hint="eastAsia" w:ascii="Times New Roman" w:hAnsi="Times New Roman" w:eastAsia="宋体" w:cs="Times New Roman"/>
          <w:b/>
          <w:color w:val="auto"/>
          <w:sz w:val="24"/>
          <w:szCs w:val="24"/>
          <w:lang w:val="en-US" w:eastAsia="zh-CN"/>
        </w:rPr>
        <w:t>产生量为31.050t/a、产生速率为8.625kg/h、产生浓度为166.35mg/m</w:t>
      </w:r>
      <w:r>
        <w:rPr>
          <w:rFonts w:hint="eastAsia" w:ascii="Times New Roman" w:hAnsi="Times New Roman" w:eastAsia="宋体" w:cs="Times New Roman"/>
          <w:b/>
          <w:color w:val="auto"/>
          <w:sz w:val="24"/>
          <w:szCs w:val="24"/>
          <w:vertAlign w:val="superscript"/>
          <w:lang w:val="en-US" w:eastAsia="zh-CN"/>
        </w:rPr>
        <w:t>3</w:t>
      </w:r>
      <w:r>
        <w:rPr>
          <w:rFonts w:hint="eastAsia" w:ascii="Times New Roman" w:hAnsi="Times New Roman" w:eastAsia="宋体" w:cs="Times New Roman"/>
          <w:b/>
          <w:color w:val="auto"/>
          <w:sz w:val="24"/>
          <w:szCs w:val="24"/>
          <w:vertAlign w:val="baseline"/>
          <w:lang w:val="en-US" w:eastAsia="zh-CN"/>
        </w:rPr>
        <w:t>。参照《排放源统计调查产排污核算方法和系数手册—机械行业系数手册》工艺中布袋除尘器除尘效率为95%，除尘效率与颗粒物产生浓度相关，因本工艺颗粒物产生浓度较低，因此本工艺布袋除尘器除尘效率取85%，则DA001号排气筒颗粒物</w:t>
      </w:r>
      <w:r>
        <w:rPr>
          <w:rFonts w:hint="default" w:ascii="Times New Roman" w:hAnsi="Times New Roman" w:eastAsia="宋体" w:cs="Times New Roman"/>
          <w:b/>
          <w:color w:val="auto"/>
          <w:sz w:val="24"/>
          <w:szCs w:val="24"/>
        </w:rPr>
        <w:t>排放量为</w:t>
      </w:r>
      <w:r>
        <w:rPr>
          <w:rFonts w:hint="eastAsia" w:ascii="Times New Roman" w:hAnsi="Times New Roman" w:eastAsia="宋体" w:cs="Times New Roman"/>
          <w:b/>
          <w:color w:val="auto"/>
          <w:sz w:val="24"/>
          <w:szCs w:val="24"/>
          <w:lang w:val="en-US" w:eastAsia="zh-CN"/>
        </w:rPr>
        <w:t>4.658</w:t>
      </w:r>
      <w:r>
        <w:rPr>
          <w:rFonts w:hint="default" w:ascii="Times New Roman" w:hAnsi="Times New Roman" w:eastAsia="宋体" w:cs="Times New Roman"/>
          <w:b/>
          <w:color w:val="auto"/>
          <w:sz w:val="24"/>
          <w:szCs w:val="24"/>
        </w:rPr>
        <w:t>t/a，有组织排放速率为</w:t>
      </w:r>
      <w:r>
        <w:rPr>
          <w:rFonts w:hint="eastAsia" w:ascii="Times New Roman" w:hAnsi="Times New Roman" w:eastAsia="宋体" w:cs="Times New Roman"/>
          <w:b/>
          <w:color w:val="auto"/>
          <w:sz w:val="24"/>
          <w:szCs w:val="24"/>
          <w:lang w:val="en-US" w:eastAsia="zh-CN"/>
        </w:rPr>
        <w:t>1.294</w:t>
      </w:r>
      <w:r>
        <w:rPr>
          <w:rFonts w:hint="default" w:ascii="Times New Roman" w:hAnsi="Times New Roman" w:eastAsia="宋体" w:cs="Times New Roman"/>
          <w:b/>
          <w:color w:val="auto"/>
          <w:sz w:val="24"/>
          <w:szCs w:val="24"/>
        </w:rPr>
        <w:t>kg/h，排放浓度为</w:t>
      </w:r>
      <w:r>
        <w:rPr>
          <w:rFonts w:hint="eastAsia" w:ascii="Times New Roman" w:hAnsi="Times New Roman" w:eastAsia="宋体" w:cs="Times New Roman"/>
          <w:b/>
          <w:color w:val="auto"/>
          <w:sz w:val="24"/>
          <w:szCs w:val="24"/>
          <w:lang w:val="en-US" w:eastAsia="zh-CN"/>
        </w:rPr>
        <w:t>24.95</w:t>
      </w:r>
      <w:r>
        <w:rPr>
          <w:rFonts w:hint="default" w:ascii="Times New Roman" w:hAnsi="Times New Roman" w:eastAsia="宋体" w:cs="Times New Roman"/>
          <w:b/>
          <w:color w:val="auto"/>
          <w:sz w:val="24"/>
          <w:szCs w:val="24"/>
        </w:rPr>
        <w:t>mg/m</w:t>
      </w:r>
      <w:r>
        <w:rPr>
          <w:rFonts w:hint="default" w:ascii="Times New Roman" w:hAnsi="Times New Roman" w:eastAsia="宋体" w:cs="Times New Roman"/>
          <w:b/>
          <w:color w:val="auto"/>
          <w:sz w:val="24"/>
          <w:szCs w:val="24"/>
          <w:vertAlign w:val="superscript"/>
        </w:rPr>
        <w:t>3</w:t>
      </w:r>
      <w:r>
        <w:rPr>
          <w:rFonts w:hint="default" w:ascii="Times New Roman" w:hAnsi="Times New Roman" w:eastAsia="宋体" w:cs="Times New Roman"/>
          <w:b/>
          <w:color w:val="auto"/>
          <w:sz w:val="24"/>
          <w:szCs w:val="24"/>
        </w:rPr>
        <w:t>。</w:t>
      </w:r>
      <w:r>
        <w:rPr>
          <w:rFonts w:hint="eastAsia" w:ascii="Times New Roman" w:hAnsi="Times New Roman" w:eastAsia="宋体" w:cs="Times New Roman"/>
          <w:b/>
          <w:color w:val="auto"/>
          <w:sz w:val="24"/>
          <w:szCs w:val="24"/>
          <w:lang w:val="en-US" w:eastAsia="zh-CN"/>
        </w:rPr>
        <w:t>DA001排放口</w:t>
      </w:r>
      <w:r>
        <w:rPr>
          <w:rFonts w:hint="default" w:ascii="Times New Roman" w:hAnsi="Times New Roman" w:eastAsia="宋体" w:cs="Times New Roman"/>
          <w:b/>
          <w:color w:val="auto"/>
          <w:sz w:val="24"/>
          <w:szCs w:val="24"/>
        </w:rPr>
        <w:t>颗粒物有组织排放</w:t>
      </w:r>
      <w:r>
        <w:rPr>
          <w:rFonts w:hint="eastAsia" w:ascii="Times New Roman" w:hAnsi="Times New Roman" w:eastAsia="宋体" w:cs="Times New Roman"/>
          <w:b/>
          <w:color w:val="auto"/>
          <w:sz w:val="24"/>
          <w:szCs w:val="24"/>
          <w:lang w:val="en-US" w:eastAsia="zh-CN"/>
        </w:rPr>
        <w:t>可以满足</w:t>
      </w:r>
      <w:r>
        <w:rPr>
          <w:rFonts w:hint="default" w:ascii="Times New Roman" w:hAnsi="Times New Roman" w:eastAsia="宋体" w:cs="Times New Roman"/>
          <w:b/>
          <w:color w:val="auto"/>
          <w:sz w:val="24"/>
          <w:szCs w:val="24"/>
        </w:rPr>
        <w:t>《铸造工业大气污染物排放标准》（GB39726-2020）表1标准限值</w:t>
      </w:r>
      <w:r>
        <w:rPr>
          <w:rFonts w:hint="eastAsia" w:ascii="Times New Roman" w:hAnsi="Times New Roman" w:eastAsia="宋体" w:cs="Times New Roman"/>
          <w:b/>
          <w:color w:val="auto"/>
          <w:sz w:val="24"/>
          <w:szCs w:val="24"/>
          <w:lang w:val="en-US" w:eastAsia="zh-CN"/>
        </w:rPr>
        <w:t>要求。本项目厂房封闭，在采取定期洒水抑尘措施后，厂区内颗粒物无组织排放可以满足《铸造工业大气污染物排放标准》（GB39726-2020）附录A标准限值要求。</w:t>
      </w:r>
    </w:p>
    <w:p w14:paraId="794D04FE">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eastAsia="宋体" w:cs="Times New Roman"/>
          <w:b/>
          <w:color w:val="auto"/>
          <w:sz w:val="24"/>
          <w:szCs w:val="24"/>
        </w:rPr>
      </w:pPr>
      <w:r>
        <w:rPr>
          <w:rFonts w:hint="eastAsia" w:ascii="Times New Roman" w:hAnsi="Times New Roman" w:eastAsia="宋体" w:cs="Times New Roman"/>
          <w:b/>
          <w:color w:val="auto"/>
          <w:sz w:val="24"/>
          <w:szCs w:val="24"/>
          <w:lang w:val="en-US" w:eastAsia="zh-CN"/>
        </w:rPr>
        <w:t>6.</w:t>
      </w:r>
      <w:r>
        <w:rPr>
          <w:rFonts w:hint="default" w:ascii="宋体" w:hAnsi="Times New Roman" w:eastAsia="宋体" w:cs="Times New Roman"/>
          <w:b/>
          <w:color w:val="auto"/>
          <w:sz w:val="24"/>
          <w:szCs w:val="24"/>
        </w:rPr>
        <w:t>浇注废气</w:t>
      </w:r>
    </w:p>
    <w:p w14:paraId="4B53FBB6">
      <w:pPr>
        <w:keepNext w:val="0"/>
        <w:keepLines w:val="0"/>
        <w:widowControl/>
        <w:suppressLineNumbers w:val="0"/>
        <w:snapToGrid w:val="0"/>
        <w:spacing w:before="0" w:beforeAutospacing="0" w:after="0" w:afterAutospacing="0"/>
        <w:ind w:left="0" w:right="0" w:firstLine="480" w:firstLineChars="200"/>
        <w:jc w:val="both"/>
        <w:rPr>
          <w:rFonts w:hint="default" w:ascii="Times New Roman" w:hAnsi="Times New Roman" w:eastAsia="宋体" w:cs="Times New Roman"/>
          <w:color w:val="auto"/>
          <w:kern w:val="2"/>
          <w:sz w:val="24"/>
          <w:szCs w:val="24"/>
          <w:u w:val="none" w:color="auto"/>
        </w:rPr>
      </w:pPr>
      <w:r>
        <w:rPr>
          <w:rFonts w:hint="default" w:ascii="宋体" w:hAnsi="Times New Roman" w:eastAsia="宋体" w:cs="Times New Roman"/>
          <w:color w:val="auto"/>
          <w:kern w:val="2"/>
          <w:sz w:val="24"/>
          <w:szCs w:val="24"/>
          <w:u w:val="none" w:color="auto"/>
        </w:rPr>
        <w:t>根据《排放源统计调查产排污核算方法和系数手册—机械行业系数手册》中“造型/浇注”工艺中产排污系数表，本项目浇注废气产污情况如下表。</w:t>
      </w:r>
    </w:p>
    <w:p w14:paraId="2697F79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kern w:val="2"/>
          <w:sz w:val="21"/>
          <w:szCs w:val="21"/>
        </w:rPr>
      </w:pPr>
      <w:r>
        <w:rPr>
          <w:rFonts w:hint="default" w:ascii="Times New Roman" w:hAnsi="Times New Roman" w:eastAsia="宋体" w:cs="Times New Roman"/>
          <w:b/>
          <w:color w:val="auto"/>
          <w:kern w:val="2"/>
          <w:sz w:val="21"/>
          <w:szCs w:val="21"/>
          <w:lang w:bidi="ar"/>
        </w:rPr>
        <w:t>表</w:t>
      </w:r>
      <w:r>
        <w:rPr>
          <w:rFonts w:hint="eastAsia" w:ascii="Times New Roman" w:hAnsi="Times New Roman" w:eastAsia="宋体" w:cs="Times New Roman"/>
          <w:b/>
          <w:color w:val="auto"/>
          <w:kern w:val="2"/>
          <w:sz w:val="21"/>
          <w:szCs w:val="21"/>
          <w:lang w:val="en-US" w:eastAsia="zh-CN" w:bidi="ar"/>
        </w:rPr>
        <w:t>5</w:t>
      </w:r>
      <w:r>
        <w:rPr>
          <w:rFonts w:hint="default" w:ascii="Times New Roman" w:hAnsi="Times New Roman" w:eastAsia="宋体" w:cs="Times New Roman"/>
          <w:b/>
          <w:color w:val="auto"/>
          <w:kern w:val="2"/>
          <w:sz w:val="21"/>
          <w:szCs w:val="21"/>
          <w:lang w:bidi="ar"/>
        </w:rPr>
        <w:t xml:space="preserve"> 浇</w:t>
      </w:r>
      <w:r>
        <w:rPr>
          <w:rFonts w:hint="default" w:ascii="宋体" w:hAnsi="Times New Roman" w:eastAsia="宋体" w:cs="Times New Roman"/>
          <w:b/>
          <w:color w:val="auto"/>
          <w:kern w:val="2"/>
          <w:sz w:val="21"/>
          <w:szCs w:val="21"/>
          <w:lang w:bidi="ar"/>
        </w:rPr>
        <w:t>注废气产排污情况一览表</w:t>
      </w:r>
    </w:p>
    <w:tbl>
      <w:tblPr>
        <w:tblStyle w:val="56"/>
        <w:tblW w:w="4999" w:type="pct"/>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793"/>
        <w:gridCol w:w="1232"/>
        <w:gridCol w:w="1841"/>
        <w:gridCol w:w="1195"/>
        <w:gridCol w:w="1486"/>
        <w:gridCol w:w="879"/>
        <w:gridCol w:w="1397"/>
      </w:tblGrid>
      <w:tr w14:paraId="737C9D0A">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tcBorders>
              <w:top w:val="single" w:color="auto" w:sz="8" w:space="0"/>
              <w:left w:val="single" w:color="auto" w:sz="8" w:space="0"/>
              <w:bottom w:val="single" w:color="auto" w:sz="2" w:space="0"/>
              <w:right w:val="single" w:color="auto" w:sz="2" w:space="0"/>
              <w:tl2br w:val="nil"/>
              <w:tr2bl w:val="nil"/>
            </w:tcBorders>
            <w:noWrap w:val="0"/>
            <w:vAlign w:val="center"/>
          </w:tcPr>
          <w:p w14:paraId="684A16BB">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宋体" w:hAnsi="Times New Roman" w:eastAsia="宋体" w:cs="Times New Roman"/>
                <w:b/>
                <w:color w:val="auto"/>
                <w:sz w:val="21"/>
                <w:szCs w:val="21"/>
                <w:lang w:bidi="ar"/>
              </w:rPr>
              <w:t>产品名称</w:t>
            </w:r>
          </w:p>
        </w:tc>
        <w:tc>
          <w:tcPr>
            <w:tcW w:w="1156" w:type="dxa"/>
            <w:tcBorders>
              <w:top w:val="single" w:color="auto" w:sz="8" w:space="0"/>
              <w:left w:val="single" w:color="auto" w:sz="2" w:space="0"/>
              <w:bottom w:val="single" w:color="auto" w:sz="2" w:space="0"/>
              <w:right w:val="single" w:color="auto" w:sz="2" w:space="0"/>
              <w:tl2br w:val="nil"/>
              <w:tr2bl w:val="nil"/>
            </w:tcBorders>
            <w:noWrap w:val="0"/>
            <w:vAlign w:val="center"/>
          </w:tcPr>
          <w:p w14:paraId="68B7D67C">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宋体" w:hAnsi="Times New Roman" w:eastAsia="宋体" w:cs="Times New Roman"/>
                <w:b/>
                <w:color w:val="auto"/>
                <w:sz w:val="21"/>
                <w:szCs w:val="21"/>
                <w:lang w:bidi="ar"/>
              </w:rPr>
              <w:t>原料名称</w:t>
            </w:r>
          </w:p>
        </w:tc>
        <w:tc>
          <w:tcPr>
            <w:tcW w:w="1728" w:type="dxa"/>
            <w:tcBorders>
              <w:top w:val="single" w:color="auto" w:sz="8" w:space="0"/>
              <w:left w:val="single" w:color="auto" w:sz="2" w:space="0"/>
              <w:bottom w:val="single" w:color="auto" w:sz="2" w:space="0"/>
              <w:right w:val="single" w:color="auto" w:sz="2" w:space="0"/>
              <w:tl2br w:val="nil"/>
              <w:tr2bl w:val="nil"/>
            </w:tcBorders>
            <w:noWrap w:val="0"/>
            <w:vAlign w:val="center"/>
          </w:tcPr>
          <w:p w14:paraId="75AB5972">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宋体" w:hAnsi="Times New Roman" w:eastAsia="宋体" w:cs="Times New Roman"/>
                <w:b/>
                <w:color w:val="auto"/>
                <w:sz w:val="21"/>
                <w:szCs w:val="21"/>
                <w:lang w:bidi="ar"/>
              </w:rPr>
              <w:t>工艺名称</w:t>
            </w:r>
          </w:p>
        </w:tc>
        <w:tc>
          <w:tcPr>
            <w:tcW w:w="1122" w:type="dxa"/>
            <w:tcBorders>
              <w:top w:val="single" w:color="auto" w:sz="8" w:space="0"/>
              <w:left w:val="single" w:color="auto" w:sz="2" w:space="0"/>
              <w:bottom w:val="single" w:color="auto" w:sz="2" w:space="0"/>
              <w:right w:val="single" w:color="auto" w:sz="2" w:space="0"/>
              <w:tl2br w:val="nil"/>
              <w:tr2bl w:val="nil"/>
            </w:tcBorders>
            <w:noWrap w:val="0"/>
            <w:vAlign w:val="center"/>
          </w:tcPr>
          <w:p w14:paraId="05FCC044">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宋体" w:hAnsi="Times New Roman" w:eastAsia="宋体" w:cs="Times New Roman"/>
                <w:b/>
                <w:color w:val="auto"/>
                <w:sz w:val="21"/>
                <w:szCs w:val="21"/>
                <w:lang w:bidi="ar"/>
              </w:rPr>
              <w:t>污染物指标</w:t>
            </w:r>
          </w:p>
        </w:tc>
        <w:tc>
          <w:tcPr>
            <w:tcW w:w="139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6092B386">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宋体" w:hAnsi="Times New Roman" w:eastAsia="宋体" w:cs="Times New Roman"/>
                <w:b/>
                <w:color w:val="auto"/>
                <w:sz w:val="21"/>
                <w:szCs w:val="21"/>
                <w:lang w:bidi="ar"/>
              </w:rPr>
              <w:t>单位</w:t>
            </w:r>
          </w:p>
        </w:tc>
        <w:tc>
          <w:tcPr>
            <w:tcW w:w="82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03118A44">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宋体" w:hAnsi="Times New Roman" w:eastAsia="宋体" w:cs="Times New Roman"/>
                <w:b/>
                <w:color w:val="auto"/>
                <w:sz w:val="21"/>
                <w:szCs w:val="21"/>
                <w:lang w:bidi="ar"/>
              </w:rPr>
              <w:t>产物系数</w:t>
            </w:r>
          </w:p>
        </w:tc>
        <w:tc>
          <w:tcPr>
            <w:tcW w:w="1311" w:type="dxa"/>
            <w:tcBorders>
              <w:top w:val="single" w:color="auto" w:sz="8" w:space="0"/>
              <w:left w:val="single" w:color="auto" w:sz="2" w:space="0"/>
              <w:bottom w:val="single" w:color="auto" w:sz="2" w:space="0"/>
              <w:right w:val="single" w:color="auto" w:sz="8" w:space="0"/>
              <w:tl2br w:val="nil"/>
              <w:tr2bl w:val="nil"/>
            </w:tcBorders>
            <w:noWrap w:val="0"/>
            <w:vAlign w:val="center"/>
          </w:tcPr>
          <w:p w14:paraId="06E98F02">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宋体" w:hAnsi="Times New Roman" w:eastAsia="宋体" w:cs="Times New Roman"/>
                <w:b/>
                <w:color w:val="auto"/>
                <w:sz w:val="21"/>
                <w:szCs w:val="21"/>
                <w:lang w:bidi="ar"/>
              </w:rPr>
              <w:t>末端治理技术</w:t>
            </w:r>
          </w:p>
        </w:tc>
      </w:tr>
      <w:tr w14:paraId="305FE1D7">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tcBorders>
              <w:top w:val="single" w:color="auto" w:sz="2" w:space="0"/>
              <w:left w:val="single" w:color="auto" w:sz="8" w:space="0"/>
              <w:right w:val="single" w:color="auto" w:sz="2" w:space="0"/>
              <w:tl2br w:val="nil"/>
              <w:tr2bl w:val="nil"/>
            </w:tcBorders>
            <w:noWrap w:val="0"/>
            <w:vAlign w:val="center"/>
          </w:tcPr>
          <w:p w14:paraId="042EA6AB">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0"/>
                <w:szCs w:val="20"/>
                <w:lang w:val="en-US" w:eastAsia="zh-CN"/>
              </w:rPr>
            </w:pPr>
            <w:r>
              <w:rPr>
                <w:rFonts w:hint="eastAsia" w:ascii="Times New Roman" w:hAnsi="Times New Roman" w:eastAsia="宋体" w:cs="Times New Roman"/>
                <w:color w:val="auto"/>
                <w:sz w:val="20"/>
                <w:szCs w:val="20"/>
                <w:lang w:val="en-US" w:eastAsia="zh-CN"/>
              </w:rPr>
              <w:t>铸件</w:t>
            </w:r>
          </w:p>
        </w:tc>
        <w:tc>
          <w:tcPr>
            <w:tcW w:w="1156" w:type="dxa"/>
            <w:tcBorders>
              <w:top w:val="single" w:color="auto" w:sz="2" w:space="0"/>
              <w:left w:val="single" w:color="auto" w:sz="2" w:space="0"/>
              <w:bottom w:val="single" w:color="auto" w:sz="2" w:space="0"/>
              <w:right w:val="single" w:color="auto" w:sz="2" w:space="0"/>
              <w:tl2br w:val="nil"/>
              <w:tr2bl w:val="nil"/>
            </w:tcBorders>
            <w:noWrap w:val="0"/>
            <w:vAlign w:val="center"/>
          </w:tcPr>
          <w:p w14:paraId="01E9B0F4">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bidi="ar"/>
              </w:rPr>
            </w:pPr>
            <w:r>
              <w:rPr>
                <w:rFonts w:hint="default" w:ascii="宋体" w:hAnsi="Times New Roman" w:eastAsia="宋体" w:cs="Times New Roman"/>
                <w:color w:val="auto"/>
                <w:sz w:val="21"/>
                <w:szCs w:val="21"/>
                <w:lang w:bidi="ar"/>
              </w:rPr>
              <w:t>金属液等、脱模剂</w:t>
            </w:r>
          </w:p>
        </w:tc>
        <w:tc>
          <w:tcPr>
            <w:tcW w:w="1728" w:type="dxa"/>
            <w:tcBorders>
              <w:top w:val="single" w:color="auto" w:sz="2" w:space="0"/>
              <w:left w:val="single" w:color="auto" w:sz="2" w:space="0"/>
              <w:bottom w:val="single" w:color="auto" w:sz="2" w:space="0"/>
              <w:right w:val="single" w:color="auto" w:sz="2" w:space="0"/>
              <w:tl2br w:val="nil"/>
              <w:tr2bl w:val="nil"/>
            </w:tcBorders>
            <w:noWrap w:val="0"/>
            <w:vAlign w:val="center"/>
          </w:tcPr>
          <w:p w14:paraId="3CA3FC9C">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bidi="ar"/>
              </w:rPr>
            </w:pPr>
            <w:r>
              <w:rPr>
                <w:rFonts w:hint="default" w:ascii="宋体" w:hAnsi="Times New Roman" w:eastAsia="宋体" w:cs="Times New Roman"/>
                <w:color w:val="auto"/>
                <w:sz w:val="21"/>
                <w:szCs w:val="21"/>
                <w:lang w:bidi="ar"/>
              </w:rPr>
              <w:t>造型/浇注</w:t>
            </w:r>
            <w:r>
              <w:rPr>
                <w:rFonts w:hint="eastAsia" w:ascii="宋体" w:hAnsi="Times New Roman" w:eastAsia="宋体" w:cs="Times New Roman"/>
                <w:color w:val="auto"/>
                <w:sz w:val="21"/>
                <w:szCs w:val="21"/>
                <w:lang w:eastAsia="zh-CN" w:bidi="ar"/>
              </w:rPr>
              <w:t>（</w:t>
            </w:r>
            <w:r>
              <w:rPr>
                <w:rFonts w:hint="default" w:ascii="宋体" w:hAnsi="Times New Roman" w:eastAsia="宋体" w:cs="Times New Roman"/>
                <w:color w:val="auto"/>
                <w:sz w:val="21"/>
                <w:szCs w:val="21"/>
                <w:lang w:bidi="ar"/>
              </w:rPr>
              <w:t>重力、低压：限金属型，石膏/陶瓷型/石墨型等</w:t>
            </w:r>
            <w:r>
              <w:rPr>
                <w:rFonts w:hint="eastAsia" w:ascii="宋体" w:hAnsi="Times New Roman" w:eastAsia="宋体" w:cs="Times New Roman"/>
                <w:color w:val="auto"/>
                <w:sz w:val="21"/>
                <w:szCs w:val="21"/>
                <w:lang w:eastAsia="zh-CN" w:bidi="ar"/>
              </w:rPr>
              <w:t>）</w:t>
            </w:r>
          </w:p>
        </w:tc>
        <w:tc>
          <w:tcPr>
            <w:tcW w:w="1122" w:type="dxa"/>
            <w:tcBorders>
              <w:top w:val="single" w:color="auto" w:sz="2" w:space="0"/>
              <w:left w:val="single" w:color="auto" w:sz="2" w:space="0"/>
              <w:bottom w:val="single" w:color="auto" w:sz="2" w:space="0"/>
              <w:right w:val="single" w:color="auto" w:sz="2" w:space="0"/>
              <w:tl2br w:val="nil"/>
              <w:tr2bl w:val="nil"/>
            </w:tcBorders>
            <w:shd w:val="clear" w:color="auto" w:fill="auto"/>
            <w:noWrap w:val="0"/>
            <w:vAlign w:val="center"/>
          </w:tcPr>
          <w:p w14:paraId="65493C23">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宋体" w:hAnsi="Times New Roman" w:eastAsia="宋体" w:cs="Times New Roman"/>
                <w:color w:val="auto"/>
                <w:sz w:val="21"/>
                <w:szCs w:val="21"/>
                <w:lang w:bidi="ar"/>
              </w:rPr>
              <w:t>颗粒物</w:t>
            </w:r>
          </w:p>
        </w:tc>
        <w:tc>
          <w:tcPr>
            <w:tcW w:w="1395" w:type="dxa"/>
            <w:tcBorders>
              <w:top w:val="single" w:color="auto" w:sz="2" w:space="0"/>
              <w:left w:val="single" w:color="auto" w:sz="2" w:space="0"/>
              <w:bottom w:val="single" w:color="auto" w:sz="2" w:space="0"/>
              <w:right w:val="single" w:color="auto" w:sz="2" w:space="0"/>
              <w:tl2br w:val="nil"/>
              <w:tr2bl w:val="nil"/>
            </w:tcBorders>
            <w:shd w:val="clear" w:color="auto" w:fill="auto"/>
            <w:noWrap w:val="0"/>
            <w:vAlign w:val="center"/>
          </w:tcPr>
          <w:p w14:paraId="2A47C235">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宋体" w:hAnsi="Times New Roman" w:eastAsia="宋体" w:cs="Times New Roman"/>
                <w:color w:val="auto"/>
                <w:sz w:val="21"/>
                <w:szCs w:val="21"/>
                <w:lang w:bidi="ar"/>
              </w:rPr>
              <w:t>千克/吨产品</w:t>
            </w:r>
          </w:p>
        </w:tc>
        <w:tc>
          <w:tcPr>
            <w:tcW w:w="825" w:type="dxa"/>
            <w:tcBorders>
              <w:top w:val="single" w:color="auto" w:sz="2" w:space="0"/>
              <w:left w:val="single" w:color="auto" w:sz="2" w:space="0"/>
              <w:bottom w:val="single" w:color="auto" w:sz="2" w:space="0"/>
              <w:right w:val="single" w:color="auto" w:sz="2" w:space="0"/>
              <w:tl2br w:val="nil"/>
              <w:tr2bl w:val="nil"/>
            </w:tcBorders>
            <w:shd w:val="clear" w:color="auto" w:fill="auto"/>
            <w:noWrap w:val="0"/>
            <w:vAlign w:val="center"/>
          </w:tcPr>
          <w:p w14:paraId="65A9E91F">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bidi="ar"/>
              </w:rPr>
              <w:t>0.247</w:t>
            </w:r>
          </w:p>
        </w:tc>
        <w:tc>
          <w:tcPr>
            <w:tcW w:w="1311" w:type="dxa"/>
            <w:tcBorders>
              <w:top w:val="single" w:color="auto" w:sz="2" w:space="0"/>
              <w:left w:val="single" w:color="auto" w:sz="2" w:space="0"/>
              <w:bottom w:val="single" w:color="auto" w:sz="2" w:space="0"/>
              <w:right w:val="single" w:color="auto" w:sz="8" w:space="0"/>
              <w:tl2br w:val="nil"/>
              <w:tr2bl w:val="nil"/>
            </w:tcBorders>
            <w:shd w:val="clear" w:color="auto" w:fill="auto"/>
            <w:noWrap w:val="0"/>
            <w:vAlign w:val="center"/>
          </w:tcPr>
          <w:p w14:paraId="4E029B9B">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宋体" w:hAnsi="Times New Roman" w:eastAsia="宋体" w:cs="Times New Roman"/>
                <w:color w:val="auto"/>
                <w:sz w:val="21"/>
                <w:szCs w:val="21"/>
                <w:lang w:bidi="ar"/>
              </w:rPr>
              <w:t>袋式除尘</w:t>
            </w:r>
          </w:p>
        </w:tc>
      </w:tr>
    </w:tbl>
    <w:p w14:paraId="56DC1169">
      <w:pPr>
        <w:keepNext w:val="0"/>
        <w:keepLines w:val="0"/>
        <w:widowControl/>
        <w:suppressLineNumbers w:val="0"/>
        <w:snapToGrid w:val="0"/>
        <w:spacing w:before="0" w:beforeAutospacing="0" w:after="0" w:afterAutospacing="0"/>
        <w:ind w:left="0" w:right="0" w:firstLine="480" w:firstLineChars="200"/>
        <w:jc w:val="both"/>
        <w:rPr>
          <w:rFonts w:hint="default" w:ascii="Times New Roman" w:hAnsi="Times New Roman" w:eastAsia="宋体" w:cs="Times New Roman"/>
          <w:color w:val="auto"/>
          <w:kern w:val="2"/>
          <w:sz w:val="24"/>
          <w:szCs w:val="24"/>
          <w:u w:val="none" w:color="auto"/>
        </w:rPr>
      </w:pPr>
      <w:r>
        <w:rPr>
          <w:rFonts w:hint="default" w:ascii="Times New Roman" w:hAnsi="Times New Roman" w:eastAsia="宋体" w:cs="Times New Roman"/>
          <w:color w:val="auto"/>
          <w:kern w:val="2"/>
          <w:sz w:val="24"/>
          <w:szCs w:val="24"/>
          <w:u w:val="none" w:color="auto"/>
        </w:rPr>
        <w:t>本项目浇注工序每天运行</w:t>
      </w:r>
      <w:r>
        <w:rPr>
          <w:rFonts w:hint="default" w:ascii="Times New Roman" w:hAnsi="Times New Roman" w:eastAsia="宋体" w:cs="Times New Roman"/>
          <w:color w:val="auto"/>
          <w:kern w:val="2"/>
          <w:sz w:val="24"/>
          <w:szCs w:val="24"/>
          <w:u w:val="none" w:color="auto"/>
          <w:lang w:val="en-US" w:eastAsia="zh-CN"/>
        </w:rPr>
        <w:t>8</w:t>
      </w:r>
      <w:r>
        <w:rPr>
          <w:rFonts w:hint="default" w:ascii="Times New Roman" w:hAnsi="Times New Roman" w:eastAsia="宋体" w:cs="Times New Roman"/>
          <w:color w:val="auto"/>
          <w:kern w:val="2"/>
          <w:sz w:val="24"/>
          <w:szCs w:val="24"/>
          <w:u w:val="none" w:color="auto"/>
        </w:rPr>
        <w:t>h，年运行时间约为</w:t>
      </w:r>
      <w:r>
        <w:rPr>
          <w:rFonts w:hint="default" w:ascii="Times New Roman" w:hAnsi="Times New Roman" w:eastAsia="宋体" w:cs="Times New Roman"/>
          <w:color w:val="auto"/>
          <w:kern w:val="2"/>
          <w:sz w:val="24"/>
          <w:szCs w:val="24"/>
          <w:u w:val="none" w:color="auto"/>
          <w:lang w:val="en-US" w:eastAsia="zh-CN"/>
        </w:rPr>
        <w:t>2400</w:t>
      </w:r>
      <w:r>
        <w:rPr>
          <w:rFonts w:hint="default" w:ascii="Times New Roman" w:hAnsi="Times New Roman" w:eastAsia="宋体" w:cs="Times New Roman"/>
          <w:color w:val="auto"/>
          <w:kern w:val="2"/>
          <w:sz w:val="24"/>
          <w:szCs w:val="24"/>
          <w:u w:val="none" w:color="auto"/>
        </w:rPr>
        <w:t>h。本项目浇注</w:t>
      </w:r>
      <w:r>
        <w:rPr>
          <w:rFonts w:hint="eastAsia" w:ascii="Times New Roman" w:hAnsi="Times New Roman" w:eastAsia="宋体" w:cs="Times New Roman"/>
          <w:color w:val="auto"/>
          <w:kern w:val="2"/>
          <w:sz w:val="24"/>
          <w:szCs w:val="24"/>
          <w:u w:val="none" w:color="auto"/>
          <w:lang w:val="en-US" w:eastAsia="zh-CN"/>
        </w:rPr>
        <w:t>工序上方设置集气罩对废气进行收集</w:t>
      </w:r>
      <w:r>
        <w:rPr>
          <w:rFonts w:hint="default" w:ascii="Times New Roman" w:hAnsi="Times New Roman" w:eastAsia="宋体" w:cs="Times New Roman"/>
          <w:color w:val="auto"/>
          <w:kern w:val="2"/>
          <w:sz w:val="24"/>
          <w:szCs w:val="24"/>
          <w:u w:val="none" w:color="auto"/>
        </w:rPr>
        <w:t>。铸件</w:t>
      </w:r>
      <w:r>
        <w:rPr>
          <w:rFonts w:hint="eastAsia" w:ascii="Times New Roman" w:hAnsi="Times New Roman" w:eastAsia="宋体" w:cs="Times New Roman"/>
          <w:color w:val="auto"/>
          <w:kern w:val="2"/>
          <w:sz w:val="24"/>
          <w:szCs w:val="24"/>
          <w:u w:val="none" w:color="auto"/>
          <w:lang w:val="en-US" w:eastAsia="zh-CN"/>
        </w:rPr>
        <w:t>量</w:t>
      </w:r>
      <w:r>
        <w:rPr>
          <w:rFonts w:hint="default" w:ascii="Times New Roman" w:hAnsi="Times New Roman" w:eastAsia="宋体" w:cs="Times New Roman"/>
          <w:color w:val="auto"/>
          <w:kern w:val="2"/>
          <w:sz w:val="24"/>
          <w:szCs w:val="24"/>
          <w:u w:val="none" w:color="auto"/>
        </w:rPr>
        <w:t>为</w:t>
      </w:r>
      <w:r>
        <w:rPr>
          <w:rFonts w:hint="eastAsia" w:ascii="Times New Roman" w:hAnsi="Times New Roman" w:eastAsia="宋体" w:cs="Times New Roman"/>
          <w:color w:val="auto"/>
          <w:kern w:val="2"/>
          <w:sz w:val="24"/>
          <w:szCs w:val="24"/>
          <w:u w:val="none" w:color="auto"/>
          <w:lang w:val="en-US" w:eastAsia="zh-CN"/>
        </w:rPr>
        <w:t>5000</w:t>
      </w:r>
      <w:r>
        <w:rPr>
          <w:rFonts w:hint="default" w:ascii="Times New Roman" w:hAnsi="Times New Roman" w:eastAsia="宋体" w:cs="Times New Roman"/>
          <w:color w:val="auto"/>
          <w:kern w:val="2"/>
          <w:sz w:val="24"/>
          <w:szCs w:val="24"/>
          <w:u w:val="none" w:color="auto"/>
        </w:rPr>
        <w:t>t/年，则经计算颗粒物产生量为</w:t>
      </w:r>
      <w:r>
        <w:rPr>
          <w:rFonts w:hint="eastAsia" w:ascii="Times New Roman" w:hAnsi="Times New Roman" w:eastAsia="宋体" w:cs="Times New Roman"/>
          <w:color w:val="auto"/>
          <w:kern w:val="2"/>
          <w:sz w:val="24"/>
          <w:szCs w:val="24"/>
          <w:u w:val="none" w:color="auto"/>
          <w:lang w:val="en-US" w:eastAsia="zh-CN"/>
        </w:rPr>
        <w:t>1.235</w:t>
      </w:r>
      <w:r>
        <w:rPr>
          <w:rFonts w:hint="default" w:ascii="Times New Roman" w:hAnsi="Times New Roman" w:eastAsia="宋体" w:cs="Times New Roman"/>
          <w:color w:val="auto"/>
          <w:kern w:val="2"/>
          <w:sz w:val="24"/>
          <w:szCs w:val="24"/>
          <w:u w:val="none" w:color="auto"/>
        </w:rPr>
        <w:t>t/a</w:t>
      </w:r>
      <w:r>
        <w:rPr>
          <w:rFonts w:hint="eastAsia" w:ascii="Times New Roman" w:hAnsi="Times New Roman" w:eastAsia="宋体" w:cs="Times New Roman"/>
          <w:color w:val="auto"/>
          <w:kern w:val="2"/>
          <w:sz w:val="24"/>
          <w:szCs w:val="24"/>
          <w:u w:val="none" w:color="auto"/>
          <w:lang w:eastAsia="zh-CN"/>
        </w:rPr>
        <w:t>，则有组织废气颗粒物产生量为</w:t>
      </w:r>
      <w:r>
        <w:rPr>
          <w:rFonts w:hint="eastAsia" w:ascii="Times New Roman" w:hAnsi="Times New Roman" w:eastAsia="宋体" w:cs="Times New Roman"/>
          <w:color w:val="auto"/>
          <w:kern w:val="2"/>
          <w:sz w:val="24"/>
          <w:szCs w:val="24"/>
          <w:u w:val="none" w:color="auto"/>
          <w:lang w:val="en-US" w:eastAsia="zh-CN"/>
        </w:rPr>
        <w:t>1.112</w:t>
      </w:r>
      <w:r>
        <w:rPr>
          <w:rFonts w:hint="eastAsia" w:ascii="Times New Roman" w:hAnsi="Times New Roman" w:eastAsia="宋体" w:cs="Times New Roman"/>
          <w:color w:val="auto"/>
          <w:kern w:val="2"/>
          <w:sz w:val="24"/>
          <w:szCs w:val="24"/>
          <w:u w:val="none" w:color="auto"/>
          <w:lang w:eastAsia="zh-CN"/>
        </w:rPr>
        <w:t>t/a，无组织废气颗粒物产生量为0.</w:t>
      </w:r>
      <w:r>
        <w:rPr>
          <w:rFonts w:hint="eastAsia" w:ascii="Times New Roman" w:hAnsi="Times New Roman" w:eastAsia="宋体" w:cs="Times New Roman"/>
          <w:color w:val="auto"/>
          <w:kern w:val="2"/>
          <w:sz w:val="24"/>
          <w:szCs w:val="24"/>
          <w:u w:val="none" w:color="auto"/>
          <w:lang w:val="en-US" w:eastAsia="zh-CN"/>
        </w:rPr>
        <w:t>1249</w:t>
      </w:r>
      <w:r>
        <w:rPr>
          <w:rFonts w:hint="eastAsia" w:ascii="Times New Roman" w:hAnsi="Times New Roman" w:eastAsia="宋体" w:cs="Times New Roman"/>
          <w:color w:val="auto"/>
          <w:kern w:val="2"/>
          <w:sz w:val="24"/>
          <w:szCs w:val="24"/>
          <w:u w:val="none" w:color="auto"/>
          <w:lang w:eastAsia="zh-CN"/>
        </w:rPr>
        <w:t>t/a，无组织排放速率为0.</w:t>
      </w:r>
      <w:r>
        <w:rPr>
          <w:rFonts w:hint="eastAsia" w:ascii="Times New Roman" w:hAnsi="Times New Roman" w:eastAsia="宋体" w:cs="Times New Roman"/>
          <w:color w:val="auto"/>
          <w:kern w:val="2"/>
          <w:sz w:val="24"/>
          <w:szCs w:val="24"/>
          <w:u w:val="none" w:color="auto"/>
          <w:lang w:val="en-US" w:eastAsia="zh-CN"/>
        </w:rPr>
        <w:t>051</w:t>
      </w:r>
      <w:r>
        <w:rPr>
          <w:rFonts w:hint="eastAsia" w:ascii="Times New Roman" w:hAnsi="Times New Roman" w:eastAsia="宋体" w:cs="Times New Roman"/>
          <w:color w:val="auto"/>
          <w:kern w:val="2"/>
          <w:sz w:val="24"/>
          <w:szCs w:val="24"/>
          <w:u w:val="none" w:color="auto"/>
          <w:lang w:eastAsia="zh-CN"/>
        </w:rPr>
        <w:t>kg/h。</w:t>
      </w:r>
    </w:p>
    <w:p w14:paraId="71C6A993">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eastAsia="宋体" w:cs="Times New Roman"/>
          <w:b/>
          <w:color w:val="auto"/>
          <w:sz w:val="24"/>
          <w:szCs w:val="24"/>
          <w:lang w:val="en-US" w:eastAsia="zh-CN"/>
        </w:rPr>
      </w:pPr>
      <w:r>
        <w:rPr>
          <w:rFonts w:hint="eastAsia" w:ascii="Times New Roman" w:hAnsi="Times New Roman" w:eastAsia="宋体" w:cs="Times New Roman"/>
          <w:b/>
          <w:color w:val="auto"/>
          <w:sz w:val="24"/>
          <w:szCs w:val="24"/>
          <w:lang w:val="en-US" w:eastAsia="zh-CN"/>
        </w:rPr>
        <w:t>7.</w:t>
      </w:r>
      <w:r>
        <w:rPr>
          <w:rFonts w:hint="default" w:ascii="Times New Roman" w:hAnsi="Times New Roman" w:eastAsia="宋体" w:cs="Times New Roman"/>
          <w:b/>
          <w:color w:val="auto"/>
          <w:sz w:val="24"/>
          <w:szCs w:val="24"/>
          <w:lang w:val="en-US" w:eastAsia="zh-CN"/>
        </w:rPr>
        <w:t>落砂</w:t>
      </w:r>
    </w:p>
    <w:p w14:paraId="0E6179D0">
      <w:pPr>
        <w:keepNext w:val="0"/>
        <w:keepLines w:val="0"/>
        <w:numPr>
          <w:ilvl w:val="0"/>
          <w:numId w:val="0"/>
        </w:numPr>
        <w:suppressLineNumbers w:val="0"/>
        <w:spacing w:before="0" w:beforeAutospacing="0" w:after="0" w:afterAutospacing="0"/>
        <w:ind w:left="0" w:right="0" w:firstLine="480" w:firstLineChars="200"/>
        <w:jc w:val="both"/>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本项目落砂过程会产生颗粒物，每天落砂约3h，年落砂时间为900h/a，</w:t>
      </w:r>
      <w:r>
        <w:rPr>
          <w:rFonts w:hint="eastAsia" w:ascii="Times New Roman" w:hAnsi="Times New Roman" w:eastAsia="宋体" w:cs="Times New Roman"/>
          <w:b w:val="0"/>
          <w:bCs/>
          <w:color w:val="auto"/>
          <w:sz w:val="24"/>
          <w:szCs w:val="24"/>
          <w:lang w:val="en-US" w:eastAsia="zh-CN"/>
        </w:rPr>
        <w:t>本项目采用水玻璃砂，</w:t>
      </w:r>
      <w:r>
        <w:rPr>
          <w:rFonts w:hint="default" w:ascii="Times New Roman" w:hAnsi="Times New Roman" w:eastAsia="宋体" w:cs="Times New Roman"/>
          <w:b w:val="0"/>
          <w:bCs/>
          <w:color w:val="auto"/>
          <w:sz w:val="24"/>
          <w:szCs w:val="24"/>
          <w:lang w:val="en-US" w:eastAsia="zh-CN"/>
        </w:rPr>
        <w:t>参照《逸散性工业粉尘控制技术》中</w:t>
      </w:r>
      <w:r>
        <w:rPr>
          <w:rFonts w:hint="eastAsia" w:ascii="Times New Roman" w:hAnsi="Times New Roman" w:eastAsia="宋体" w:cs="Times New Roman"/>
          <w:b w:val="0"/>
          <w:bCs/>
          <w:color w:val="auto"/>
          <w:sz w:val="24"/>
          <w:szCs w:val="24"/>
          <w:lang w:val="en-US" w:eastAsia="zh-CN"/>
        </w:rPr>
        <w:t>表7-1灰铁铸造厂逸散尘排放因子中铸件出砂排放系数</w:t>
      </w:r>
      <w:r>
        <w:rPr>
          <w:rFonts w:hint="default" w:ascii="Times New Roman" w:hAnsi="Times New Roman" w:eastAsia="宋体"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lang w:val="en-US" w:eastAsia="zh-CN"/>
        </w:rPr>
        <w:t>落砂</w:t>
      </w:r>
      <w:r>
        <w:rPr>
          <w:rFonts w:hint="default" w:ascii="Times New Roman" w:hAnsi="Times New Roman" w:eastAsia="宋体" w:cs="Times New Roman"/>
          <w:b w:val="0"/>
          <w:bCs/>
          <w:color w:val="auto"/>
          <w:sz w:val="24"/>
          <w:szCs w:val="24"/>
          <w:lang w:val="en-US" w:eastAsia="zh-CN"/>
        </w:rPr>
        <w:t>产生颗粒物量按0.</w:t>
      </w:r>
      <w:r>
        <w:rPr>
          <w:rFonts w:hint="eastAsia" w:ascii="Times New Roman" w:hAnsi="Times New Roman" w:eastAsia="宋体" w:cs="Times New Roman"/>
          <w:b w:val="0"/>
          <w:bCs/>
          <w:color w:val="auto"/>
          <w:sz w:val="24"/>
          <w:szCs w:val="24"/>
          <w:lang w:val="en-US" w:eastAsia="zh-CN"/>
        </w:rPr>
        <w:t>6</w:t>
      </w:r>
      <w:r>
        <w:rPr>
          <w:rFonts w:hint="default" w:ascii="Times New Roman" w:hAnsi="Times New Roman" w:eastAsia="宋体" w:cs="Times New Roman"/>
          <w:b w:val="0"/>
          <w:bCs/>
          <w:color w:val="auto"/>
          <w:sz w:val="24"/>
          <w:szCs w:val="24"/>
          <w:lang w:val="en-US" w:eastAsia="zh-CN"/>
        </w:rPr>
        <w:t>kg/t-产品计，则落砂颗粒物产生量为</w:t>
      </w:r>
      <w:r>
        <w:rPr>
          <w:rFonts w:hint="eastAsia" w:ascii="Times New Roman" w:hAnsi="Times New Roman" w:eastAsia="宋体" w:cs="Times New Roman"/>
          <w:b w:val="0"/>
          <w:bCs/>
          <w:color w:val="auto"/>
          <w:sz w:val="24"/>
          <w:szCs w:val="24"/>
          <w:lang w:val="en-US" w:eastAsia="zh-CN"/>
        </w:rPr>
        <w:t>3</w:t>
      </w:r>
      <w:r>
        <w:rPr>
          <w:rFonts w:hint="default" w:ascii="Times New Roman" w:hAnsi="Times New Roman" w:eastAsia="宋体" w:cs="Times New Roman"/>
          <w:b w:val="0"/>
          <w:bCs/>
          <w:color w:val="auto"/>
          <w:sz w:val="24"/>
          <w:szCs w:val="24"/>
          <w:lang w:val="en-US" w:eastAsia="zh-CN"/>
        </w:rPr>
        <w:t>t/a。落砂工序上方设置集气罩对废气进行收集。铸件量为5000t/年，则经计算颗粒物产生量为</w:t>
      </w:r>
      <w:r>
        <w:rPr>
          <w:rFonts w:hint="eastAsia" w:ascii="Times New Roman" w:hAnsi="Times New Roman" w:eastAsia="宋体" w:cs="Times New Roman"/>
          <w:b w:val="0"/>
          <w:bCs/>
          <w:color w:val="auto"/>
          <w:sz w:val="24"/>
          <w:szCs w:val="24"/>
          <w:lang w:val="en-US" w:eastAsia="zh-CN"/>
        </w:rPr>
        <w:t>3</w:t>
      </w:r>
      <w:r>
        <w:rPr>
          <w:rFonts w:hint="default" w:ascii="Times New Roman" w:hAnsi="Times New Roman" w:eastAsia="宋体" w:cs="Times New Roman"/>
          <w:b w:val="0"/>
          <w:bCs/>
          <w:color w:val="auto"/>
          <w:sz w:val="24"/>
          <w:szCs w:val="24"/>
          <w:lang w:val="en-US" w:eastAsia="zh-CN"/>
        </w:rPr>
        <w:t>t/a，则有组织废气颗粒物产生量为</w:t>
      </w:r>
      <w:r>
        <w:rPr>
          <w:rFonts w:hint="eastAsia" w:ascii="Times New Roman" w:hAnsi="Times New Roman" w:eastAsia="宋体" w:cs="Times New Roman"/>
          <w:b w:val="0"/>
          <w:bCs/>
          <w:color w:val="auto"/>
          <w:sz w:val="24"/>
          <w:szCs w:val="24"/>
          <w:lang w:val="en-US" w:eastAsia="zh-CN"/>
        </w:rPr>
        <w:t>2.700</w:t>
      </w:r>
      <w:r>
        <w:rPr>
          <w:rFonts w:hint="default" w:ascii="Times New Roman" w:hAnsi="Times New Roman" w:eastAsia="宋体" w:cs="Times New Roman"/>
          <w:b w:val="0"/>
          <w:bCs/>
          <w:color w:val="auto"/>
          <w:sz w:val="24"/>
          <w:szCs w:val="24"/>
          <w:lang w:val="en-US" w:eastAsia="zh-CN"/>
        </w:rPr>
        <w:t>t/a，无组织废气颗粒物产生量为0.</w:t>
      </w:r>
      <w:r>
        <w:rPr>
          <w:rFonts w:hint="eastAsia" w:ascii="Times New Roman" w:hAnsi="Times New Roman" w:eastAsia="宋体" w:cs="Times New Roman"/>
          <w:b w:val="0"/>
          <w:bCs/>
          <w:color w:val="auto"/>
          <w:sz w:val="24"/>
          <w:szCs w:val="24"/>
          <w:lang w:val="en-US" w:eastAsia="zh-CN"/>
        </w:rPr>
        <w:t>3</w:t>
      </w:r>
      <w:r>
        <w:rPr>
          <w:rFonts w:hint="default" w:ascii="Times New Roman" w:hAnsi="Times New Roman" w:eastAsia="宋体" w:cs="Times New Roman"/>
          <w:b w:val="0"/>
          <w:bCs/>
          <w:color w:val="auto"/>
          <w:sz w:val="24"/>
          <w:szCs w:val="24"/>
          <w:lang w:val="en-US" w:eastAsia="zh-CN"/>
        </w:rPr>
        <w:t>t/a，无组织</w:t>
      </w:r>
      <w:r>
        <w:rPr>
          <w:rFonts w:hint="eastAsia" w:ascii="Times New Roman" w:hAnsi="Times New Roman" w:eastAsia="宋体" w:cs="Times New Roman"/>
          <w:b w:val="0"/>
          <w:bCs/>
          <w:color w:val="auto"/>
          <w:sz w:val="24"/>
          <w:szCs w:val="24"/>
          <w:lang w:val="en-US" w:eastAsia="zh-CN"/>
        </w:rPr>
        <w:t>颗粒物</w:t>
      </w:r>
      <w:r>
        <w:rPr>
          <w:rFonts w:hint="default" w:ascii="Times New Roman" w:hAnsi="Times New Roman" w:eastAsia="宋体" w:cs="Times New Roman"/>
          <w:b w:val="0"/>
          <w:bCs/>
          <w:color w:val="auto"/>
          <w:sz w:val="24"/>
          <w:szCs w:val="24"/>
          <w:lang w:val="en-US" w:eastAsia="zh-CN"/>
        </w:rPr>
        <w:t>排放速率为0.</w:t>
      </w:r>
      <w:r>
        <w:rPr>
          <w:rFonts w:hint="eastAsia" w:ascii="Times New Roman" w:hAnsi="Times New Roman" w:eastAsia="宋体" w:cs="Times New Roman"/>
          <w:b w:val="0"/>
          <w:bCs/>
          <w:color w:val="auto"/>
          <w:sz w:val="24"/>
          <w:szCs w:val="24"/>
          <w:lang w:val="en-US" w:eastAsia="zh-CN"/>
        </w:rPr>
        <w:t>333</w:t>
      </w:r>
      <w:r>
        <w:rPr>
          <w:rFonts w:hint="default" w:ascii="Times New Roman" w:hAnsi="Times New Roman" w:eastAsia="宋体" w:cs="Times New Roman"/>
          <w:b w:val="0"/>
          <w:bCs/>
          <w:color w:val="auto"/>
          <w:sz w:val="24"/>
          <w:szCs w:val="24"/>
          <w:lang w:val="en-US" w:eastAsia="zh-CN"/>
        </w:rPr>
        <w:t>kg/h。</w:t>
      </w:r>
    </w:p>
    <w:p w14:paraId="41ADAB15">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eastAsia="宋体" w:cs="Times New Roman"/>
          <w:b/>
          <w:color w:val="auto"/>
          <w:sz w:val="24"/>
          <w:szCs w:val="24"/>
          <w:lang w:val="en-US" w:eastAsia="zh-CN"/>
        </w:rPr>
      </w:pPr>
      <w:r>
        <w:rPr>
          <w:rFonts w:hint="eastAsia" w:ascii="Times New Roman" w:hAnsi="Times New Roman" w:eastAsia="宋体" w:cs="Times New Roman"/>
          <w:b/>
          <w:color w:val="auto"/>
          <w:sz w:val="24"/>
          <w:szCs w:val="24"/>
          <w:lang w:val="en-US" w:eastAsia="zh-CN"/>
        </w:rPr>
        <w:t>8.</w:t>
      </w:r>
      <w:r>
        <w:rPr>
          <w:rFonts w:hint="default" w:ascii="Times New Roman" w:hAnsi="Times New Roman" w:eastAsia="宋体" w:cs="Times New Roman"/>
          <w:b/>
          <w:color w:val="auto"/>
          <w:sz w:val="24"/>
          <w:szCs w:val="24"/>
          <w:lang w:val="en-US" w:eastAsia="zh-CN"/>
        </w:rPr>
        <w:t>球冒分离废气</w:t>
      </w:r>
    </w:p>
    <w:p w14:paraId="6E91E18C">
      <w:pPr>
        <w:keepNext w:val="0"/>
        <w:keepLines w:val="0"/>
        <w:numPr>
          <w:ilvl w:val="0"/>
          <w:numId w:val="0"/>
        </w:numPr>
        <w:suppressLineNumbers w:val="0"/>
        <w:spacing w:before="0" w:beforeAutospacing="0" w:after="0" w:afterAutospacing="0"/>
        <w:ind w:left="0" w:right="0" w:firstLine="480" w:firstLineChars="200"/>
        <w:jc w:val="both"/>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本项目采用挑球器（或称自动分离分选设备）可以实现浇冒口与铸件的自动分离，球冒分离过程会产生颗粒物，每天约3h，年时间为900h/a，本项目产品较规整，需要球帽分离的量较少，参照《逸散性工业粉尘控制技术》中表7-1灰铁铸造厂逸散尘排放因子，球冒分离产生颗粒物量按0.08kg/t-产品计，则球冒分离颗粒物产生量为0.</w:t>
      </w:r>
      <w:r>
        <w:rPr>
          <w:rFonts w:hint="eastAsia" w:ascii="Times New Roman" w:hAnsi="Times New Roman" w:eastAsia="宋体" w:cs="Times New Roman"/>
          <w:b w:val="0"/>
          <w:bCs/>
          <w:color w:val="auto"/>
          <w:sz w:val="24"/>
          <w:szCs w:val="24"/>
          <w:lang w:val="en-US" w:eastAsia="zh-CN"/>
        </w:rPr>
        <w:t>4</w:t>
      </w:r>
      <w:r>
        <w:rPr>
          <w:rFonts w:hint="default" w:ascii="Times New Roman" w:hAnsi="Times New Roman" w:eastAsia="宋体" w:cs="Times New Roman"/>
          <w:b w:val="0"/>
          <w:bCs/>
          <w:color w:val="auto"/>
          <w:sz w:val="24"/>
          <w:szCs w:val="24"/>
          <w:lang w:val="en-US" w:eastAsia="zh-CN"/>
        </w:rPr>
        <w:t>t/a。球冒分离工序上方设置集气罩对废气进行收集。铸件量为5000t/年，则经计算颗粒物产生量为</w:t>
      </w:r>
      <w:r>
        <w:rPr>
          <w:rFonts w:hint="eastAsia" w:ascii="Times New Roman" w:hAnsi="Times New Roman" w:eastAsia="宋体" w:cs="Times New Roman"/>
          <w:b w:val="0"/>
          <w:bCs/>
          <w:color w:val="auto"/>
          <w:sz w:val="24"/>
          <w:szCs w:val="24"/>
          <w:lang w:val="en-US" w:eastAsia="zh-CN"/>
        </w:rPr>
        <w:t>0.4</w:t>
      </w:r>
      <w:r>
        <w:rPr>
          <w:rFonts w:hint="default" w:ascii="Times New Roman" w:hAnsi="Times New Roman" w:eastAsia="宋体" w:cs="Times New Roman"/>
          <w:b w:val="0"/>
          <w:bCs/>
          <w:color w:val="auto"/>
          <w:sz w:val="24"/>
          <w:szCs w:val="24"/>
          <w:lang w:val="en-US" w:eastAsia="zh-CN"/>
        </w:rPr>
        <w:t>t/a，则有组织废气颗粒物产生量为</w:t>
      </w:r>
      <w:r>
        <w:rPr>
          <w:rFonts w:hint="eastAsia" w:ascii="Times New Roman" w:hAnsi="Times New Roman" w:eastAsia="宋体" w:cs="Times New Roman"/>
          <w:b w:val="0"/>
          <w:bCs/>
          <w:color w:val="auto"/>
          <w:sz w:val="24"/>
          <w:szCs w:val="24"/>
          <w:lang w:val="en-US" w:eastAsia="zh-CN"/>
        </w:rPr>
        <w:t>0.360</w:t>
      </w:r>
      <w:r>
        <w:rPr>
          <w:rFonts w:hint="default" w:ascii="Times New Roman" w:hAnsi="Times New Roman" w:eastAsia="宋体" w:cs="Times New Roman"/>
          <w:b w:val="0"/>
          <w:bCs/>
          <w:color w:val="auto"/>
          <w:sz w:val="24"/>
          <w:szCs w:val="24"/>
          <w:lang w:val="en-US" w:eastAsia="zh-CN"/>
        </w:rPr>
        <w:t>t/a，无组织废气颗粒物产生量为0.</w:t>
      </w:r>
      <w:r>
        <w:rPr>
          <w:rFonts w:hint="eastAsia" w:ascii="Times New Roman" w:hAnsi="Times New Roman" w:eastAsia="宋体" w:cs="Times New Roman"/>
          <w:b w:val="0"/>
          <w:bCs/>
          <w:color w:val="auto"/>
          <w:sz w:val="24"/>
          <w:szCs w:val="24"/>
          <w:lang w:val="en-US" w:eastAsia="zh-CN"/>
        </w:rPr>
        <w:t>040</w:t>
      </w:r>
      <w:r>
        <w:rPr>
          <w:rFonts w:hint="default" w:ascii="Times New Roman" w:hAnsi="Times New Roman" w:eastAsia="宋体" w:cs="Times New Roman"/>
          <w:b w:val="0"/>
          <w:bCs/>
          <w:color w:val="auto"/>
          <w:sz w:val="24"/>
          <w:szCs w:val="24"/>
          <w:lang w:val="en-US" w:eastAsia="zh-CN"/>
        </w:rPr>
        <w:t>t/a，无组织排放速率为0.0</w:t>
      </w:r>
      <w:r>
        <w:rPr>
          <w:rFonts w:hint="eastAsia" w:ascii="Times New Roman" w:hAnsi="Times New Roman" w:eastAsia="宋体" w:cs="Times New Roman"/>
          <w:b w:val="0"/>
          <w:bCs/>
          <w:color w:val="auto"/>
          <w:sz w:val="24"/>
          <w:szCs w:val="24"/>
          <w:lang w:val="en-US" w:eastAsia="zh-CN"/>
        </w:rPr>
        <w:t>44</w:t>
      </w:r>
      <w:r>
        <w:rPr>
          <w:rFonts w:hint="default" w:ascii="Times New Roman" w:hAnsi="Times New Roman" w:eastAsia="宋体" w:cs="Times New Roman"/>
          <w:b w:val="0"/>
          <w:bCs/>
          <w:color w:val="auto"/>
          <w:sz w:val="24"/>
          <w:szCs w:val="24"/>
          <w:lang w:val="en-US" w:eastAsia="zh-CN"/>
        </w:rPr>
        <w:t>kg/h。</w:t>
      </w:r>
    </w:p>
    <w:p w14:paraId="47FB904F">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eastAsia="宋体" w:cs="Times New Roman"/>
          <w:b/>
          <w:bCs/>
          <w:color w:val="auto"/>
          <w:sz w:val="24"/>
          <w:szCs w:val="24"/>
          <w:lang w:val="en-US" w:eastAsia="zh-CN"/>
        </w:rPr>
      </w:pPr>
      <w:r>
        <w:rPr>
          <w:rFonts w:hint="eastAsia" w:ascii="宋体" w:hAnsi="宋体" w:eastAsia="宋体" w:cs="宋体"/>
          <w:b/>
          <w:bCs/>
          <w:color w:val="auto"/>
          <w:kern w:val="2"/>
          <w:sz w:val="24"/>
          <w:szCs w:val="24"/>
        </w:rPr>
        <w:t>本项目浇注</w:t>
      </w:r>
      <w:r>
        <w:rPr>
          <w:rFonts w:hint="eastAsia" w:ascii="宋体" w:hAnsi="宋体" w:eastAsia="宋体" w:cs="宋体"/>
          <w:b/>
          <w:bCs/>
          <w:color w:val="auto"/>
          <w:kern w:val="2"/>
          <w:sz w:val="24"/>
          <w:szCs w:val="24"/>
          <w:lang w:eastAsia="zh-CN"/>
        </w:rPr>
        <w:t>、</w:t>
      </w:r>
      <w:r>
        <w:rPr>
          <w:rFonts w:hint="eastAsia" w:ascii="宋体" w:hAnsi="宋体" w:eastAsia="宋体" w:cs="宋体"/>
          <w:b/>
          <w:bCs/>
          <w:color w:val="auto"/>
          <w:kern w:val="2"/>
          <w:sz w:val="24"/>
          <w:szCs w:val="24"/>
          <w:lang w:val="en-US" w:eastAsia="zh-CN"/>
        </w:rPr>
        <w:t>落砂、球帽分离废气</w:t>
      </w:r>
      <w:r>
        <w:rPr>
          <w:rFonts w:hint="eastAsia" w:ascii="宋体" w:hAnsi="宋体" w:eastAsia="宋体" w:cs="宋体"/>
          <w:b/>
          <w:bCs/>
          <w:color w:val="auto"/>
          <w:kern w:val="2"/>
          <w:sz w:val="24"/>
          <w:szCs w:val="24"/>
        </w:rPr>
        <w:t>经集气罩收集</w:t>
      </w:r>
      <w:r>
        <w:rPr>
          <w:rFonts w:hint="eastAsia" w:ascii="宋体" w:hAnsi="宋体" w:eastAsia="宋体" w:cs="宋体"/>
          <w:b/>
          <w:bCs/>
          <w:color w:val="auto"/>
          <w:kern w:val="2"/>
          <w:sz w:val="24"/>
          <w:szCs w:val="24"/>
          <w:lang w:val="en-US" w:eastAsia="zh-CN"/>
        </w:rPr>
        <w:t>后经一套</w:t>
      </w:r>
      <w:r>
        <w:rPr>
          <w:rFonts w:hint="eastAsia" w:ascii="宋体" w:hAnsi="宋体" w:eastAsia="宋体" w:cs="宋体"/>
          <w:b/>
          <w:bCs/>
          <w:color w:val="auto"/>
          <w:kern w:val="2"/>
          <w:sz w:val="24"/>
          <w:szCs w:val="24"/>
        </w:rPr>
        <w:t>布袋除尘器</w:t>
      </w:r>
      <w:r>
        <w:rPr>
          <w:rFonts w:hint="eastAsia" w:ascii="宋体" w:hAnsi="宋体" w:eastAsia="宋体" w:cs="宋体"/>
          <w:b/>
          <w:bCs/>
          <w:color w:val="auto"/>
          <w:kern w:val="2"/>
          <w:sz w:val="24"/>
          <w:szCs w:val="24"/>
          <w:lang w:val="en-US" w:eastAsia="zh-CN"/>
        </w:rPr>
        <w:t>处理后通过1根</w:t>
      </w:r>
      <w:r>
        <w:rPr>
          <w:rFonts w:hint="default" w:ascii="Times New Roman" w:hAnsi="Times New Roman" w:eastAsia="宋体" w:cs="Times New Roman"/>
          <w:b/>
          <w:bCs/>
          <w:color w:val="auto"/>
          <w:kern w:val="2"/>
          <w:sz w:val="24"/>
          <w:szCs w:val="24"/>
        </w:rPr>
        <w:t>15m</w:t>
      </w:r>
      <w:r>
        <w:rPr>
          <w:rFonts w:hint="eastAsia" w:ascii="宋体" w:hAnsi="宋体" w:eastAsia="宋体" w:cs="宋体"/>
          <w:b/>
          <w:bCs/>
          <w:color w:val="auto"/>
          <w:kern w:val="2"/>
          <w:sz w:val="24"/>
          <w:szCs w:val="24"/>
        </w:rPr>
        <w:t>排气筒（</w:t>
      </w:r>
      <w:r>
        <w:rPr>
          <w:rFonts w:hint="default" w:ascii="Times New Roman" w:hAnsi="Times New Roman" w:eastAsia="宋体" w:cs="Times New Roman"/>
          <w:b/>
          <w:bCs/>
          <w:color w:val="auto"/>
          <w:kern w:val="2"/>
          <w:sz w:val="24"/>
          <w:szCs w:val="24"/>
        </w:rPr>
        <w:t>DA002</w:t>
      </w:r>
      <w:r>
        <w:rPr>
          <w:rFonts w:hint="eastAsia" w:ascii="宋体" w:hAnsi="宋体" w:eastAsia="宋体" w:cs="宋体"/>
          <w:b/>
          <w:bCs/>
          <w:color w:val="auto"/>
          <w:kern w:val="2"/>
          <w:sz w:val="24"/>
          <w:szCs w:val="24"/>
        </w:rPr>
        <w:t>）排放。本项目采用的集气罩属于顶吸罩，根据上文分析集气罩收集效率取值为</w:t>
      </w:r>
      <w:r>
        <w:rPr>
          <w:rFonts w:hint="default" w:ascii="Times New Roman" w:hAnsi="Times New Roman" w:eastAsia="宋体" w:cs="Times New Roman"/>
          <w:b/>
          <w:bCs/>
          <w:color w:val="auto"/>
          <w:kern w:val="2"/>
          <w:sz w:val="24"/>
          <w:szCs w:val="24"/>
        </w:rPr>
        <w:t>90%</w:t>
      </w:r>
      <w:r>
        <w:rPr>
          <w:rFonts w:hint="eastAsia" w:ascii="宋体" w:hAnsi="宋体" w:eastAsia="宋体" w:cs="宋体"/>
          <w:b/>
          <w:bCs/>
          <w:color w:val="auto"/>
          <w:kern w:val="2"/>
          <w:sz w:val="24"/>
          <w:szCs w:val="24"/>
        </w:rPr>
        <w:t>，废气量为</w:t>
      </w:r>
      <w:r>
        <w:rPr>
          <w:rFonts w:hint="eastAsia" w:ascii="Times New Roman" w:hAnsi="Times New Roman" w:eastAsia="宋体" w:cs="Times New Roman"/>
          <w:b/>
          <w:bCs/>
          <w:color w:val="auto"/>
          <w:kern w:val="2"/>
          <w:sz w:val="24"/>
          <w:szCs w:val="24"/>
          <w:lang w:val="en-US" w:eastAsia="zh-CN"/>
        </w:rPr>
        <w:t>20000</w:t>
      </w:r>
      <w:r>
        <w:rPr>
          <w:rFonts w:hint="default" w:ascii="Times New Roman" w:hAnsi="Times New Roman" w:eastAsia="宋体" w:cs="Times New Roman"/>
          <w:b/>
          <w:bCs/>
          <w:color w:val="auto"/>
          <w:kern w:val="2"/>
          <w:sz w:val="24"/>
          <w:szCs w:val="24"/>
        </w:rPr>
        <w:t>m</w:t>
      </w:r>
      <w:r>
        <w:rPr>
          <w:rFonts w:hint="default" w:ascii="Times New Roman" w:hAnsi="Times New Roman" w:eastAsia="宋体" w:cs="Times New Roman"/>
          <w:b/>
          <w:bCs/>
          <w:color w:val="auto"/>
          <w:kern w:val="2"/>
          <w:sz w:val="24"/>
          <w:szCs w:val="24"/>
          <w:vertAlign w:val="superscript"/>
        </w:rPr>
        <w:t>3</w:t>
      </w:r>
      <w:r>
        <w:rPr>
          <w:rFonts w:hint="default" w:ascii="Times New Roman" w:hAnsi="Times New Roman" w:eastAsia="宋体" w:cs="Times New Roman"/>
          <w:b/>
          <w:bCs/>
          <w:color w:val="auto"/>
          <w:kern w:val="2"/>
          <w:sz w:val="24"/>
          <w:szCs w:val="24"/>
        </w:rPr>
        <w:t>/h</w:t>
      </w:r>
      <w:r>
        <w:rPr>
          <w:rFonts w:hint="eastAsia" w:ascii="宋体" w:hAnsi="宋体" w:eastAsia="宋体" w:cs="宋体"/>
          <w:b/>
          <w:bCs/>
          <w:color w:val="auto"/>
          <w:kern w:val="2"/>
          <w:sz w:val="24"/>
          <w:szCs w:val="24"/>
        </w:rPr>
        <w:t>，颗粒物有组织产生量为</w:t>
      </w:r>
      <w:r>
        <w:rPr>
          <w:rFonts w:hint="eastAsia" w:ascii="Times New Roman" w:hAnsi="Times New Roman" w:eastAsia="宋体" w:cs="Times New Roman"/>
          <w:b/>
          <w:bCs/>
          <w:color w:val="auto"/>
          <w:kern w:val="2"/>
          <w:sz w:val="24"/>
          <w:szCs w:val="24"/>
          <w:lang w:val="en-US" w:eastAsia="zh-CN"/>
        </w:rPr>
        <w:t>4.175</w:t>
      </w:r>
      <w:r>
        <w:rPr>
          <w:rFonts w:hint="default" w:ascii="Times New Roman" w:hAnsi="Times New Roman" w:eastAsia="宋体" w:cs="Times New Roman"/>
          <w:b/>
          <w:bCs/>
          <w:color w:val="auto"/>
          <w:kern w:val="2"/>
          <w:sz w:val="24"/>
          <w:szCs w:val="24"/>
        </w:rPr>
        <w:t>t/a</w:t>
      </w:r>
      <w:r>
        <w:rPr>
          <w:rFonts w:hint="eastAsia" w:ascii="宋体" w:hAnsi="宋体" w:eastAsia="宋体" w:cs="宋体"/>
          <w:b/>
          <w:bCs/>
          <w:color w:val="auto"/>
          <w:kern w:val="2"/>
          <w:sz w:val="24"/>
          <w:szCs w:val="24"/>
        </w:rPr>
        <w:t>、产生速率为</w:t>
      </w:r>
      <w:r>
        <w:rPr>
          <w:rFonts w:hint="default" w:ascii="Times New Roman" w:hAnsi="Times New Roman" w:eastAsia="宋体" w:cs="Times New Roman"/>
          <w:b/>
          <w:bCs/>
          <w:color w:val="auto"/>
          <w:kern w:val="2"/>
          <w:sz w:val="24"/>
          <w:szCs w:val="24"/>
          <w:lang w:val="en-US" w:eastAsia="zh-CN"/>
        </w:rPr>
        <w:t>0.463kg/h</w:t>
      </w:r>
      <w:r>
        <w:rPr>
          <w:rFonts w:hint="eastAsia" w:ascii="Times New Roman" w:hAnsi="Times New Roman" w:eastAsia="宋体" w:cs="Times New Roman"/>
          <w:b/>
          <w:bCs/>
          <w:color w:val="auto"/>
          <w:kern w:val="2"/>
          <w:sz w:val="24"/>
          <w:szCs w:val="24"/>
          <w:lang w:val="en-US" w:eastAsia="zh-CN"/>
        </w:rPr>
        <w:t>（浇铸工作单独运行）</w:t>
      </w:r>
      <w:r>
        <w:rPr>
          <w:rFonts w:hint="eastAsia" w:ascii="宋体" w:hAnsi="宋体" w:eastAsia="宋体" w:cs="宋体"/>
          <w:b/>
          <w:bCs/>
          <w:color w:val="auto"/>
          <w:kern w:val="2"/>
          <w:sz w:val="24"/>
          <w:szCs w:val="24"/>
          <w:lang w:val="en-US" w:eastAsia="zh-CN"/>
        </w:rPr>
        <w:t>-</w:t>
      </w:r>
      <w:r>
        <w:rPr>
          <w:rFonts w:hint="eastAsia" w:ascii="Times New Roman" w:hAnsi="Times New Roman" w:eastAsia="宋体" w:cs="Times New Roman"/>
          <w:b/>
          <w:bCs/>
          <w:color w:val="auto"/>
          <w:kern w:val="2"/>
          <w:sz w:val="24"/>
          <w:szCs w:val="24"/>
          <w:lang w:val="en-US" w:eastAsia="zh-CN"/>
        </w:rPr>
        <w:t>3.863</w:t>
      </w:r>
      <w:r>
        <w:rPr>
          <w:rFonts w:hint="default" w:ascii="Times New Roman" w:hAnsi="Times New Roman" w:eastAsia="宋体" w:cs="Times New Roman"/>
          <w:b/>
          <w:bCs/>
          <w:color w:val="auto"/>
          <w:kern w:val="2"/>
          <w:sz w:val="24"/>
          <w:szCs w:val="24"/>
        </w:rPr>
        <w:t>kg/h</w:t>
      </w:r>
      <w:r>
        <w:rPr>
          <w:rFonts w:hint="eastAsia" w:ascii="宋体" w:hAnsi="宋体" w:eastAsia="宋体" w:cs="宋体"/>
          <w:b/>
          <w:bCs/>
          <w:color w:val="auto"/>
          <w:kern w:val="2"/>
          <w:sz w:val="24"/>
          <w:szCs w:val="24"/>
        </w:rPr>
        <w:t>、产生浓度为</w:t>
      </w:r>
      <w:r>
        <w:rPr>
          <w:rFonts w:hint="default" w:ascii="Times New Roman" w:hAnsi="Times New Roman" w:eastAsia="宋体" w:cs="Times New Roman"/>
          <w:b/>
          <w:bCs/>
          <w:color w:val="auto"/>
          <w:kern w:val="2"/>
          <w:sz w:val="24"/>
          <w:szCs w:val="24"/>
          <w:lang w:val="en-US" w:eastAsia="zh-CN"/>
        </w:rPr>
        <w:t>23.16mg/m</w:t>
      </w:r>
      <w:r>
        <w:rPr>
          <w:rFonts w:hint="default" w:ascii="Times New Roman" w:hAnsi="Times New Roman" w:eastAsia="宋体" w:cs="Times New Roman"/>
          <w:b/>
          <w:bCs/>
          <w:color w:val="auto"/>
          <w:kern w:val="2"/>
          <w:sz w:val="24"/>
          <w:szCs w:val="24"/>
          <w:vertAlign w:val="superscript"/>
          <w:lang w:val="en-US" w:eastAsia="zh-CN"/>
        </w:rPr>
        <w:t>3</w:t>
      </w:r>
      <w:r>
        <w:rPr>
          <w:rFonts w:hint="default" w:ascii="Times New Roman" w:hAnsi="Times New Roman" w:eastAsia="宋体" w:cs="Times New Roman"/>
          <w:b/>
          <w:bCs/>
          <w:color w:val="auto"/>
          <w:kern w:val="2"/>
          <w:sz w:val="24"/>
          <w:szCs w:val="24"/>
          <w:vertAlign w:val="baseline"/>
          <w:lang w:val="en-US" w:eastAsia="zh-CN"/>
        </w:rPr>
        <w:t>（浇铸工作单独运行）</w:t>
      </w:r>
      <w:r>
        <w:rPr>
          <w:rFonts w:hint="default" w:ascii="Times New Roman" w:hAnsi="Times New Roman" w:eastAsia="宋体" w:cs="Times New Roman"/>
          <w:b/>
          <w:bCs/>
          <w:color w:val="auto"/>
          <w:kern w:val="2"/>
          <w:sz w:val="24"/>
          <w:szCs w:val="24"/>
          <w:lang w:val="en-US" w:eastAsia="zh-CN"/>
        </w:rPr>
        <w:t>-193</w:t>
      </w:r>
      <w:r>
        <w:rPr>
          <w:rFonts w:hint="eastAsia" w:ascii="Times New Roman" w:hAnsi="Times New Roman" w:eastAsia="宋体" w:cs="Times New Roman"/>
          <w:b/>
          <w:bCs/>
          <w:color w:val="auto"/>
          <w:kern w:val="2"/>
          <w:sz w:val="24"/>
          <w:szCs w:val="24"/>
          <w:lang w:val="en-US" w:eastAsia="zh-CN"/>
        </w:rPr>
        <w:t>.16</w:t>
      </w:r>
      <w:r>
        <w:rPr>
          <w:rFonts w:hint="default" w:ascii="Times New Roman" w:hAnsi="Times New Roman" w:eastAsia="宋体" w:cs="Times New Roman"/>
          <w:b/>
          <w:bCs/>
          <w:color w:val="auto"/>
          <w:kern w:val="2"/>
          <w:sz w:val="24"/>
          <w:szCs w:val="24"/>
        </w:rPr>
        <w:t>mg/m</w:t>
      </w:r>
      <w:r>
        <w:rPr>
          <w:rFonts w:hint="default" w:ascii="Times New Roman" w:hAnsi="Times New Roman" w:eastAsia="宋体" w:cs="Times New Roman"/>
          <w:b/>
          <w:bCs/>
          <w:color w:val="auto"/>
          <w:kern w:val="2"/>
          <w:sz w:val="24"/>
          <w:szCs w:val="24"/>
          <w:vertAlign w:val="superscript"/>
        </w:rPr>
        <w:t>3</w:t>
      </w:r>
      <w:r>
        <w:rPr>
          <w:rFonts w:hint="eastAsia" w:ascii="宋体" w:hAnsi="宋体" w:eastAsia="宋体" w:cs="宋体"/>
          <w:b/>
          <w:bCs/>
          <w:color w:val="auto"/>
          <w:kern w:val="2"/>
          <w:sz w:val="24"/>
          <w:szCs w:val="24"/>
        </w:rPr>
        <w:t>。参照《排放源统计调查产排污核算方法和系数手册</w:t>
      </w:r>
      <w:r>
        <w:rPr>
          <w:rFonts w:hint="default" w:ascii="Times New Roman" w:hAnsi="Times New Roman" w:eastAsia="宋体" w:cs="Times New Roman"/>
          <w:b/>
          <w:bCs/>
          <w:color w:val="auto"/>
          <w:kern w:val="2"/>
          <w:sz w:val="24"/>
          <w:szCs w:val="24"/>
        </w:rPr>
        <w:t>—</w:t>
      </w:r>
      <w:r>
        <w:rPr>
          <w:rFonts w:hint="eastAsia" w:ascii="宋体" w:hAnsi="宋体" w:eastAsia="宋体" w:cs="宋体"/>
          <w:b/>
          <w:bCs/>
          <w:color w:val="auto"/>
          <w:kern w:val="2"/>
          <w:sz w:val="24"/>
          <w:szCs w:val="24"/>
        </w:rPr>
        <w:t>机械行业系数手册》工艺中布袋除尘器除尘效率为</w:t>
      </w:r>
      <w:r>
        <w:rPr>
          <w:rFonts w:hint="default" w:ascii="Times New Roman" w:hAnsi="Times New Roman" w:eastAsia="宋体" w:cs="Times New Roman"/>
          <w:b/>
          <w:bCs/>
          <w:color w:val="auto"/>
          <w:kern w:val="2"/>
          <w:sz w:val="24"/>
          <w:szCs w:val="24"/>
        </w:rPr>
        <w:t>95%</w:t>
      </w:r>
      <w:r>
        <w:rPr>
          <w:rFonts w:hint="eastAsia" w:ascii="宋体" w:hAnsi="宋体" w:eastAsia="宋体" w:cs="宋体"/>
          <w:b/>
          <w:bCs/>
          <w:color w:val="auto"/>
          <w:kern w:val="2"/>
          <w:sz w:val="24"/>
          <w:szCs w:val="24"/>
        </w:rPr>
        <w:t>，除尘效率与颗粒物产生浓度相关，因本工艺颗粒物产生浓度</w:t>
      </w:r>
      <w:r>
        <w:rPr>
          <w:rFonts w:hint="eastAsia" w:ascii="宋体" w:hAnsi="宋体" w:eastAsia="宋体" w:cs="宋体"/>
          <w:b/>
          <w:bCs/>
          <w:color w:val="auto"/>
          <w:kern w:val="2"/>
          <w:sz w:val="24"/>
          <w:szCs w:val="24"/>
          <w:lang w:eastAsia="zh-CN"/>
        </w:rPr>
        <w:t>较</w:t>
      </w:r>
      <w:r>
        <w:rPr>
          <w:rFonts w:hint="eastAsia" w:ascii="宋体" w:hAnsi="宋体" w:eastAsia="宋体" w:cs="宋体"/>
          <w:b/>
          <w:bCs/>
          <w:color w:val="auto"/>
          <w:kern w:val="2"/>
          <w:sz w:val="24"/>
          <w:szCs w:val="24"/>
        </w:rPr>
        <w:t>低，因此本工艺布袋除尘器除尘效率取</w:t>
      </w:r>
      <w:r>
        <w:rPr>
          <w:rFonts w:hint="default" w:ascii="Times New Roman" w:hAnsi="Times New Roman" w:eastAsia="宋体" w:cs="Times New Roman"/>
          <w:b/>
          <w:bCs/>
          <w:color w:val="auto"/>
          <w:kern w:val="2"/>
          <w:sz w:val="24"/>
          <w:szCs w:val="24"/>
        </w:rPr>
        <w:t>50%</w:t>
      </w:r>
      <w:r>
        <w:rPr>
          <w:rFonts w:hint="default" w:ascii="Times New Roman" w:hAnsi="Times New Roman" w:eastAsia="宋体" w:cs="Times New Roman"/>
          <w:b/>
          <w:bCs/>
          <w:color w:val="auto"/>
          <w:kern w:val="2"/>
          <w:sz w:val="24"/>
          <w:szCs w:val="24"/>
          <w:lang w:val="en-US" w:eastAsia="zh-CN"/>
        </w:rPr>
        <w:t>（浇铸工作单独运行）</w:t>
      </w:r>
      <w:r>
        <w:rPr>
          <w:rFonts w:hint="eastAsia" w:ascii="Times New Roman" w:hAnsi="Times New Roman" w:eastAsia="宋体" w:cs="Times New Roman"/>
          <w:b/>
          <w:bCs/>
          <w:color w:val="auto"/>
          <w:kern w:val="2"/>
          <w:sz w:val="24"/>
          <w:szCs w:val="24"/>
          <w:lang w:val="en-US" w:eastAsia="zh-CN"/>
        </w:rPr>
        <w:t>-85%</w:t>
      </w:r>
      <w:r>
        <w:rPr>
          <w:rFonts w:hint="eastAsia" w:ascii="宋体" w:hAnsi="宋体" w:eastAsia="宋体" w:cs="宋体"/>
          <w:b/>
          <w:bCs/>
          <w:color w:val="auto"/>
          <w:kern w:val="2"/>
          <w:sz w:val="24"/>
          <w:szCs w:val="24"/>
        </w:rPr>
        <w:t>，则</w:t>
      </w:r>
      <w:r>
        <w:rPr>
          <w:rFonts w:hint="default" w:ascii="Times New Roman" w:hAnsi="Times New Roman" w:eastAsia="宋体" w:cs="Times New Roman"/>
          <w:b/>
          <w:bCs/>
          <w:color w:val="auto"/>
          <w:kern w:val="2"/>
          <w:sz w:val="24"/>
          <w:szCs w:val="24"/>
        </w:rPr>
        <w:t>DA002</w:t>
      </w:r>
      <w:r>
        <w:rPr>
          <w:rFonts w:hint="eastAsia" w:ascii="宋体" w:hAnsi="宋体" w:eastAsia="宋体" w:cs="宋体"/>
          <w:b/>
          <w:bCs/>
          <w:color w:val="auto"/>
          <w:kern w:val="2"/>
          <w:sz w:val="24"/>
          <w:szCs w:val="24"/>
        </w:rPr>
        <w:t>号排气筒颗粒物排放量为</w:t>
      </w:r>
      <w:r>
        <w:rPr>
          <w:rFonts w:hint="default" w:ascii="Times New Roman" w:hAnsi="Times New Roman" w:eastAsia="宋体" w:cs="Times New Roman"/>
          <w:b/>
          <w:bCs/>
          <w:color w:val="auto"/>
          <w:kern w:val="2"/>
          <w:sz w:val="24"/>
          <w:szCs w:val="24"/>
        </w:rPr>
        <w:t>0.</w:t>
      </w:r>
      <w:r>
        <w:rPr>
          <w:rFonts w:hint="eastAsia" w:ascii="Times New Roman" w:hAnsi="Times New Roman" w:eastAsia="宋体" w:cs="Times New Roman"/>
          <w:b/>
          <w:bCs/>
          <w:color w:val="auto"/>
          <w:kern w:val="2"/>
          <w:sz w:val="24"/>
          <w:szCs w:val="24"/>
          <w:lang w:val="en-US" w:eastAsia="zh-CN"/>
        </w:rPr>
        <w:t>869</w:t>
      </w:r>
      <w:r>
        <w:rPr>
          <w:rFonts w:hint="default" w:ascii="Times New Roman" w:hAnsi="Times New Roman" w:eastAsia="宋体" w:cs="Times New Roman"/>
          <w:b/>
          <w:bCs/>
          <w:color w:val="auto"/>
          <w:kern w:val="2"/>
          <w:sz w:val="24"/>
          <w:szCs w:val="24"/>
        </w:rPr>
        <w:t>t/a</w:t>
      </w:r>
      <w:r>
        <w:rPr>
          <w:rFonts w:hint="eastAsia" w:ascii="宋体" w:hAnsi="宋体" w:eastAsia="宋体" w:cs="宋体"/>
          <w:b/>
          <w:bCs/>
          <w:color w:val="auto"/>
          <w:kern w:val="2"/>
          <w:sz w:val="24"/>
          <w:szCs w:val="24"/>
        </w:rPr>
        <w:t>，有组织排放速率为</w:t>
      </w:r>
      <w:r>
        <w:rPr>
          <w:rFonts w:hint="default" w:ascii="Times New Roman" w:hAnsi="Times New Roman" w:eastAsia="宋体" w:cs="Times New Roman"/>
          <w:b/>
          <w:bCs/>
          <w:color w:val="auto"/>
          <w:kern w:val="2"/>
          <w:sz w:val="24"/>
          <w:szCs w:val="24"/>
          <w:lang w:val="en-US" w:eastAsia="zh-CN"/>
        </w:rPr>
        <w:t>0.232kg/h（浇铸工作单独运行）-</w:t>
      </w:r>
      <w:r>
        <w:rPr>
          <w:rFonts w:hint="default" w:ascii="Times New Roman" w:hAnsi="Times New Roman" w:eastAsia="宋体" w:cs="Times New Roman"/>
          <w:b/>
          <w:bCs/>
          <w:color w:val="auto"/>
          <w:kern w:val="2"/>
          <w:sz w:val="24"/>
          <w:szCs w:val="24"/>
        </w:rPr>
        <w:t>0.</w:t>
      </w:r>
      <w:r>
        <w:rPr>
          <w:rFonts w:hint="default" w:ascii="Times New Roman" w:hAnsi="Times New Roman" w:eastAsia="宋体" w:cs="Times New Roman"/>
          <w:b/>
          <w:bCs/>
          <w:color w:val="auto"/>
          <w:kern w:val="2"/>
          <w:sz w:val="24"/>
          <w:szCs w:val="24"/>
          <w:lang w:val="en-US" w:eastAsia="zh-CN"/>
        </w:rPr>
        <w:t>579</w:t>
      </w:r>
      <w:r>
        <w:rPr>
          <w:rFonts w:hint="default" w:ascii="Times New Roman" w:hAnsi="Times New Roman" w:eastAsia="宋体" w:cs="Times New Roman"/>
          <w:b/>
          <w:bCs/>
          <w:color w:val="auto"/>
          <w:kern w:val="2"/>
          <w:sz w:val="24"/>
          <w:szCs w:val="24"/>
        </w:rPr>
        <w:t>kg/h</w:t>
      </w:r>
      <w:r>
        <w:rPr>
          <w:rFonts w:hint="eastAsia" w:ascii="宋体" w:hAnsi="宋体" w:eastAsia="宋体" w:cs="宋体"/>
          <w:b/>
          <w:bCs/>
          <w:color w:val="auto"/>
          <w:kern w:val="2"/>
          <w:sz w:val="24"/>
          <w:szCs w:val="24"/>
        </w:rPr>
        <w:t>，排放浓度为</w:t>
      </w:r>
      <w:r>
        <w:rPr>
          <w:rFonts w:hint="default" w:ascii="Times New Roman" w:hAnsi="Times New Roman" w:eastAsia="宋体" w:cs="Times New Roman"/>
          <w:b/>
          <w:bCs/>
          <w:color w:val="auto"/>
          <w:kern w:val="2"/>
          <w:sz w:val="24"/>
          <w:szCs w:val="24"/>
          <w:lang w:val="en-US" w:eastAsia="zh-CN"/>
        </w:rPr>
        <w:t>11.58mg/m</w:t>
      </w:r>
      <w:r>
        <w:rPr>
          <w:rFonts w:hint="default" w:ascii="Times New Roman" w:hAnsi="Times New Roman" w:eastAsia="宋体" w:cs="Times New Roman"/>
          <w:b/>
          <w:bCs/>
          <w:color w:val="auto"/>
          <w:kern w:val="2"/>
          <w:sz w:val="24"/>
          <w:szCs w:val="24"/>
          <w:vertAlign w:val="superscript"/>
          <w:lang w:val="en-US" w:eastAsia="zh-CN"/>
        </w:rPr>
        <w:t>3</w:t>
      </w:r>
      <w:r>
        <w:rPr>
          <w:rFonts w:hint="default" w:ascii="Times New Roman" w:hAnsi="Times New Roman" w:eastAsia="宋体" w:cs="Times New Roman"/>
          <w:b/>
          <w:bCs/>
          <w:color w:val="auto"/>
          <w:kern w:val="2"/>
          <w:sz w:val="24"/>
          <w:szCs w:val="24"/>
          <w:vertAlign w:val="baseline"/>
          <w:lang w:val="en-US" w:eastAsia="zh-CN"/>
        </w:rPr>
        <w:t>（浇铸工作单独运行）</w:t>
      </w:r>
      <w:r>
        <w:rPr>
          <w:rFonts w:hint="default" w:ascii="Times New Roman" w:hAnsi="Times New Roman" w:eastAsia="宋体" w:cs="Times New Roman"/>
          <w:b/>
          <w:bCs/>
          <w:color w:val="auto"/>
          <w:kern w:val="2"/>
          <w:sz w:val="24"/>
          <w:szCs w:val="24"/>
          <w:lang w:val="en-US" w:eastAsia="zh-CN"/>
        </w:rPr>
        <w:t>-28.97</w:t>
      </w:r>
      <w:r>
        <w:rPr>
          <w:rFonts w:hint="default" w:ascii="Times New Roman" w:hAnsi="Times New Roman" w:eastAsia="宋体" w:cs="Times New Roman"/>
          <w:b/>
          <w:bCs/>
          <w:color w:val="auto"/>
          <w:kern w:val="2"/>
          <w:sz w:val="24"/>
          <w:szCs w:val="24"/>
        </w:rPr>
        <w:t>mg/m</w:t>
      </w:r>
      <w:r>
        <w:rPr>
          <w:rFonts w:hint="default" w:ascii="Times New Roman" w:hAnsi="Times New Roman" w:eastAsia="宋体" w:cs="Times New Roman"/>
          <w:b/>
          <w:bCs/>
          <w:color w:val="auto"/>
          <w:kern w:val="2"/>
          <w:sz w:val="24"/>
          <w:szCs w:val="24"/>
          <w:vertAlign w:val="superscript"/>
        </w:rPr>
        <w:t>3</w:t>
      </w:r>
      <w:r>
        <w:rPr>
          <w:rFonts w:hint="eastAsia" w:ascii="宋体" w:hAnsi="宋体" w:eastAsia="宋体" w:cs="宋体"/>
          <w:b/>
          <w:bCs/>
          <w:color w:val="auto"/>
          <w:kern w:val="2"/>
          <w:sz w:val="24"/>
          <w:szCs w:val="24"/>
        </w:rPr>
        <w:t>。</w:t>
      </w:r>
      <w:r>
        <w:rPr>
          <w:rFonts w:hint="default" w:ascii="Times New Roman" w:hAnsi="Times New Roman" w:eastAsia="宋体" w:cs="Times New Roman"/>
          <w:b/>
          <w:bCs/>
          <w:color w:val="auto"/>
          <w:kern w:val="2"/>
          <w:sz w:val="24"/>
          <w:szCs w:val="24"/>
        </w:rPr>
        <w:t>DA002</w:t>
      </w:r>
      <w:r>
        <w:rPr>
          <w:rFonts w:hint="eastAsia" w:ascii="宋体" w:hAnsi="宋体" w:eastAsia="宋体" w:cs="宋体"/>
          <w:b/>
          <w:bCs/>
          <w:color w:val="auto"/>
          <w:kern w:val="2"/>
          <w:sz w:val="24"/>
          <w:szCs w:val="24"/>
        </w:rPr>
        <w:t>排放口颗粒物有组织排放可以满足《铸造工业大气污染物排放标准》（</w:t>
      </w:r>
      <w:r>
        <w:rPr>
          <w:rFonts w:hint="default" w:ascii="Times New Roman" w:hAnsi="Times New Roman" w:eastAsia="宋体" w:cs="Times New Roman"/>
          <w:b/>
          <w:bCs/>
          <w:color w:val="auto"/>
          <w:kern w:val="2"/>
          <w:sz w:val="24"/>
          <w:szCs w:val="24"/>
        </w:rPr>
        <w:t>GB39726-2020</w:t>
      </w:r>
      <w:r>
        <w:rPr>
          <w:rFonts w:hint="eastAsia" w:ascii="宋体" w:hAnsi="宋体" w:eastAsia="宋体" w:cs="宋体"/>
          <w:b/>
          <w:bCs/>
          <w:color w:val="auto"/>
          <w:kern w:val="2"/>
          <w:sz w:val="24"/>
          <w:szCs w:val="24"/>
        </w:rPr>
        <w:t>）表</w:t>
      </w:r>
      <w:r>
        <w:rPr>
          <w:rFonts w:hint="default" w:ascii="Times New Roman" w:hAnsi="Times New Roman" w:eastAsia="宋体" w:cs="Times New Roman"/>
          <w:b/>
          <w:bCs/>
          <w:color w:val="auto"/>
          <w:kern w:val="2"/>
          <w:sz w:val="24"/>
          <w:szCs w:val="24"/>
        </w:rPr>
        <w:t>1</w:t>
      </w:r>
      <w:r>
        <w:rPr>
          <w:rFonts w:hint="eastAsia" w:ascii="宋体" w:hAnsi="宋体" w:eastAsia="宋体" w:cs="宋体"/>
          <w:b/>
          <w:bCs/>
          <w:color w:val="auto"/>
          <w:kern w:val="2"/>
          <w:sz w:val="24"/>
          <w:szCs w:val="24"/>
        </w:rPr>
        <w:t>标准限值要求。本项目厂房封闭，在采取定期洒水抑尘措施后，厂区内颗粒物无组织排放可以满足《铸造工业大气污染物排放标准》（</w:t>
      </w:r>
      <w:r>
        <w:rPr>
          <w:rFonts w:hint="default" w:ascii="Times New Roman" w:hAnsi="Times New Roman" w:eastAsia="宋体" w:cs="Times New Roman"/>
          <w:b/>
          <w:bCs/>
          <w:color w:val="auto"/>
          <w:kern w:val="2"/>
          <w:sz w:val="24"/>
          <w:szCs w:val="24"/>
        </w:rPr>
        <w:t>GB39726-2020</w:t>
      </w:r>
      <w:r>
        <w:rPr>
          <w:rFonts w:hint="eastAsia" w:ascii="宋体" w:hAnsi="宋体" w:eastAsia="宋体" w:cs="宋体"/>
          <w:b/>
          <w:bCs/>
          <w:color w:val="auto"/>
          <w:kern w:val="2"/>
          <w:sz w:val="24"/>
          <w:szCs w:val="24"/>
        </w:rPr>
        <w:t>）附录</w:t>
      </w:r>
      <w:r>
        <w:rPr>
          <w:rFonts w:hint="default" w:ascii="Times New Roman" w:hAnsi="Times New Roman" w:eastAsia="宋体" w:cs="Times New Roman"/>
          <w:b/>
          <w:bCs/>
          <w:color w:val="auto"/>
          <w:kern w:val="2"/>
          <w:sz w:val="24"/>
          <w:szCs w:val="24"/>
        </w:rPr>
        <w:t>A</w:t>
      </w:r>
      <w:r>
        <w:rPr>
          <w:rFonts w:hint="eastAsia" w:ascii="宋体" w:hAnsi="宋体" w:eastAsia="宋体" w:cs="宋体"/>
          <w:b/>
          <w:bCs/>
          <w:color w:val="auto"/>
          <w:kern w:val="2"/>
          <w:sz w:val="24"/>
          <w:szCs w:val="24"/>
        </w:rPr>
        <w:t>标准限值要求。</w:t>
      </w:r>
    </w:p>
    <w:p w14:paraId="6E9CEE71">
      <w:pPr>
        <w:keepNext w:val="0"/>
        <w:keepLines w:val="0"/>
        <w:numPr>
          <w:ilvl w:val="0"/>
          <w:numId w:val="0"/>
        </w:numPr>
        <w:suppressLineNumbers w:val="0"/>
        <w:spacing w:before="0" w:beforeAutospacing="0" w:after="0" w:afterAutospacing="0"/>
        <w:ind w:left="0" w:right="0" w:firstLine="482" w:firstLineChars="200"/>
        <w:jc w:val="both"/>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1.</w:t>
      </w:r>
      <w:r>
        <w:rPr>
          <w:rFonts w:hint="eastAsia" w:ascii="Times New Roman" w:hAnsi="Times New Roman" w:eastAsia="宋体" w:cs="Times New Roman"/>
          <w:b/>
          <w:color w:val="auto"/>
          <w:sz w:val="24"/>
          <w:szCs w:val="24"/>
          <w:lang w:val="en-US" w:eastAsia="zh-CN"/>
        </w:rPr>
        <w:t>9</w:t>
      </w:r>
      <w:r>
        <w:rPr>
          <w:rFonts w:hint="default" w:ascii="Times New Roman" w:hAnsi="Times New Roman" w:eastAsia="宋体" w:cs="Times New Roman"/>
          <w:b/>
          <w:color w:val="auto"/>
          <w:sz w:val="24"/>
          <w:szCs w:val="24"/>
        </w:rPr>
        <w:t>淬火/回火废气</w:t>
      </w:r>
    </w:p>
    <w:p w14:paraId="79385C88">
      <w:pPr>
        <w:keepNext w:val="0"/>
        <w:keepLines w:val="0"/>
        <w:widowControl/>
        <w:suppressLineNumbers w:val="0"/>
        <w:autoSpaceDE w:val="0"/>
        <w:snapToGrid w:val="0"/>
        <w:spacing w:before="0" w:beforeLines="0" w:beforeAutospacing="0" w:after="0" w:afterLines="0" w:afterAutospacing="0"/>
        <w:ind w:left="0" w:right="0" w:firstLine="480" w:firstLineChars="200"/>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根据《排放源统计调查产排污核算方法和系数手册—机械行业系数手册》中“热处理”工艺中产排污系数表，本项目淬火/回火工序产污情况如下表。</w:t>
      </w:r>
    </w:p>
    <w:p w14:paraId="6CC2126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kern w:val="2"/>
          <w:sz w:val="21"/>
          <w:szCs w:val="21"/>
        </w:rPr>
      </w:pPr>
      <w:r>
        <w:rPr>
          <w:rFonts w:hint="default" w:ascii="Times New Roman" w:hAnsi="Times New Roman" w:eastAsia="宋体" w:cs="Times New Roman"/>
          <w:b/>
          <w:color w:val="auto"/>
          <w:kern w:val="2"/>
          <w:sz w:val="21"/>
          <w:szCs w:val="21"/>
          <w:lang w:bidi="ar"/>
        </w:rPr>
        <w:t>表</w:t>
      </w:r>
      <w:r>
        <w:rPr>
          <w:rFonts w:hint="default" w:ascii="Times New Roman" w:hAnsi="Times New Roman" w:eastAsia="宋体" w:cs="Times New Roman"/>
          <w:b/>
          <w:color w:val="auto"/>
          <w:kern w:val="2"/>
          <w:sz w:val="21"/>
          <w:szCs w:val="21"/>
          <w:lang w:val="en-US" w:eastAsia="zh-CN" w:bidi="ar"/>
        </w:rPr>
        <w:t>6</w:t>
      </w:r>
      <w:r>
        <w:rPr>
          <w:rFonts w:hint="default" w:ascii="Times New Roman" w:hAnsi="Times New Roman" w:eastAsia="宋体" w:cs="Times New Roman"/>
          <w:b/>
          <w:color w:val="auto"/>
          <w:kern w:val="2"/>
          <w:sz w:val="21"/>
          <w:szCs w:val="21"/>
          <w:lang w:bidi="ar"/>
        </w:rPr>
        <w:t xml:space="preserve"> 清理废气产排污情况一览表</w:t>
      </w:r>
    </w:p>
    <w:tbl>
      <w:tblPr>
        <w:tblStyle w:val="56"/>
        <w:tblW w:w="8281" w:type="dxa"/>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fixed"/>
        <w:tblCellMar>
          <w:top w:w="0" w:type="dxa"/>
          <w:left w:w="108" w:type="dxa"/>
          <w:bottom w:w="0" w:type="dxa"/>
          <w:right w:w="108" w:type="dxa"/>
        </w:tblCellMar>
      </w:tblPr>
      <w:tblGrid>
        <w:gridCol w:w="744"/>
        <w:gridCol w:w="856"/>
        <w:gridCol w:w="1470"/>
        <w:gridCol w:w="1485"/>
        <w:gridCol w:w="1590"/>
        <w:gridCol w:w="825"/>
        <w:gridCol w:w="1311"/>
      </w:tblGrid>
      <w:tr w14:paraId="10543A12">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tcBorders>
              <w:top w:val="single" w:color="auto" w:sz="8" w:space="0"/>
              <w:left w:val="single" w:color="auto" w:sz="8" w:space="0"/>
              <w:bottom w:val="single" w:color="auto" w:sz="2" w:space="0"/>
              <w:right w:val="single" w:color="auto" w:sz="2" w:space="0"/>
              <w:tl2br w:val="nil"/>
              <w:tr2bl w:val="nil"/>
            </w:tcBorders>
            <w:noWrap w:val="0"/>
            <w:vAlign w:val="center"/>
          </w:tcPr>
          <w:p w14:paraId="7EE2FBDA">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产品名称</w:t>
            </w:r>
          </w:p>
        </w:tc>
        <w:tc>
          <w:tcPr>
            <w:tcW w:w="856" w:type="dxa"/>
            <w:tcBorders>
              <w:top w:val="single" w:color="auto" w:sz="8" w:space="0"/>
              <w:left w:val="single" w:color="auto" w:sz="2" w:space="0"/>
              <w:bottom w:val="single" w:color="auto" w:sz="2" w:space="0"/>
              <w:right w:val="single" w:color="auto" w:sz="2" w:space="0"/>
              <w:tl2br w:val="nil"/>
              <w:tr2bl w:val="nil"/>
            </w:tcBorders>
            <w:noWrap w:val="0"/>
            <w:vAlign w:val="center"/>
          </w:tcPr>
          <w:p w14:paraId="32179625">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原料名称</w:t>
            </w:r>
          </w:p>
        </w:tc>
        <w:tc>
          <w:tcPr>
            <w:tcW w:w="1470" w:type="dxa"/>
            <w:tcBorders>
              <w:top w:val="single" w:color="auto" w:sz="8" w:space="0"/>
              <w:left w:val="single" w:color="auto" w:sz="2" w:space="0"/>
              <w:bottom w:val="single" w:color="auto" w:sz="2" w:space="0"/>
              <w:right w:val="single" w:color="auto" w:sz="2" w:space="0"/>
              <w:tl2br w:val="nil"/>
              <w:tr2bl w:val="nil"/>
            </w:tcBorders>
            <w:noWrap w:val="0"/>
            <w:vAlign w:val="center"/>
          </w:tcPr>
          <w:p w14:paraId="6DBAC7FC">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工艺名称</w:t>
            </w:r>
          </w:p>
        </w:tc>
        <w:tc>
          <w:tcPr>
            <w:tcW w:w="148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58973A6C">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污染物指标</w:t>
            </w:r>
          </w:p>
        </w:tc>
        <w:tc>
          <w:tcPr>
            <w:tcW w:w="1590" w:type="dxa"/>
            <w:tcBorders>
              <w:top w:val="single" w:color="auto" w:sz="8" w:space="0"/>
              <w:left w:val="single" w:color="auto" w:sz="2" w:space="0"/>
              <w:bottom w:val="single" w:color="auto" w:sz="2" w:space="0"/>
              <w:right w:val="single" w:color="auto" w:sz="2" w:space="0"/>
              <w:tl2br w:val="nil"/>
              <w:tr2bl w:val="nil"/>
            </w:tcBorders>
            <w:noWrap w:val="0"/>
            <w:vAlign w:val="center"/>
          </w:tcPr>
          <w:p w14:paraId="1A8CCA48">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单位</w:t>
            </w:r>
          </w:p>
        </w:tc>
        <w:tc>
          <w:tcPr>
            <w:tcW w:w="825" w:type="dxa"/>
            <w:tcBorders>
              <w:top w:val="single" w:color="auto" w:sz="8" w:space="0"/>
              <w:left w:val="single" w:color="auto" w:sz="2" w:space="0"/>
              <w:bottom w:val="single" w:color="auto" w:sz="2" w:space="0"/>
              <w:right w:val="single" w:color="auto" w:sz="2" w:space="0"/>
              <w:tl2br w:val="nil"/>
              <w:tr2bl w:val="nil"/>
            </w:tcBorders>
            <w:noWrap w:val="0"/>
            <w:vAlign w:val="center"/>
          </w:tcPr>
          <w:p w14:paraId="64C137ED">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产物系数</w:t>
            </w:r>
          </w:p>
        </w:tc>
        <w:tc>
          <w:tcPr>
            <w:tcW w:w="1311" w:type="dxa"/>
            <w:tcBorders>
              <w:top w:val="single" w:color="auto" w:sz="8" w:space="0"/>
              <w:left w:val="single" w:color="auto" w:sz="2" w:space="0"/>
              <w:bottom w:val="single" w:color="auto" w:sz="2" w:space="0"/>
              <w:right w:val="single" w:color="auto" w:sz="8" w:space="0"/>
              <w:tl2br w:val="nil"/>
              <w:tr2bl w:val="nil"/>
            </w:tcBorders>
            <w:noWrap w:val="0"/>
            <w:vAlign w:val="center"/>
          </w:tcPr>
          <w:p w14:paraId="2C69D391">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末端治理技术</w:t>
            </w:r>
          </w:p>
        </w:tc>
      </w:tr>
      <w:tr w14:paraId="148C0C42">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vMerge w:val="restart"/>
            <w:tcBorders>
              <w:top w:val="single" w:color="auto" w:sz="2" w:space="0"/>
              <w:left w:val="single" w:color="auto" w:sz="8" w:space="0"/>
              <w:bottom w:val="single" w:color="auto" w:sz="2" w:space="0"/>
              <w:right w:val="single" w:color="auto" w:sz="2" w:space="0"/>
              <w:tl2br w:val="nil"/>
              <w:tr2bl w:val="nil"/>
            </w:tcBorders>
            <w:noWrap w:val="0"/>
            <w:vAlign w:val="center"/>
          </w:tcPr>
          <w:p w14:paraId="096274B5">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热处理件</w:t>
            </w:r>
          </w:p>
        </w:tc>
        <w:tc>
          <w:tcPr>
            <w:tcW w:w="856" w:type="dxa"/>
            <w:vMerge w:val="restart"/>
            <w:tcBorders>
              <w:top w:val="single" w:color="auto" w:sz="2" w:space="0"/>
              <w:left w:val="single" w:color="auto" w:sz="2" w:space="0"/>
              <w:bottom w:val="single" w:color="auto" w:sz="2" w:space="0"/>
              <w:right w:val="single" w:color="auto" w:sz="2" w:space="0"/>
              <w:tl2br w:val="nil"/>
              <w:tr2bl w:val="nil"/>
            </w:tcBorders>
            <w:noWrap w:val="0"/>
            <w:vAlign w:val="center"/>
          </w:tcPr>
          <w:p w14:paraId="388C194C">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淬火油</w:t>
            </w:r>
          </w:p>
        </w:tc>
        <w:tc>
          <w:tcPr>
            <w:tcW w:w="1470" w:type="dxa"/>
            <w:vMerge w:val="restart"/>
            <w:tcBorders>
              <w:top w:val="single" w:color="auto" w:sz="2" w:space="0"/>
              <w:left w:val="single" w:color="auto" w:sz="2" w:space="0"/>
              <w:bottom w:val="single" w:color="auto" w:sz="2" w:space="0"/>
              <w:right w:val="single" w:color="auto" w:sz="2" w:space="0"/>
              <w:tl2br w:val="nil"/>
              <w:tr2bl w:val="nil"/>
            </w:tcBorders>
            <w:noWrap w:val="0"/>
            <w:vAlign w:val="center"/>
          </w:tcPr>
          <w:p w14:paraId="2B906313">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整体热处理（淬火/回火）</w:t>
            </w:r>
          </w:p>
        </w:tc>
        <w:tc>
          <w:tcPr>
            <w:tcW w:w="1485" w:type="dxa"/>
            <w:tcBorders>
              <w:top w:val="single" w:color="auto" w:sz="2" w:space="0"/>
              <w:left w:val="single" w:color="auto" w:sz="2" w:space="0"/>
              <w:bottom w:val="single" w:color="auto" w:sz="2" w:space="0"/>
              <w:right w:val="single" w:color="auto" w:sz="2" w:space="0"/>
              <w:tl2br w:val="nil"/>
              <w:tr2bl w:val="nil"/>
            </w:tcBorders>
            <w:shd w:val="clear" w:color="auto" w:fill="auto"/>
            <w:noWrap w:val="0"/>
            <w:vAlign w:val="center"/>
          </w:tcPr>
          <w:p w14:paraId="01AF9BDD">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挥发性有机物</w:t>
            </w:r>
          </w:p>
        </w:tc>
        <w:tc>
          <w:tcPr>
            <w:tcW w:w="1590" w:type="dxa"/>
            <w:tcBorders>
              <w:top w:val="single" w:color="auto" w:sz="2" w:space="0"/>
              <w:left w:val="single" w:color="auto" w:sz="2" w:space="0"/>
              <w:bottom w:val="single" w:color="auto" w:sz="2" w:space="0"/>
              <w:right w:val="single" w:color="auto" w:sz="2" w:space="0"/>
              <w:tl2br w:val="nil"/>
              <w:tr2bl w:val="nil"/>
            </w:tcBorders>
            <w:shd w:val="clear" w:color="auto" w:fill="auto"/>
            <w:noWrap w:val="0"/>
            <w:vAlign w:val="center"/>
          </w:tcPr>
          <w:p w14:paraId="6CCFA7B3">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bidi="ar"/>
              </w:rPr>
              <w:t>千克/吨原料</w:t>
            </w:r>
          </w:p>
        </w:tc>
        <w:tc>
          <w:tcPr>
            <w:tcW w:w="825" w:type="dxa"/>
            <w:tcBorders>
              <w:top w:val="single" w:color="auto" w:sz="2" w:space="0"/>
              <w:left w:val="single" w:color="auto" w:sz="2" w:space="0"/>
              <w:bottom w:val="single" w:color="auto" w:sz="2" w:space="0"/>
              <w:right w:val="single" w:color="auto" w:sz="2" w:space="0"/>
              <w:tl2br w:val="nil"/>
              <w:tr2bl w:val="nil"/>
            </w:tcBorders>
            <w:shd w:val="clear" w:color="auto" w:fill="auto"/>
            <w:noWrap w:val="0"/>
            <w:vAlign w:val="center"/>
          </w:tcPr>
          <w:p w14:paraId="5F530354">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bidi="ar"/>
              </w:rPr>
              <w:t>0.01</w:t>
            </w:r>
          </w:p>
        </w:tc>
        <w:tc>
          <w:tcPr>
            <w:tcW w:w="1311" w:type="dxa"/>
            <w:tcBorders>
              <w:top w:val="single" w:color="auto" w:sz="2" w:space="0"/>
              <w:left w:val="single" w:color="auto" w:sz="2" w:space="0"/>
              <w:bottom w:val="single" w:color="auto" w:sz="2" w:space="0"/>
              <w:right w:val="single" w:color="auto" w:sz="8" w:space="0"/>
              <w:tl2br w:val="nil"/>
              <w:tr2bl w:val="nil"/>
            </w:tcBorders>
            <w:shd w:val="clear" w:color="auto" w:fill="auto"/>
            <w:noWrap w:val="0"/>
            <w:vAlign w:val="center"/>
          </w:tcPr>
          <w:p w14:paraId="17D12749">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w:t>
            </w:r>
          </w:p>
        </w:tc>
      </w:tr>
      <w:tr w14:paraId="31BAB384">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44" w:type="dxa"/>
            <w:vMerge w:val="continue"/>
            <w:tcBorders>
              <w:top w:val="single" w:color="auto" w:sz="2" w:space="0"/>
              <w:left w:val="single" w:color="auto" w:sz="8" w:space="0"/>
              <w:bottom w:val="single" w:color="auto" w:sz="2" w:space="0"/>
              <w:right w:val="single" w:color="auto" w:sz="2" w:space="0"/>
              <w:tl2br w:val="nil"/>
              <w:tr2bl w:val="nil"/>
            </w:tcBorders>
            <w:noWrap w:val="0"/>
            <w:vAlign w:val="center"/>
          </w:tcPr>
          <w:p w14:paraId="40860DDA">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bidi="ar"/>
              </w:rPr>
            </w:pPr>
          </w:p>
        </w:tc>
        <w:tc>
          <w:tcPr>
            <w:tcW w:w="856" w:type="dxa"/>
            <w:vMerge w:val="continue"/>
            <w:tcBorders>
              <w:top w:val="single" w:color="auto" w:sz="2" w:space="0"/>
              <w:left w:val="single" w:color="auto" w:sz="2" w:space="0"/>
              <w:bottom w:val="single" w:color="auto" w:sz="2" w:space="0"/>
              <w:right w:val="single" w:color="auto" w:sz="2" w:space="0"/>
              <w:tl2br w:val="nil"/>
              <w:tr2bl w:val="nil"/>
            </w:tcBorders>
            <w:noWrap w:val="0"/>
            <w:vAlign w:val="center"/>
          </w:tcPr>
          <w:p w14:paraId="023C0372">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bidi="ar"/>
              </w:rPr>
            </w:pPr>
          </w:p>
        </w:tc>
        <w:tc>
          <w:tcPr>
            <w:tcW w:w="1470" w:type="dxa"/>
            <w:vMerge w:val="continue"/>
            <w:tcBorders>
              <w:top w:val="single" w:color="auto" w:sz="2" w:space="0"/>
              <w:left w:val="single" w:color="auto" w:sz="2" w:space="0"/>
              <w:bottom w:val="single" w:color="auto" w:sz="2" w:space="0"/>
              <w:right w:val="single" w:color="auto" w:sz="2" w:space="0"/>
              <w:tl2br w:val="nil"/>
              <w:tr2bl w:val="nil"/>
            </w:tcBorders>
            <w:noWrap w:val="0"/>
            <w:vAlign w:val="center"/>
          </w:tcPr>
          <w:p w14:paraId="2751B5F2">
            <w:pPr>
              <w:keepNext w:val="0"/>
              <w:keepLines w:val="0"/>
              <w:widowControl/>
              <w:suppressLineNumbers w:val="0"/>
              <w:autoSpaceDE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bidi="ar"/>
              </w:rPr>
            </w:pPr>
          </w:p>
        </w:tc>
        <w:tc>
          <w:tcPr>
            <w:tcW w:w="1485" w:type="dxa"/>
            <w:tcBorders>
              <w:top w:val="single" w:color="auto" w:sz="2" w:space="0"/>
              <w:left w:val="single" w:color="auto" w:sz="2" w:space="0"/>
              <w:bottom w:val="single" w:color="auto" w:sz="2" w:space="0"/>
              <w:right w:val="single" w:color="auto" w:sz="2" w:space="0"/>
              <w:tl2br w:val="nil"/>
              <w:tr2bl w:val="nil"/>
            </w:tcBorders>
            <w:shd w:val="clear" w:color="auto" w:fill="auto"/>
            <w:noWrap w:val="0"/>
            <w:vAlign w:val="center"/>
          </w:tcPr>
          <w:p w14:paraId="55BC54F4">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bidi="ar"/>
              </w:rPr>
              <w:t>颗粒物</w:t>
            </w:r>
          </w:p>
        </w:tc>
        <w:tc>
          <w:tcPr>
            <w:tcW w:w="1590" w:type="dxa"/>
            <w:tcBorders>
              <w:top w:val="single" w:color="auto" w:sz="2" w:space="0"/>
              <w:left w:val="single" w:color="auto" w:sz="2" w:space="0"/>
              <w:bottom w:val="single" w:color="auto" w:sz="2" w:space="0"/>
              <w:right w:val="single" w:color="auto" w:sz="2" w:space="0"/>
              <w:tl2br w:val="nil"/>
              <w:tr2bl w:val="nil"/>
            </w:tcBorders>
            <w:shd w:val="clear" w:color="auto" w:fill="auto"/>
            <w:noWrap w:val="0"/>
            <w:vAlign w:val="center"/>
          </w:tcPr>
          <w:p w14:paraId="3C00679B">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bidi="ar"/>
              </w:rPr>
              <w:t>千克/吨原料</w:t>
            </w:r>
          </w:p>
        </w:tc>
        <w:tc>
          <w:tcPr>
            <w:tcW w:w="825" w:type="dxa"/>
            <w:tcBorders>
              <w:top w:val="single" w:color="auto" w:sz="2" w:space="0"/>
              <w:left w:val="single" w:color="auto" w:sz="2" w:space="0"/>
              <w:bottom w:val="single" w:color="auto" w:sz="2" w:space="0"/>
              <w:right w:val="single" w:color="auto" w:sz="2" w:space="0"/>
              <w:tl2br w:val="nil"/>
              <w:tr2bl w:val="nil"/>
            </w:tcBorders>
            <w:shd w:val="clear" w:color="auto" w:fill="auto"/>
            <w:noWrap w:val="0"/>
            <w:vAlign w:val="center"/>
          </w:tcPr>
          <w:p w14:paraId="7940FA3E">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bidi="ar"/>
              </w:rPr>
              <w:t>200</w:t>
            </w:r>
          </w:p>
        </w:tc>
        <w:tc>
          <w:tcPr>
            <w:tcW w:w="1311" w:type="dxa"/>
            <w:tcBorders>
              <w:top w:val="single" w:color="auto" w:sz="2" w:space="0"/>
              <w:left w:val="single" w:color="auto" w:sz="2" w:space="0"/>
              <w:bottom w:val="single" w:color="auto" w:sz="2" w:space="0"/>
              <w:right w:val="single" w:color="auto" w:sz="8" w:space="0"/>
              <w:tl2br w:val="nil"/>
              <w:tr2bl w:val="nil"/>
            </w:tcBorders>
            <w:shd w:val="clear" w:color="auto" w:fill="auto"/>
            <w:noWrap w:val="0"/>
            <w:vAlign w:val="center"/>
          </w:tcPr>
          <w:p w14:paraId="3792F97D">
            <w:pPr>
              <w:keepNext w:val="0"/>
              <w:keepLines w:val="0"/>
              <w:widowControl/>
              <w:suppressLineNumbers w:val="0"/>
              <w:autoSpaceDE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
              </w:rPr>
              <w:t>油雾净化器</w:t>
            </w:r>
          </w:p>
        </w:tc>
      </w:tr>
    </w:tbl>
    <w:p w14:paraId="6EE14D5D">
      <w:pPr>
        <w:spacing w:line="460" w:lineRule="exact"/>
        <w:ind w:firstLine="480" w:firstLineChars="200"/>
        <w:jc w:val="both"/>
        <w:rPr>
          <w:rFonts w:hint="default" w:ascii="Times New Roman" w:hAnsi="Times New Roman" w:eastAsia="宋体" w:cs="Times New Roman"/>
          <w:b/>
          <w:color w:val="auto"/>
          <w:spacing w:val="4"/>
          <w:kern w:val="2"/>
          <w:sz w:val="24"/>
          <w:szCs w:val="24"/>
        </w:rPr>
      </w:pPr>
      <w:r>
        <w:rPr>
          <w:rFonts w:hint="default" w:ascii="Times New Roman" w:hAnsi="Times New Roman" w:eastAsia="宋体" w:cs="Times New Roman"/>
          <w:color w:val="auto"/>
          <w:sz w:val="24"/>
          <w:szCs w:val="24"/>
          <w:u w:val="none" w:color="auto"/>
        </w:rPr>
        <w:t>淬火、回火过程中淬火油在高温环境下会分解挥发产生油烟废气（主要为烃类物质，以非甲烷总烃计以及颗粒物）。根据《排放源统计调查产排污核算方法和系数手册</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机械行业系数手册》中“热处理”工序，颗粒物产污系数为200千克/吨</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原料；挥发性有机物（以非甲烷总烃计）产污系数为0.01千克/吨</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原料。本项目需要淬火/回火的工件量约</w:t>
      </w:r>
      <w:r>
        <w:rPr>
          <w:rFonts w:hint="eastAsia" w:ascii="Times New Roman" w:hAnsi="Times New Roman" w:eastAsia="宋体" w:cs="Times New Roman"/>
          <w:color w:val="auto"/>
          <w:sz w:val="24"/>
          <w:szCs w:val="24"/>
          <w:u w:val="none" w:color="auto"/>
          <w:lang w:val="en-US" w:eastAsia="zh-CN"/>
        </w:rPr>
        <w:t>1000</w:t>
      </w:r>
      <w:r>
        <w:rPr>
          <w:rFonts w:hint="default" w:ascii="Times New Roman" w:hAnsi="Times New Roman" w:eastAsia="宋体" w:cs="Times New Roman"/>
          <w:color w:val="auto"/>
          <w:sz w:val="24"/>
          <w:szCs w:val="24"/>
          <w:u w:val="none" w:color="auto"/>
        </w:rPr>
        <w:t>t/a，使用淬火油原料量为</w:t>
      </w:r>
      <w:r>
        <w:rPr>
          <w:rFonts w:hint="eastAsia" w:ascii="Times New Roman" w:hAnsi="Times New Roman" w:eastAsia="宋体" w:cs="Times New Roman"/>
          <w:color w:val="auto"/>
          <w:sz w:val="24"/>
          <w:szCs w:val="24"/>
          <w:u w:val="none" w:color="auto"/>
          <w:lang w:val="en-US" w:eastAsia="zh-CN"/>
        </w:rPr>
        <w:t>2</w:t>
      </w:r>
      <w:r>
        <w:rPr>
          <w:rFonts w:hint="default" w:ascii="Times New Roman" w:hAnsi="Times New Roman" w:eastAsia="宋体" w:cs="Times New Roman"/>
          <w:color w:val="auto"/>
          <w:sz w:val="24"/>
          <w:szCs w:val="24"/>
          <w:u w:val="none" w:color="auto"/>
        </w:rPr>
        <w:t>t/a，则颗粒物产生量</w:t>
      </w:r>
      <w:r>
        <w:rPr>
          <w:rFonts w:hint="eastAsia" w:ascii="Times New Roman" w:hAnsi="Times New Roman" w:eastAsia="宋体" w:cs="Times New Roman"/>
          <w:color w:val="auto"/>
          <w:sz w:val="24"/>
          <w:szCs w:val="24"/>
          <w:u w:val="none" w:color="auto"/>
          <w:lang w:val="en-US" w:eastAsia="zh-CN"/>
        </w:rPr>
        <w:t>0.400</w:t>
      </w:r>
      <w:r>
        <w:rPr>
          <w:rFonts w:hint="default" w:ascii="Times New Roman" w:hAnsi="Times New Roman" w:eastAsia="宋体" w:cs="Times New Roman"/>
          <w:color w:val="auto"/>
          <w:sz w:val="24"/>
          <w:szCs w:val="24"/>
          <w:u w:val="none" w:color="auto"/>
        </w:rPr>
        <w:t>t/a，挥发性有机物（以非甲烷总烃计）产生量约0.000</w:t>
      </w:r>
      <w:r>
        <w:rPr>
          <w:rFonts w:hint="eastAsia" w:ascii="Times New Roman" w:hAnsi="Times New Roman" w:eastAsia="宋体" w:cs="Times New Roman"/>
          <w:color w:val="auto"/>
          <w:sz w:val="24"/>
          <w:szCs w:val="24"/>
          <w:u w:val="none" w:color="auto"/>
          <w:lang w:val="en-US" w:eastAsia="zh-CN"/>
        </w:rPr>
        <w:t>02</w:t>
      </w:r>
      <w:r>
        <w:rPr>
          <w:rFonts w:hint="default" w:ascii="Times New Roman" w:hAnsi="Times New Roman" w:eastAsia="宋体" w:cs="Times New Roman"/>
          <w:color w:val="auto"/>
          <w:sz w:val="24"/>
          <w:szCs w:val="24"/>
          <w:u w:val="none" w:color="auto"/>
        </w:rPr>
        <w:t>t/a。项目</w:t>
      </w:r>
      <w:r>
        <w:rPr>
          <w:rFonts w:hint="eastAsia" w:ascii="Times New Roman" w:hAnsi="Times New Roman" w:eastAsia="宋体" w:cs="Times New Roman"/>
          <w:color w:val="auto"/>
          <w:sz w:val="24"/>
          <w:szCs w:val="24"/>
          <w:u w:val="none" w:color="auto"/>
          <w:lang w:val="en-US" w:eastAsia="zh-CN"/>
        </w:rPr>
        <w:t>电</w:t>
      </w:r>
      <w:r>
        <w:rPr>
          <w:rFonts w:hint="default" w:ascii="Times New Roman" w:hAnsi="Times New Roman" w:eastAsia="宋体" w:cs="Times New Roman"/>
          <w:color w:val="auto"/>
          <w:sz w:val="24"/>
          <w:szCs w:val="24"/>
          <w:u w:val="none" w:color="auto"/>
        </w:rPr>
        <w:t>淬火油槽上方、回火</w:t>
      </w:r>
      <w:r>
        <w:rPr>
          <w:rFonts w:hint="eastAsia" w:ascii="Times New Roman" w:hAnsi="Times New Roman" w:eastAsia="宋体" w:cs="Times New Roman"/>
          <w:color w:val="auto"/>
          <w:sz w:val="24"/>
          <w:szCs w:val="24"/>
          <w:u w:val="none" w:color="auto"/>
          <w:lang w:val="en-US" w:eastAsia="zh-CN"/>
        </w:rPr>
        <w:t>电</w:t>
      </w:r>
      <w:r>
        <w:rPr>
          <w:rFonts w:hint="default" w:ascii="Times New Roman" w:hAnsi="Times New Roman" w:eastAsia="宋体" w:cs="Times New Roman"/>
          <w:color w:val="auto"/>
          <w:sz w:val="24"/>
          <w:szCs w:val="24"/>
          <w:u w:val="none" w:color="auto"/>
        </w:rPr>
        <w:t>炉上方拟安装收集装置（收集效率90%），经风机收集后经“高压静电油烟净化”处理后通过1根15m高的排气筒（DA00</w:t>
      </w:r>
      <w:r>
        <w:rPr>
          <w:rFonts w:hint="eastAsia" w:ascii="Times New Roman" w:hAnsi="Times New Roman" w:eastAsia="宋体" w:cs="Times New Roman"/>
          <w:color w:val="auto"/>
          <w:sz w:val="24"/>
          <w:szCs w:val="24"/>
          <w:u w:val="none" w:color="auto"/>
          <w:lang w:val="en-US" w:eastAsia="zh-CN"/>
        </w:rPr>
        <w:t>3</w:t>
      </w:r>
      <w:r>
        <w:rPr>
          <w:rFonts w:hint="default" w:ascii="Times New Roman" w:hAnsi="Times New Roman" w:eastAsia="宋体" w:cs="Times New Roman"/>
          <w:color w:val="auto"/>
          <w:sz w:val="24"/>
          <w:szCs w:val="24"/>
          <w:u w:val="none" w:color="auto"/>
        </w:rPr>
        <w:t>）排放。年工作时间600小时，风机风量为</w:t>
      </w:r>
      <w:r>
        <w:rPr>
          <w:rFonts w:hint="eastAsia" w:ascii="Times New Roman" w:hAnsi="Times New Roman" w:eastAsia="宋体" w:cs="Times New Roman"/>
          <w:color w:val="auto"/>
          <w:sz w:val="24"/>
          <w:szCs w:val="24"/>
          <w:u w:val="none" w:color="auto"/>
          <w:lang w:val="en-US" w:eastAsia="zh-CN"/>
        </w:rPr>
        <w:t>3000</w:t>
      </w:r>
      <w:r>
        <w:rPr>
          <w:rFonts w:hint="default" w:ascii="Times New Roman" w:hAnsi="Times New Roman" w:eastAsia="宋体" w:cs="Times New Roman"/>
          <w:color w:val="auto"/>
          <w:sz w:val="24"/>
          <w:szCs w:val="24"/>
          <w:u w:val="none" w:color="auto"/>
        </w:rPr>
        <w:t>m</w:t>
      </w:r>
      <w:r>
        <w:rPr>
          <w:rFonts w:hint="default" w:ascii="Times New Roman" w:hAnsi="Times New Roman" w:eastAsia="宋体" w:cs="Times New Roman"/>
          <w:color w:val="auto"/>
          <w:sz w:val="24"/>
          <w:szCs w:val="24"/>
          <w:u w:val="none" w:color="auto"/>
          <w:vertAlign w:val="superscript"/>
        </w:rPr>
        <w:t>3</w:t>
      </w:r>
      <w:r>
        <w:rPr>
          <w:rFonts w:hint="default" w:ascii="Times New Roman" w:hAnsi="Times New Roman" w:eastAsia="宋体" w:cs="Times New Roman"/>
          <w:color w:val="auto"/>
          <w:sz w:val="24"/>
          <w:szCs w:val="24"/>
          <w:u w:val="none" w:color="auto"/>
        </w:rPr>
        <w:t>/h，处理效率按《机械行业系数手册》中油雾净化器的</w:t>
      </w:r>
      <w:r>
        <w:rPr>
          <w:rFonts w:hint="eastAsia" w:ascii="Times New Roman" w:hAnsi="Times New Roman" w:eastAsia="宋体" w:cs="Times New Roman"/>
          <w:color w:val="auto"/>
          <w:sz w:val="24"/>
          <w:szCs w:val="24"/>
          <w:u w:val="none" w:color="auto"/>
          <w:lang w:val="en-US" w:eastAsia="zh-CN"/>
        </w:rPr>
        <w:t>颗粒物</w:t>
      </w:r>
      <w:r>
        <w:rPr>
          <w:rFonts w:hint="default" w:ascii="Times New Roman" w:hAnsi="Times New Roman" w:eastAsia="宋体" w:cs="Times New Roman"/>
          <w:color w:val="auto"/>
          <w:sz w:val="24"/>
          <w:szCs w:val="24"/>
          <w:u w:val="none" w:color="auto"/>
        </w:rPr>
        <w:t>处理效率 90%计</w:t>
      </w: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非甲烷总烃无处理效率计</w:t>
      </w:r>
      <w:r>
        <w:rPr>
          <w:rFonts w:hint="default" w:ascii="Times New Roman" w:hAnsi="Times New Roman" w:eastAsia="宋体" w:cs="Times New Roman"/>
          <w:color w:val="auto"/>
          <w:sz w:val="24"/>
          <w:szCs w:val="24"/>
          <w:u w:val="none" w:color="auto"/>
        </w:rPr>
        <w:t>，则淬火/回火废气颗粒物有组织</w:t>
      </w:r>
      <w:r>
        <w:rPr>
          <w:rFonts w:hint="default" w:ascii="Times New Roman" w:hAnsi="Times New Roman" w:eastAsia="宋体" w:cs="Times New Roman"/>
          <w:color w:val="auto"/>
          <w:sz w:val="24"/>
          <w:szCs w:val="24"/>
          <w:u w:val="none" w:color="auto"/>
          <w:lang w:val="en-US" w:eastAsia="zh-CN"/>
        </w:rPr>
        <w:t>产生量为</w:t>
      </w:r>
      <w:r>
        <w:rPr>
          <w:rFonts w:hint="eastAsia" w:ascii="Times New Roman" w:hAnsi="Times New Roman" w:eastAsia="宋体" w:cs="Times New Roman"/>
          <w:color w:val="auto"/>
          <w:sz w:val="24"/>
          <w:szCs w:val="24"/>
          <w:u w:val="none" w:color="auto"/>
          <w:lang w:val="en-US" w:eastAsia="zh-CN"/>
        </w:rPr>
        <w:t>0.360</w:t>
      </w:r>
      <w:r>
        <w:rPr>
          <w:rFonts w:hint="default" w:ascii="Times New Roman" w:hAnsi="Times New Roman" w:eastAsia="宋体" w:cs="Times New Roman"/>
          <w:color w:val="auto"/>
          <w:sz w:val="24"/>
          <w:szCs w:val="24"/>
          <w:u w:val="none" w:color="auto"/>
          <w:lang w:val="en-US" w:eastAsia="zh-CN"/>
        </w:rPr>
        <w:t>t/a、产生速率为0.</w:t>
      </w:r>
      <w:r>
        <w:rPr>
          <w:rFonts w:hint="eastAsia" w:ascii="Times New Roman" w:hAnsi="Times New Roman" w:eastAsia="宋体" w:cs="Times New Roman"/>
          <w:color w:val="auto"/>
          <w:sz w:val="24"/>
          <w:szCs w:val="24"/>
          <w:u w:val="none" w:color="auto"/>
          <w:lang w:val="en-US" w:eastAsia="zh-CN"/>
        </w:rPr>
        <w:t>600</w:t>
      </w:r>
      <w:r>
        <w:rPr>
          <w:rFonts w:hint="default" w:ascii="Times New Roman" w:hAnsi="Times New Roman" w:eastAsia="宋体" w:cs="Times New Roman"/>
          <w:color w:val="auto"/>
          <w:sz w:val="24"/>
          <w:szCs w:val="24"/>
          <w:u w:val="none" w:color="auto"/>
          <w:lang w:val="en-US" w:eastAsia="zh-CN"/>
        </w:rPr>
        <w:t>3kg/h、产生浓度为</w:t>
      </w:r>
      <w:r>
        <w:rPr>
          <w:rFonts w:hint="eastAsia" w:ascii="Times New Roman" w:hAnsi="Times New Roman" w:eastAsia="宋体" w:cs="Times New Roman"/>
          <w:color w:val="auto"/>
          <w:sz w:val="24"/>
          <w:szCs w:val="24"/>
          <w:u w:val="none" w:color="auto"/>
          <w:lang w:val="en-US" w:eastAsia="zh-CN"/>
        </w:rPr>
        <w:t>200</w:t>
      </w:r>
      <w:r>
        <w:rPr>
          <w:rFonts w:hint="default" w:ascii="Times New Roman" w:hAnsi="Times New Roman" w:eastAsia="宋体" w:cs="Times New Roman"/>
          <w:color w:val="auto"/>
          <w:sz w:val="24"/>
          <w:szCs w:val="24"/>
          <w:u w:val="none" w:color="auto"/>
          <w:lang w:val="en-US" w:eastAsia="zh-CN"/>
        </w:rPr>
        <w:t>mg/m</w:t>
      </w:r>
      <w:r>
        <w:rPr>
          <w:rFonts w:hint="default" w:ascii="Times New Roman" w:hAnsi="Times New Roman" w:eastAsia="宋体" w:cs="Times New Roman"/>
          <w:color w:val="auto"/>
          <w:sz w:val="24"/>
          <w:szCs w:val="24"/>
          <w:u w:val="none" w:color="auto"/>
          <w:vertAlign w:val="superscript"/>
          <w:lang w:val="en-US" w:eastAsia="zh-CN"/>
        </w:rPr>
        <w:t>3</w:t>
      </w:r>
      <w:r>
        <w:rPr>
          <w:rFonts w:hint="eastAsia" w:ascii="Times New Roman" w:hAnsi="Times New Roman" w:eastAsia="宋体" w:cs="Times New Roman"/>
          <w:color w:val="auto"/>
          <w:sz w:val="24"/>
          <w:szCs w:val="24"/>
          <w:u w:val="none" w:color="auto"/>
          <w:lang w:val="en-US" w:eastAsia="zh-CN"/>
        </w:rPr>
        <w:t>，</w:t>
      </w:r>
      <w:r>
        <w:rPr>
          <w:rFonts w:hint="default" w:ascii="Times New Roman" w:hAnsi="Times New Roman" w:eastAsia="宋体" w:cs="Times New Roman"/>
          <w:color w:val="auto"/>
          <w:sz w:val="24"/>
          <w:szCs w:val="24"/>
          <w:u w:val="none" w:color="auto"/>
        </w:rPr>
        <w:t>颗粒物有组织排放量为0.</w:t>
      </w:r>
      <w:r>
        <w:rPr>
          <w:rFonts w:hint="eastAsia" w:ascii="Times New Roman" w:hAnsi="Times New Roman" w:eastAsia="宋体" w:cs="Times New Roman"/>
          <w:color w:val="auto"/>
          <w:sz w:val="24"/>
          <w:szCs w:val="24"/>
          <w:u w:val="none" w:color="auto"/>
          <w:lang w:val="en-US" w:eastAsia="zh-CN"/>
        </w:rPr>
        <w:t>036</w:t>
      </w:r>
      <w:r>
        <w:rPr>
          <w:rFonts w:hint="default" w:ascii="Times New Roman" w:hAnsi="Times New Roman" w:eastAsia="宋体" w:cs="Times New Roman"/>
          <w:color w:val="auto"/>
          <w:sz w:val="24"/>
          <w:szCs w:val="24"/>
          <w:u w:val="none" w:color="auto"/>
        </w:rPr>
        <w:t>t/a，</w:t>
      </w:r>
      <w:r>
        <w:rPr>
          <w:rFonts w:hint="default" w:ascii="Times New Roman" w:hAnsi="Times New Roman" w:eastAsia="宋体" w:cs="Times New Roman"/>
          <w:color w:val="auto"/>
          <w:kern w:val="2"/>
          <w:sz w:val="24"/>
          <w:szCs w:val="24"/>
          <w:u w:val="none" w:color="auto"/>
        </w:rPr>
        <w:t>有组织排放速率为0.</w:t>
      </w:r>
      <w:r>
        <w:rPr>
          <w:rFonts w:hint="eastAsia" w:ascii="Times New Roman" w:hAnsi="Times New Roman" w:eastAsia="宋体" w:cs="Times New Roman"/>
          <w:color w:val="auto"/>
          <w:kern w:val="2"/>
          <w:sz w:val="24"/>
          <w:szCs w:val="24"/>
          <w:u w:val="none" w:color="auto"/>
          <w:lang w:val="en-US" w:eastAsia="zh-CN"/>
        </w:rPr>
        <w:t>06</w:t>
      </w:r>
      <w:r>
        <w:rPr>
          <w:rFonts w:hint="default" w:ascii="Times New Roman" w:hAnsi="Times New Roman" w:eastAsia="宋体" w:cs="Times New Roman"/>
          <w:color w:val="auto"/>
          <w:kern w:val="2"/>
          <w:sz w:val="24"/>
          <w:szCs w:val="24"/>
          <w:u w:val="none" w:color="auto"/>
        </w:rPr>
        <w:t>kg/h，有组织排放浓度为</w:t>
      </w:r>
      <w:r>
        <w:rPr>
          <w:rFonts w:hint="eastAsia" w:ascii="Times New Roman" w:hAnsi="Times New Roman" w:eastAsia="宋体" w:cs="Times New Roman"/>
          <w:color w:val="auto"/>
          <w:kern w:val="2"/>
          <w:sz w:val="24"/>
          <w:szCs w:val="24"/>
          <w:u w:val="none" w:color="auto"/>
          <w:lang w:val="en-US" w:eastAsia="zh-CN"/>
        </w:rPr>
        <w:t>20</w:t>
      </w:r>
      <w:r>
        <w:rPr>
          <w:rFonts w:hint="default" w:ascii="Times New Roman" w:hAnsi="Times New Roman" w:eastAsia="宋体" w:cs="Times New Roman"/>
          <w:color w:val="auto"/>
          <w:kern w:val="2"/>
          <w:sz w:val="24"/>
          <w:szCs w:val="24"/>
          <w:u w:val="none" w:color="auto"/>
        </w:rPr>
        <w:t>mg/m³</w:t>
      </w:r>
      <w:r>
        <w:rPr>
          <w:rFonts w:hint="eastAsia" w:ascii="Times New Roman" w:hAnsi="Times New Roman" w:eastAsia="宋体" w:cs="Times New Roman"/>
          <w:color w:val="auto"/>
          <w:kern w:val="2"/>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非甲烷总烃</w:t>
      </w:r>
      <w:r>
        <w:rPr>
          <w:rFonts w:hint="default" w:ascii="Times New Roman" w:hAnsi="Times New Roman" w:eastAsia="宋体" w:cs="Times New Roman"/>
          <w:color w:val="auto"/>
          <w:sz w:val="24"/>
          <w:szCs w:val="24"/>
          <w:u w:val="none" w:color="auto"/>
        </w:rPr>
        <w:t>有组织产生量为0.</w:t>
      </w:r>
      <w:r>
        <w:rPr>
          <w:rFonts w:hint="eastAsia" w:ascii="Times New Roman" w:hAnsi="Times New Roman" w:eastAsia="宋体" w:cs="Times New Roman"/>
          <w:color w:val="auto"/>
          <w:sz w:val="24"/>
          <w:szCs w:val="24"/>
          <w:u w:val="none" w:color="auto"/>
          <w:lang w:val="en-US" w:eastAsia="zh-CN"/>
        </w:rPr>
        <w:t>00002</w:t>
      </w:r>
      <w:r>
        <w:rPr>
          <w:rFonts w:hint="default" w:ascii="Times New Roman" w:hAnsi="Times New Roman" w:eastAsia="宋体" w:cs="Times New Roman"/>
          <w:color w:val="auto"/>
          <w:sz w:val="24"/>
          <w:szCs w:val="24"/>
          <w:u w:val="none" w:color="auto"/>
        </w:rPr>
        <w:t>t/a、产生速率为0.</w:t>
      </w:r>
      <w:r>
        <w:rPr>
          <w:rFonts w:hint="eastAsia" w:ascii="Times New Roman" w:hAnsi="Times New Roman" w:eastAsia="宋体" w:cs="Times New Roman"/>
          <w:color w:val="auto"/>
          <w:sz w:val="24"/>
          <w:szCs w:val="24"/>
          <w:u w:val="none" w:color="auto"/>
          <w:lang w:val="en-US" w:eastAsia="zh-CN"/>
        </w:rPr>
        <w:t>00</w:t>
      </w:r>
      <w:r>
        <w:rPr>
          <w:rFonts w:hint="default" w:ascii="Times New Roman" w:hAnsi="Times New Roman" w:eastAsia="宋体" w:cs="Times New Roman"/>
          <w:color w:val="auto"/>
          <w:sz w:val="24"/>
          <w:szCs w:val="24"/>
          <w:u w:val="none" w:color="auto"/>
        </w:rPr>
        <w:t>003kg/h、产生浓度为</w:t>
      </w:r>
      <w:r>
        <w:rPr>
          <w:rFonts w:hint="eastAsia" w:ascii="Times New Roman" w:hAnsi="Times New Roman" w:eastAsia="宋体" w:cs="Times New Roman"/>
          <w:color w:val="auto"/>
          <w:sz w:val="24"/>
          <w:szCs w:val="24"/>
          <w:u w:val="none" w:color="auto"/>
          <w:lang w:val="en-US" w:eastAsia="zh-CN"/>
        </w:rPr>
        <w:t>0.01</w:t>
      </w:r>
      <w:r>
        <w:rPr>
          <w:rFonts w:hint="default" w:ascii="Times New Roman" w:hAnsi="Times New Roman" w:eastAsia="宋体" w:cs="Times New Roman"/>
          <w:color w:val="auto"/>
          <w:sz w:val="24"/>
          <w:szCs w:val="24"/>
          <w:u w:val="none" w:color="auto"/>
        </w:rPr>
        <w:t>mg/m</w:t>
      </w:r>
      <w:r>
        <w:rPr>
          <w:rFonts w:hint="default" w:ascii="Times New Roman" w:hAnsi="Times New Roman" w:eastAsia="宋体" w:cs="Times New Roman"/>
          <w:color w:val="auto"/>
          <w:sz w:val="24"/>
          <w:szCs w:val="24"/>
          <w:u w:val="none" w:color="auto"/>
          <w:vertAlign w:val="superscript"/>
        </w:rPr>
        <w:t>3</w:t>
      </w:r>
      <w:r>
        <w:rPr>
          <w:rFonts w:hint="default"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非甲烷总烃</w:t>
      </w:r>
      <w:r>
        <w:rPr>
          <w:rFonts w:hint="default" w:ascii="Times New Roman" w:hAnsi="Times New Roman" w:eastAsia="宋体" w:cs="Times New Roman"/>
          <w:color w:val="auto"/>
          <w:sz w:val="24"/>
          <w:szCs w:val="24"/>
          <w:u w:val="none" w:color="auto"/>
        </w:rPr>
        <w:t>有组织排放量为0.0</w:t>
      </w:r>
      <w:r>
        <w:rPr>
          <w:rFonts w:hint="eastAsia" w:ascii="Times New Roman" w:hAnsi="Times New Roman" w:eastAsia="宋体" w:cs="Times New Roman"/>
          <w:color w:val="auto"/>
          <w:sz w:val="24"/>
          <w:szCs w:val="24"/>
          <w:u w:val="none" w:color="auto"/>
          <w:lang w:val="en-US" w:eastAsia="zh-CN"/>
        </w:rPr>
        <w:t>0002</w:t>
      </w:r>
      <w:r>
        <w:rPr>
          <w:rFonts w:hint="default" w:ascii="Times New Roman" w:hAnsi="Times New Roman" w:eastAsia="宋体" w:cs="Times New Roman"/>
          <w:color w:val="auto"/>
          <w:sz w:val="24"/>
          <w:szCs w:val="24"/>
          <w:u w:val="none" w:color="auto"/>
        </w:rPr>
        <w:t>t/a，</w:t>
      </w:r>
      <w:r>
        <w:rPr>
          <w:rFonts w:hint="default" w:ascii="Times New Roman" w:hAnsi="Times New Roman" w:eastAsia="宋体" w:cs="Times New Roman"/>
          <w:color w:val="auto"/>
          <w:kern w:val="2"/>
          <w:sz w:val="24"/>
          <w:szCs w:val="24"/>
          <w:u w:val="none" w:color="auto"/>
        </w:rPr>
        <w:t>有组织排放速率为0.</w:t>
      </w:r>
      <w:r>
        <w:rPr>
          <w:rFonts w:hint="eastAsia" w:ascii="Times New Roman" w:hAnsi="Times New Roman" w:eastAsia="宋体" w:cs="Times New Roman"/>
          <w:color w:val="auto"/>
          <w:kern w:val="2"/>
          <w:sz w:val="24"/>
          <w:szCs w:val="24"/>
          <w:u w:val="none" w:color="auto"/>
          <w:lang w:val="en-US" w:eastAsia="zh-CN"/>
        </w:rPr>
        <w:t>00003</w:t>
      </w:r>
      <w:r>
        <w:rPr>
          <w:rFonts w:hint="default" w:ascii="Times New Roman" w:hAnsi="Times New Roman" w:eastAsia="宋体" w:cs="Times New Roman"/>
          <w:color w:val="auto"/>
          <w:kern w:val="2"/>
          <w:sz w:val="24"/>
          <w:szCs w:val="24"/>
          <w:u w:val="none" w:color="auto"/>
        </w:rPr>
        <w:t>kg/h，有组织排放浓度为</w:t>
      </w:r>
      <w:r>
        <w:rPr>
          <w:rFonts w:hint="eastAsia" w:ascii="Times New Roman" w:hAnsi="Times New Roman" w:eastAsia="宋体" w:cs="Times New Roman"/>
          <w:color w:val="auto"/>
          <w:kern w:val="2"/>
          <w:sz w:val="24"/>
          <w:szCs w:val="24"/>
          <w:u w:val="none" w:color="auto"/>
          <w:lang w:val="en-US" w:eastAsia="zh-CN"/>
        </w:rPr>
        <w:t>0.01</w:t>
      </w:r>
      <w:r>
        <w:rPr>
          <w:rFonts w:hint="default" w:ascii="Times New Roman" w:hAnsi="Times New Roman" w:eastAsia="宋体" w:cs="Times New Roman"/>
          <w:color w:val="auto"/>
          <w:kern w:val="2"/>
          <w:sz w:val="24"/>
          <w:szCs w:val="24"/>
          <w:u w:val="none" w:color="auto"/>
        </w:rPr>
        <w:t>mg/m³</w:t>
      </w:r>
      <w:r>
        <w:rPr>
          <w:rFonts w:hint="eastAsia" w:ascii="Times New Roman" w:hAnsi="Times New Roman" w:eastAsia="宋体" w:cs="Times New Roman"/>
          <w:color w:val="auto"/>
          <w:kern w:val="2"/>
          <w:sz w:val="24"/>
          <w:szCs w:val="24"/>
          <w:u w:val="none" w:color="auto"/>
          <w:lang w:eastAsia="zh-CN"/>
        </w:rPr>
        <w:t>。</w:t>
      </w:r>
      <w:r>
        <w:rPr>
          <w:rFonts w:hint="eastAsia" w:ascii="Times New Roman" w:hAnsi="Times New Roman" w:eastAsia="宋体" w:cs="Times New Roman"/>
          <w:color w:val="auto"/>
          <w:kern w:val="2"/>
          <w:sz w:val="24"/>
          <w:szCs w:val="24"/>
          <w:u w:val="none" w:color="auto"/>
          <w:lang w:val="en-US" w:eastAsia="zh-CN"/>
        </w:rPr>
        <w:t>DA003排放口</w:t>
      </w:r>
      <w:r>
        <w:rPr>
          <w:rFonts w:hint="eastAsia" w:ascii="Times New Roman" w:hAnsi="Times New Roman" w:eastAsia="宋体" w:cs="Times New Roman"/>
          <w:color w:val="auto"/>
          <w:kern w:val="2"/>
          <w:sz w:val="24"/>
          <w:szCs w:val="24"/>
          <w:u w:val="none" w:color="auto"/>
          <w:lang w:eastAsia="zh-CN"/>
        </w:rPr>
        <w:t>颗粒物有组织排放</w:t>
      </w:r>
      <w:r>
        <w:rPr>
          <w:rFonts w:hint="eastAsia" w:ascii="Times New Roman" w:hAnsi="Times New Roman" w:eastAsia="宋体" w:cs="Times New Roman"/>
          <w:color w:val="auto"/>
          <w:kern w:val="2"/>
          <w:sz w:val="24"/>
          <w:szCs w:val="24"/>
          <w:u w:val="none" w:color="auto"/>
          <w:lang w:val="en-US" w:eastAsia="zh-CN"/>
        </w:rPr>
        <w:t>可以满足</w:t>
      </w:r>
      <w:r>
        <w:rPr>
          <w:rFonts w:hint="eastAsia" w:ascii="Times New Roman" w:hAnsi="Times New Roman" w:eastAsia="宋体" w:cs="Times New Roman"/>
          <w:color w:val="auto"/>
          <w:kern w:val="2"/>
          <w:sz w:val="24"/>
          <w:szCs w:val="24"/>
          <w:u w:val="none" w:color="auto"/>
          <w:lang w:eastAsia="zh-CN"/>
        </w:rPr>
        <w:t>《铸造工业大气污染物排放标准》（GB39726-2020）表1标准限值</w:t>
      </w:r>
      <w:r>
        <w:rPr>
          <w:rFonts w:hint="eastAsia" w:ascii="Times New Roman" w:hAnsi="Times New Roman" w:eastAsia="宋体" w:cs="Times New Roman"/>
          <w:color w:val="auto"/>
          <w:kern w:val="2"/>
          <w:sz w:val="24"/>
          <w:szCs w:val="24"/>
          <w:u w:val="none" w:color="auto"/>
          <w:lang w:val="en-US" w:eastAsia="zh-CN"/>
        </w:rPr>
        <w:t>要求。本项目厂房封闭，在采取定期洒水抑尘措施后，厂区内颗粒物无组织排放可以满足《铸造工业大气污染物排放标准》（GB39726-2020）附录A标准限值要求。</w:t>
      </w:r>
    </w:p>
    <w:p w14:paraId="45BCC351">
      <w:pPr>
        <w:spacing w:line="460" w:lineRule="exact"/>
        <w:ind w:firstLine="496" w:firstLineChars="200"/>
        <w:jc w:val="both"/>
        <w:rPr>
          <w:rFonts w:hint="default" w:ascii="Times New Roman" w:hAnsi="Times New Roman" w:eastAsia="宋体" w:cs="Times New Roman"/>
          <w:color w:val="auto"/>
          <w:spacing w:val="4"/>
          <w:kern w:val="2"/>
          <w:sz w:val="24"/>
          <w:szCs w:val="24"/>
        </w:rPr>
      </w:pPr>
      <w:r>
        <w:rPr>
          <w:rFonts w:hint="eastAsia" w:ascii="Times New Roman" w:hAnsi="Times New Roman" w:eastAsia="宋体" w:cs="Times New Roman"/>
          <w:color w:val="auto"/>
          <w:spacing w:val="4"/>
          <w:kern w:val="2"/>
          <w:sz w:val="24"/>
          <w:szCs w:val="24"/>
        </w:rPr>
        <w:t>综上，项目烟气产排情况见</w:t>
      </w:r>
      <w:r>
        <w:rPr>
          <w:rFonts w:hint="eastAsia" w:ascii="Times New Roman" w:hAnsi="Times New Roman" w:eastAsia="宋体" w:cs="Times New Roman"/>
          <w:color w:val="auto"/>
          <w:spacing w:val="4"/>
          <w:kern w:val="2"/>
          <w:sz w:val="24"/>
          <w:szCs w:val="24"/>
          <w:lang w:val="en-US" w:eastAsia="zh-CN"/>
        </w:rPr>
        <w:t>下</w:t>
      </w:r>
      <w:r>
        <w:rPr>
          <w:rFonts w:hint="eastAsia" w:ascii="Times New Roman" w:hAnsi="Times New Roman" w:eastAsia="宋体" w:cs="Times New Roman"/>
          <w:color w:val="auto"/>
          <w:spacing w:val="4"/>
          <w:kern w:val="2"/>
          <w:sz w:val="24"/>
          <w:szCs w:val="24"/>
        </w:rPr>
        <w:t>表。</w:t>
      </w:r>
    </w:p>
    <w:p w14:paraId="6CB878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kern w:val="2"/>
          <w:sz w:val="21"/>
          <w:szCs w:val="21"/>
          <w:highlight w:val="none"/>
          <w:u w:val="none" w:color="auto"/>
        </w:rPr>
      </w:pPr>
      <w:r>
        <w:rPr>
          <w:rFonts w:hint="default" w:ascii="Times New Roman" w:hAnsi="Times New Roman" w:eastAsia="宋体" w:cs="Times New Roman"/>
          <w:b/>
          <w:color w:val="auto"/>
          <w:kern w:val="2"/>
          <w:sz w:val="21"/>
          <w:szCs w:val="21"/>
          <w:highlight w:val="none"/>
          <w:u w:val="none" w:color="auto"/>
        </w:rPr>
        <w:t>表</w:t>
      </w:r>
      <w:r>
        <w:rPr>
          <w:rFonts w:hint="eastAsia" w:ascii="Times New Roman" w:hAnsi="Times New Roman" w:eastAsia="宋体" w:cs="Times New Roman"/>
          <w:b/>
          <w:color w:val="auto"/>
          <w:kern w:val="2"/>
          <w:sz w:val="21"/>
          <w:szCs w:val="21"/>
          <w:highlight w:val="none"/>
          <w:u w:val="none" w:color="auto"/>
          <w:lang w:val="en-US" w:eastAsia="zh-CN"/>
        </w:rPr>
        <w:t>7</w:t>
      </w:r>
      <w:r>
        <w:rPr>
          <w:rFonts w:hint="default" w:ascii="Times New Roman" w:hAnsi="Times New Roman" w:eastAsia="宋体" w:cs="Times New Roman"/>
          <w:b/>
          <w:color w:val="auto"/>
          <w:kern w:val="2"/>
          <w:sz w:val="21"/>
          <w:szCs w:val="21"/>
          <w:highlight w:val="none"/>
          <w:u w:val="none" w:color="auto"/>
        </w:rPr>
        <w:t xml:space="preserve"> 项目废气污染物年排放量核算表</w:t>
      </w:r>
    </w:p>
    <w:tbl>
      <w:tblPr>
        <w:tblStyle w:val="57"/>
        <w:tblW w:w="4949" w:type="pct"/>
        <w:tblInd w:w="5"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201"/>
        <w:gridCol w:w="859"/>
        <w:gridCol w:w="774"/>
        <w:gridCol w:w="632"/>
        <w:gridCol w:w="855"/>
        <w:gridCol w:w="794"/>
        <w:gridCol w:w="796"/>
        <w:gridCol w:w="1031"/>
        <w:gridCol w:w="918"/>
        <w:gridCol w:w="875"/>
      </w:tblGrid>
      <w:tr w14:paraId="4563766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87" w:type="pct"/>
            <w:tcBorders>
              <w:tl2br w:val="nil"/>
              <w:tr2bl w:val="nil"/>
            </w:tcBorders>
            <w:noWrap w:val="0"/>
            <w:vAlign w:val="center"/>
          </w:tcPr>
          <w:p w14:paraId="5D5584EF">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bCs/>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bCs/>
                <w:i w:val="0"/>
                <w:iCs w:val="0"/>
                <w:color w:val="auto"/>
                <w:kern w:val="0"/>
                <w:sz w:val="21"/>
                <w:szCs w:val="21"/>
                <w:u w:val="none" w:color="auto"/>
                <w:lang w:val="en-US" w:eastAsia="zh-CN" w:bidi="ar"/>
              </w:rPr>
              <w:t>排气筒编号</w:t>
            </w:r>
          </w:p>
        </w:tc>
        <w:tc>
          <w:tcPr>
            <w:tcW w:w="491" w:type="pct"/>
            <w:tcBorders>
              <w:tl2br w:val="nil"/>
              <w:tr2bl w:val="nil"/>
            </w:tcBorders>
            <w:noWrap w:val="0"/>
            <w:vAlign w:val="center"/>
          </w:tcPr>
          <w:p w14:paraId="6F7B152A">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bCs/>
                <w:color w:val="auto"/>
                <w:spacing w:val="0"/>
                <w:kern w:val="2"/>
                <w:position w:val="0"/>
                <w:sz w:val="21"/>
                <w:szCs w:val="21"/>
                <w:u w:val="none" w:color="auto"/>
                <w:vertAlign w:val="baseline"/>
                <w:lang w:val="en-US" w:eastAsia="zh-CN" w:bidi="ar-SA"/>
              </w:rPr>
            </w:pPr>
            <w:r>
              <w:rPr>
                <w:rFonts w:hint="default" w:ascii="Times New Roman" w:hAnsi="Times New Roman" w:eastAsia="宋体" w:cs="Times New Roman"/>
                <w:b/>
                <w:bCs/>
                <w:i w:val="0"/>
                <w:iCs w:val="0"/>
                <w:color w:val="auto"/>
                <w:kern w:val="0"/>
                <w:sz w:val="21"/>
                <w:szCs w:val="21"/>
                <w:u w:val="none" w:color="auto"/>
                <w:lang w:val="en-US" w:eastAsia="zh-CN" w:bidi="ar"/>
              </w:rPr>
              <w:t>污染物种类</w:t>
            </w:r>
          </w:p>
        </w:tc>
        <w:tc>
          <w:tcPr>
            <w:tcW w:w="443" w:type="pct"/>
            <w:tcBorders>
              <w:tl2br w:val="nil"/>
              <w:tr2bl w:val="nil"/>
            </w:tcBorders>
            <w:noWrap w:val="0"/>
            <w:vAlign w:val="center"/>
          </w:tcPr>
          <w:p w14:paraId="48287F7D">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有组织产生量（t/a）</w:t>
            </w:r>
          </w:p>
        </w:tc>
        <w:tc>
          <w:tcPr>
            <w:tcW w:w="361" w:type="pct"/>
            <w:tcBorders>
              <w:tl2br w:val="nil"/>
              <w:tr2bl w:val="nil"/>
            </w:tcBorders>
            <w:noWrap w:val="0"/>
            <w:vAlign w:val="center"/>
          </w:tcPr>
          <w:p w14:paraId="34957871">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去除效率</w:t>
            </w:r>
          </w:p>
        </w:tc>
        <w:tc>
          <w:tcPr>
            <w:tcW w:w="489" w:type="pct"/>
            <w:tcBorders>
              <w:tl2br w:val="nil"/>
              <w:tr2bl w:val="nil"/>
            </w:tcBorders>
            <w:noWrap w:val="0"/>
            <w:vAlign w:val="center"/>
          </w:tcPr>
          <w:p w14:paraId="7F3DA625">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风量</w:t>
            </w:r>
            <w:r>
              <w:rPr>
                <w:rFonts w:hint="eastAsia" w:ascii="Times New Roman" w:hAnsi="Times New Roman" w:eastAsia="宋体" w:cs="Times New Roman"/>
                <w:b/>
                <w:bCs/>
                <w:i w:val="0"/>
                <w:iCs w:val="0"/>
                <w:color w:val="auto"/>
                <w:kern w:val="0"/>
                <w:sz w:val="21"/>
                <w:szCs w:val="21"/>
                <w:u w:val="none" w:color="auto"/>
                <w:lang w:val="en-US" w:eastAsia="zh-CN" w:bidi="ar"/>
              </w:rPr>
              <w:t>（</w:t>
            </w:r>
            <w:r>
              <w:rPr>
                <w:rFonts w:hint="default" w:ascii="Times New Roman" w:hAnsi="Times New Roman" w:eastAsia="宋体" w:cs="Times New Roman"/>
                <w:b/>
                <w:bCs/>
                <w:i w:val="0"/>
                <w:iCs w:val="0"/>
                <w:color w:val="auto"/>
                <w:kern w:val="0"/>
                <w:sz w:val="21"/>
                <w:szCs w:val="21"/>
                <w:u w:val="none" w:color="auto"/>
                <w:lang w:val="en-US" w:eastAsia="zh-CN" w:bidi="ar"/>
              </w:rPr>
              <w:t>m³/h</w:t>
            </w:r>
            <w:r>
              <w:rPr>
                <w:rFonts w:hint="eastAsia" w:ascii="Times New Roman" w:hAnsi="Times New Roman" w:eastAsia="宋体" w:cs="Times New Roman"/>
                <w:b/>
                <w:bCs/>
                <w:i w:val="0"/>
                <w:iCs w:val="0"/>
                <w:color w:val="auto"/>
                <w:kern w:val="0"/>
                <w:sz w:val="21"/>
                <w:szCs w:val="21"/>
                <w:u w:val="none" w:color="auto"/>
                <w:lang w:val="en-US" w:eastAsia="zh-CN" w:bidi="ar"/>
              </w:rPr>
              <w:t>）</w:t>
            </w:r>
          </w:p>
        </w:tc>
        <w:tc>
          <w:tcPr>
            <w:tcW w:w="454" w:type="pct"/>
            <w:tcBorders>
              <w:tl2br w:val="nil"/>
              <w:tr2bl w:val="nil"/>
            </w:tcBorders>
            <w:noWrap w:val="0"/>
            <w:vAlign w:val="center"/>
          </w:tcPr>
          <w:p w14:paraId="04321096">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有组织排放浓度（mg/m³）</w:t>
            </w:r>
          </w:p>
        </w:tc>
        <w:tc>
          <w:tcPr>
            <w:tcW w:w="455" w:type="pct"/>
            <w:tcBorders>
              <w:tl2br w:val="nil"/>
              <w:tr2bl w:val="nil"/>
            </w:tcBorders>
            <w:noWrap w:val="0"/>
            <w:vAlign w:val="center"/>
          </w:tcPr>
          <w:p w14:paraId="3959909E">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有组织排放速率（kg/h）</w:t>
            </w:r>
          </w:p>
        </w:tc>
        <w:tc>
          <w:tcPr>
            <w:tcW w:w="590" w:type="pct"/>
            <w:tcBorders>
              <w:tl2br w:val="nil"/>
              <w:tr2bl w:val="nil"/>
            </w:tcBorders>
            <w:noWrap w:val="0"/>
            <w:vAlign w:val="center"/>
          </w:tcPr>
          <w:p w14:paraId="39C169C1">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有组织排放量（t/a）</w:t>
            </w:r>
          </w:p>
        </w:tc>
        <w:tc>
          <w:tcPr>
            <w:tcW w:w="525" w:type="pct"/>
            <w:tcBorders>
              <w:tl2br w:val="nil"/>
              <w:tr2bl w:val="nil"/>
            </w:tcBorders>
            <w:noWrap w:val="0"/>
            <w:vAlign w:val="center"/>
          </w:tcPr>
          <w:p w14:paraId="1630D16C">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无组织排放量（t/a）</w:t>
            </w:r>
          </w:p>
        </w:tc>
        <w:tc>
          <w:tcPr>
            <w:tcW w:w="500" w:type="pct"/>
            <w:tcBorders>
              <w:tl2br w:val="nil"/>
              <w:tr2bl w:val="nil"/>
            </w:tcBorders>
            <w:noWrap w:val="0"/>
            <w:vAlign w:val="center"/>
          </w:tcPr>
          <w:p w14:paraId="4A925EE0">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年排放时间（h）</w:t>
            </w:r>
          </w:p>
        </w:tc>
      </w:tr>
      <w:tr w14:paraId="038F465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87" w:type="pct"/>
            <w:tcBorders>
              <w:tl2br w:val="nil"/>
              <w:tr2bl w:val="nil"/>
            </w:tcBorders>
            <w:noWrap w:val="0"/>
            <w:vAlign w:val="center"/>
          </w:tcPr>
          <w:p w14:paraId="417884D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熔炼+造型</w:t>
            </w:r>
            <w:r>
              <w:rPr>
                <w:rFonts w:hint="eastAsia" w:ascii="Times New Roman" w:hAnsi="Times New Roman" w:eastAsia="宋体" w:cs="Times New Roman"/>
                <w:i w:val="0"/>
                <w:iCs w:val="0"/>
                <w:color w:val="auto"/>
                <w:kern w:val="0"/>
                <w:sz w:val="21"/>
                <w:szCs w:val="21"/>
                <w:u w:val="none" w:color="auto"/>
                <w:lang w:val="en-US" w:eastAsia="zh-CN" w:bidi="ar"/>
              </w:rPr>
              <w:t>+</w:t>
            </w:r>
            <w:r>
              <w:rPr>
                <w:rFonts w:hint="default" w:ascii="Times New Roman" w:hAnsi="Times New Roman" w:eastAsia="宋体" w:cs="Times New Roman"/>
                <w:i w:val="0"/>
                <w:iCs w:val="0"/>
                <w:color w:val="auto"/>
                <w:kern w:val="0"/>
                <w:sz w:val="21"/>
                <w:szCs w:val="21"/>
                <w:u w:val="none" w:color="auto"/>
                <w:lang w:val="en-US" w:eastAsia="zh-CN" w:bidi="ar"/>
              </w:rPr>
              <w:t>砂处理</w:t>
            </w:r>
            <w:r>
              <w:rPr>
                <w:rFonts w:hint="eastAsia" w:ascii="Times New Roman" w:hAnsi="Times New Roman" w:eastAsia="宋体" w:cs="Times New Roman"/>
                <w:i w:val="0"/>
                <w:iCs w:val="0"/>
                <w:color w:val="auto"/>
                <w:kern w:val="0"/>
                <w:sz w:val="21"/>
                <w:szCs w:val="21"/>
                <w:u w:val="none" w:color="auto"/>
                <w:lang w:val="en-US" w:eastAsia="zh-CN" w:bidi="ar"/>
              </w:rPr>
              <w:t>+打磨清理</w:t>
            </w:r>
            <w:r>
              <w:rPr>
                <w:rFonts w:hint="default" w:ascii="Times New Roman" w:hAnsi="Times New Roman" w:eastAsia="宋体" w:cs="Times New Roman"/>
                <w:i w:val="0"/>
                <w:iCs w:val="0"/>
                <w:color w:val="auto"/>
                <w:kern w:val="0"/>
                <w:sz w:val="21"/>
                <w:szCs w:val="21"/>
                <w:u w:val="none" w:color="auto"/>
                <w:lang w:val="en-US" w:eastAsia="zh-CN" w:bidi="ar"/>
              </w:rPr>
              <w:t>废气</w:t>
            </w:r>
            <w:r>
              <w:rPr>
                <w:rFonts w:hint="default" w:ascii="Times New Roman" w:hAnsi="Times New Roman" w:eastAsia="宋体" w:cs="Times New Roman"/>
                <w:color w:val="auto"/>
                <w:kern w:val="2"/>
                <w:sz w:val="21"/>
                <w:szCs w:val="21"/>
                <w:u w:val="none" w:color="auto"/>
                <w:lang w:val="en-US" w:eastAsia="zh-CN"/>
              </w:rPr>
              <w:t>（DA001）</w:t>
            </w:r>
          </w:p>
        </w:tc>
        <w:tc>
          <w:tcPr>
            <w:tcW w:w="491" w:type="pct"/>
            <w:tcBorders>
              <w:tl2br w:val="nil"/>
              <w:tr2bl w:val="nil"/>
            </w:tcBorders>
            <w:noWrap w:val="0"/>
            <w:vAlign w:val="center"/>
          </w:tcPr>
          <w:p w14:paraId="1B2B4976">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颗粒物</w:t>
            </w:r>
          </w:p>
        </w:tc>
        <w:tc>
          <w:tcPr>
            <w:tcW w:w="443" w:type="pct"/>
            <w:tcBorders>
              <w:tl2br w:val="nil"/>
              <w:tr2bl w:val="nil"/>
            </w:tcBorders>
            <w:shd w:val="clear" w:color="auto" w:fill="auto"/>
            <w:noWrap w:val="0"/>
            <w:vAlign w:val="center"/>
          </w:tcPr>
          <w:p w14:paraId="75EBC85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31.050 </w:t>
            </w:r>
          </w:p>
        </w:tc>
        <w:tc>
          <w:tcPr>
            <w:tcW w:w="361" w:type="pct"/>
            <w:tcBorders>
              <w:tl2br w:val="nil"/>
              <w:tr2bl w:val="nil"/>
            </w:tcBorders>
            <w:noWrap w:val="0"/>
            <w:vAlign w:val="center"/>
          </w:tcPr>
          <w:p w14:paraId="2B1D264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85</w:t>
            </w: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9" w:type="pct"/>
            <w:tcBorders>
              <w:tl2br w:val="nil"/>
              <w:tr2bl w:val="nil"/>
            </w:tcBorders>
            <w:noWrap w:val="0"/>
            <w:vAlign w:val="center"/>
          </w:tcPr>
          <w:p w14:paraId="7B760FC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51847</w:t>
            </w:r>
          </w:p>
        </w:tc>
        <w:tc>
          <w:tcPr>
            <w:tcW w:w="454" w:type="pct"/>
            <w:tcBorders>
              <w:tl2br w:val="nil"/>
              <w:tr2bl w:val="nil"/>
            </w:tcBorders>
            <w:noWrap w:val="0"/>
            <w:vAlign w:val="center"/>
          </w:tcPr>
          <w:p w14:paraId="71017BA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24.95 </w:t>
            </w:r>
          </w:p>
        </w:tc>
        <w:tc>
          <w:tcPr>
            <w:tcW w:w="455" w:type="pct"/>
            <w:tcBorders>
              <w:tl2br w:val="nil"/>
              <w:tr2bl w:val="nil"/>
            </w:tcBorders>
            <w:noWrap w:val="0"/>
            <w:vAlign w:val="center"/>
          </w:tcPr>
          <w:p w14:paraId="486F106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1.294 </w:t>
            </w:r>
          </w:p>
        </w:tc>
        <w:tc>
          <w:tcPr>
            <w:tcW w:w="590" w:type="pct"/>
            <w:tcBorders>
              <w:tl2br w:val="nil"/>
              <w:tr2bl w:val="nil"/>
            </w:tcBorders>
            <w:noWrap w:val="0"/>
            <w:vAlign w:val="center"/>
          </w:tcPr>
          <w:p w14:paraId="520D422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4.658 </w:t>
            </w:r>
          </w:p>
        </w:tc>
        <w:tc>
          <w:tcPr>
            <w:tcW w:w="525" w:type="pct"/>
            <w:tcBorders>
              <w:tl2br w:val="nil"/>
              <w:tr2bl w:val="nil"/>
            </w:tcBorders>
            <w:noWrap w:val="0"/>
            <w:vAlign w:val="center"/>
          </w:tcPr>
          <w:p w14:paraId="475509F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w:t>
            </w:r>
            <w:r>
              <w:rPr>
                <w:rFonts w:hint="eastAsia" w:ascii="Times New Roman" w:hAnsi="Times New Roman" w:eastAsia="宋体" w:cs="Times New Roman"/>
                <w:i w:val="0"/>
                <w:iCs w:val="0"/>
                <w:color w:val="auto"/>
                <w:kern w:val="0"/>
                <w:sz w:val="21"/>
                <w:szCs w:val="21"/>
                <w:u w:val="none" w:color="auto"/>
                <w:lang w:val="en-US" w:eastAsia="zh-CN" w:bidi="ar"/>
              </w:rPr>
              <w:t>930</w:t>
            </w:r>
          </w:p>
        </w:tc>
        <w:tc>
          <w:tcPr>
            <w:tcW w:w="500" w:type="pct"/>
            <w:tcBorders>
              <w:tl2br w:val="nil"/>
              <w:tr2bl w:val="nil"/>
            </w:tcBorders>
            <w:noWrap w:val="0"/>
            <w:vAlign w:val="center"/>
          </w:tcPr>
          <w:p w14:paraId="10A1DC3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3600</w:t>
            </w:r>
          </w:p>
        </w:tc>
      </w:tr>
      <w:tr w14:paraId="1BB79DF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87" w:type="pct"/>
            <w:tcBorders>
              <w:tl2br w:val="nil"/>
              <w:tr2bl w:val="nil"/>
            </w:tcBorders>
            <w:noWrap w:val="0"/>
            <w:vAlign w:val="center"/>
          </w:tcPr>
          <w:p w14:paraId="59F64BB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浇注废气</w:t>
            </w:r>
            <w:r>
              <w:rPr>
                <w:rFonts w:hint="eastAsia" w:ascii="Times New Roman" w:hAnsi="Times New Roman" w:eastAsia="宋体" w:cs="Times New Roman"/>
                <w:i w:val="0"/>
                <w:iCs w:val="0"/>
                <w:color w:val="auto"/>
                <w:kern w:val="0"/>
                <w:sz w:val="21"/>
                <w:szCs w:val="21"/>
                <w:u w:val="none" w:color="auto"/>
                <w:lang w:val="en-US" w:eastAsia="zh-CN" w:bidi="ar"/>
              </w:rPr>
              <w:t>+落砂+球冒分离</w:t>
            </w:r>
            <w:r>
              <w:rPr>
                <w:rFonts w:hint="default" w:ascii="Times New Roman" w:hAnsi="Times New Roman" w:eastAsia="宋体" w:cs="Times New Roman"/>
                <w:i w:val="0"/>
                <w:iCs w:val="0"/>
                <w:color w:val="auto"/>
                <w:kern w:val="0"/>
                <w:sz w:val="21"/>
                <w:szCs w:val="21"/>
                <w:u w:val="none" w:color="auto"/>
                <w:lang w:val="en-US" w:eastAsia="zh-CN" w:bidi="ar"/>
              </w:rPr>
              <w:t>（DA002）</w:t>
            </w:r>
          </w:p>
        </w:tc>
        <w:tc>
          <w:tcPr>
            <w:tcW w:w="491" w:type="pct"/>
            <w:tcBorders>
              <w:tl2br w:val="nil"/>
              <w:tr2bl w:val="nil"/>
            </w:tcBorders>
            <w:noWrap w:val="0"/>
            <w:vAlign w:val="center"/>
          </w:tcPr>
          <w:p w14:paraId="5093F052">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颗粒物</w:t>
            </w:r>
          </w:p>
        </w:tc>
        <w:tc>
          <w:tcPr>
            <w:tcW w:w="443" w:type="pct"/>
            <w:tcBorders>
              <w:tl2br w:val="nil"/>
              <w:tr2bl w:val="nil"/>
            </w:tcBorders>
            <w:shd w:val="clear" w:color="auto" w:fill="auto"/>
            <w:noWrap w:val="0"/>
            <w:vAlign w:val="center"/>
          </w:tcPr>
          <w:p w14:paraId="7C868C0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4.172</w:t>
            </w:r>
            <w:r>
              <w:rPr>
                <w:rFonts w:hint="default" w:ascii="Times New Roman" w:hAnsi="Times New Roman" w:eastAsia="宋体" w:cs="Times New Roman"/>
                <w:i w:val="0"/>
                <w:iCs w:val="0"/>
                <w:color w:val="auto"/>
                <w:kern w:val="0"/>
                <w:sz w:val="21"/>
                <w:szCs w:val="21"/>
                <w:u w:val="none" w:color="auto"/>
                <w:lang w:val="en-US" w:eastAsia="zh-CN" w:bidi="ar"/>
              </w:rPr>
              <w:t xml:space="preserve"> </w:t>
            </w:r>
          </w:p>
        </w:tc>
        <w:tc>
          <w:tcPr>
            <w:tcW w:w="361" w:type="pct"/>
            <w:tcBorders>
              <w:tl2br w:val="nil"/>
              <w:tr2bl w:val="nil"/>
            </w:tcBorders>
            <w:noWrap w:val="0"/>
            <w:vAlign w:val="center"/>
          </w:tcPr>
          <w:p w14:paraId="538D794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50%—85%</w:t>
            </w:r>
          </w:p>
        </w:tc>
        <w:tc>
          <w:tcPr>
            <w:tcW w:w="489" w:type="pct"/>
            <w:tcBorders>
              <w:tl2br w:val="nil"/>
              <w:tr2bl w:val="nil"/>
            </w:tcBorders>
            <w:noWrap w:val="0"/>
            <w:vAlign w:val="center"/>
          </w:tcPr>
          <w:p w14:paraId="1CCB7BA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20000</w:t>
            </w:r>
          </w:p>
        </w:tc>
        <w:tc>
          <w:tcPr>
            <w:tcW w:w="454" w:type="pct"/>
            <w:tcBorders>
              <w:tl2br w:val="nil"/>
              <w:tr2bl w:val="nil"/>
            </w:tcBorders>
            <w:noWrap w:val="0"/>
            <w:vAlign w:val="center"/>
          </w:tcPr>
          <w:p w14:paraId="203358D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11.58-28.97</w:t>
            </w:r>
            <w:r>
              <w:rPr>
                <w:rFonts w:hint="default" w:ascii="Times New Roman" w:hAnsi="Times New Roman" w:eastAsia="宋体" w:cs="Times New Roman"/>
                <w:i w:val="0"/>
                <w:iCs w:val="0"/>
                <w:color w:val="auto"/>
                <w:kern w:val="0"/>
                <w:sz w:val="21"/>
                <w:szCs w:val="21"/>
                <w:u w:val="none" w:color="auto"/>
                <w:lang w:val="en-US" w:eastAsia="zh-CN" w:bidi="ar"/>
              </w:rPr>
              <w:t xml:space="preserve"> </w:t>
            </w:r>
          </w:p>
        </w:tc>
        <w:tc>
          <w:tcPr>
            <w:tcW w:w="455" w:type="pct"/>
            <w:tcBorders>
              <w:tl2br w:val="nil"/>
              <w:tr2bl w:val="nil"/>
            </w:tcBorders>
            <w:noWrap w:val="0"/>
            <w:vAlign w:val="center"/>
          </w:tcPr>
          <w:p w14:paraId="406A70F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0.232</w:t>
            </w:r>
            <w:r>
              <w:rPr>
                <w:rFonts w:hint="eastAsia" w:ascii="Times New Roman" w:hAnsi="Times New Roman" w:eastAsia="宋体" w:cs="Times New Roman"/>
                <w:i w:val="0"/>
                <w:iCs w:val="0"/>
                <w:color w:val="auto"/>
                <w:kern w:val="0"/>
                <w:sz w:val="21"/>
                <w:szCs w:val="21"/>
                <w:u w:val="none" w:color="auto"/>
                <w:lang w:val="en-US" w:eastAsia="zh-CN" w:bidi="ar"/>
              </w:rPr>
              <w:t>-0.579</w:t>
            </w:r>
            <w:r>
              <w:rPr>
                <w:rFonts w:hint="default" w:ascii="Times New Roman" w:hAnsi="Times New Roman" w:eastAsia="宋体" w:cs="Times New Roman"/>
                <w:i w:val="0"/>
                <w:iCs w:val="0"/>
                <w:color w:val="auto"/>
                <w:kern w:val="0"/>
                <w:sz w:val="21"/>
                <w:szCs w:val="21"/>
                <w:u w:val="none" w:color="auto"/>
                <w:lang w:val="en-US" w:eastAsia="zh-CN" w:bidi="ar"/>
              </w:rPr>
              <w:t xml:space="preserve"> </w:t>
            </w:r>
          </w:p>
        </w:tc>
        <w:tc>
          <w:tcPr>
            <w:tcW w:w="590" w:type="pct"/>
            <w:tcBorders>
              <w:tl2br w:val="nil"/>
              <w:tr2bl w:val="nil"/>
            </w:tcBorders>
            <w:noWrap w:val="0"/>
            <w:vAlign w:val="center"/>
          </w:tcPr>
          <w:p w14:paraId="46E0817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w:t>
            </w:r>
            <w:r>
              <w:rPr>
                <w:rFonts w:hint="eastAsia" w:ascii="Times New Roman" w:hAnsi="Times New Roman" w:eastAsia="宋体" w:cs="Times New Roman"/>
                <w:i w:val="0"/>
                <w:iCs w:val="0"/>
                <w:color w:val="auto"/>
                <w:kern w:val="0"/>
                <w:sz w:val="21"/>
                <w:szCs w:val="21"/>
                <w:u w:val="none" w:color="auto"/>
                <w:lang w:val="en-US" w:eastAsia="zh-CN" w:bidi="ar"/>
              </w:rPr>
              <w:t>869</w:t>
            </w:r>
          </w:p>
        </w:tc>
        <w:tc>
          <w:tcPr>
            <w:tcW w:w="525" w:type="pct"/>
            <w:tcBorders>
              <w:tl2br w:val="nil"/>
              <w:tr2bl w:val="nil"/>
            </w:tcBorders>
            <w:noWrap w:val="0"/>
            <w:vAlign w:val="center"/>
          </w:tcPr>
          <w:p w14:paraId="127C6AC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w:t>
            </w:r>
            <w:r>
              <w:rPr>
                <w:rFonts w:hint="eastAsia" w:ascii="Times New Roman" w:hAnsi="Times New Roman" w:eastAsia="宋体" w:cs="Times New Roman"/>
                <w:i w:val="0"/>
                <w:iCs w:val="0"/>
                <w:color w:val="auto"/>
                <w:kern w:val="0"/>
                <w:sz w:val="21"/>
                <w:szCs w:val="21"/>
                <w:u w:val="none" w:color="auto"/>
                <w:lang w:val="en-US" w:eastAsia="zh-CN" w:bidi="ar"/>
              </w:rPr>
              <w:t>464</w:t>
            </w:r>
          </w:p>
        </w:tc>
        <w:tc>
          <w:tcPr>
            <w:tcW w:w="500" w:type="pct"/>
            <w:tcBorders>
              <w:tl2br w:val="nil"/>
              <w:tr2bl w:val="nil"/>
            </w:tcBorders>
            <w:noWrap w:val="0"/>
            <w:vAlign w:val="center"/>
          </w:tcPr>
          <w:p w14:paraId="02C8A52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2400</w:t>
            </w:r>
          </w:p>
        </w:tc>
      </w:tr>
      <w:tr w14:paraId="49161BD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87" w:type="pct"/>
            <w:vMerge w:val="restart"/>
            <w:tcBorders>
              <w:tl2br w:val="nil"/>
              <w:tr2bl w:val="nil"/>
            </w:tcBorders>
            <w:noWrap w:val="0"/>
            <w:vAlign w:val="center"/>
          </w:tcPr>
          <w:p w14:paraId="1613CB9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color w:val="auto"/>
                <w:kern w:val="2"/>
                <w:sz w:val="21"/>
                <w:szCs w:val="21"/>
                <w:u w:val="none" w:color="auto"/>
                <w:lang w:val="en-US" w:eastAsia="zh-CN"/>
              </w:rPr>
              <w:t>淬火回火废气（DA00</w:t>
            </w:r>
            <w:r>
              <w:rPr>
                <w:rFonts w:hint="eastAsia" w:ascii="Times New Roman" w:hAnsi="Times New Roman" w:eastAsia="宋体" w:cs="Times New Roman"/>
                <w:color w:val="auto"/>
                <w:kern w:val="2"/>
                <w:sz w:val="21"/>
                <w:szCs w:val="21"/>
                <w:u w:val="none" w:color="auto"/>
                <w:lang w:val="en-US" w:eastAsia="zh-CN"/>
              </w:rPr>
              <w:t>3</w:t>
            </w:r>
            <w:r>
              <w:rPr>
                <w:rFonts w:hint="default" w:ascii="Times New Roman" w:hAnsi="Times New Roman" w:eastAsia="宋体" w:cs="Times New Roman"/>
                <w:color w:val="auto"/>
                <w:kern w:val="2"/>
                <w:sz w:val="21"/>
                <w:szCs w:val="21"/>
                <w:u w:val="none" w:color="auto"/>
                <w:lang w:val="en-US" w:eastAsia="zh-CN"/>
              </w:rPr>
              <w:t>）</w:t>
            </w:r>
          </w:p>
        </w:tc>
        <w:tc>
          <w:tcPr>
            <w:tcW w:w="491" w:type="pct"/>
            <w:tcBorders>
              <w:tl2br w:val="nil"/>
              <w:tr2bl w:val="nil"/>
            </w:tcBorders>
            <w:noWrap w:val="0"/>
            <w:vAlign w:val="center"/>
          </w:tcPr>
          <w:p w14:paraId="4DA988CC">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颗粒物</w:t>
            </w:r>
          </w:p>
        </w:tc>
        <w:tc>
          <w:tcPr>
            <w:tcW w:w="443" w:type="pct"/>
            <w:tcBorders>
              <w:tl2br w:val="nil"/>
              <w:tr2bl w:val="nil"/>
            </w:tcBorders>
            <w:noWrap w:val="0"/>
            <w:vAlign w:val="center"/>
          </w:tcPr>
          <w:p w14:paraId="722BCB0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0.360 </w:t>
            </w:r>
          </w:p>
        </w:tc>
        <w:tc>
          <w:tcPr>
            <w:tcW w:w="361" w:type="pct"/>
            <w:tcBorders>
              <w:tl2br w:val="nil"/>
              <w:tr2bl w:val="nil"/>
            </w:tcBorders>
            <w:noWrap w:val="0"/>
            <w:vAlign w:val="center"/>
          </w:tcPr>
          <w:p w14:paraId="721AEF5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9</w:t>
            </w:r>
            <w:r>
              <w:rPr>
                <w:rFonts w:hint="eastAsia" w:ascii="Times New Roman" w:hAnsi="Times New Roman" w:eastAsia="宋体" w:cs="Times New Roman"/>
                <w:i w:val="0"/>
                <w:iCs w:val="0"/>
                <w:color w:val="auto"/>
                <w:kern w:val="0"/>
                <w:sz w:val="21"/>
                <w:szCs w:val="21"/>
                <w:u w:val="none" w:color="auto"/>
                <w:lang w:val="en-US" w:eastAsia="zh-CN" w:bidi="ar"/>
              </w:rPr>
              <w:t>0</w:t>
            </w: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9" w:type="pct"/>
            <w:tcBorders>
              <w:tl2br w:val="nil"/>
              <w:tr2bl w:val="nil"/>
            </w:tcBorders>
            <w:noWrap w:val="0"/>
            <w:vAlign w:val="center"/>
          </w:tcPr>
          <w:p w14:paraId="5553680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3</w:t>
            </w:r>
            <w:r>
              <w:rPr>
                <w:rFonts w:hint="default" w:ascii="Times New Roman" w:hAnsi="Times New Roman" w:eastAsia="宋体" w:cs="Times New Roman"/>
                <w:i w:val="0"/>
                <w:iCs w:val="0"/>
                <w:color w:val="auto"/>
                <w:kern w:val="0"/>
                <w:sz w:val="21"/>
                <w:szCs w:val="21"/>
                <w:u w:val="none" w:color="auto"/>
                <w:lang w:val="en-US" w:eastAsia="zh-CN" w:bidi="ar"/>
              </w:rPr>
              <w:t>000</w:t>
            </w:r>
          </w:p>
        </w:tc>
        <w:tc>
          <w:tcPr>
            <w:tcW w:w="454" w:type="pct"/>
            <w:tcBorders>
              <w:tl2br w:val="nil"/>
              <w:tr2bl w:val="nil"/>
            </w:tcBorders>
            <w:noWrap w:val="0"/>
            <w:vAlign w:val="center"/>
          </w:tcPr>
          <w:p w14:paraId="7706678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20.00 </w:t>
            </w:r>
          </w:p>
        </w:tc>
        <w:tc>
          <w:tcPr>
            <w:tcW w:w="455" w:type="pct"/>
            <w:tcBorders>
              <w:tl2br w:val="nil"/>
              <w:tr2bl w:val="nil"/>
            </w:tcBorders>
            <w:noWrap w:val="0"/>
            <w:vAlign w:val="center"/>
          </w:tcPr>
          <w:p w14:paraId="54FB001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0.060 </w:t>
            </w:r>
          </w:p>
        </w:tc>
        <w:tc>
          <w:tcPr>
            <w:tcW w:w="590" w:type="pct"/>
            <w:tcBorders>
              <w:tl2br w:val="nil"/>
              <w:tr2bl w:val="nil"/>
            </w:tcBorders>
            <w:noWrap w:val="0"/>
            <w:vAlign w:val="center"/>
          </w:tcPr>
          <w:p w14:paraId="37594C0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0.036 </w:t>
            </w:r>
          </w:p>
        </w:tc>
        <w:tc>
          <w:tcPr>
            <w:tcW w:w="525" w:type="pct"/>
            <w:tcBorders>
              <w:tl2br w:val="nil"/>
              <w:tr2bl w:val="nil"/>
            </w:tcBorders>
            <w:noWrap w:val="0"/>
            <w:vAlign w:val="center"/>
          </w:tcPr>
          <w:p w14:paraId="51F0DB1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 xml:space="preserve">0.040 </w:t>
            </w:r>
          </w:p>
        </w:tc>
        <w:tc>
          <w:tcPr>
            <w:tcW w:w="500" w:type="pct"/>
            <w:tcBorders>
              <w:tl2br w:val="nil"/>
              <w:tr2bl w:val="nil"/>
            </w:tcBorders>
            <w:noWrap w:val="0"/>
            <w:vAlign w:val="center"/>
          </w:tcPr>
          <w:p w14:paraId="193CE18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600</w:t>
            </w:r>
          </w:p>
        </w:tc>
      </w:tr>
      <w:tr w14:paraId="313FAA4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87" w:type="pct"/>
            <w:vMerge w:val="continue"/>
            <w:tcBorders>
              <w:tl2br w:val="nil"/>
              <w:tr2bl w:val="nil"/>
            </w:tcBorders>
            <w:noWrap w:val="0"/>
            <w:vAlign w:val="center"/>
          </w:tcPr>
          <w:p w14:paraId="7C15947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
                <w:sz w:val="21"/>
                <w:szCs w:val="21"/>
                <w:u w:val="none" w:color="auto"/>
                <w:lang w:val="en-US" w:eastAsia="zh-CN"/>
              </w:rPr>
            </w:pPr>
          </w:p>
        </w:tc>
        <w:tc>
          <w:tcPr>
            <w:tcW w:w="491" w:type="pct"/>
            <w:tcBorders>
              <w:tl2br w:val="nil"/>
              <w:tr2bl w:val="nil"/>
            </w:tcBorders>
            <w:noWrap w:val="0"/>
            <w:vAlign w:val="center"/>
          </w:tcPr>
          <w:p w14:paraId="78A12CD2">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val="0"/>
                <w:bCs w:val="0"/>
                <w:i w:val="0"/>
                <w:iCs w:val="0"/>
                <w:color w:val="auto"/>
                <w:kern w:val="0"/>
                <w:sz w:val="21"/>
                <w:szCs w:val="21"/>
                <w:u w:val="none" w:color="auto"/>
                <w:lang w:val="en-US" w:eastAsia="zh-CN" w:bidi="ar"/>
              </w:rPr>
            </w:pPr>
            <w:r>
              <w:rPr>
                <w:rFonts w:hint="eastAsia" w:ascii="Times New Roman" w:hAnsi="Times New Roman" w:eastAsia="宋体" w:cs="Times New Roman"/>
                <w:b w:val="0"/>
                <w:bCs w:val="0"/>
                <w:i w:val="0"/>
                <w:iCs w:val="0"/>
                <w:color w:val="auto"/>
                <w:kern w:val="0"/>
                <w:sz w:val="21"/>
                <w:szCs w:val="21"/>
                <w:u w:val="none" w:color="auto"/>
                <w:lang w:val="en-US" w:eastAsia="zh-CN" w:bidi="ar"/>
              </w:rPr>
              <w:t>非甲烷总烃</w:t>
            </w:r>
          </w:p>
        </w:tc>
        <w:tc>
          <w:tcPr>
            <w:tcW w:w="443" w:type="pct"/>
            <w:tcBorders>
              <w:tl2br w:val="nil"/>
              <w:tr2bl w:val="nil"/>
            </w:tcBorders>
            <w:noWrap w:val="0"/>
            <w:vAlign w:val="center"/>
          </w:tcPr>
          <w:p w14:paraId="2AC2B9F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0.00002 </w:t>
            </w:r>
          </w:p>
        </w:tc>
        <w:tc>
          <w:tcPr>
            <w:tcW w:w="361" w:type="pct"/>
            <w:tcBorders>
              <w:tl2br w:val="nil"/>
              <w:tr2bl w:val="nil"/>
            </w:tcBorders>
            <w:noWrap w:val="0"/>
            <w:vAlign w:val="center"/>
          </w:tcPr>
          <w:p w14:paraId="460B211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0</w:t>
            </w:r>
          </w:p>
        </w:tc>
        <w:tc>
          <w:tcPr>
            <w:tcW w:w="489" w:type="pct"/>
            <w:tcBorders>
              <w:tl2br w:val="nil"/>
              <w:tr2bl w:val="nil"/>
            </w:tcBorders>
            <w:noWrap w:val="0"/>
            <w:vAlign w:val="center"/>
          </w:tcPr>
          <w:p w14:paraId="64F4FC1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3000</w:t>
            </w:r>
          </w:p>
        </w:tc>
        <w:tc>
          <w:tcPr>
            <w:tcW w:w="454" w:type="pct"/>
            <w:tcBorders>
              <w:tl2br w:val="nil"/>
              <w:tr2bl w:val="nil"/>
            </w:tcBorders>
            <w:noWrap w:val="0"/>
            <w:vAlign w:val="center"/>
          </w:tcPr>
          <w:p w14:paraId="1DF7CC7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0.01 </w:t>
            </w:r>
          </w:p>
        </w:tc>
        <w:tc>
          <w:tcPr>
            <w:tcW w:w="455" w:type="pct"/>
            <w:tcBorders>
              <w:tl2br w:val="nil"/>
              <w:tr2bl w:val="nil"/>
            </w:tcBorders>
            <w:noWrap w:val="0"/>
            <w:vAlign w:val="center"/>
          </w:tcPr>
          <w:p w14:paraId="750066C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0.00003 </w:t>
            </w:r>
          </w:p>
        </w:tc>
        <w:tc>
          <w:tcPr>
            <w:tcW w:w="590" w:type="pct"/>
            <w:tcBorders>
              <w:tl2br w:val="nil"/>
              <w:tr2bl w:val="nil"/>
            </w:tcBorders>
            <w:noWrap w:val="0"/>
            <w:vAlign w:val="center"/>
          </w:tcPr>
          <w:p w14:paraId="14A8AE7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0.00002 </w:t>
            </w:r>
          </w:p>
        </w:tc>
        <w:tc>
          <w:tcPr>
            <w:tcW w:w="525" w:type="pct"/>
            <w:tcBorders>
              <w:tl2br w:val="nil"/>
              <w:tr2bl w:val="nil"/>
            </w:tcBorders>
            <w:noWrap w:val="0"/>
            <w:vAlign w:val="center"/>
          </w:tcPr>
          <w:p w14:paraId="5FF64CE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 xml:space="preserve">0.000002 </w:t>
            </w:r>
          </w:p>
        </w:tc>
        <w:tc>
          <w:tcPr>
            <w:tcW w:w="500" w:type="pct"/>
            <w:tcBorders>
              <w:tl2br w:val="nil"/>
              <w:tr2bl w:val="nil"/>
            </w:tcBorders>
            <w:noWrap w:val="0"/>
            <w:vAlign w:val="center"/>
          </w:tcPr>
          <w:p w14:paraId="47892BF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600</w:t>
            </w:r>
          </w:p>
        </w:tc>
      </w:tr>
      <w:tr w14:paraId="7DD3ABC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87" w:type="pct"/>
            <w:vMerge w:val="restart"/>
            <w:tcBorders>
              <w:tl2br w:val="nil"/>
              <w:tr2bl w:val="nil"/>
            </w:tcBorders>
            <w:noWrap w:val="0"/>
            <w:vAlign w:val="center"/>
          </w:tcPr>
          <w:p w14:paraId="6CB59493">
            <w:pPr>
              <w:keepNext/>
              <w:keepLines/>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auto"/>
              <w:outlineLvl w:val="1"/>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合计</w:t>
            </w:r>
          </w:p>
        </w:tc>
        <w:tc>
          <w:tcPr>
            <w:tcW w:w="491" w:type="pct"/>
            <w:tcBorders>
              <w:tl2br w:val="nil"/>
              <w:tr2bl w:val="nil"/>
            </w:tcBorders>
            <w:noWrap w:val="0"/>
            <w:vAlign w:val="center"/>
          </w:tcPr>
          <w:p w14:paraId="76BF1E0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颗粒物</w:t>
            </w:r>
          </w:p>
        </w:tc>
        <w:tc>
          <w:tcPr>
            <w:tcW w:w="443" w:type="pct"/>
            <w:tcBorders>
              <w:tl2br w:val="nil"/>
              <w:tr2bl w:val="nil"/>
            </w:tcBorders>
            <w:noWrap w:val="0"/>
            <w:vAlign w:val="center"/>
          </w:tcPr>
          <w:p w14:paraId="3A07327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361" w:type="pct"/>
            <w:tcBorders>
              <w:tl2br w:val="nil"/>
              <w:tr2bl w:val="nil"/>
            </w:tcBorders>
            <w:noWrap w:val="0"/>
            <w:vAlign w:val="center"/>
          </w:tcPr>
          <w:p w14:paraId="73B0127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9" w:type="pct"/>
            <w:tcBorders>
              <w:tl2br w:val="nil"/>
              <w:tr2bl w:val="nil"/>
            </w:tcBorders>
            <w:noWrap w:val="0"/>
            <w:vAlign w:val="center"/>
          </w:tcPr>
          <w:p w14:paraId="240355D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54" w:type="pct"/>
            <w:tcBorders>
              <w:tl2br w:val="nil"/>
              <w:tr2bl w:val="nil"/>
            </w:tcBorders>
            <w:noWrap w:val="0"/>
            <w:vAlign w:val="center"/>
          </w:tcPr>
          <w:p w14:paraId="1E3125F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w:t>
            </w:r>
          </w:p>
        </w:tc>
        <w:tc>
          <w:tcPr>
            <w:tcW w:w="455" w:type="pct"/>
            <w:tcBorders>
              <w:tl2br w:val="nil"/>
              <w:tr2bl w:val="nil"/>
            </w:tcBorders>
            <w:noWrap w:val="0"/>
            <w:vAlign w:val="center"/>
          </w:tcPr>
          <w:p w14:paraId="61FD134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590" w:type="pct"/>
            <w:tcBorders>
              <w:tl2br w:val="nil"/>
              <w:tr2bl w:val="nil"/>
            </w:tcBorders>
            <w:noWrap w:val="0"/>
            <w:vAlign w:val="center"/>
          </w:tcPr>
          <w:p w14:paraId="4A503E3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5.562</w:t>
            </w:r>
          </w:p>
        </w:tc>
        <w:tc>
          <w:tcPr>
            <w:tcW w:w="525" w:type="pct"/>
            <w:tcBorders>
              <w:tl2br w:val="nil"/>
              <w:tr2bl w:val="nil"/>
            </w:tcBorders>
            <w:noWrap w:val="0"/>
            <w:vAlign w:val="center"/>
          </w:tcPr>
          <w:p w14:paraId="43B0680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1.434</w:t>
            </w:r>
          </w:p>
        </w:tc>
        <w:tc>
          <w:tcPr>
            <w:tcW w:w="500" w:type="pct"/>
            <w:tcBorders>
              <w:tl2br w:val="nil"/>
              <w:tr2bl w:val="nil"/>
            </w:tcBorders>
            <w:noWrap w:val="0"/>
            <w:vAlign w:val="center"/>
          </w:tcPr>
          <w:p w14:paraId="3958617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3600</w:t>
            </w:r>
          </w:p>
        </w:tc>
      </w:tr>
      <w:tr w14:paraId="7338027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87" w:type="pct"/>
            <w:vMerge w:val="continue"/>
            <w:tcBorders>
              <w:tl2br w:val="nil"/>
              <w:tr2bl w:val="nil"/>
            </w:tcBorders>
            <w:noWrap w:val="0"/>
            <w:vAlign w:val="center"/>
          </w:tcPr>
          <w:p w14:paraId="2EAB3E8A">
            <w:pPr>
              <w:keepNext/>
              <w:keepLines/>
              <w:pageBreakBefore w:val="0"/>
              <w:widowControl w:val="0"/>
              <w:suppressLineNumbers w:val="0"/>
              <w:kinsoku/>
              <w:wordWrap w:val="0"/>
              <w:overflowPunct/>
              <w:topLinePunct w:val="0"/>
              <w:autoSpaceDE/>
              <w:autoSpaceDN/>
              <w:bidi w:val="0"/>
              <w:adjustRightInd/>
              <w:snapToGrid/>
              <w:spacing w:before="100" w:beforeAutospacing="1" w:after="100" w:afterAutospacing="1" w:line="240" w:lineRule="auto"/>
              <w:ind w:left="0" w:right="0"/>
              <w:jc w:val="center"/>
              <w:textAlignment w:val="auto"/>
              <w:outlineLvl w:val="1"/>
              <w:rPr>
                <w:rFonts w:hint="default" w:ascii="Times New Roman" w:hAnsi="Times New Roman" w:eastAsia="宋体" w:cs="Times New Roman"/>
                <w:b/>
                <w:bCs/>
                <w:i w:val="0"/>
                <w:iCs w:val="0"/>
                <w:color w:val="auto"/>
                <w:kern w:val="0"/>
                <w:sz w:val="21"/>
                <w:szCs w:val="21"/>
                <w:u w:val="none" w:color="auto"/>
                <w:lang w:val="en-US" w:eastAsia="zh-CN" w:bidi="ar"/>
              </w:rPr>
            </w:pPr>
          </w:p>
        </w:tc>
        <w:tc>
          <w:tcPr>
            <w:tcW w:w="491" w:type="pct"/>
            <w:tcBorders>
              <w:tl2br w:val="nil"/>
              <w:tr2bl w:val="nil"/>
            </w:tcBorders>
            <w:noWrap w:val="0"/>
            <w:vAlign w:val="center"/>
          </w:tcPr>
          <w:p w14:paraId="6902E83C">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val="0"/>
                <w:bCs w:val="0"/>
                <w:i w:val="0"/>
                <w:iCs w:val="0"/>
                <w:color w:val="auto"/>
                <w:kern w:val="0"/>
                <w:sz w:val="21"/>
                <w:szCs w:val="21"/>
                <w:u w:val="none" w:color="auto"/>
                <w:lang w:val="en-US" w:eastAsia="zh-CN" w:bidi="ar"/>
              </w:rPr>
              <w:t>VOCs</w:t>
            </w:r>
          </w:p>
        </w:tc>
        <w:tc>
          <w:tcPr>
            <w:tcW w:w="443" w:type="pct"/>
            <w:tcBorders>
              <w:tl2br w:val="nil"/>
              <w:tr2bl w:val="nil"/>
            </w:tcBorders>
            <w:noWrap w:val="0"/>
            <w:vAlign w:val="center"/>
          </w:tcPr>
          <w:p w14:paraId="6A2F41A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361" w:type="pct"/>
            <w:tcBorders>
              <w:tl2br w:val="nil"/>
              <w:tr2bl w:val="nil"/>
            </w:tcBorders>
            <w:noWrap w:val="0"/>
            <w:vAlign w:val="center"/>
          </w:tcPr>
          <w:p w14:paraId="531DA66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9" w:type="pct"/>
            <w:tcBorders>
              <w:tl2br w:val="nil"/>
              <w:tr2bl w:val="nil"/>
            </w:tcBorders>
            <w:noWrap w:val="0"/>
            <w:vAlign w:val="center"/>
          </w:tcPr>
          <w:p w14:paraId="2AD1B22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54" w:type="pct"/>
            <w:tcBorders>
              <w:tl2br w:val="nil"/>
              <w:tr2bl w:val="nil"/>
            </w:tcBorders>
            <w:noWrap w:val="0"/>
            <w:vAlign w:val="center"/>
          </w:tcPr>
          <w:p w14:paraId="7182AB5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w:t>
            </w:r>
          </w:p>
        </w:tc>
        <w:tc>
          <w:tcPr>
            <w:tcW w:w="455" w:type="pct"/>
            <w:tcBorders>
              <w:tl2br w:val="nil"/>
              <w:tr2bl w:val="nil"/>
            </w:tcBorders>
            <w:noWrap w:val="0"/>
            <w:vAlign w:val="center"/>
          </w:tcPr>
          <w:p w14:paraId="6F1EC77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590" w:type="pct"/>
            <w:tcBorders>
              <w:tl2br w:val="nil"/>
              <w:tr2bl w:val="nil"/>
            </w:tcBorders>
            <w:noWrap w:val="0"/>
            <w:vAlign w:val="center"/>
          </w:tcPr>
          <w:p w14:paraId="0A5ECBB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0.00002</w:t>
            </w:r>
          </w:p>
        </w:tc>
        <w:tc>
          <w:tcPr>
            <w:tcW w:w="525" w:type="pct"/>
            <w:tcBorders>
              <w:tl2br w:val="nil"/>
              <w:tr2bl w:val="nil"/>
            </w:tcBorders>
            <w:noWrap w:val="0"/>
            <w:vAlign w:val="center"/>
          </w:tcPr>
          <w:p w14:paraId="0D60B57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0.000002</w:t>
            </w:r>
          </w:p>
        </w:tc>
        <w:tc>
          <w:tcPr>
            <w:tcW w:w="500" w:type="pct"/>
            <w:tcBorders>
              <w:tl2br w:val="nil"/>
              <w:tr2bl w:val="nil"/>
            </w:tcBorders>
            <w:noWrap w:val="0"/>
            <w:vAlign w:val="center"/>
          </w:tcPr>
          <w:p w14:paraId="3B3806D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ascii="Times New Roman" w:hAnsi="Times New Roman" w:eastAsia="宋体" w:cs="Times New Roman"/>
                <w:i w:val="0"/>
                <w:iCs w:val="0"/>
                <w:color w:val="auto"/>
                <w:kern w:val="0"/>
                <w:sz w:val="21"/>
                <w:szCs w:val="21"/>
                <w:u w:val="none" w:color="auto"/>
                <w:lang w:val="en-US" w:eastAsia="zh-CN" w:bidi="ar"/>
              </w:rPr>
              <w:t>600</w:t>
            </w:r>
          </w:p>
        </w:tc>
      </w:tr>
    </w:tbl>
    <w:p w14:paraId="11C4C99D">
      <w:pPr>
        <w:keepNext/>
        <w:keepLines/>
        <w:suppressLineNumbers w:val="0"/>
        <w:spacing w:before="0" w:beforeAutospacing="0" w:after="0" w:afterAutospacing="0" w:line="360" w:lineRule="auto"/>
        <w:ind w:left="0" w:right="0" w:firstLine="482" w:firstLineChars="200"/>
        <w:jc w:val="both"/>
        <w:outlineLvl w:val="9"/>
        <w:rPr>
          <w:rFonts w:hint="default" w:ascii="Times New Roman" w:hAnsi="Times New Roman" w:eastAsia="宋体" w:cs="Times New Roman"/>
          <w:b/>
          <w:bCs w:val="0"/>
          <w:color w:val="auto"/>
          <w:kern w:val="2"/>
          <w:sz w:val="24"/>
          <w:u w:val="none" w:color="auto"/>
          <w:lang w:val="en-US" w:eastAsia="zh-CN"/>
        </w:rPr>
      </w:pPr>
      <w:r>
        <w:rPr>
          <w:rFonts w:hint="eastAsia" w:ascii="Times New Roman" w:hAnsi="Times New Roman" w:eastAsia="宋体" w:cs="Times New Roman"/>
          <w:b/>
          <w:bCs w:val="0"/>
          <w:color w:val="auto"/>
          <w:kern w:val="2"/>
          <w:sz w:val="24"/>
          <w:u w:val="none" w:color="auto"/>
          <w:lang w:val="en-US" w:eastAsia="zh-CN"/>
        </w:rPr>
        <w:t>二、废水</w:t>
      </w:r>
    </w:p>
    <w:p w14:paraId="0F6EDDBA">
      <w:pPr>
        <w:keepNext/>
        <w:keepLines/>
        <w:suppressLineNumbers w:val="0"/>
        <w:spacing w:before="0" w:beforeAutospacing="0" w:after="0" w:afterAutospacing="0" w:line="360" w:lineRule="auto"/>
        <w:ind w:left="0" w:right="0" w:firstLine="480" w:firstLineChars="200"/>
        <w:jc w:val="both"/>
        <w:outlineLvl w:val="9"/>
        <w:rPr>
          <w:rFonts w:hint="default" w:ascii="Times New Roman" w:hAnsi="Times New Roman" w:eastAsia="宋体" w:cs="Times New Roman"/>
          <w:bCs/>
          <w:color w:val="auto"/>
          <w:kern w:val="2"/>
          <w:sz w:val="24"/>
          <w:u w:val="none" w:color="auto"/>
          <w:lang w:val="en-US" w:eastAsia="zh-CN"/>
        </w:rPr>
      </w:pPr>
      <w:r>
        <w:rPr>
          <w:rFonts w:hint="default" w:ascii="Times New Roman" w:hAnsi="Times New Roman" w:eastAsia="宋体" w:cs="Times New Roman"/>
          <w:bCs/>
          <w:color w:val="auto"/>
          <w:kern w:val="2"/>
          <w:sz w:val="24"/>
          <w:u w:val="none" w:color="auto"/>
          <w:lang w:val="en-US" w:eastAsia="zh-CN"/>
        </w:rPr>
        <w:t>本项目生产过程中仅产生生活污水，间接冷却水循环使用，水循环泵废水经循环水池沉淀后回用。</w:t>
      </w:r>
    </w:p>
    <w:p w14:paraId="727D2F87">
      <w:pPr>
        <w:keepNext/>
        <w:keepLines/>
        <w:suppressLineNumbers w:val="0"/>
        <w:spacing w:before="0" w:beforeAutospacing="0" w:after="0" w:afterAutospacing="0" w:line="360" w:lineRule="auto"/>
        <w:ind w:left="0" w:right="0" w:firstLine="480" w:firstLineChars="200"/>
        <w:jc w:val="both"/>
        <w:outlineLvl w:val="9"/>
        <w:rPr>
          <w:rFonts w:hint="default" w:ascii="Times New Roman" w:hAnsi="Times New Roman" w:eastAsia="宋体" w:cs="Times New Roman"/>
          <w:bCs/>
          <w:color w:val="auto"/>
          <w:kern w:val="2"/>
          <w:sz w:val="24"/>
          <w:u w:val="none" w:color="auto"/>
        </w:rPr>
      </w:pPr>
      <w:r>
        <w:rPr>
          <w:rFonts w:hint="default" w:ascii="Times New Roman" w:hAnsi="Times New Roman" w:eastAsia="宋体" w:cs="Times New Roman"/>
          <w:color w:val="auto"/>
          <w:kern w:val="2"/>
          <w:sz w:val="24"/>
          <w:u w:val="none" w:color="auto"/>
        </w:rPr>
        <w:t>本项目生活用水量为</w:t>
      </w:r>
      <w:r>
        <w:rPr>
          <w:rFonts w:hint="eastAsia" w:ascii="Times New Roman" w:hAnsi="Times New Roman" w:eastAsia="宋体" w:cs="Times New Roman"/>
          <w:color w:val="auto"/>
          <w:kern w:val="2"/>
          <w:sz w:val="24"/>
          <w:u w:val="none" w:color="auto"/>
          <w:lang w:val="en-US" w:eastAsia="zh-CN"/>
        </w:rPr>
        <w:t>625</w:t>
      </w:r>
      <w:r>
        <w:rPr>
          <w:rFonts w:hint="default" w:ascii="Times New Roman" w:hAnsi="Times New Roman" w:eastAsia="宋体" w:cs="Times New Roman"/>
          <w:color w:val="auto"/>
          <w:kern w:val="2"/>
          <w:sz w:val="24"/>
          <w:u w:val="none" w:color="auto"/>
        </w:rPr>
        <w:t>m³/a</w:t>
      </w:r>
      <w:r>
        <w:rPr>
          <w:rFonts w:hint="default" w:ascii="Times New Roman" w:hAnsi="Times New Roman" w:eastAsia="宋体" w:cs="Times New Roman"/>
          <w:bCs/>
          <w:color w:val="auto"/>
          <w:kern w:val="2"/>
          <w:sz w:val="24"/>
          <w:u w:val="none" w:color="auto"/>
        </w:rPr>
        <w:t>；污水产生系数取0.8，则生活污水量为</w:t>
      </w:r>
      <w:r>
        <w:rPr>
          <w:rFonts w:hint="eastAsia" w:ascii="Times New Roman" w:hAnsi="Times New Roman" w:eastAsia="宋体" w:cs="Times New Roman"/>
          <w:bCs/>
          <w:color w:val="auto"/>
          <w:kern w:val="2"/>
          <w:sz w:val="24"/>
          <w:u w:val="none" w:color="auto"/>
          <w:lang w:val="en-US" w:eastAsia="zh-CN"/>
        </w:rPr>
        <w:t>500</w:t>
      </w:r>
      <w:r>
        <w:rPr>
          <w:rFonts w:hint="default" w:ascii="Times New Roman" w:hAnsi="Times New Roman" w:eastAsia="宋体" w:cs="Times New Roman"/>
          <w:bCs/>
          <w:color w:val="auto"/>
          <w:kern w:val="2"/>
          <w:sz w:val="24"/>
          <w:u w:val="none" w:color="auto"/>
        </w:rPr>
        <w:t>m³/a。典型生活污水水质为COD：2</w:t>
      </w:r>
      <w:r>
        <w:rPr>
          <w:rFonts w:hint="eastAsia" w:ascii="Times New Roman" w:hAnsi="Times New Roman" w:eastAsia="宋体" w:cs="Times New Roman"/>
          <w:bCs/>
          <w:color w:val="auto"/>
          <w:kern w:val="2"/>
          <w:sz w:val="24"/>
          <w:u w:val="none" w:color="auto"/>
          <w:lang w:val="en-US" w:eastAsia="zh-CN"/>
        </w:rPr>
        <w:t>5</w:t>
      </w:r>
      <w:r>
        <w:rPr>
          <w:rFonts w:hint="default" w:ascii="Times New Roman" w:hAnsi="Times New Roman" w:eastAsia="宋体" w:cs="Times New Roman"/>
          <w:bCs/>
          <w:color w:val="auto"/>
          <w:kern w:val="2"/>
          <w:sz w:val="24"/>
          <w:u w:val="none" w:color="auto"/>
        </w:rPr>
        <w:t>0mg/L、BOD</w:t>
      </w:r>
      <w:r>
        <w:rPr>
          <w:rFonts w:hint="default" w:ascii="Times New Roman" w:hAnsi="Times New Roman" w:eastAsia="宋体" w:cs="Times New Roman"/>
          <w:bCs/>
          <w:color w:val="auto"/>
          <w:kern w:val="2"/>
          <w:sz w:val="24"/>
          <w:u w:val="none" w:color="auto"/>
          <w:vertAlign w:val="subscript"/>
        </w:rPr>
        <w:t>5</w:t>
      </w:r>
      <w:r>
        <w:rPr>
          <w:rFonts w:hint="eastAsia" w:ascii="Times New Roman" w:hAnsi="Times New Roman" w:cs="Times New Roman"/>
          <w:bCs/>
          <w:color w:val="auto"/>
          <w:kern w:val="2"/>
          <w:sz w:val="24"/>
          <w:u w:val="none" w:color="auto"/>
          <w:vertAlign w:val="subscript"/>
          <w:lang w:eastAsia="zh-CN"/>
        </w:rPr>
        <w:t>:</w:t>
      </w:r>
      <w:r>
        <w:rPr>
          <w:rFonts w:hint="default" w:ascii="Times New Roman" w:hAnsi="Times New Roman" w:eastAsia="宋体" w:cs="Times New Roman"/>
          <w:bCs/>
          <w:color w:val="auto"/>
          <w:kern w:val="2"/>
          <w:sz w:val="24"/>
          <w:u w:val="none" w:color="auto"/>
        </w:rPr>
        <w:t>1</w:t>
      </w:r>
      <w:r>
        <w:rPr>
          <w:rFonts w:hint="eastAsia" w:ascii="Times New Roman" w:hAnsi="Times New Roman" w:eastAsia="宋体" w:cs="Times New Roman"/>
          <w:bCs/>
          <w:color w:val="auto"/>
          <w:kern w:val="2"/>
          <w:sz w:val="24"/>
          <w:u w:val="none" w:color="auto"/>
          <w:lang w:val="en-US" w:eastAsia="zh-CN"/>
        </w:rPr>
        <w:t>5</w:t>
      </w:r>
      <w:r>
        <w:rPr>
          <w:rFonts w:hint="default" w:ascii="Times New Roman" w:hAnsi="Times New Roman" w:eastAsia="宋体" w:cs="Times New Roman"/>
          <w:bCs/>
          <w:color w:val="auto"/>
          <w:kern w:val="2"/>
          <w:sz w:val="24"/>
          <w:u w:val="none" w:color="auto"/>
        </w:rPr>
        <w:t>0mg/L、SS：150mg/L、NH</w:t>
      </w:r>
      <w:r>
        <w:rPr>
          <w:rFonts w:hint="default" w:ascii="Times New Roman" w:hAnsi="Times New Roman" w:eastAsia="宋体" w:cs="Times New Roman"/>
          <w:bCs/>
          <w:color w:val="auto"/>
          <w:kern w:val="2"/>
          <w:sz w:val="24"/>
          <w:u w:val="none" w:color="auto"/>
          <w:vertAlign w:val="subscript"/>
        </w:rPr>
        <w:t>3</w:t>
      </w:r>
      <w:r>
        <w:rPr>
          <w:rFonts w:hint="default" w:ascii="Times New Roman" w:hAnsi="Times New Roman" w:eastAsia="宋体" w:cs="Times New Roman"/>
          <w:bCs/>
          <w:color w:val="auto"/>
          <w:kern w:val="2"/>
          <w:sz w:val="24"/>
          <w:u w:val="none" w:color="auto"/>
        </w:rPr>
        <w:t>-N：18mg/L、TP：2.5mg/L。</w:t>
      </w:r>
    </w:p>
    <w:p w14:paraId="2E3DA83F">
      <w:pPr>
        <w:keepNext w:val="0"/>
        <w:keepLines/>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b/>
          <w:color w:val="auto"/>
          <w:kern w:val="2"/>
          <w:sz w:val="21"/>
          <w:szCs w:val="21"/>
          <w:u w:val="none" w:color="auto"/>
        </w:rPr>
      </w:pPr>
      <w:r>
        <w:rPr>
          <w:rFonts w:hint="eastAsia" w:ascii="Times New Roman" w:hAnsi="Times New Roman" w:eastAsia="宋体" w:cs="Times New Roman"/>
          <w:b/>
          <w:color w:val="auto"/>
          <w:kern w:val="2"/>
          <w:sz w:val="21"/>
          <w:szCs w:val="21"/>
          <w:u w:val="none" w:color="auto"/>
          <w:lang w:val="en-US" w:eastAsia="zh-CN"/>
        </w:rPr>
        <w:t>表8</w:t>
      </w:r>
      <w:r>
        <w:rPr>
          <w:rFonts w:hint="default" w:ascii="Times New Roman" w:hAnsi="Times New Roman" w:eastAsia="宋体" w:cs="Times New Roman"/>
          <w:b/>
          <w:color w:val="auto"/>
          <w:kern w:val="2"/>
          <w:sz w:val="21"/>
          <w:szCs w:val="21"/>
          <w:u w:val="none" w:color="auto"/>
          <w:lang w:val="en-US" w:eastAsia="zh-CN"/>
        </w:rPr>
        <w:t xml:space="preserve"> </w:t>
      </w:r>
      <w:r>
        <w:rPr>
          <w:rFonts w:hint="eastAsia" w:ascii="Times New Roman" w:hAnsi="Times New Roman" w:eastAsia="宋体" w:cs="Times New Roman"/>
          <w:b/>
          <w:color w:val="auto"/>
          <w:kern w:val="2"/>
          <w:sz w:val="21"/>
          <w:szCs w:val="21"/>
          <w:u w:val="none" w:color="auto"/>
          <w:lang w:val="en-US" w:eastAsia="zh-CN"/>
        </w:rPr>
        <w:t>生活污水产生和排放情况汇总表</w:t>
      </w:r>
    </w:p>
    <w:tbl>
      <w:tblPr>
        <w:tblStyle w:val="56"/>
        <w:tblW w:w="4995"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Layout w:type="fixed"/>
        <w:tblCellMar>
          <w:top w:w="0" w:type="dxa"/>
          <w:left w:w="108" w:type="dxa"/>
          <w:bottom w:w="0" w:type="dxa"/>
          <w:right w:w="108" w:type="dxa"/>
        </w:tblCellMar>
      </w:tblPr>
      <w:tblGrid>
        <w:gridCol w:w="372"/>
        <w:gridCol w:w="361"/>
        <w:gridCol w:w="722"/>
        <w:gridCol w:w="854"/>
        <w:gridCol w:w="375"/>
        <w:gridCol w:w="567"/>
        <w:gridCol w:w="565"/>
        <w:gridCol w:w="665"/>
        <w:gridCol w:w="377"/>
        <w:gridCol w:w="659"/>
        <w:gridCol w:w="377"/>
        <w:gridCol w:w="609"/>
        <w:gridCol w:w="536"/>
        <w:gridCol w:w="729"/>
        <w:gridCol w:w="506"/>
        <w:gridCol w:w="541"/>
      </w:tblGrid>
      <w:tr w14:paraId="33198EF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40" w:hRule="atLeast"/>
          <w:jc w:val="center"/>
        </w:trPr>
        <w:tc>
          <w:tcPr>
            <w:tcW w:w="349" w:type="dxa"/>
            <w:vMerge w:val="restart"/>
            <w:tcBorders>
              <w:tl2br w:val="nil"/>
              <w:tr2bl w:val="nil"/>
            </w:tcBorders>
            <w:shd w:val="clear" w:color="auto" w:fill="auto"/>
            <w:vAlign w:val="center"/>
          </w:tcPr>
          <w:p w14:paraId="24E10A8A">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工序</w:t>
            </w:r>
            <w:r>
              <w:rPr>
                <w:rFonts w:hint="default" w:ascii="Times New Roman" w:hAnsi="Times New Roman" w:eastAsia="宋体" w:cs="Times New Roman"/>
                <w:b/>
                <w:bCs w:val="0"/>
                <w:color w:val="auto"/>
                <w:kern w:val="2"/>
                <w:sz w:val="21"/>
                <w:szCs w:val="21"/>
                <w:lang w:val="en-US" w:eastAsia="zh-CN" w:bidi="ar"/>
              </w:rPr>
              <w:t>/</w:t>
            </w:r>
            <w:r>
              <w:rPr>
                <w:rFonts w:hint="eastAsia" w:ascii="宋体" w:hAnsi="宋体" w:eastAsia="宋体" w:cs="宋体"/>
                <w:b/>
                <w:bCs w:val="0"/>
                <w:color w:val="auto"/>
                <w:kern w:val="2"/>
                <w:sz w:val="21"/>
                <w:szCs w:val="21"/>
                <w:lang w:val="en-US" w:eastAsia="zh-CN" w:bidi="ar"/>
              </w:rPr>
              <w:t>生产线</w:t>
            </w:r>
          </w:p>
        </w:tc>
        <w:tc>
          <w:tcPr>
            <w:tcW w:w="339" w:type="dxa"/>
            <w:vMerge w:val="restart"/>
            <w:tcBorders>
              <w:tl2br w:val="nil"/>
              <w:tr2bl w:val="nil"/>
            </w:tcBorders>
            <w:shd w:val="clear" w:color="auto" w:fill="auto"/>
            <w:vAlign w:val="center"/>
          </w:tcPr>
          <w:p w14:paraId="59351E61">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装置</w:t>
            </w:r>
          </w:p>
        </w:tc>
        <w:tc>
          <w:tcPr>
            <w:tcW w:w="678" w:type="dxa"/>
            <w:vMerge w:val="restart"/>
            <w:tcBorders>
              <w:tl2br w:val="nil"/>
              <w:tr2bl w:val="nil"/>
            </w:tcBorders>
            <w:shd w:val="clear" w:color="auto" w:fill="auto"/>
            <w:vAlign w:val="center"/>
          </w:tcPr>
          <w:p w14:paraId="109AE692">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污染源</w:t>
            </w:r>
          </w:p>
        </w:tc>
        <w:tc>
          <w:tcPr>
            <w:tcW w:w="802" w:type="dxa"/>
            <w:vMerge w:val="restart"/>
            <w:tcBorders>
              <w:tl2br w:val="nil"/>
              <w:tr2bl w:val="nil"/>
            </w:tcBorders>
            <w:shd w:val="clear" w:color="auto" w:fill="auto"/>
            <w:vAlign w:val="center"/>
          </w:tcPr>
          <w:p w14:paraId="11849C73">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污染物</w:t>
            </w:r>
          </w:p>
        </w:tc>
        <w:tc>
          <w:tcPr>
            <w:tcW w:w="2038" w:type="dxa"/>
            <w:gridSpan w:val="4"/>
            <w:tcBorders>
              <w:tl2br w:val="nil"/>
              <w:tr2bl w:val="nil"/>
            </w:tcBorders>
            <w:shd w:val="clear" w:color="auto" w:fill="auto"/>
            <w:vAlign w:val="center"/>
          </w:tcPr>
          <w:p w14:paraId="2E518301">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污染物产生</w:t>
            </w:r>
          </w:p>
        </w:tc>
        <w:tc>
          <w:tcPr>
            <w:tcW w:w="973" w:type="dxa"/>
            <w:gridSpan w:val="2"/>
            <w:tcBorders>
              <w:tl2br w:val="nil"/>
              <w:tr2bl w:val="nil"/>
            </w:tcBorders>
            <w:shd w:val="clear" w:color="auto" w:fill="auto"/>
            <w:vAlign w:val="center"/>
          </w:tcPr>
          <w:p w14:paraId="3D499CA6">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治理措施</w:t>
            </w:r>
          </w:p>
        </w:tc>
        <w:tc>
          <w:tcPr>
            <w:tcW w:w="2588" w:type="dxa"/>
            <w:gridSpan w:val="5"/>
            <w:tcBorders>
              <w:tl2br w:val="nil"/>
              <w:tr2bl w:val="nil"/>
            </w:tcBorders>
            <w:shd w:val="clear" w:color="auto" w:fill="auto"/>
            <w:vAlign w:val="center"/>
          </w:tcPr>
          <w:p w14:paraId="1B2BBE3B">
            <w:pPr>
              <w:keepNext w:val="0"/>
              <w:keepLines w:val="0"/>
              <w:widowControl w:val="0"/>
              <w:suppressLineNumbers w:val="0"/>
              <w:autoSpaceDE w:val="0"/>
              <w:autoSpaceDN/>
              <w:snapToGrid w:val="0"/>
              <w:spacing w:before="0" w:beforeAutospacing="0" w:after="0" w:afterAutospacing="0" w:line="240" w:lineRule="auto"/>
              <w:ind w:left="0" w:right="0"/>
              <w:jc w:val="center"/>
              <w:rPr>
                <w:rFonts w:hint="eastAsia" w:ascii="宋体" w:hAnsi="宋体" w:eastAsia="宋体" w:cs="宋体"/>
                <w:b/>
                <w:bCs w:val="0"/>
                <w:color w:val="auto"/>
                <w:kern w:val="2"/>
                <w:sz w:val="21"/>
                <w:szCs w:val="21"/>
              </w:rPr>
            </w:pPr>
            <w:r>
              <w:rPr>
                <w:rFonts w:hint="eastAsia" w:ascii="宋体" w:hAnsi="宋体" w:eastAsia="宋体" w:cs="宋体"/>
                <w:b/>
                <w:bCs w:val="0"/>
                <w:color w:val="auto"/>
                <w:kern w:val="2"/>
                <w:sz w:val="21"/>
                <w:szCs w:val="21"/>
                <w:lang w:val="en-US" w:eastAsia="zh-CN" w:bidi="ar"/>
              </w:rPr>
              <w:t>污染物排放</w:t>
            </w:r>
          </w:p>
        </w:tc>
        <w:tc>
          <w:tcPr>
            <w:tcW w:w="508" w:type="dxa"/>
            <w:vMerge w:val="restart"/>
            <w:tcBorders>
              <w:tl2br w:val="nil"/>
              <w:tr2bl w:val="nil"/>
            </w:tcBorders>
            <w:shd w:val="clear" w:color="auto" w:fill="auto"/>
            <w:vAlign w:val="center"/>
          </w:tcPr>
          <w:p w14:paraId="1AE7E434">
            <w:pPr>
              <w:keepNext w:val="0"/>
              <w:keepLines w:val="0"/>
              <w:widowControl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排放</w:t>
            </w:r>
          </w:p>
          <w:p w14:paraId="57FE35FC">
            <w:pPr>
              <w:keepNext w:val="0"/>
              <w:keepLines w:val="0"/>
              <w:widowControl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b w:val="0"/>
                <w:bCs/>
                <w:color w:val="auto"/>
                <w:kern w:val="2"/>
                <w:sz w:val="21"/>
                <w:szCs w:val="21"/>
              </w:rPr>
            </w:pPr>
            <w:r>
              <w:rPr>
                <w:rFonts w:hint="eastAsia" w:ascii="宋体" w:hAnsi="宋体" w:eastAsia="宋体" w:cs="宋体"/>
                <w:b/>
                <w:bCs w:val="0"/>
                <w:color w:val="auto"/>
                <w:kern w:val="2"/>
                <w:sz w:val="21"/>
                <w:szCs w:val="21"/>
                <w:lang w:val="en-US" w:eastAsia="zh-CN" w:bidi="ar"/>
              </w:rPr>
              <w:t>时间</w:t>
            </w:r>
            <w:r>
              <w:rPr>
                <w:rFonts w:hint="default" w:ascii="Times New Roman" w:hAnsi="Times New Roman" w:eastAsia="宋体" w:cs="Times New Roman"/>
                <w:b/>
                <w:bCs w:val="0"/>
                <w:color w:val="auto"/>
                <w:kern w:val="2"/>
                <w:sz w:val="21"/>
                <w:szCs w:val="21"/>
                <w:lang w:val="en-US" w:eastAsia="zh-CN" w:bidi="ar"/>
              </w:rPr>
              <w:t>/h</w:t>
            </w:r>
          </w:p>
        </w:tc>
      </w:tr>
      <w:tr w14:paraId="664B830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40" w:hRule="atLeast"/>
          <w:jc w:val="center"/>
        </w:trPr>
        <w:tc>
          <w:tcPr>
            <w:tcW w:w="349" w:type="dxa"/>
            <w:vMerge w:val="continue"/>
            <w:tcBorders>
              <w:tl2br w:val="nil"/>
              <w:tr2bl w:val="nil"/>
            </w:tcBorders>
            <w:shd w:val="clear" w:color="auto" w:fill="auto"/>
            <w:vAlign w:val="center"/>
          </w:tcPr>
          <w:p w14:paraId="2B46522E">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b/>
                <w:bCs w:val="0"/>
                <w:color w:val="auto"/>
                <w:sz w:val="20"/>
                <w:szCs w:val="20"/>
              </w:rPr>
            </w:pPr>
          </w:p>
        </w:tc>
        <w:tc>
          <w:tcPr>
            <w:tcW w:w="339" w:type="dxa"/>
            <w:vMerge w:val="continue"/>
            <w:tcBorders>
              <w:tl2br w:val="nil"/>
              <w:tr2bl w:val="nil"/>
            </w:tcBorders>
            <w:shd w:val="clear" w:color="auto" w:fill="auto"/>
            <w:vAlign w:val="center"/>
          </w:tcPr>
          <w:p w14:paraId="6B4A7DD6">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b/>
                <w:bCs w:val="0"/>
                <w:color w:val="auto"/>
                <w:sz w:val="20"/>
                <w:szCs w:val="20"/>
              </w:rPr>
            </w:pPr>
          </w:p>
        </w:tc>
        <w:tc>
          <w:tcPr>
            <w:tcW w:w="678" w:type="dxa"/>
            <w:vMerge w:val="continue"/>
            <w:tcBorders>
              <w:tl2br w:val="nil"/>
              <w:tr2bl w:val="nil"/>
            </w:tcBorders>
            <w:shd w:val="clear" w:color="auto" w:fill="auto"/>
            <w:vAlign w:val="center"/>
          </w:tcPr>
          <w:p w14:paraId="14468905">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b/>
                <w:bCs w:val="0"/>
                <w:color w:val="auto"/>
                <w:sz w:val="20"/>
                <w:szCs w:val="20"/>
              </w:rPr>
            </w:pPr>
          </w:p>
        </w:tc>
        <w:tc>
          <w:tcPr>
            <w:tcW w:w="802" w:type="dxa"/>
            <w:vMerge w:val="continue"/>
            <w:tcBorders>
              <w:tl2br w:val="nil"/>
              <w:tr2bl w:val="nil"/>
            </w:tcBorders>
            <w:shd w:val="clear" w:color="auto" w:fill="auto"/>
            <w:vAlign w:val="center"/>
          </w:tcPr>
          <w:p w14:paraId="7FD29DB7">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b/>
                <w:bCs w:val="0"/>
                <w:color w:val="auto"/>
                <w:sz w:val="20"/>
                <w:szCs w:val="20"/>
              </w:rPr>
            </w:pPr>
          </w:p>
        </w:tc>
        <w:tc>
          <w:tcPr>
            <w:tcW w:w="352" w:type="dxa"/>
            <w:tcBorders>
              <w:tl2br w:val="nil"/>
              <w:tr2bl w:val="nil"/>
            </w:tcBorders>
            <w:shd w:val="clear" w:color="auto" w:fill="auto"/>
            <w:vAlign w:val="center"/>
          </w:tcPr>
          <w:p w14:paraId="584B79EC">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核算</w:t>
            </w:r>
          </w:p>
          <w:p w14:paraId="16049B84">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方法</w:t>
            </w:r>
          </w:p>
        </w:tc>
        <w:tc>
          <w:tcPr>
            <w:tcW w:w="532" w:type="dxa"/>
            <w:tcBorders>
              <w:tl2br w:val="nil"/>
              <w:tr2bl w:val="nil"/>
            </w:tcBorders>
            <w:shd w:val="clear" w:color="auto" w:fill="auto"/>
            <w:vAlign w:val="center"/>
          </w:tcPr>
          <w:p w14:paraId="610D4747">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产生</w:t>
            </w:r>
          </w:p>
          <w:p w14:paraId="65DEEE14">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废水</w:t>
            </w:r>
            <w:r>
              <w:rPr>
                <w:rFonts w:hint="default" w:ascii="Times New Roman" w:hAnsi="Times New Roman" w:eastAsia="宋体" w:cs="Times New Roman"/>
                <w:b/>
                <w:bCs w:val="0"/>
                <w:color w:val="auto"/>
                <w:kern w:val="2"/>
                <w:sz w:val="21"/>
                <w:szCs w:val="21"/>
                <w:lang w:val="en-US" w:eastAsia="zh-CN" w:bidi="ar"/>
              </w:rPr>
              <w:t>t/a</w:t>
            </w:r>
          </w:p>
        </w:tc>
        <w:tc>
          <w:tcPr>
            <w:tcW w:w="530" w:type="dxa"/>
            <w:tcBorders>
              <w:tl2br w:val="nil"/>
              <w:tr2bl w:val="nil"/>
            </w:tcBorders>
            <w:shd w:val="clear" w:color="auto" w:fill="auto"/>
            <w:vAlign w:val="center"/>
          </w:tcPr>
          <w:p w14:paraId="1DB0B105">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产生</w:t>
            </w:r>
          </w:p>
          <w:p w14:paraId="740FA396">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浓度</w:t>
            </w:r>
            <w:r>
              <w:rPr>
                <w:rFonts w:hint="default" w:ascii="Times New Roman" w:hAnsi="Times New Roman" w:eastAsia="宋体" w:cs="Times New Roman"/>
                <w:b/>
                <w:bCs w:val="0"/>
                <w:color w:val="auto"/>
                <w:kern w:val="2"/>
                <w:sz w:val="21"/>
                <w:szCs w:val="21"/>
                <w:lang w:val="en-US" w:eastAsia="zh-CN" w:bidi="ar"/>
              </w:rPr>
              <w:t>mg/L</w:t>
            </w:r>
          </w:p>
        </w:tc>
        <w:tc>
          <w:tcPr>
            <w:tcW w:w="624" w:type="dxa"/>
            <w:tcBorders>
              <w:tl2br w:val="nil"/>
              <w:tr2bl w:val="nil"/>
            </w:tcBorders>
            <w:shd w:val="clear" w:color="auto" w:fill="auto"/>
            <w:vAlign w:val="center"/>
          </w:tcPr>
          <w:p w14:paraId="29768DA0">
            <w:pPr>
              <w:keepNext w:val="0"/>
              <w:keepLines w:val="0"/>
              <w:widowControl/>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产生量</w:t>
            </w:r>
          </w:p>
          <w:p w14:paraId="1E2AC583">
            <w:pPr>
              <w:keepNext w:val="0"/>
              <w:keepLines w:val="0"/>
              <w:widowControl/>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default" w:ascii="Times New Roman" w:hAnsi="Times New Roman" w:eastAsia="宋体" w:cs="Times New Roman"/>
                <w:b/>
                <w:bCs w:val="0"/>
                <w:color w:val="auto"/>
                <w:kern w:val="2"/>
                <w:sz w:val="21"/>
                <w:szCs w:val="21"/>
                <w:lang w:val="en-US" w:eastAsia="zh-CN" w:bidi="ar"/>
              </w:rPr>
              <w:t>t/a</w:t>
            </w:r>
          </w:p>
        </w:tc>
        <w:tc>
          <w:tcPr>
            <w:tcW w:w="354" w:type="dxa"/>
            <w:tcBorders>
              <w:tl2br w:val="nil"/>
              <w:tr2bl w:val="nil"/>
            </w:tcBorders>
            <w:shd w:val="clear" w:color="auto" w:fill="auto"/>
            <w:vAlign w:val="center"/>
          </w:tcPr>
          <w:p w14:paraId="685E34E0">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工</w:t>
            </w:r>
          </w:p>
          <w:p w14:paraId="5298783A">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艺</w:t>
            </w:r>
          </w:p>
        </w:tc>
        <w:tc>
          <w:tcPr>
            <w:tcW w:w="619" w:type="dxa"/>
            <w:tcBorders>
              <w:tl2br w:val="nil"/>
              <w:tr2bl w:val="nil"/>
            </w:tcBorders>
            <w:shd w:val="clear" w:color="auto" w:fill="auto"/>
            <w:vAlign w:val="center"/>
          </w:tcPr>
          <w:p w14:paraId="71E34B13">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效</w:t>
            </w:r>
          </w:p>
          <w:p w14:paraId="5FE19EA6">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率</w:t>
            </w:r>
            <w:r>
              <w:rPr>
                <w:rFonts w:hint="default" w:ascii="Times New Roman" w:hAnsi="Times New Roman" w:eastAsia="宋体" w:cs="Times New Roman"/>
                <w:b/>
                <w:bCs w:val="0"/>
                <w:color w:val="auto"/>
                <w:kern w:val="2"/>
                <w:sz w:val="21"/>
                <w:szCs w:val="21"/>
                <w:lang w:val="en-US" w:eastAsia="zh-CN" w:bidi="ar"/>
              </w:rPr>
              <w:t>%</w:t>
            </w:r>
          </w:p>
        </w:tc>
        <w:tc>
          <w:tcPr>
            <w:tcW w:w="354" w:type="dxa"/>
            <w:tcBorders>
              <w:tl2br w:val="nil"/>
              <w:tr2bl w:val="nil"/>
            </w:tcBorders>
            <w:shd w:val="clear" w:color="auto" w:fill="auto"/>
            <w:vAlign w:val="center"/>
          </w:tcPr>
          <w:p w14:paraId="4EA805ED">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核算方法</w:t>
            </w:r>
          </w:p>
        </w:tc>
        <w:tc>
          <w:tcPr>
            <w:tcW w:w="572" w:type="dxa"/>
            <w:tcBorders>
              <w:tl2br w:val="nil"/>
              <w:tr2bl w:val="nil"/>
            </w:tcBorders>
            <w:shd w:val="clear" w:color="auto" w:fill="auto"/>
            <w:vAlign w:val="center"/>
          </w:tcPr>
          <w:p w14:paraId="54BB8B2F">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排放</w:t>
            </w:r>
          </w:p>
          <w:p w14:paraId="56171A4A">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废水</w:t>
            </w:r>
          </w:p>
          <w:p w14:paraId="03A6C41C">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default" w:ascii="Times New Roman" w:hAnsi="Times New Roman" w:eastAsia="宋体" w:cs="Times New Roman"/>
                <w:b/>
                <w:bCs w:val="0"/>
                <w:color w:val="auto"/>
                <w:kern w:val="2"/>
                <w:sz w:val="21"/>
                <w:szCs w:val="21"/>
                <w:lang w:val="en-US" w:eastAsia="zh-CN" w:bidi="ar"/>
              </w:rPr>
              <w:t>t/a</w:t>
            </w:r>
          </w:p>
        </w:tc>
        <w:tc>
          <w:tcPr>
            <w:tcW w:w="503" w:type="dxa"/>
            <w:tcBorders>
              <w:tl2br w:val="nil"/>
              <w:tr2bl w:val="nil"/>
            </w:tcBorders>
            <w:shd w:val="clear" w:color="auto" w:fill="auto"/>
            <w:vAlign w:val="center"/>
          </w:tcPr>
          <w:p w14:paraId="3E1B3C9C">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排放浓度</w:t>
            </w:r>
            <w:r>
              <w:rPr>
                <w:rFonts w:hint="default" w:ascii="Times New Roman" w:hAnsi="Times New Roman" w:eastAsia="宋体" w:cs="Times New Roman"/>
                <w:b/>
                <w:bCs w:val="0"/>
                <w:color w:val="auto"/>
                <w:kern w:val="2"/>
                <w:sz w:val="21"/>
                <w:szCs w:val="21"/>
                <w:lang w:val="en-US" w:eastAsia="zh-CN" w:bidi="ar"/>
              </w:rPr>
              <w:t>mg/L</w:t>
            </w:r>
          </w:p>
        </w:tc>
        <w:tc>
          <w:tcPr>
            <w:tcW w:w="684" w:type="dxa"/>
            <w:tcBorders>
              <w:tl2br w:val="nil"/>
              <w:tr2bl w:val="nil"/>
            </w:tcBorders>
            <w:shd w:val="clear" w:color="auto" w:fill="auto"/>
            <w:vAlign w:val="center"/>
          </w:tcPr>
          <w:p w14:paraId="3459E480">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排放量</w:t>
            </w:r>
          </w:p>
          <w:p w14:paraId="2ACE8150">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Times New Roman" w:hAnsi="Times New Roman" w:eastAsia="宋体" w:cs="Times New Roman"/>
                <w:b/>
                <w:bCs w:val="0"/>
                <w:color w:val="auto"/>
                <w:kern w:val="2"/>
                <w:sz w:val="21"/>
                <w:szCs w:val="21"/>
                <w:lang w:val="en-US" w:eastAsia="zh-CN" w:bidi="ar"/>
              </w:rPr>
              <w:t>kg</w:t>
            </w:r>
            <w:r>
              <w:rPr>
                <w:rFonts w:hint="default" w:ascii="Times New Roman" w:hAnsi="Times New Roman" w:eastAsia="宋体" w:cs="Times New Roman"/>
                <w:b/>
                <w:bCs w:val="0"/>
                <w:color w:val="auto"/>
                <w:kern w:val="2"/>
                <w:sz w:val="21"/>
                <w:szCs w:val="21"/>
                <w:lang w:val="en-US" w:eastAsia="zh-CN" w:bidi="ar"/>
              </w:rPr>
              <w:t>/d</w:t>
            </w:r>
          </w:p>
        </w:tc>
        <w:tc>
          <w:tcPr>
            <w:tcW w:w="475" w:type="dxa"/>
            <w:tcBorders>
              <w:tl2br w:val="nil"/>
              <w:tr2bl w:val="nil"/>
            </w:tcBorders>
            <w:shd w:val="clear" w:color="auto" w:fill="auto"/>
            <w:vAlign w:val="center"/>
          </w:tcPr>
          <w:p w14:paraId="7BC9DC9E">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eastAsia" w:ascii="宋体" w:hAnsi="宋体" w:eastAsia="宋体" w:cs="宋体"/>
                <w:b/>
                <w:bCs w:val="0"/>
                <w:color w:val="auto"/>
                <w:kern w:val="2"/>
                <w:sz w:val="21"/>
                <w:szCs w:val="21"/>
                <w:lang w:val="en-US" w:eastAsia="zh-CN" w:bidi="ar"/>
              </w:rPr>
              <w:t>排放量</w:t>
            </w:r>
          </w:p>
          <w:p w14:paraId="1B7BF7AE">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b/>
                <w:bCs w:val="0"/>
                <w:color w:val="auto"/>
                <w:kern w:val="2"/>
                <w:sz w:val="21"/>
                <w:szCs w:val="21"/>
              </w:rPr>
            </w:pPr>
            <w:r>
              <w:rPr>
                <w:rFonts w:hint="default" w:ascii="Times New Roman" w:hAnsi="Times New Roman" w:eastAsia="宋体" w:cs="Times New Roman"/>
                <w:b/>
                <w:bCs w:val="0"/>
                <w:color w:val="auto"/>
                <w:kern w:val="2"/>
                <w:sz w:val="21"/>
                <w:szCs w:val="21"/>
                <w:lang w:val="en-US" w:eastAsia="zh-CN" w:bidi="ar"/>
              </w:rPr>
              <w:t>t/a</w:t>
            </w:r>
          </w:p>
        </w:tc>
        <w:tc>
          <w:tcPr>
            <w:tcW w:w="508" w:type="dxa"/>
            <w:vMerge w:val="continue"/>
            <w:tcBorders>
              <w:tl2br w:val="nil"/>
              <w:tr2bl w:val="nil"/>
            </w:tcBorders>
            <w:shd w:val="clear" w:color="auto" w:fill="auto"/>
            <w:vAlign w:val="center"/>
          </w:tcPr>
          <w:p w14:paraId="7E25B177">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r>
      <w:tr w14:paraId="2EC7620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40" w:hRule="atLeast"/>
          <w:jc w:val="center"/>
        </w:trPr>
        <w:tc>
          <w:tcPr>
            <w:tcW w:w="349" w:type="dxa"/>
            <w:vMerge w:val="restart"/>
            <w:tcBorders>
              <w:tl2br w:val="nil"/>
              <w:tr2bl w:val="nil"/>
            </w:tcBorders>
            <w:shd w:val="clear" w:color="auto" w:fill="auto"/>
            <w:vAlign w:val="center"/>
          </w:tcPr>
          <w:p w14:paraId="1F83DA74">
            <w:pPr>
              <w:keepNext w:val="0"/>
              <w:keepLines w:val="0"/>
              <w:widowControl w:val="0"/>
              <w:suppressLineNumbers w:val="0"/>
              <w:autoSpaceDE w:val="0"/>
              <w:autoSpaceDN/>
              <w:snapToGrid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办公</w:t>
            </w:r>
          </w:p>
        </w:tc>
        <w:tc>
          <w:tcPr>
            <w:tcW w:w="339" w:type="dxa"/>
            <w:vMerge w:val="restart"/>
            <w:tcBorders>
              <w:tl2br w:val="nil"/>
              <w:tr2bl w:val="nil"/>
            </w:tcBorders>
            <w:shd w:val="clear" w:color="auto" w:fill="auto"/>
            <w:vAlign w:val="center"/>
          </w:tcPr>
          <w:p w14:paraId="6B065A4F">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办公、生活</w:t>
            </w:r>
          </w:p>
        </w:tc>
        <w:tc>
          <w:tcPr>
            <w:tcW w:w="678" w:type="dxa"/>
            <w:vMerge w:val="restart"/>
            <w:tcBorders>
              <w:tl2br w:val="nil"/>
              <w:tr2bl w:val="nil"/>
            </w:tcBorders>
            <w:shd w:val="clear" w:color="auto" w:fill="auto"/>
            <w:vAlign w:val="center"/>
          </w:tcPr>
          <w:p w14:paraId="6806372D">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职工生活制备废水等</w:t>
            </w:r>
          </w:p>
        </w:tc>
        <w:tc>
          <w:tcPr>
            <w:tcW w:w="802" w:type="dxa"/>
            <w:tcBorders>
              <w:tl2br w:val="nil"/>
              <w:tr2bl w:val="nil"/>
            </w:tcBorders>
            <w:shd w:val="clear" w:color="auto" w:fill="auto"/>
            <w:vAlign w:val="center"/>
          </w:tcPr>
          <w:p w14:paraId="092E730E">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COD</w:t>
            </w:r>
          </w:p>
        </w:tc>
        <w:tc>
          <w:tcPr>
            <w:tcW w:w="352" w:type="dxa"/>
            <w:vMerge w:val="restart"/>
            <w:tcBorders>
              <w:tl2br w:val="nil"/>
              <w:tr2bl w:val="nil"/>
            </w:tcBorders>
            <w:shd w:val="clear" w:color="auto" w:fill="auto"/>
            <w:vAlign w:val="center"/>
          </w:tcPr>
          <w:p w14:paraId="40B7241B">
            <w:pPr>
              <w:keepNext w:val="0"/>
              <w:keepLines w:val="0"/>
              <w:widowControl w:val="0"/>
              <w:suppressLineNumbers w:val="0"/>
              <w:autoSpaceDE w:val="0"/>
              <w:autoSpaceDN/>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类比法</w:t>
            </w:r>
          </w:p>
        </w:tc>
        <w:tc>
          <w:tcPr>
            <w:tcW w:w="532" w:type="dxa"/>
            <w:vMerge w:val="restart"/>
            <w:tcBorders>
              <w:tl2br w:val="nil"/>
              <w:tr2bl w:val="nil"/>
            </w:tcBorders>
            <w:shd w:val="clear" w:color="auto" w:fill="auto"/>
            <w:vAlign w:val="center"/>
          </w:tcPr>
          <w:p w14:paraId="3538C1A7">
            <w:pPr>
              <w:keepNext w:val="0"/>
              <w:keepLines w:val="0"/>
              <w:widowControl/>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rPr>
            </w:pPr>
            <w:r>
              <w:rPr>
                <w:rFonts w:hint="eastAsia" w:ascii="Times New Roman" w:hAnsi="Times New Roman" w:eastAsia="宋体" w:cs="Times New Roman"/>
                <w:i w:val="0"/>
                <w:iCs w:val="0"/>
                <w:color w:val="auto"/>
                <w:kern w:val="0"/>
                <w:sz w:val="21"/>
                <w:szCs w:val="21"/>
                <w:lang w:val="en-US" w:eastAsia="zh-CN" w:bidi="ar"/>
              </w:rPr>
              <w:t>500</w:t>
            </w:r>
          </w:p>
        </w:tc>
        <w:tc>
          <w:tcPr>
            <w:tcW w:w="530" w:type="dxa"/>
            <w:tcBorders>
              <w:tl2br w:val="nil"/>
              <w:tr2bl w:val="nil"/>
            </w:tcBorders>
            <w:shd w:val="clear" w:color="auto" w:fill="auto"/>
            <w:vAlign w:val="center"/>
          </w:tcPr>
          <w:p w14:paraId="6102E28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lang w:val="en-US"/>
              </w:rPr>
            </w:pPr>
            <w:r>
              <w:rPr>
                <w:rFonts w:hint="default" w:ascii="Times New Roman" w:hAnsi="Times New Roman" w:eastAsia="宋体" w:cs="Times New Roman"/>
                <w:i w:val="0"/>
                <w:iCs w:val="0"/>
                <w:color w:val="auto"/>
                <w:kern w:val="0"/>
                <w:sz w:val="21"/>
                <w:szCs w:val="21"/>
                <w:u w:val="none"/>
                <w:lang w:val="en-US" w:eastAsia="zh-CN" w:bidi="ar"/>
              </w:rPr>
              <w:t>250</w:t>
            </w:r>
          </w:p>
        </w:tc>
        <w:tc>
          <w:tcPr>
            <w:tcW w:w="624" w:type="dxa"/>
            <w:tcBorders>
              <w:tl2br w:val="nil"/>
              <w:tr2bl w:val="nil"/>
            </w:tcBorders>
            <w:shd w:val="clear" w:color="auto" w:fill="auto"/>
            <w:vAlign w:val="center"/>
          </w:tcPr>
          <w:p w14:paraId="4151491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0.125 </w:t>
            </w:r>
          </w:p>
        </w:tc>
        <w:tc>
          <w:tcPr>
            <w:tcW w:w="354" w:type="dxa"/>
            <w:vMerge w:val="restart"/>
            <w:tcBorders>
              <w:tl2br w:val="nil"/>
              <w:tr2bl w:val="nil"/>
            </w:tcBorders>
            <w:shd w:val="clear" w:color="auto" w:fill="auto"/>
            <w:vAlign w:val="center"/>
          </w:tcPr>
          <w:p w14:paraId="7D80BC9A">
            <w:pPr>
              <w:keepNext w:val="0"/>
              <w:keepLines w:val="0"/>
              <w:widowControl/>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i w:val="0"/>
                <w:iCs w:val="0"/>
                <w:color w:val="auto"/>
                <w:kern w:val="0"/>
                <w:sz w:val="21"/>
                <w:szCs w:val="21"/>
                <w:lang w:val="en-US" w:eastAsia="zh-CN" w:bidi="ar"/>
              </w:rPr>
              <w:t>/</w:t>
            </w:r>
          </w:p>
        </w:tc>
        <w:tc>
          <w:tcPr>
            <w:tcW w:w="619" w:type="dxa"/>
            <w:tcBorders>
              <w:tl2br w:val="nil"/>
              <w:tr2bl w:val="nil"/>
            </w:tcBorders>
            <w:shd w:val="clear" w:color="auto" w:fill="auto"/>
            <w:vAlign w:val="center"/>
          </w:tcPr>
          <w:p w14:paraId="28E2BF7E">
            <w:pPr>
              <w:keepNext w:val="0"/>
              <w:keepLines w:val="0"/>
              <w:widowControl/>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Times New Roman" w:hAnsi="Times New Roman" w:eastAsia="宋体" w:cs="Times New Roman"/>
                <w:i w:val="0"/>
                <w:iCs w:val="0"/>
                <w:color w:val="auto"/>
                <w:kern w:val="0"/>
                <w:sz w:val="21"/>
                <w:szCs w:val="21"/>
                <w:lang w:val="en-US" w:eastAsia="zh-CN" w:bidi="ar"/>
              </w:rPr>
              <w:t>/</w:t>
            </w:r>
          </w:p>
        </w:tc>
        <w:tc>
          <w:tcPr>
            <w:tcW w:w="354" w:type="dxa"/>
            <w:vMerge w:val="restart"/>
            <w:tcBorders>
              <w:tl2br w:val="nil"/>
              <w:tr2bl w:val="nil"/>
            </w:tcBorders>
            <w:shd w:val="clear" w:color="auto" w:fill="auto"/>
            <w:vAlign w:val="center"/>
          </w:tcPr>
          <w:p w14:paraId="492F87D4">
            <w:pPr>
              <w:keepNext w:val="0"/>
              <w:keepLines w:val="0"/>
              <w:widowControl/>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rPr>
            </w:pPr>
            <w:r>
              <w:rPr>
                <w:rFonts w:hint="eastAsia" w:ascii="宋体" w:hAnsi="宋体" w:eastAsia="宋体" w:cs="宋体"/>
                <w:i w:val="0"/>
                <w:iCs w:val="0"/>
                <w:color w:val="auto"/>
                <w:kern w:val="0"/>
                <w:sz w:val="21"/>
                <w:szCs w:val="21"/>
                <w:lang w:val="en-US" w:eastAsia="zh-CN" w:bidi="ar"/>
              </w:rPr>
              <w:t>类比法</w:t>
            </w:r>
          </w:p>
        </w:tc>
        <w:tc>
          <w:tcPr>
            <w:tcW w:w="572" w:type="dxa"/>
            <w:vMerge w:val="restart"/>
            <w:tcBorders>
              <w:tl2br w:val="nil"/>
              <w:tr2bl w:val="nil"/>
            </w:tcBorders>
            <w:shd w:val="clear" w:color="auto" w:fill="auto"/>
            <w:vAlign w:val="center"/>
          </w:tcPr>
          <w:p w14:paraId="0B18E680">
            <w:pPr>
              <w:keepNext w:val="0"/>
              <w:keepLines w:val="0"/>
              <w:widowControl/>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rPr>
            </w:pPr>
            <w:r>
              <w:rPr>
                <w:rFonts w:hint="eastAsia" w:ascii="Times New Roman" w:hAnsi="Times New Roman" w:eastAsia="宋体" w:cs="Times New Roman"/>
                <w:i w:val="0"/>
                <w:iCs w:val="0"/>
                <w:color w:val="auto"/>
                <w:kern w:val="0"/>
                <w:sz w:val="21"/>
                <w:szCs w:val="21"/>
                <w:lang w:val="en-US" w:eastAsia="zh-CN" w:bidi="ar"/>
              </w:rPr>
              <w:t>500</w:t>
            </w:r>
          </w:p>
        </w:tc>
        <w:tc>
          <w:tcPr>
            <w:tcW w:w="503" w:type="dxa"/>
            <w:tcBorders>
              <w:tl2br w:val="nil"/>
              <w:tr2bl w:val="nil"/>
            </w:tcBorders>
            <w:shd w:val="clear" w:color="auto" w:fill="auto"/>
            <w:vAlign w:val="center"/>
          </w:tcPr>
          <w:p w14:paraId="508B982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250</w:t>
            </w:r>
          </w:p>
        </w:tc>
        <w:tc>
          <w:tcPr>
            <w:tcW w:w="684" w:type="dxa"/>
            <w:tcBorders>
              <w:tl2br w:val="nil"/>
              <w:tr2bl w:val="nil"/>
            </w:tcBorders>
            <w:shd w:val="clear" w:color="auto" w:fill="auto"/>
            <w:vAlign w:val="center"/>
          </w:tcPr>
          <w:p w14:paraId="613140A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0.417 </w:t>
            </w:r>
          </w:p>
        </w:tc>
        <w:tc>
          <w:tcPr>
            <w:tcW w:w="475" w:type="dxa"/>
            <w:tcBorders>
              <w:tl2br w:val="nil"/>
              <w:tr2bl w:val="nil"/>
            </w:tcBorders>
            <w:shd w:val="clear" w:color="auto" w:fill="auto"/>
            <w:vAlign w:val="center"/>
          </w:tcPr>
          <w:p w14:paraId="10EDD8C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0.125</w:t>
            </w:r>
          </w:p>
        </w:tc>
        <w:tc>
          <w:tcPr>
            <w:tcW w:w="508" w:type="dxa"/>
            <w:vMerge w:val="restart"/>
            <w:tcBorders>
              <w:tl2br w:val="nil"/>
              <w:tr2bl w:val="nil"/>
            </w:tcBorders>
            <w:shd w:val="clear" w:color="auto" w:fill="auto"/>
            <w:vAlign w:val="center"/>
          </w:tcPr>
          <w:p w14:paraId="2E3B96ED">
            <w:pPr>
              <w:keepNext w:val="0"/>
              <w:keepLines w:val="0"/>
              <w:widowControl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rPr>
            </w:pPr>
            <w:r>
              <w:rPr>
                <w:rFonts w:hint="eastAsia" w:ascii="Times New Roman" w:hAnsi="Times New Roman" w:eastAsia="宋体" w:cs="Times New Roman"/>
                <w:color w:val="auto"/>
                <w:kern w:val="2"/>
                <w:sz w:val="21"/>
                <w:szCs w:val="21"/>
                <w:lang w:val="en-US" w:eastAsia="zh-CN" w:bidi="ar"/>
              </w:rPr>
              <w:t>4800</w:t>
            </w:r>
          </w:p>
        </w:tc>
      </w:tr>
      <w:tr w14:paraId="77485BB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40" w:hRule="atLeast"/>
          <w:jc w:val="center"/>
        </w:trPr>
        <w:tc>
          <w:tcPr>
            <w:tcW w:w="349" w:type="dxa"/>
            <w:vMerge w:val="continue"/>
            <w:tcBorders>
              <w:tl2br w:val="nil"/>
              <w:tr2bl w:val="nil"/>
            </w:tcBorders>
            <w:shd w:val="clear" w:color="auto" w:fill="auto"/>
            <w:vAlign w:val="center"/>
          </w:tcPr>
          <w:p w14:paraId="5D9383D5">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339" w:type="dxa"/>
            <w:vMerge w:val="continue"/>
            <w:tcBorders>
              <w:tl2br w:val="nil"/>
              <w:tr2bl w:val="nil"/>
            </w:tcBorders>
            <w:shd w:val="clear" w:color="auto" w:fill="auto"/>
            <w:vAlign w:val="center"/>
          </w:tcPr>
          <w:p w14:paraId="36F61727">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678" w:type="dxa"/>
            <w:vMerge w:val="continue"/>
            <w:tcBorders>
              <w:tl2br w:val="nil"/>
              <w:tr2bl w:val="nil"/>
            </w:tcBorders>
            <w:shd w:val="clear" w:color="auto" w:fill="auto"/>
            <w:vAlign w:val="center"/>
          </w:tcPr>
          <w:p w14:paraId="2957851B">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802" w:type="dxa"/>
            <w:tcBorders>
              <w:tl2br w:val="nil"/>
              <w:tr2bl w:val="nil"/>
            </w:tcBorders>
            <w:shd w:val="clear" w:color="auto" w:fill="auto"/>
            <w:vAlign w:val="center"/>
          </w:tcPr>
          <w:p w14:paraId="23AB5491">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BOD</w:t>
            </w:r>
            <w:r>
              <w:rPr>
                <w:rFonts w:hint="default" w:ascii="Times New Roman" w:hAnsi="Times New Roman" w:eastAsia="宋体" w:cs="Times New Roman"/>
                <w:color w:val="auto"/>
                <w:kern w:val="2"/>
                <w:sz w:val="21"/>
                <w:szCs w:val="21"/>
                <w:vertAlign w:val="subscript"/>
                <w:lang w:val="en-US" w:eastAsia="zh-CN" w:bidi="ar"/>
              </w:rPr>
              <w:t>5</w:t>
            </w:r>
          </w:p>
        </w:tc>
        <w:tc>
          <w:tcPr>
            <w:tcW w:w="352" w:type="dxa"/>
            <w:vMerge w:val="continue"/>
            <w:tcBorders>
              <w:tl2br w:val="nil"/>
              <w:tr2bl w:val="nil"/>
            </w:tcBorders>
            <w:shd w:val="clear" w:color="auto" w:fill="auto"/>
            <w:vAlign w:val="center"/>
          </w:tcPr>
          <w:p w14:paraId="058CD4B8">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532" w:type="dxa"/>
            <w:vMerge w:val="continue"/>
            <w:tcBorders>
              <w:tl2br w:val="nil"/>
              <w:tr2bl w:val="nil"/>
            </w:tcBorders>
            <w:shd w:val="clear" w:color="auto" w:fill="auto"/>
            <w:vAlign w:val="center"/>
          </w:tcPr>
          <w:p w14:paraId="38CEB496">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530" w:type="dxa"/>
            <w:tcBorders>
              <w:tl2br w:val="nil"/>
              <w:tr2bl w:val="nil"/>
            </w:tcBorders>
            <w:shd w:val="clear" w:color="auto" w:fill="auto"/>
            <w:vAlign w:val="center"/>
          </w:tcPr>
          <w:p w14:paraId="0CB4030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150</w:t>
            </w:r>
          </w:p>
        </w:tc>
        <w:tc>
          <w:tcPr>
            <w:tcW w:w="624" w:type="dxa"/>
            <w:tcBorders>
              <w:tl2br w:val="nil"/>
              <w:tr2bl w:val="nil"/>
            </w:tcBorders>
            <w:shd w:val="clear" w:color="auto" w:fill="auto"/>
            <w:vAlign w:val="center"/>
          </w:tcPr>
          <w:p w14:paraId="6BCF551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0.075 </w:t>
            </w:r>
          </w:p>
        </w:tc>
        <w:tc>
          <w:tcPr>
            <w:tcW w:w="354" w:type="dxa"/>
            <w:vMerge w:val="continue"/>
            <w:tcBorders>
              <w:tl2br w:val="nil"/>
              <w:tr2bl w:val="nil"/>
            </w:tcBorders>
            <w:shd w:val="clear" w:color="auto" w:fill="auto"/>
            <w:vAlign w:val="center"/>
          </w:tcPr>
          <w:p w14:paraId="6E772958">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619" w:type="dxa"/>
            <w:tcBorders>
              <w:tl2br w:val="nil"/>
              <w:tr2bl w:val="nil"/>
            </w:tcBorders>
            <w:shd w:val="clear" w:color="auto" w:fill="auto"/>
            <w:vAlign w:val="center"/>
          </w:tcPr>
          <w:p w14:paraId="0C863F5A">
            <w:pPr>
              <w:keepNext w:val="0"/>
              <w:keepLines w:val="0"/>
              <w:widowControl/>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rPr>
            </w:pPr>
            <w:r>
              <w:rPr>
                <w:rFonts w:hint="eastAsia" w:ascii="Times New Roman" w:hAnsi="Times New Roman" w:eastAsia="宋体" w:cs="Times New Roman"/>
                <w:i w:val="0"/>
                <w:iCs w:val="0"/>
                <w:color w:val="auto"/>
                <w:kern w:val="0"/>
                <w:sz w:val="21"/>
                <w:szCs w:val="21"/>
                <w:lang w:val="en-US" w:eastAsia="zh-CN" w:bidi="ar"/>
              </w:rPr>
              <w:t>/</w:t>
            </w:r>
          </w:p>
        </w:tc>
        <w:tc>
          <w:tcPr>
            <w:tcW w:w="354" w:type="dxa"/>
            <w:vMerge w:val="continue"/>
            <w:tcBorders>
              <w:tl2br w:val="nil"/>
              <w:tr2bl w:val="nil"/>
            </w:tcBorders>
            <w:shd w:val="clear" w:color="auto" w:fill="auto"/>
            <w:vAlign w:val="center"/>
          </w:tcPr>
          <w:p w14:paraId="620322E8">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572" w:type="dxa"/>
            <w:vMerge w:val="continue"/>
            <w:tcBorders>
              <w:tl2br w:val="nil"/>
              <w:tr2bl w:val="nil"/>
            </w:tcBorders>
            <w:shd w:val="clear" w:color="auto" w:fill="auto"/>
            <w:vAlign w:val="center"/>
          </w:tcPr>
          <w:p w14:paraId="76A08855">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503" w:type="dxa"/>
            <w:tcBorders>
              <w:tl2br w:val="nil"/>
              <w:tr2bl w:val="nil"/>
            </w:tcBorders>
            <w:shd w:val="clear" w:color="auto" w:fill="auto"/>
            <w:vAlign w:val="center"/>
          </w:tcPr>
          <w:p w14:paraId="7890301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150</w:t>
            </w:r>
          </w:p>
        </w:tc>
        <w:tc>
          <w:tcPr>
            <w:tcW w:w="684" w:type="dxa"/>
            <w:tcBorders>
              <w:tl2br w:val="nil"/>
              <w:tr2bl w:val="nil"/>
            </w:tcBorders>
            <w:shd w:val="clear" w:color="auto" w:fill="auto"/>
            <w:vAlign w:val="center"/>
          </w:tcPr>
          <w:p w14:paraId="301A363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0.250 </w:t>
            </w:r>
          </w:p>
        </w:tc>
        <w:tc>
          <w:tcPr>
            <w:tcW w:w="475" w:type="dxa"/>
            <w:tcBorders>
              <w:tl2br w:val="nil"/>
              <w:tr2bl w:val="nil"/>
            </w:tcBorders>
            <w:shd w:val="clear" w:color="auto" w:fill="auto"/>
            <w:vAlign w:val="center"/>
          </w:tcPr>
          <w:p w14:paraId="10D5C1C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0.075</w:t>
            </w:r>
          </w:p>
        </w:tc>
        <w:tc>
          <w:tcPr>
            <w:tcW w:w="508" w:type="dxa"/>
            <w:vMerge w:val="continue"/>
            <w:tcBorders>
              <w:tl2br w:val="nil"/>
              <w:tr2bl w:val="nil"/>
            </w:tcBorders>
            <w:shd w:val="clear" w:color="auto" w:fill="auto"/>
            <w:vAlign w:val="center"/>
          </w:tcPr>
          <w:p w14:paraId="1F6969E0">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r>
      <w:tr w14:paraId="180FC12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40" w:hRule="atLeast"/>
          <w:jc w:val="center"/>
        </w:trPr>
        <w:tc>
          <w:tcPr>
            <w:tcW w:w="349" w:type="dxa"/>
            <w:vMerge w:val="continue"/>
            <w:tcBorders>
              <w:tl2br w:val="nil"/>
              <w:tr2bl w:val="nil"/>
            </w:tcBorders>
            <w:shd w:val="clear" w:color="auto" w:fill="auto"/>
            <w:vAlign w:val="center"/>
          </w:tcPr>
          <w:p w14:paraId="6BDB01FF">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339" w:type="dxa"/>
            <w:vMerge w:val="continue"/>
            <w:tcBorders>
              <w:tl2br w:val="nil"/>
              <w:tr2bl w:val="nil"/>
            </w:tcBorders>
            <w:shd w:val="clear" w:color="auto" w:fill="auto"/>
            <w:vAlign w:val="center"/>
          </w:tcPr>
          <w:p w14:paraId="57834388">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678" w:type="dxa"/>
            <w:vMerge w:val="continue"/>
            <w:tcBorders>
              <w:tl2br w:val="nil"/>
              <w:tr2bl w:val="nil"/>
            </w:tcBorders>
            <w:shd w:val="clear" w:color="auto" w:fill="auto"/>
            <w:vAlign w:val="center"/>
          </w:tcPr>
          <w:p w14:paraId="6782BB8D">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802" w:type="dxa"/>
            <w:tcBorders>
              <w:tl2br w:val="nil"/>
              <w:tr2bl w:val="nil"/>
            </w:tcBorders>
            <w:shd w:val="clear" w:color="auto" w:fill="auto"/>
            <w:vAlign w:val="center"/>
          </w:tcPr>
          <w:p w14:paraId="063CCBC1">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SS</w:t>
            </w:r>
          </w:p>
        </w:tc>
        <w:tc>
          <w:tcPr>
            <w:tcW w:w="352" w:type="dxa"/>
            <w:vMerge w:val="continue"/>
            <w:tcBorders>
              <w:tl2br w:val="nil"/>
              <w:tr2bl w:val="nil"/>
            </w:tcBorders>
            <w:shd w:val="clear" w:color="auto" w:fill="auto"/>
            <w:vAlign w:val="center"/>
          </w:tcPr>
          <w:p w14:paraId="65FC4770">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532" w:type="dxa"/>
            <w:vMerge w:val="continue"/>
            <w:tcBorders>
              <w:tl2br w:val="nil"/>
              <w:tr2bl w:val="nil"/>
            </w:tcBorders>
            <w:shd w:val="clear" w:color="auto" w:fill="auto"/>
            <w:vAlign w:val="center"/>
          </w:tcPr>
          <w:p w14:paraId="20A9BF34">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530" w:type="dxa"/>
            <w:tcBorders>
              <w:tl2br w:val="nil"/>
              <w:tr2bl w:val="nil"/>
            </w:tcBorders>
            <w:shd w:val="clear" w:color="auto" w:fill="auto"/>
            <w:vAlign w:val="center"/>
          </w:tcPr>
          <w:p w14:paraId="43ECE64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lang w:val="en-US"/>
              </w:rPr>
            </w:pPr>
            <w:r>
              <w:rPr>
                <w:rFonts w:hint="default" w:ascii="Times New Roman" w:hAnsi="Times New Roman" w:eastAsia="宋体" w:cs="Times New Roman"/>
                <w:i w:val="0"/>
                <w:iCs w:val="0"/>
                <w:color w:val="auto"/>
                <w:kern w:val="0"/>
                <w:sz w:val="21"/>
                <w:szCs w:val="21"/>
                <w:u w:val="none"/>
                <w:lang w:val="en-US" w:eastAsia="zh-CN" w:bidi="ar"/>
              </w:rPr>
              <w:t>150</w:t>
            </w:r>
          </w:p>
        </w:tc>
        <w:tc>
          <w:tcPr>
            <w:tcW w:w="624" w:type="dxa"/>
            <w:tcBorders>
              <w:tl2br w:val="nil"/>
              <w:tr2bl w:val="nil"/>
            </w:tcBorders>
            <w:shd w:val="clear" w:color="auto" w:fill="auto"/>
            <w:vAlign w:val="center"/>
          </w:tcPr>
          <w:p w14:paraId="526A287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0.075 </w:t>
            </w:r>
          </w:p>
        </w:tc>
        <w:tc>
          <w:tcPr>
            <w:tcW w:w="354" w:type="dxa"/>
            <w:vMerge w:val="continue"/>
            <w:tcBorders>
              <w:tl2br w:val="nil"/>
              <w:tr2bl w:val="nil"/>
            </w:tcBorders>
            <w:shd w:val="clear" w:color="auto" w:fill="auto"/>
            <w:vAlign w:val="center"/>
          </w:tcPr>
          <w:p w14:paraId="506574FA">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619" w:type="dxa"/>
            <w:tcBorders>
              <w:tl2br w:val="nil"/>
              <w:tr2bl w:val="nil"/>
            </w:tcBorders>
            <w:shd w:val="clear" w:color="auto" w:fill="auto"/>
            <w:vAlign w:val="center"/>
          </w:tcPr>
          <w:p w14:paraId="1F81AF21">
            <w:pPr>
              <w:keepNext w:val="0"/>
              <w:keepLines w:val="0"/>
              <w:widowControl/>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Times New Roman" w:hAnsi="Times New Roman" w:eastAsia="宋体" w:cs="Times New Roman"/>
                <w:i w:val="0"/>
                <w:iCs w:val="0"/>
                <w:color w:val="auto"/>
                <w:kern w:val="0"/>
                <w:sz w:val="21"/>
                <w:szCs w:val="21"/>
                <w:lang w:val="en-US" w:eastAsia="zh-CN" w:bidi="ar"/>
              </w:rPr>
              <w:t>/</w:t>
            </w:r>
          </w:p>
        </w:tc>
        <w:tc>
          <w:tcPr>
            <w:tcW w:w="354" w:type="dxa"/>
            <w:vMerge w:val="continue"/>
            <w:tcBorders>
              <w:tl2br w:val="nil"/>
              <w:tr2bl w:val="nil"/>
            </w:tcBorders>
            <w:shd w:val="clear" w:color="auto" w:fill="auto"/>
            <w:vAlign w:val="center"/>
          </w:tcPr>
          <w:p w14:paraId="54D17B22">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572" w:type="dxa"/>
            <w:vMerge w:val="continue"/>
            <w:tcBorders>
              <w:tl2br w:val="nil"/>
              <w:tr2bl w:val="nil"/>
            </w:tcBorders>
            <w:shd w:val="clear" w:color="auto" w:fill="auto"/>
            <w:vAlign w:val="center"/>
          </w:tcPr>
          <w:p w14:paraId="5C2895A6">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503" w:type="dxa"/>
            <w:tcBorders>
              <w:tl2br w:val="nil"/>
              <w:tr2bl w:val="nil"/>
            </w:tcBorders>
            <w:shd w:val="clear" w:color="auto" w:fill="auto"/>
            <w:vAlign w:val="center"/>
          </w:tcPr>
          <w:p w14:paraId="08C000C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150</w:t>
            </w:r>
          </w:p>
        </w:tc>
        <w:tc>
          <w:tcPr>
            <w:tcW w:w="684" w:type="dxa"/>
            <w:tcBorders>
              <w:tl2br w:val="nil"/>
              <w:tr2bl w:val="nil"/>
            </w:tcBorders>
            <w:shd w:val="clear" w:color="auto" w:fill="auto"/>
            <w:vAlign w:val="center"/>
          </w:tcPr>
          <w:p w14:paraId="2D98E6F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0.250 </w:t>
            </w:r>
          </w:p>
        </w:tc>
        <w:tc>
          <w:tcPr>
            <w:tcW w:w="475" w:type="dxa"/>
            <w:tcBorders>
              <w:tl2br w:val="nil"/>
              <w:tr2bl w:val="nil"/>
            </w:tcBorders>
            <w:shd w:val="clear" w:color="auto" w:fill="auto"/>
            <w:vAlign w:val="center"/>
          </w:tcPr>
          <w:p w14:paraId="6406B51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0.075</w:t>
            </w:r>
          </w:p>
        </w:tc>
        <w:tc>
          <w:tcPr>
            <w:tcW w:w="508" w:type="dxa"/>
            <w:vMerge w:val="continue"/>
            <w:tcBorders>
              <w:tl2br w:val="nil"/>
              <w:tr2bl w:val="nil"/>
            </w:tcBorders>
            <w:shd w:val="clear" w:color="auto" w:fill="auto"/>
            <w:vAlign w:val="center"/>
          </w:tcPr>
          <w:p w14:paraId="46C8D285">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r>
      <w:tr w14:paraId="72F671F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40" w:hRule="atLeast"/>
          <w:jc w:val="center"/>
        </w:trPr>
        <w:tc>
          <w:tcPr>
            <w:tcW w:w="349" w:type="dxa"/>
            <w:vMerge w:val="continue"/>
            <w:tcBorders>
              <w:tl2br w:val="nil"/>
              <w:tr2bl w:val="nil"/>
            </w:tcBorders>
            <w:shd w:val="clear" w:color="auto" w:fill="auto"/>
            <w:vAlign w:val="center"/>
          </w:tcPr>
          <w:p w14:paraId="0A3A035C">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339" w:type="dxa"/>
            <w:vMerge w:val="continue"/>
            <w:tcBorders>
              <w:tl2br w:val="nil"/>
              <w:tr2bl w:val="nil"/>
            </w:tcBorders>
            <w:shd w:val="clear" w:color="auto" w:fill="auto"/>
            <w:vAlign w:val="center"/>
          </w:tcPr>
          <w:p w14:paraId="4A9A4496">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678" w:type="dxa"/>
            <w:vMerge w:val="continue"/>
            <w:tcBorders>
              <w:tl2br w:val="nil"/>
              <w:tr2bl w:val="nil"/>
            </w:tcBorders>
            <w:shd w:val="clear" w:color="auto" w:fill="auto"/>
            <w:vAlign w:val="center"/>
          </w:tcPr>
          <w:p w14:paraId="715CC54E">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802" w:type="dxa"/>
            <w:tcBorders>
              <w:tl2br w:val="nil"/>
              <w:tr2bl w:val="nil"/>
            </w:tcBorders>
            <w:shd w:val="clear" w:color="auto" w:fill="auto"/>
            <w:vAlign w:val="center"/>
          </w:tcPr>
          <w:p w14:paraId="304D428C">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eastAsia" w:ascii="宋体" w:hAnsi="宋体" w:eastAsia="宋体" w:cs="宋体"/>
                <w:color w:val="auto"/>
                <w:kern w:val="2"/>
                <w:sz w:val="21"/>
                <w:szCs w:val="21"/>
                <w:lang w:val="en-US" w:eastAsia="zh-CN" w:bidi="ar"/>
              </w:rPr>
              <w:t>氨氮</w:t>
            </w:r>
          </w:p>
        </w:tc>
        <w:tc>
          <w:tcPr>
            <w:tcW w:w="352" w:type="dxa"/>
            <w:vMerge w:val="continue"/>
            <w:tcBorders>
              <w:tl2br w:val="nil"/>
              <w:tr2bl w:val="nil"/>
            </w:tcBorders>
            <w:shd w:val="clear" w:color="auto" w:fill="auto"/>
            <w:vAlign w:val="center"/>
          </w:tcPr>
          <w:p w14:paraId="794FB4FD">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532" w:type="dxa"/>
            <w:vMerge w:val="continue"/>
            <w:tcBorders>
              <w:tl2br w:val="nil"/>
              <w:tr2bl w:val="nil"/>
            </w:tcBorders>
            <w:shd w:val="clear" w:color="auto" w:fill="auto"/>
            <w:vAlign w:val="center"/>
          </w:tcPr>
          <w:p w14:paraId="046BB9CE">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530" w:type="dxa"/>
            <w:tcBorders>
              <w:tl2br w:val="nil"/>
              <w:tr2bl w:val="nil"/>
            </w:tcBorders>
            <w:shd w:val="clear" w:color="auto" w:fill="auto"/>
            <w:vAlign w:val="center"/>
          </w:tcPr>
          <w:p w14:paraId="127FA14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lang w:val="en-US"/>
              </w:rPr>
            </w:pPr>
            <w:r>
              <w:rPr>
                <w:rFonts w:hint="default" w:ascii="Times New Roman" w:hAnsi="Times New Roman" w:eastAsia="宋体" w:cs="Times New Roman"/>
                <w:i w:val="0"/>
                <w:iCs w:val="0"/>
                <w:color w:val="auto"/>
                <w:kern w:val="0"/>
                <w:sz w:val="21"/>
                <w:szCs w:val="21"/>
                <w:u w:val="none"/>
                <w:lang w:val="en-US" w:eastAsia="zh-CN" w:bidi="ar"/>
              </w:rPr>
              <w:t>18</w:t>
            </w:r>
          </w:p>
        </w:tc>
        <w:tc>
          <w:tcPr>
            <w:tcW w:w="624" w:type="dxa"/>
            <w:tcBorders>
              <w:tl2br w:val="nil"/>
              <w:tr2bl w:val="nil"/>
            </w:tcBorders>
            <w:shd w:val="clear" w:color="auto" w:fill="auto"/>
            <w:vAlign w:val="center"/>
          </w:tcPr>
          <w:p w14:paraId="0766F5E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0.009 </w:t>
            </w:r>
          </w:p>
        </w:tc>
        <w:tc>
          <w:tcPr>
            <w:tcW w:w="354" w:type="dxa"/>
            <w:vMerge w:val="continue"/>
            <w:tcBorders>
              <w:tl2br w:val="nil"/>
              <w:tr2bl w:val="nil"/>
            </w:tcBorders>
            <w:shd w:val="clear" w:color="auto" w:fill="auto"/>
            <w:vAlign w:val="center"/>
          </w:tcPr>
          <w:p w14:paraId="7A039160">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619" w:type="dxa"/>
            <w:tcBorders>
              <w:tl2br w:val="nil"/>
              <w:tr2bl w:val="nil"/>
            </w:tcBorders>
            <w:shd w:val="clear" w:color="auto" w:fill="auto"/>
            <w:vAlign w:val="center"/>
          </w:tcPr>
          <w:p w14:paraId="107637DA">
            <w:pPr>
              <w:keepNext w:val="0"/>
              <w:keepLines w:val="0"/>
              <w:widowControl/>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i w:val="0"/>
                <w:iCs w:val="0"/>
                <w:color w:val="auto"/>
                <w:kern w:val="0"/>
                <w:sz w:val="21"/>
                <w:szCs w:val="21"/>
                <w:lang w:val="en-US" w:eastAsia="zh-CN" w:bidi="ar"/>
              </w:rPr>
              <w:t>70</w:t>
            </w:r>
          </w:p>
        </w:tc>
        <w:tc>
          <w:tcPr>
            <w:tcW w:w="354" w:type="dxa"/>
            <w:vMerge w:val="continue"/>
            <w:tcBorders>
              <w:tl2br w:val="nil"/>
              <w:tr2bl w:val="nil"/>
            </w:tcBorders>
            <w:shd w:val="clear" w:color="auto" w:fill="auto"/>
            <w:vAlign w:val="center"/>
          </w:tcPr>
          <w:p w14:paraId="3892A08E">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572" w:type="dxa"/>
            <w:vMerge w:val="continue"/>
            <w:tcBorders>
              <w:tl2br w:val="nil"/>
              <w:tr2bl w:val="nil"/>
            </w:tcBorders>
            <w:shd w:val="clear" w:color="auto" w:fill="auto"/>
            <w:vAlign w:val="center"/>
          </w:tcPr>
          <w:p w14:paraId="1A0F728C">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503" w:type="dxa"/>
            <w:tcBorders>
              <w:tl2br w:val="nil"/>
              <w:tr2bl w:val="nil"/>
            </w:tcBorders>
            <w:shd w:val="clear" w:color="auto" w:fill="auto"/>
            <w:vAlign w:val="center"/>
          </w:tcPr>
          <w:p w14:paraId="4FFB6D16">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18</w:t>
            </w:r>
          </w:p>
        </w:tc>
        <w:tc>
          <w:tcPr>
            <w:tcW w:w="684" w:type="dxa"/>
            <w:tcBorders>
              <w:tl2br w:val="nil"/>
              <w:tr2bl w:val="nil"/>
            </w:tcBorders>
            <w:shd w:val="clear" w:color="auto" w:fill="auto"/>
            <w:vAlign w:val="center"/>
          </w:tcPr>
          <w:p w14:paraId="50267C4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0.030 </w:t>
            </w:r>
          </w:p>
        </w:tc>
        <w:tc>
          <w:tcPr>
            <w:tcW w:w="475" w:type="dxa"/>
            <w:tcBorders>
              <w:tl2br w:val="nil"/>
              <w:tr2bl w:val="nil"/>
            </w:tcBorders>
            <w:shd w:val="clear" w:color="auto" w:fill="auto"/>
            <w:vAlign w:val="center"/>
          </w:tcPr>
          <w:p w14:paraId="566EA24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0.009</w:t>
            </w:r>
          </w:p>
        </w:tc>
        <w:tc>
          <w:tcPr>
            <w:tcW w:w="508" w:type="dxa"/>
            <w:vMerge w:val="continue"/>
            <w:tcBorders>
              <w:tl2br w:val="nil"/>
              <w:tr2bl w:val="nil"/>
            </w:tcBorders>
            <w:shd w:val="clear" w:color="auto" w:fill="auto"/>
            <w:vAlign w:val="center"/>
          </w:tcPr>
          <w:p w14:paraId="3C366C46">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r>
      <w:tr w14:paraId="2F4439C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40" w:hRule="atLeast"/>
          <w:jc w:val="center"/>
        </w:trPr>
        <w:tc>
          <w:tcPr>
            <w:tcW w:w="349" w:type="dxa"/>
            <w:vMerge w:val="continue"/>
            <w:tcBorders>
              <w:tl2br w:val="nil"/>
              <w:tr2bl w:val="nil"/>
            </w:tcBorders>
            <w:shd w:val="clear" w:color="auto" w:fill="auto"/>
            <w:vAlign w:val="center"/>
          </w:tcPr>
          <w:p w14:paraId="128D05B3">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339" w:type="dxa"/>
            <w:vMerge w:val="continue"/>
            <w:tcBorders>
              <w:tl2br w:val="nil"/>
              <w:tr2bl w:val="nil"/>
            </w:tcBorders>
            <w:shd w:val="clear" w:color="auto" w:fill="auto"/>
            <w:vAlign w:val="center"/>
          </w:tcPr>
          <w:p w14:paraId="56E132AD">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678" w:type="dxa"/>
            <w:vMerge w:val="continue"/>
            <w:tcBorders>
              <w:tl2br w:val="nil"/>
              <w:tr2bl w:val="nil"/>
            </w:tcBorders>
            <w:shd w:val="clear" w:color="auto" w:fill="auto"/>
            <w:vAlign w:val="center"/>
          </w:tcPr>
          <w:p w14:paraId="7CFECEF4">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802" w:type="dxa"/>
            <w:tcBorders>
              <w:tl2br w:val="nil"/>
              <w:tr2bl w:val="nil"/>
            </w:tcBorders>
            <w:shd w:val="clear" w:color="auto" w:fill="auto"/>
            <w:vAlign w:val="center"/>
          </w:tcPr>
          <w:p w14:paraId="72A84681">
            <w:pPr>
              <w:keepNext w:val="0"/>
              <w:keepLines w:val="0"/>
              <w:widowControl w:val="0"/>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T</w:t>
            </w:r>
            <w:r>
              <w:rPr>
                <w:rFonts w:hint="eastAsia" w:ascii="Times New Roman" w:hAnsi="Times New Roman" w:eastAsia="宋体" w:cs="Times New Roman"/>
                <w:color w:val="auto"/>
                <w:kern w:val="2"/>
                <w:sz w:val="21"/>
                <w:szCs w:val="21"/>
                <w:lang w:val="en-US" w:eastAsia="zh-CN" w:bidi="ar"/>
              </w:rPr>
              <w:t>P</w:t>
            </w:r>
          </w:p>
        </w:tc>
        <w:tc>
          <w:tcPr>
            <w:tcW w:w="352" w:type="dxa"/>
            <w:vMerge w:val="continue"/>
            <w:tcBorders>
              <w:tl2br w:val="nil"/>
              <w:tr2bl w:val="nil"/>
            </w:tcBorders>
            <w:shd w:val="clear" w:color="auto" w:fill="auto"/>
            <w:vAlign w:val="center"/>
          </w:tcPr>
          <w:p w14:paraId="3885B4F3">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532" w:type="dxa"/>
            <w:vMerge w:val="continue"/>
            <w:tcBorders>
              <w:tl2br w:val="nil"/>
              <w:tr2bl w:val="nil"/>
            </w:tcBorders>
            <w:shd w:val="clear" w:color="auto" w:fill="auto"/>
            <w:vAlign w:val="center"/>
          </w:tcPr>
          <w:p w14:paraId="7E005B7B">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530" w:type="dxa"/>
            <w:tcBorders>
              <w:tl2br w:val="nil"/>
              <w:tr2bl w:val="nil"/>
            </w:tcBorders>
            <w:shd w:val="clear" w:color="auto" w:fill="auto"/>
            <w:vAlign w:val="center"/>
          </w:tcPr>
          <w:p w14:paraId="18D09BA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lang w:val="en-US"/>
              </w:rPr>
            </w:pPr>
            <w:r>
              <w:rPr>
                <w:rFonts w:hint="default" w:ascii="Times New Roman" w:hAnsi="Times New Roman" w:eastAsia="宋体" w:cs="Times New Roman"/>
                <w:i w:val="0"/>
                <w:iCs w:val="0"/>
                <w:color w:val="auto"/>
                <w:kern w:val="0"/>
                <w:sz w:val="21"/>
                <w:szCs w:val="21"/>
                <w:u w:val="none"/>
                <w:lang w:val="en-US" w:eastAsia="zh-CN" w:bidi="ar"/>
              </w:rPr>
              <w:t>2.5</w:t>
            </w:r>
          </w:p>
        </w:tc>
        <w:tc>
          <w:tcPr>
            <w:tcW w:w="624" w:type="dxa"/>
            <w:tcBorders>
              <w:tl2br w:val="nil"/>
              <w:tr2bl w:val="nil"/>
            </w:tcBorders>
            <w:shd w:val="clear" w:color="auto" w:fill="auto"/>
            <w:vAlign w:val="center"/>
          </w:tcPr>
          <w:p w14:paraId="3FA62C1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0.001 </w:t>
            </w:r>
          </w:p>
        </w:tc>
        <w:tc>
          <w:tcPr>
            <w:tcW w:w="354" w:type="dxa"/>
            <w:vMerge w:val="continue"/>
            <w:tcBorders>
              <w:tl2br w:val="nil"/>
              <w:tr2bl w:val="nil"/>
            </w:tcBorders>
            <w:shd w:val="clear" w:color="auto" w:fill="auto"/>
            <w:vAlign w:val="center"/>
          </w:tcPr>
          <w:p w14:paraId="49EBB853">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619" w:type="dxa"/>
            <w:tcBorders>
              <w:tl2br w:val="nil"/>
              <w:tr2bl w:val="nil"/>
            </w:tcBorders>
            <w:shd w:val="clear" w:color="auto" w:fill="auto"/>
            <w:vAlign w:val="center"/>
          </w:tcPr>
          <w:p w14:paraId="7990CAEA">
            <w:pPr>
              <w:keepNext w:val="0"/>
              <w:keepLines w:val="0"/>
              <w:widowControl/>
              <w:suppressLineNumbers w:val="0"/>
              <w:autoSpaceDE w:val="0"/>
              <w:autoSpaceDN/>
              <w:spacing w:before="0" w:beforeAutospacing="0" w:after="0" w:afterAutospacing="0" w:line="240" w:lineRule="auto"/>
              <w:ind w:left="0" w:right="0"/>
              <w:jc w:val="center"/>
              <w:rPr>
                <w:rFonts w:hint="default" w:ascii="Times New Roman" w:hAnsi="Times New Roman" w:eastAsia="宋体" w:cs="Times New Roman"/>
                <w:i w:val="0"/>
                <w:iCs w:val="0"/>
                <w:color w:val="auto"/>
                <w:kern w:val="0"/>
                <w:sz w:val="21"/>
                <w:szCs w:val="21"/>
              </w:rPr>
            </w:pPr>
            <w:r>
              <w:rPr>
                <w:rFonts w:hint="default" w:ascii="Times New Roman" w:hAnsi="Times New Roman" w:eastAsia="宋体" w:cs="Times New Roman"/>
                <w:i w:val="0"/>
                <w:iCs w:val="0"/>
                <w:color w:val="auto"/>
                <w:kern w:val="0"/>
                <w:sz w:val="21"/>
                <w:szCs w:val="21"/>
                <w:lang w:val="en-US" w:eastAsia="zh-CN" w:bidi="ar"/>
              </w:rPr>
              <w:t>0</w:t>
            </w:r>
          </w:p>
        </w:tc>
        <w:tc>
          <w:tcPr>
            <w:tcW w:w="354" w:type="dxa"/>
            <w:vMerge w:val="continue"/>
            <w:tcBorders>
              <w:tl2br w:val="nil"/>
              <w:tr2bl w:val="nil"/>
            </w:tcBorders>
            <w:shd w:val="clear" w:color="auto" w:fill="auto"/>
            <w:vAlign w:val="center"/>
          </w:tcPr>
          <w:p w14:paraId="29DC9542">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572" w:type="dxa"/>
            <w:vMerge w:val="continue"/>
            <w:tcBorders>
              <w:tl2br w:val="nil"/>
              <w:tr2bl w:val="nil"/>
            </w:tcBorders>
            <w:shd w:val="clear" w:color="auto" w:fill="auto"/>
            <w:vAlign w:val="center"/>
          </w:tcPr>
          <w:p w14:paraId="47353B8D">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c>
          <w:tcPr>
            <w:tcW w:w="503" w:type="dxa"/>
            <w:tcBorders>
              <w:tl2br w:val="nil"/>
              <w:tr2bl w:val="nil"/>
            </w:tcBorders>
            <w:shd w:val="clear" w:color="auto" w:fill="auto"/>
            <w:vAlign w:val="center"/>
          </w:tcPr>
          <w:p w14:paraId="15CF1FE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2.5</w:t>
            </w:r>
          </w:p>
        </w:tc>
        <w:tc>
          <w:tcPr>
            <w:tcW w:w="684" w:type="dxa"/>
            <w:tcBorders>
              <w:tl2br w:val="nil"/>
              <w:tr2bl w:val="nil"/>
            </w:tcBorders>
            <w:shd w:val="clear" w:color="auto" w:fill="auto"/>
            <w:vAlign w:val="center"/>
          </w:tcPr>
          <w:p w14:paraId="4AE599C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0.004 </w:t>
            </w:r>
          </w:p>
        </w:tc>
        <w:tc>
          <w:tcPr>
            <w:tcW w:w="475" w:type="dxa"/>
            <w:tcBorders>
              <w:tl2br w:val="nil"/>
              <w:tr2bl w:val="nil"/>
            </w:tcBorders>
            <w:shd w:val="clear" w:color="auto" w:fill="auto"/>
            <w:vAlign w:val="center"/>
          </w:tcPr>
          <w:p w14:paraId="24572CB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0.00125</w:t>
            </w:r>
          </w:p>
        </w:tc>
        <w:tc>
          <w:tcPr>
            <w:tcW w:w="508" w:type="dxa"/>
            <w:vMerge w:val="continue"/>
            <w:tcBorders>
              <w:tl2br w:val="nil"/>
              <w:tr2bl w:val="nil"/>
            </w:tcBorders>
            <w:shd w:val="clear" w:color="auto" w:fill="auto"/>
            <w:vAlign w:val="center"/>
          </w:tcPr>
          <w:p w14:paraId="20A6458F">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0"/>
                <w:szCs w:val="20"/>
              </w:rPr>
            </w:pPr>
          </w:p>
        </w:tc>
      </w:tr>
    </w:tbl>
    <w:p w14:paraId="0469C818">
      <w:pPr>
        <w:spacing w:line="240" w:lineRule="auto"/>
        <w:jc w:val="center"/>
        <w:outlineLvl w:val="9"/>
        <w:rPr>
          <w:color w:val="auto"/>
        </w:rPr>
      </w:pPr>
    </w:p>
    <w:p w14:paraId="678DCDD1">
      <w:pPr>
        <w:spacing w:line="240" w:lineRule="auto"/>
        <w:jc w:val="center"/>
        <w:outlineLvl w:val="9"/>
        <w:rPr>
          <w:rFonts w:hint="default"/>
          <w:color w:val="auto"/>
          <w:lang w:val="en-US" w:eastAsia="zh-CN"/>
        </w:rPr>
      </w:pPr>
    </w:p>
    <w:p w14:paraId="5DFE2856">
      <w:pPr>
        <w:ind w:left="0" w:leftChars="0" w:right="0" w:rightChars="0" w:firstLine="0" w:firstLineChars="0"/>
        <w:jc w:val="left"/>
        <w:outlineLvl w:val="1"/>
        <w:rPr>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rPr>
        <w:drawing>
          <wp:inline distT="0" distB="0" distL="114300" distR="114300">
            <wp:extent cx="635" cy="0"/>
            <wp:effectExtent l="0" t="0" r="0" b="0"/>
            <wp:docPr id="100"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25"/>
                    <pic:cNvPicPr>
                      <a:picLocks noChangeAspect="1"/>
                    </pic:cNvPicPr>
                  </pic:nvPicPr>
                  <pic:blipFill>
                    <a:blip r:embed="rId56"/>
                    <a:stretch>
                      <a:fillRect/>
                    </a:stretch>
                  </pic:blipFill>
                  <pic:spPr>
                    <a:xfrm>
                      <a:off x="0" y="0"/>
                      <a:ext cx="635" cy="0"/>
                    </a:xfrm>
                    <a:prstGeom prst="rect">
                      <a:avLst/>
                    </a:prstGeom>
                    <a:noFill/>
                    <a:ln>
                      <a:noFill/>
                    </a:ln>
                  </pic:spPr>
                </pic:pic>
              </a:graphicData>
            </a:graphic>
          </wp:inline>
        </w:drawing>
      </w:r>
    </w:p>
    <w:p w14:paraId="455D0270">
      <w:pPr>
        <w:keepNext w:val="0"/>
        <w:keepLines w:val="0"/>
        <w:pageBreakBefore w:val="0"/>
        <w:widowControl w:val="0"/>
        <w:kinsoku/>
        <w:wordWrap/>
        <w:overflowPunct/>
        <w:topLinePunct w:val="0"/>
        <w:autoSpaceDE/>
        <w:autoSpaceDN/>
        <w:bidi w:val="0"/>
        <w:adjustRightInd/>
        <w:snapToGrid/>
        <w:spacing w:after="0" w:afterLines="0" w:line="480" w:lineRule="exact"/>
        <w:ind w:left="0" w:leftChars="0" w:right="0" w:firstLine="0" w:firstLineChars="0"/>
        <w:jc w:val="both"/>
        <w:textAlignment w:val="auto"/>
        <w:outlineLvl w:val="1"/>
        <w:rPr>
          <w:rFonts w:hint="eastAsia" w:ascii="Times New Roman" w:hAnsi="Times New Roman" w:eastAsia="宋体" w:cs="Times New Roman"/>
          <w:b/>
          <w:bCs/>
          <w:smallCaps w:val="0"/>
          <w:color w:val="auto"/>
          <w:spacing w:val="0"/>
          <w:kern w:val="2"/>
          <w:sz w:val="24"/>
          <w:szCs w:val="24"/>
          <w:highlight w:val="none"/>
          <w:lang w:val="en-US" w:eastAsia="zh-CN"/>
        </w:rPr>
      </w:pPr>
      <w:r>
        <w:rPr>
          <w:rFonts w:hint="eastAsia" w:ascii="Times New Roman" w:hAnsi="Times New Roman" w:eastAsia="宋体" w:cs="Times New Roman"/>
          <w:b/>
          <w:bCs/>
          <w:smallCaps w:val="0"/>
          <w:color w:val="auto"/>
          <w:spacing w:val="0"/>
          <w:kern w:val="2"/>
          <w:sz w:val="24"/>
          <w:szCs w:val="24"/>
          <w:highlight w:val="none"/>
          <w:lang w:val="en-US" w:eastAsia="zh-CN"/>
        </w:rPr>
        <w:t>附件</w:t>
      </w:r>
      <w:r>
        <w:rPr>
          <w:rFonts w:hint="eastAsia" w:ascii="Times New Roman" w:hAnsi="Times New Roman" w:cs="Times New Roman"/>
          <w:b/>
          <w:bCs/>
          <w:smallCaps w:val="0"/>
          <w:color w:val="auto"/>
          <w:spacing w:val="0"/>
          <w:kern w:val="2"/>
          <w:sz w:val="24"/>
          <w:szCs w:val="24"/>
          <w:highlight w:val="none"/>
          <w:lang w:val="en-US" w:eastAsia="zh-CN"/>
        </w:rPr>
        <w:t>7</w:t>
      </w:r>
      <w:r>
        <w:rPr>
          <w:rFonts w:hint="eastAsia" w:ascii="Times New Roman" w:hAnsi="Times New Roman" w:eastAsia="宋体" w:cs="Times New Roman"/>
          <w:b/>
          <w:bCs/>
          <w:smallCaps w:val="0"/>
          <w:color w:val="auto"/>
          <w:spacing w:val="0"/>
          <w:kern w:val="2"/>
          <w:sz w:val="24"/>
          <w:szCs w:val="24"/>
          <w:highlight w:val="none"/>
          <w:lang w:val="en-US" w:eastAsia="zh-CN"/>
        </w:rPr>
        <w:t>：生态环境分区管控分析报告</w:t>
      </w:r>
    </w:p>
    <w:p w14:paraId="7D315115">
      <w:pPr>
        <w:spacing w:line="240" w:lineRule="auto"/>
        <w:jc w:val="center"/>
        <w:rPr>
          <w:rFonts w:hint="default" w:ascii="Times New Roman" w:hAnsi="Times New Roman" w:eastAsia="宋体" w:cs="Times New Roman"/>
          <w:color w:val="auto"/>
          <w:kern w:val="2"/>
          <w:sz w:val="21"/>
          <w:szCs w:val="20"/>
          <w:lang w:val="en-US" w:eastAsia="zh-CN"/>
        </w:rPr>
      </w:pPr>
      <w:r>
        <w:rPr>
          <w:rFonts w:hint="default" w:ascii="Times New Roman" w:hAnsi="Times New Roman" w:eastAsia="宋体" w:cs="Times New Roman"/>
          <w:color w:val="auto"/>
          <w:kern w:val="2"/>
          <w:sz w:val="21"/>
          <w:szCs w:val="20"/>
          <w:lang w:val="en-US" w:eastAsia="zh-CN"/>
        </w:rPr>
        <w:drawing>
          <wp:inline distT="0" distB="0" distL="114300" distR="114300">
            <wp:extent cx="7212330" cy="5098415"/>
            <wp:effectExtent l="0" t="0" r="7620" b="698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9"/>
                    <a:stretch>
                      <a:fillRect/>
                    </a:stretch>
                  </pic:blipFill>
                  <pic:spPr>
                    <a:xfrm>
                      <a:off x="0" y="0"/>
                      <a:ext cx="7212330" cy="5098415"/>
                    </a:xfrm>
                    <a:prstGeom prst="rect">
                      <a:avLst/>
                    </a:prstGeom>
                    <a:noFill/>
                    <a:ln>
                      <a:noFill/>
                    </a:ln>
                  </pic:spPr>
                </pic:pic>
              </a:graphicData>
            </a:graphic>
          </wp:inline>
        </w:drawing>
      </w:r>
      <w:r>
        <w:rPr>
          <w:rFonts w:hint="default" w:ascii="Times New Roman" w:hAnsi="Times New Roman" w:eastAsia="宋体" w:cs="Times New Roman"/>
          <w:color w:val="auto"/>
          <w:kern w:val="2"/>
          <w:sz w:val="21"/>
          <w:szCs w:val="20"/>
          <w:lang w:val="en-US" w:eastAsia="zh-CN"/>
        </w:rPr>
        <w:drawing>
          <wp:inline distT="0" distB="0" distL="114300" distR="114300">
            <wp:extent cx="8140700" cy="5560695"/>
            <wp:effectExtent l="0" t="0" r="12700" b="1905"/>
            <wp:docPr id="105"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30"/>
                    <pic:cNvPicPr>
                      <a:picLocks noChangeAspect="1"/>
                    </pic:cNvPicPr>
                  </pic:nvPicPr>
                  <pic:blipFill>
                    <a:blip r:embed="rId60"/>
                    <a:stretch>
                      <a:fillRect/>
                    </a:stretch>
                  </pic:blipFill>
                  <pic:spPr>
                    <a:xfrm>
                      <a:off x="0" y="0"/>
                      <a:ext cx="8140700" cy="5560695"/>
                    </a:xfrm>
                    <a:prstGeom prst="rect">
                      <a:avLst/>
                    </a:prstGeom>
                    <a:noFill/>
                    <a:ln>
                      <a:noFill/>
                    </a:ln>
                  </pic:spPr>
                </pic:pic>
              </a:graphicData>
            </a:graphic>
          </wp:inline>
        </w:drawing>
      </w:r>
    </w:p>
    <w:p w14:paraId="4223C83D">
      <w:pPr>
        <w:pStyle w:val="329"/>
        <w:spacing w:line="240" w:lineRule="auto"/>
        <w:ind w:left="0" w:firstLine="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drawing>
          <wp:inline distT="0" distB="0" distL="114300" distR="114300">
            <wp:extent cx="8767445" cy="6197600"/>
            <wp:effectExtent l="0" t="0" r="14605" b="12700"/>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61"/>
                    <a:stretch>
                      <a:fillRect/>
                    </a:stretch>
                  </pic:blipFill>
                  <pic:spPr>
                    <a:xfrm>
                      <a:off x="0" y="0"/>
                      <a:ext cx="8767445" cy="6197600"/>
                    </a:xfrm>
                    <a:prstGeom prst="rect">
                      <a:avLst/>
                    </a:prstGeom>
                    <a:noFill/>
                    <a:ln>
                      <a:noFill/>
                    </a:ln>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8767445" cy="6197600"/>
            <wp:effectExtent l="0" t="0" r="14605" b="1270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62"/>
                    <a:stretch>
                      <a:fillRect/>
                    </a:stretch>
                  </pic:blipFill>
                  <pic:spPr>
                    <a:xfrm>
                      <a:off x="0" y="0"/>
                      <a:ext cx="8767445" cy="6197600"/>
                    </a:xfrm>
                    <a:prstGeom prst="rect">
                      <a:avLst/>
                    </a:prstGeom>
                    <a:noFill/>
                    <a:ln>
                      <a:noFill/>
                    </a:ln>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8767445" cy="6197600"/>
            <wp:effectExtent l="0" t="0" r="14605" b="12700"/>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63"/>
                    <a:stretch>
                      <a:fillRect/>
                    </a:stretch>
                  </pic:blipFill>
                  <pic:spPr>
                    <a:xfrm>
                      <a:off x="0" y="0"/>
                      <a:ext cx="8767445" cy="6197600"/>
                    </a:xfrm>
                    <a:prstGeom prst="rect">
                      <a:avLst/>
                    </a:prstGeom>
                    <a:noFill/>
                    <a:ln>
                      <a:noFill/>
                    </a:ln>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8767445" cy="6197600"/>
            <wp:effectExtent l="0" t="0" r="14605" b="12700"/>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64"/>
                    <a:stretch>
                      <a:fillRect/>
                    </a:stretch>
                  </pic:blipFill>
                  <pic:spPr>
                    <a:xfrm>
                      <a:off x="0" y="0"/>
                      <a:ext cx="8767445" cy="6197600"/>
                    </a:xfrm>
                    <a:prstGeom prst="rect">
                      <a:avLst/>
                    </a:prstGeom>
                    <a:noFill/>
                    <a:ln>
                      <a:noFill/>
                    </a:ln>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8767445" cy="6197600"/>
            <wp:effectExtent l="0" t="0" r="14605" b="12700"/>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65"/>
                    <a:stretch>
                      <a:fillRect/>
                    </a:stretch>
                  </pic:blipFill>
                  <pic:spPr>
                    <a:xfrm>
                      <a:off x="0" y="0"/>
                      <a:ext cx="8767445" cy="6197600"/>
                    </a:xfrm>
                    <a:prstGeom prst="rect">
                      <a:avLst/>
                    </a:prstGeom>
                    <a:noFill/>
                    <a:ln>
                      <a:noFill/>
                    </a:ln>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8767445" cy="6197600"/>
            <wp:effectExtent l="0" t="0" r="14605" b="12700"/>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66"/>
                    <a:stretch>
                      <a:fillRect/>
                    </a:stretch>
                  </pic:blipFill>
                  <pic:spPr>
                    <a:xfrm>
                      <a:off x="0" y="0"/>
                      <a:ext cx="8767445" cy="6197600"/>
                    </a:xfrm>
                    <a:prstGeom prst="rect">
                      <a:avLst/>
                    </a:prstGeom>
                    <a:noFill/>
                    <a:ln>
                      <a:noFill/>
                    </a:ln>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8767445" cy="6197600"/>
            <wp:effectExtent l="0" t="0" r="14605" b="12700"/>
            <wp:docPr id="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1"/>
                    <pic:cNvPicPr>
                      <a:picLocks noChangeAspect="1"/>
                    </pic:cNvPicPr>
                  </pic:nvPicPr>
                  <pic:blipFill>
                    <a:blip r:embed="rId67"/>
                    <a:stretch>
                      <a:fillRect/>
                    </a:stretch>
                  </pic:blipFill>
                  <pic:spPr>
                    <a:xfrm>
                      <a:off x="0" y="0"/>
                      <a:ext cx="8767445" cy="6197600"/>
                    </a:xfrm>
                    <a:prstGeom prst="rect">
                      <a:avLst/>
                    </a:prstGeom>
                    <a:noFill/>
                    <a:ln>
                      <a:noFill/>
                    </a:ln>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8767445" cy="6197600"/>
            <wp:effectExtent l="0" t="0" r="14605" b="12700"/>
            <wp:docPr id="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2"/>
                    <pic:cNvPicPr>
                      <a:picLocks noChangeAspect="1"/>
                    </pic:cNvPicPr>
                  </pic:nvPicPr>
                  <pic:blipFill>
                    <a:blip r:embed="rId68"/>
                    <a:stretch>
                      <a:fillRect/>
                    </a:stretch>
                  </pic:blipFill>
                  <pic:spPr>
                    <a:xfrm>
                      <a:off x="0" y="0"/>
                      <a:ext cx="8767445" cy="6197600"/>
                    </a:xfrm>
                    <a:prstGeom prst="rect">
                      <a:avLst/>
                    </a:prstGeom>
                    <a:noFill/>
                    <a:ln>
                      <a:noFill/>
                    </a:ln>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8767445" cy="6197600"/>
            <wp:effectExtent l="0" t="0" r="14605" b="12700"/>
            <wp:docPr id="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pic:cNvPicPr>
                      <a:picLocks noChangeAspect="1"/>
                    </pic:cNvPicPr>
                  </pic:nvPicPr>
                  <pic:blipFill>
                    <a:blip r:embed="rId69"/>
                    <a:stretch>
                      <a:fillRect/>
                    </a:stretch>
                  </pic:blipFill>
                  <pic:spPr>
                    <a:xfrm>
                      <a:off x="0" y="0"/>
                      <a:ext cx="8767445" cy="6197600"/>
                    </a:xfrm>
                    <a:prstGeom prst="rect">
                      <a:avLst/>
                    </a:prstGeom>
                    <a:noFill/>
                    <a:ln>
                      <a:noFill/>
                    </a:ln>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8767445" cy="6197600"/>
            <wp:effectExtent l="0" t="0" r="14605" b="12700"/>
            <wp:docPr id="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pic:cNvPicPr>
                      <a:picLocks noChangeAspect="1"/>
                    </pic:cNvPicPr>
                  </pic:nvPicPr>
                  <pic:blipFill>
                    <a:blip r:embed="rId70"/>
                    <a:stretch>
                      <a:fillRect/>
                    </a:stretch>
                  </pic:blipFill>
                  <pic:spPr>
                    <a:xfrm>
                      <a:off x="0" y="0"/>
                      <a:ext cx="8767445" cy="6197600"/>
                    </a:xfrm>
                    <a:prstGeom prst="rect">
                      <a:avLst/>
                    </a:prstGeom>
                    <a:noFill/>
                    <a:ln>
                      <a:noFill/>
                    </a:ln>
                  </pic:spPr>
                </pic:pic>
              </a:graphicData>
            </a:graphic>
          </wp:inline>
        </w:drawing>
      </w:r>
    </w:p>
    <w:sectPr>
      <w:pgSz w:w="16838" w:h="11906" w:orient="landscape"/>
      <w:pgMar w:top="1440" w:right="1587" w:bottom="1440" w:left="1440" w:header="851" w:footer="850" w:gutter="0"/>
      <w:pgBorders>
        <w:top w:val="none" w:sz="0" w:space="0"/>
        <w:left w:val="none" w:sz="0" w:space="0"/>
        <w:bottom w:val="none" w:sz="0" w:space="0"/>
        <w:right w:val="none" w:sz="0" w:space="0"/>
      </w:pgBorders>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auto"/>
    <w:pitch w:val="default"/>
    <w:sig w:usb0="00000000" w:usb1="0000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Tahoma">
    <w:panose1 w:val="020B0604030504040204"/>
    <w:charset w:val="00"/>
    <w:family w:val="auto"/>
    <w:pitch w:val="default"/>
    <w:sig w:usb0="E1002EFF" w:usb1="C000605B" w:usb2="00000029" w:usb3="00000000" w:csb0="200101FF" w:csb1="20280000"/>
  </w:font>
  <w:font w:name="楷体_GB2312">
    <w:altName w:val="楷体"/>
    <w:panose1 w:val="02010609060101010101"/>
    <w:charset w:val="00"/>
    <w:family w:val="auto"/>
    <w:pitch w:val="default"/>
    <w:sig w:usb0="00000000" w:usb1="00000000" w:usb2="00000000" w:usb3="00000000" w:csb0="00000000" w:csb1="00000000"/>
  </w:font>
  <w:font w:name="楷体">
    <w:panose1 w:val="02010609060101010101"/>
    <w:charset w:val="86"/>
    <w:family w:val="auto"/>
    <w:pitch w:val="default"/>
    <w:sig w:usb0="800002BF" w:usb1="38CF7CFA" w:usb2="00000016" w:usb3="00000000" w:csb0="00040001" w:csb1="00000000"/>
  </w:font>
  <w:font w:name="Arial Unicode MS">
    <w:panose1 w:val="020B0604020202020204"/>
    <w:charset w:val="86"/>
    <w:family w:val="auto"/>
    <w:pitch w:val="default"/>
    <w:sig w:usb0="F7FFAEFF" w:usb1="F9DFFFFF" w:usb2="0000007F" w:usb3="00000000" w:csb0="203F01FF" w:csb1="DFFF0000"/>
  </w:font>
  <w:font w:name="ºÚÌå">
    <w:altName w:val="Segoe Print"/>
    <w:panose1 w:val="020B0604020202020204"/>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方正仿宋简体">
    <w:altName w:val="微软雅黑"/>
    <w:panose1 w:val="03000509000000000000"/>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方正小标宋_GBK">
    <w:altName w:val="微软雅黑"/>
    <w:panose1 w:val="02000000000000000000"/>
    <w:charset w:val="86"/>
    <w:family w:val="script"/>
    <w:pitch w:val="default"/>
    <w:sig w:usb0="00000000" w:usb1="00000000" w:usb2="00082016" w:usb3="00000000" w:csb0="00040001"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0"/>
    <w:family w:val="auto"/>
    <w:pitch w:val="default"/>
    <w:sig w:usb0="00000000" w:usb1="00000000" w:usb2="00000000" w:usb3="00000000" w:csb0="80000000" w:csb1="00000000"/>
  </w:font>
  <w:font w:name="KSOFE44F9426">
    <w:panose1 w:val="02010609060101010101"/>
    <w:charset w:val="86"/>
    <w:family w:val="auto"/>
    <w:pitch w:val="default"/>
    <w:sig w:usb0="00000001" w:usb1="00000000" w:usb2="00000000" w:usb3="00000000" w:csb0="00040001"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F8C24B">
    <w:pPr>
      <w:pStyle w:val="38"/>
    </w:pPr>
    <w:r>
      <w:rPr>
        <w:sz w:val="18"/>
      </w:rPr>
      <mc:AlternateContent>
        <mc:Choice Requires="wps">
          <w:drawing>
            <wp:anchor distT="0" distB="0" distL="114300" distR="114300" simplePos="0" relativeHeight="251659264" behindDoc="0" locked="0" layoutInCell="1" allowOverlap="1">
              <wp:simplePos x="0" y="0"/>
              <wp:positionH relativeFrom="margin">
                <wp:posOffset>2868295</wp:posOffset>
              </wp:positionH>
              <wp:positionV relativeFrom="paragraph">
                <wp:posOffset>78740</wp:posOffset>
              </wp:positionV>
              <wp:extent cx="205740" cy="194945"/>
              <wp:effectExtent l="0" t="0" r="0" b="0"/>
              <wp:wrapNone/>
              <wp:docPr id="1" name="文本框 72"/>
              <wp:cNvGraphicFramePr/>
              <a:graphic xmlns:a="http://schemas.openxmlformats.org/drawingml/2006/main">
                <a:graphicData uri="http://schemas.microsoft.com/office/word/2010/wordprocessingShape">
                  <wps:wsp>
                    <wps:cNvSpPr txBox="1"/>
                    <wps:spPr bwMode="auto">
                      <a:xfrm>
                        <a:off x="0" y="0"/>
                        <a:ext cx="205740" cy="1949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B297C2">
                          <w:pPr>
                            <w:pStyle w:val="38"/>
                          </w:pPr>
                          <w:r>
                            <w:fldChar w:fldCharType="begin"/>
                          </w:r>
                          <w:r>
                            <w:instrText xml:space="preserve"> PAGE  \* MERGEFORMAT </w:instrText>
                          </w:r>
                          <w:r>
                            <w:fldChar w:fldCharType="separate"/>
                          </w:r>
                          <w:r>
                            <w:t>- 1 -</w:t>
                          </w:r>
                          <w: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文本框 72" o:spid="_x0000_s1026" o:spt="202" type="#_x0000_t202" style="position:absolute;left:0pt;margin-left:225.85pt;margin-top:6.2pt;height:15.35pt;width:16.2pt;mso-position-horizontal-relative:margin;z-index:251659264;mso-width-relative:page;mso-height-relative:page;" filled="f" stroked="f" coordsize="21600,21600" o:gfxdata="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ILqbk1wAAAAkBAAAPAAAAAAAAAAEAIAAAACIA&#10;AABkcnMvZG93bnJldi54bWxQSwECFAAUAAAACACHTuJANyRpWUMCAABwBAAADgAAAAAAAAABACAA&#10;AAAmAQAAZHJzL2Uyb0RvYy54bWxQSwUGAAAAAAYABgBZAQAA2wUAAAAA&#10;">
              <v:fill on="f" focussize="0,0"/>
              <v:stroke on="f" weight="0.5pt"/>
              <v:imagedata o:title=""/>
              <o:lock v:ext="edit" aspectratio="f"/>
              <v:textbox inset="0mm,0mm,0mm,0mm">
                <w:txbxContent>
                  <w:p w14:paraId="6BB297C2">
                    <w:pPr>
                      <w:pStyle w:val="38"/>
                    </w:pPr>
                    <w:r>
                      <w:fldChar w:fldCharType="begin"/>
                    </w:r>
                    <w:r>
                      <w:instrText xml:space="preserve"> PAGE  \* MERGEFORMAT </w:instrText>
                    </w:r>
                    <w:r>
                      <w:fldChar w:fldCharType="separate"/>
                    </w:r>
                    <w:r>
                      <w:t>- 1 -</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397E47">
    <w:pPr>
      <w:pStyle w:val="38"/>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A4E6E0">
                          <w:pPr>
                            <w:pStyle w:val="38"/>
                          </w:pPr>
                          <w:r>
                            <w:fldChar w:fldCharType="begin"/>
                          </w:r>
                          <w:r>
                            <w:instrText xml:space="preserve"> PAGE  \* MERGEFORMAT </w:instrText>
                          </w:r>
                          <w:r>
                            <w:fldChar w:fldCharType="separate"/>
                          </w:r>
                          <w:r>
                            <w:t>55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14:paraId="01A4E6E0">
                    <w:pPr>
                      <w:pStyle w:val="38"/>
                    </w:pPr>
                    <w:r>
                      <w:fldChar w:fldCharType="begin"/>
                    </w:r>
                    <w:r>
                      <w:instrText xml:space="preserve"> PAGE  \* MERGEFORMAT </w:instrText>
                    </w:r>
                    <w:r>
                      <w:fldChar w:fldCharType="separate"/>
                    </w:r>
                    <w:r>
                      <w:t>55</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CBB4F7">
    <w:pPr>
      <w:pStyle w:val="38"/>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205740" cy="194945"/>
              <wp:effectExtent l="0" t="0" r="0" b="0"/>
              <wp:wrapNone/>
              <wp:docPr id="6" name="文本框 72"/>
              <wp:cNvGraphicFramePr/>
              <a:graphic xmlns:a="http://schemas.openxmlformats.org/drawingml/2006/main">
                <a:graphicData uri="http://schemas.microsoft.com/office/word/2010/wordprocessingShape">
                  <wps:wsp>
                    <wps:cNvSpPr txBox="1"/>
                    <wps:spPr bwMode="auto">
                      <a:xfrm>
                        <a:off x="0" y="0"/>
                        <a:ext cx="205740" cy="1949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9C4C94">
                          <w:pPr>
                            <w:pStyle w:val="38"/>
                          </w:pPr>
                          <w:r>
                            <w:fldChar w:fldCharType="begin"/>
                          </w:r>
                          <w:r>
                            <w:instrText xml:space="preserve"> PAGE  \* MERGEFORMAT </w:instrText>
                          </w:r>
                          <w:r>
                            <w:fldChar w:fldCharType="separate"/>
                          </w:r>
                          <w:r>
                            <w:t>- 1 -</w:t>
                          </w:r>
                          <w: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文本框 72" o:spid="_x0000_s1026" o:spt="202" type="#_x0000_t202" style="position:absolute;left:0pt;margin-top:0pt;height:15.35pt;width:16.2pt;mso-position-horizontal:center;mso-position-horizontal-relative:margin;z-index:251662336;mso-width-relative:page;mso-height-relative:page;" filled="f" stroked="f" coordsize="21600,21600" o:gfxdata="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InzBr9IAAAADAQAADwAAAAAAAAABACAAAAAiAAAAZHJz&#10;L2Rvd25yZXYueG1sUEsBAhQAFAAAAAgAh07iQCwVQz9DAgAAcAQAAA4AAAAAAAAAAQAgAAAAIQEA&#10;AGRycy9lMm9Eb2MueG1sUEsFBgAAAAAGAAYAWQEAANYFAAAAAA==&#10;">
              <v:fill on="f" focussize="0,0"/>
              <v:stroke on="f" weight="0.5pt"/>
              <v:imagedata o:title=""/>
              <o:lock v:ext="edit" aspectratio="f"/>
              <v:textbox inset="0mm,0mm,0mm,0mm">
                <w:txbxContent>
                  <w:p w14:paraId="239C4C94">
                    <w:pPr>
                      <w:pStyle w:val="38"/>
                    </w:pPr>
                    <w:r>
                      <w:fldChar w:fldCharType="begin"/>
                    </w:r>
                    <w:r>
                      <w:instrText xml:space="preserve"> PAGE  \* MERGEFORMAT </w:instrText>
                    </w:r>
                    <w:r>
                      <w:fldChar w:fldCharType="separate"/>
                    </w:r>
                    <w:r>
                      <w:t>- 1 -</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0489C2">
    <w:pPr>
      <w:pStyle w:val="38"/>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73"/>
              <wp:cNvGraphicFramePr/>
              <a:graphic xmlns:a="http://schemas.openxmlformats.org/drawingml/2006/main">
                <a:graphicData uri="http://schemas.microsoft.com/office/word/2010/wordprocessingShape">
                  <wps:wsp>
                    <wps:cNvSpPr txBox="1"/>
                    <wps:spPr bwMode="auto">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48DE95">
                          <w:pPr>
                            <w:pStyle w:val="38"/>
                          </w:pPr>
                          <w:r>
                            <w:fldChar w:fldCharType="begin"/>
                          </w:r>
                          <w:r>
                            <w:instrText xml:space="preserve"> PAGE  \* MERGEFORMAT </w:instrText>
                          </w:r>
                          <w:r>
                            <w:fldChar w:fldCharType="separate"/>
                          </w:r>
                          <w:r>
                            <w:t>- 94 -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73"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LNJWO7QAAAABQEAAA8AAAAAAAAAAQAgAAAAIgAAAGRycy9kb3ducmV2&#10;LnhtbFBLAQIUABQAAAAIAIdO4kDzkH7QPQIAAHAEAAAOAAAAAAAAAAEAIAAAAB8BAABkcnMvZTJv&#10;RG9jLnhtbFBLBQYAAAAABgAGAFkBAADOBQAAAAA=&#10;">
              <v:fill on="f" focussize="0,0"/>
              <v:stroke on="f" weight="0.5pt"/>
              <v:imagedata o:title=""/>
              <o:lock v:ext="edit" aspectratio="f"/>
              <v:textbox inset="0mm,0mm,0mm,0mm" style="mso-fit-shape-to-text:t;">
                <w:txbxContent>
                  <w:p w14:paraId="5848DE95">
                    <w:pPr>
                      <w:pStyle w:val="38"/>
                    </w:pPr>
                    <w:r>
                      <w:fldChar w:fldCharType="begin"/>
                    </w:r>
                    <w:r>
                      <w:instrText xml:space="preserve"> PAGE  \* MERGEFORMAT </w:instrText>
                    </w:r>
                    <w:r>
                      <w:fldChar w:fldCharType="separate"/>
                    </w:r>
                    <w:r>
                      <w:t>- 94 -</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6FBC45">
    <w:pPr>
      <w:pStyle w:val="39"/>
      <w:pBdr>
        <w:bottom w:val="none" w:color="000000"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8ADDCF">
    <w:pPr>
      <w:pStyle w:val="39"/>
      <w:pBdr>
        <w:bottom w:val="none" w:color="000000" w:sz="0" w:space="4"/>
      </w:pBdr>
      <w:spacing w:line="240" w:lineRule="auto"/>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0E9AF1">
    <w:pPr>
      <w:pStyle w:val="39"/>
      <w:pBdr>
        <w:bottom w:val="none" w:color="000000" w:sz="0" w:space="4"/>
      </w:pBdr>
      <w:spacing w:line="240" w:lineRule="auto"/>
      <w:jc w:val="righ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8B8D9C">
    <w:pPr>
      <w:pStyle w:val="39"/>
      <w:pBdr>
        <w:bottom w:val="none" w:color="000000" w:sz="0" w:space="4"/>
      </w:pBdr>
      <w:spacing w:line="200" w:lineRule="exact"/>
      <w:ind w:left="5040" w:hanging="5040"/>
      <w:jc w:val="lef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240004">
    <w:pPr>
      <w:pStyle w:val="39"/>
      <w:pBdr>
        <w:bottom w:val="none" w:color="000000" w:sz="0" w:space="4"/>
      </w:pBdr>
      <w:spacing w:line="240" w:lineRule="auto"/>
      <w:jc w:val="righ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BFBCF0">
    <w:pPr>
      <w:pStyle w:val="39"/>
      <w:pBdr>
        <w:bottom w:val="none" w:color="000000" w:sz="0" w:space="4"/>
      </w:pBdr>
      <w:spacing w:line="240" w:lineRule="auto"/>
      <w:jc w:val="righ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D4C0E4">
    <w:pPr>
      <w:pStyle w:val="39"/>
      <w:pBdr>
        <w:bottom w:val="none" w:color="000000" w:sz="0" w:space="4"/>
      </w:pBd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8185E62"/>
    <w:multiLevelType w:val="singleLevel"/>
    <w:tmpl w:val="98185E62"/>
    <w:lvl w:ilvl="0" w:tentative="0">
      <w:start w:val="1"/>
      <w:numFmt w:val="decimal"/>
      <w:pStyle w:val="16"/>
      <w:lvlText w:val="%1."/>
      <w:lvlJc w:val="left"/>
      <w:pPr>
        <w:tabs>
          <w:tab w:val="left" w:pos="360"/>
        </w:tabs>
        <w:ind w:left="360" w:hanging="360"/>
      </w:pPr>
    </w:lvl>
  </w:abstractNum>
  <w:abstractNum w:abstractNumId="1">
    <w:nsid w:val="BE7A5A63"/>
    <w:multiLevelType w:val="singleLevel"/>
    <w:tmpl w:val="BE7A5A63"/>
    <w:lvl w:ilvl="0" w:tentative="0">
      <w:start w:val="1"/>
      <w:numFmt w:val="decimal"/>
      <w:suff w:val="nothing"/>
      <w:lvlText w:val="（%1）"/>
      <w:lvlJc w:val="left"/>
    </w:lvl>
  </w:abstractNum>
  <w:abstractNum w:abstractNumId="2">
    <w:nsid w:val="CF092B84"/>
    <w:multiLevelType w:val="multilevel"/>
    <w:tmpl w:val="CF092B84"/>
    <w:lvl w:ilvl="0" w:tentative="0">
      <w:start w:val="1"/>
      <w:numFmt w:val="lowerLetter"/>
      <w:suff w:val="nothing"/>
      <w:lvlText w:val="%1）"/>
      <w:lvlJc w:val="left"/>
    </w:lvl>
    <w:lvl w:ilvl="1" w:tentative="0">
      <w:start w:val="1"/>
      <w:numFmt w:val="bullet"/>
      <w:suff w:val="space"/>
      <w:lvlText w:val="o"/>
      <w:lvlJc w:val="left"/>
      <w:pPr>
        <w:ind w:left="1440" w:hanging="360"/>
      </w:pPr>
      <w:rPr>
        <w:rFonts w:hint="default" w:ascii="Courier New" w:hAnsi="Courier New" w:eastAsia="Courier New" w:cs="Courier New"/>
      </w:rPr>
    </w:lvl>
    <w:lvl w:ilvl="2" w:tentative="0">
      <w:start w:val="1"/>
      <w:numFmt w:val="bullet"/>
      <w:suff w:val="space"/>
      <w:lvlText w:val="§"/>
      <w:lvlJc w:val="left"/>
      <w:pPr>
        <w:ind w:left="2160" w:hanging="360"/>
      </w:pPr>
      <w:rPr>
        <w:rFonts w:hint="default" w:ascii="Wingdings" w:hAnsi="Wingdings" w:eastAsia="Wingdings" w:cs="Wingdings"/>
      </w:rPr>
    </w:lvl>
    <w:lvl w:ilvl="3" w:tentative="0">
      <w:start w:val="1"/>
      <w:numFmt w:val="bullet"/>
      <w:suff w:val="space"/>
      <w:lvlText w:val="·"/>
      <w:lvlJc w:val="left"/>
      <w:pPr>
        <w:ind w:left="2880" w:hanging="360"/>
      </w:pPr>
      <w:rPr>
        <w:rFonts w:hint="default" w:ascii="Symbol" w:hAnsi="Symbol" w:eastAsia="Symbol" w:cs="Symbol"/>
      </w:rPr>
    </w:lvl>
    <w:lvl w:ilvl="4" w:tentative="0">
      <w:start w:val="1"/>
      <w:numFmt w:val="bullet"/>
      <w:suff w:val="space"/>
      <w:lvlText w:val="o"/>
      <w:lvlJc w:val="left"/>
      <w:pPr>
        <w:ind w:left="3600" w:hanging="360"/>
      </w:pPr>
      <w:rPr>
        <w:rFonts w:hint="default" w:ascii="Courier New" w:hAnsi="Courier New" w:eastAsia="Courier New" w:cs="Courier New"/>
      </w:rPr>
    </w:lvl>
    <w:lvl w:ilvl="5" w:tentative="0">
      <w:start w:val="1"/>
      <w:numFmt w:val="bullet"/>
      <w:suff w:val="space"/>
      <w:lvlText w:val="§"/>
      <w:lvlJc w:val="left"/>
      <w:pPr>
        <w:ind w:left="4320" w:hanging="360"/>
      </w:pPr>
      <w:rPr>
        <w:rFonts w:hint="default" w:ascii="Wingdings" w:hAnsi="Wingdings" w:eastAsia="Wingdings" w:cs="Wingdings"/>
      </w:rPr>
    </w:lvl>
    <w:lvl w:ilvl="6" w:tentative="0">
      <w:start w:val="1"/>
      <w:numFmt w:val="bullet"/>
      <w:suff w:val="space"/>
      <w:lvlText w:val="·"/>
      <w:lvlJc w:val="left"/>
      <w:pPr>
        <w:ind w:left="5040" w:hanging="360"/>
      </w:pPr>
      <w:rPr>
        <w:rFonts w:hint="default" w:ascii="Symbol" w:hAnsi="Symbol" w:eastAsia="Symbol" w:cs="Symbol"/>
      </w:rPr>
    </w:lvl>
    <w:lvl w:ilvl="7" w:tentative="0">
      <w:start w:val="1"/>
      <w:numFmt w:val="bullet"/>
      <w:suff w:val="space"/>
      <w:lvlText w:val="o"/>
      <w:lvlJc w:val="left"/>
      <w:pPr>
        <w:ind w:left="5760" w:hanging="360"/>
      </w:pPr>
      <w:rPr>
        <w:rFonts w:hint="default" w:ascii="Courier New" w:hAnsi="Courier New" w:eastAsia="Courier New" w:cs="Courier New"/>
      </w:rPr>
    </w:lvl>
    <w:lvl w:ilvl="8" w:tentative="0">
      <w:start w:val="1"/>
      <w:numFmt w:val="bullet"/>
      <w:suff w:val="space"/>
      <w:lvlText w:val="§"/>
      <w:lvlJc w:val="left"/>
      <w:pPr>
        <w:ind w:left="6480" w:hanging="360"/>
      </w:pPr>
      <w:rPr>
        <w:rFonts w:hint="default" w:ascii="Wingdings" w:hAnsi="Wingdings" w:eastAsia="Wingdings" w:cs="Wingdings"/>
      </w:rPr>
    </w:lvl>
  </w:abstractNum>
  <w:abstractNum w:abstractNumId="3">
    <w:nsid w:val="DD9314D7"/>
    <w:multiLevelType w:val="singleLevel"/>
    <w:tmpl w:val="DD9314D7"/>
    <w:lvl w:ilvl="0" w:tentative="0">
      <w:start w:val="5"/>
      <w:numFmt w:val="decimal"/>
      <w:suff w:val="nothing"/>
      <w:lvlText w:val="%1）"/>
      <w:lvlJc w:val="left"/>
    </w:lvl>
  </w:abstractNum>
  <w:abstractNum w:abstractNumId="4">
    <w:nsid w:val="E647DB56"/>
    <w:multiLevelType w:val="singleLevel"/>
    <w:tmpl w:val="E647DB56"/>
    <w:lvl w:ilvl="0" w:tentative="0">
      <w:start w:val="1"/>
      <w:numFmt w:val="decimal"/>
      <w:suff w:val="nothing"/>
      <w:lvlText w:val="%1）"/>
      <w:lvlJc w:val="left"/>
    </w:lvl>
  </w:abstractNum>
  <w:abstractNum w:abstractNumId="5">
    <w:nsid w:val="0053208E"/>
    <w:multiLevelType w:val="multilevel"/>
    <w:tmpl w:val="0053208E"/>
    <w:lvl w:ilvl="0" w:tentative="0">
      <w:start w:val="1"/>
      <w:numFmt w:val="lowerLetter"/>
      <w:suff w:val="nothing"/>
      <w:lvlText w:val="%1）"/>
      <w:lvlJc w:val="left"/>
    </w:lvl>
    <w:lvl w:ilvl="1" w:tentative="0">
      <w:start w:val="1"/>
      <w:numFmt w:val="bullet"/>
      <w:suff w:val="space"/>
      <w:lvlText w:val="o"/>
      <w:lvlJc w:val="left"/>
      <w:pPr>
        <w:ind w:left="1440" w:hanging="360"/>
      </w:pPr>
      <w:rPr>
        <w:rFonts w:hint="default" w:ascii="Courier New" w:hAnsi="Courier New" w:eastAsia="Courier New" w:cs="Courier New"/>
      </w:rPr>
    </w:lvl>
    <w:lvl w:ilvl="2" w:tentative="0">
      <w:start w:val="1"/>
      <w:numFmt w:val="bullet"/>
      <w:suff w:val="space"/>
      <w:lvlText w:val="§"/>
      <w:lvlJc w:val="left"/>
      <w:pPr>
        <w:ind w:left="2160" w:hanging="360"/>
      </w:pPr>
      <w:rPr>
        <w:rFonts w:hint="default" w:ascii="Wingdings" w:hAnsi="Wingdings" w:eastAsia="Wingdings" w:cs="Wingdings"/>
      </w:rPr>
    </w:lvl>
    <w:lvl w:ilvl="3" w:tentative="0">
      <w:start w:val="1"/>
      <w:numFmt w:val="bullet"/>
      <w:suff w:val="space"/>
      <w:lvlText w:val="·"/>
      <w:lvlJc w:val="left"/>
      <w:pPr>
        <w:ind w:left="2880" w:hanging="360"/>
      </w:pPr>
      <w:rPr>
        <w:rFonts w:hint="default" w:ascii="Symbol" w:hAnsi="Symbol" w:eastAsia="Symbol" w:cs="Symbol"/>
      </w:rPr>
    </w:lvl>
    <w:lvl w:ilvl="4" w:tentative="0">
      <w:start w:val="1"/>
      <w:numFmt w:val="bullet"/>
      <w:suff w:val="space"/>
      <w:lvlText w:val="o"/>
      <w:lvlJc w:val="left"/>
      <w:pPr>
        <w:ind w:left="3600" w:hanging="360"/>
      </w:pPr>
      <w:rPr>
        <w:rFonts w:hint="default" w:ascii="Courier New" w:hAnsi="Courier New" w:eastAsia="Courier New" w:cs="Courier New"/>
      </w:rPr>
    </w:lvl>
    <w:lvl w:ilvl="5" w:tentative="0">
      <w:start w:val="1"/>
      <w:numFmt w:val="bullet"/>
      <w:suff w:val="space"/>
      <w:lvlText w:val="§"/>
      <w:lvlJc w:val="left"/>
      <w:pPr>
        <w:ind w:left="4320" w:hanging="360"/>
      </w:pPr>
      <w:rPr>
        <w:rFonts w:hint="default" w:ascii="Wingdings" w:hAnsi="Wingdings" w:eastAsia="Wingdings" w:cs="Wingdings"/>
      </w:rPr>
    </w:lvl>
    <w:lvl w:ilvl="6" w:tentative="0">
      <w:start w:val="1"/>
      <w:numFmt w:val="bullet"/>
      <w:suff w:val="space"/>
      <w:lvlText w:val="·"/>
      <w:lvlJc w:val="left"/>
      <w:pPr>
        <w:ind w:left="5040" w:hanging="360"/>
      </w:pPr>
      <w:rPr>
        <w:rFonts w:hint="default" w:ascii="Symbol" w:hAnsi="Symbol" w:eastAsia="Symbol" w:cs="Symbol"/>
      </w:rPr>
    </w:lvl>
    <w:lvl w:ilvl="7" w:tentative="0">
      <w:start w:val="1"/>
      <w:numFmt w:val="bullet"/>
      <w:suff w:val="space"/>
      <w:lvlText w:val="o"/>
      <w:lvlJc w:val="left"/>
      <w:pPr>
        <w:ind w:left="5760" w:hanging="360"/>
      </w:pPr>
      <w:rPr>
        <w:rFonts w:hint="default" w:ascii="Courier New" w:hAnsi="Courier New" w:eastAsia="Courier New" w:cs="Courier New"/>
      </w:rPr>
    </w:lvl>
    <w:lvl w:ilvl="8" w:tentative="0">
      <w:start w:val="1"/>
      <w:numFmt w:val="bullet"/>
      <w:suff w:val="space"/>
      <w:lvlText w:val="§"/>
      <w:lvlJc w:val="left"/>
      <w:pPr>
        <w:ind w:left="6480" w:hanging="360"/>
      </w:pPr>
      <w:rPr>
        <w:rFonts w:hint="default" w:ascii="Wingdings" w:hAnsi="Wingdings" w:eastAsia="Wingdings" w:cs="Wingdings"/>
      </w:rPr>
    </w:lvl>
  </w:abstractNum>
  <w:abstractNum w:abstractNumId="6">
    <w:nsid w:val="14D907E0"/>
    <w:multiLevelType w:val="singleLevel"/>
    <w:tmpl w:val="14D907E0"/>
    <w:lvl w:ilvl="0" w:tentative="0">
      <w:start w:val="4"/>
      <w:numFmt w:val="decimal"/>
      <w:suff w:val="nothing"/>
      <w:lvlText w:val="（%1）"/>
      <w:lvlJc w:val="left"/>
    </w:lvl>
  </w:abstractNum>
  <w:abstractNum w:abstractNumId="7">
    <w:nsid w:val="2BDC4EE8"/>
    <w:multiLevelType w:val="singleLevel"/>
    <w:tmpl w:val="2BDC4EE8"/>
    <w:lvl w:ilvl="0" w:tentative="0">
      <w:start w:val="4"/>
      <w:numFmt w:val="chineseCounting"/>
      <w:suff w:val="nothing"/>
      <w:lvlText w:val="%1、"/>
      <w:lvlJc w:val="left"/>
      <w:rPr>
        <w:rFonts w:hint="eastAsia"/>
      </w:rPr>
    </w:lvl>
  </w:abstractNum>
  <w:abstractNum w:abstractNumId="8">
    <w:nsid w:val="65D83924"/>
    <w:multiLevelType w:val="multilevel"/>
    <w:tmpl w:val="65D83924"/>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num w:numId="1">
    <w:abstractNumId w:val="0"/>
  </w:num>
  <w:num w:numId="2">
    <w:abstractNumId w:val="8"/>
  </w:num>
  <w:num w:numId="3">
    <w:abstractNumId w:val="1"/>
  </w:num>
  <w:num w:numId="4">
    <w:abstractNumId w:val="6"/>
  </w:num>
  <w:num w:numId="5">
    <w:abstractNumId w:val="5"/>
  </w:num>
  <w:num w:numId="6">
    <w:abstractNumId w:val="2"/>
  </w:num>
  <w:num w:numId="7">
    <w:abstractNumId w:val="3"/>
  </w:num>
  <w:num w:numId="8">
    <w:abstractNumId w:val="7"/>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3"/>
  <w:bordersDoNotSurroundHeader w:val="0"/>
  <w:bordersDoNotSurroundFooter w:val="0"/>
  <w:documentProtection w:edit="trackedChanges" w:enforcement="0"/>
  <w:defaultTabStop w:val="420"/>
  <w:displayHorizontalDrawingGridEvery w:val="1"/>
  <w:displayVerticalDrawingGridEvery w:val="1"/>
  <w:noPunctuationKerning w:val="1"/>
  <w:characterSpacingControl w:val="doNotCompress"/>
  <w:footnotePr>
    <w:footnote w:id="0"/>
    <w:footnote w:id="1"/>
  </w:footnotePr>
  <w:endnotePr>
    <w:endnote w:id="0"/>
    <w:endnote w:id="1"/>
  </w:endnotePr>
  <w:compat>
    <w:balanceSingleByteDoubleByteWidth/>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9E1084"/>
    <w:rsid w:val="01AA1AC9"/>
    <w:rsid w:val="02102D6C"/>
    <w:rsid w:val="08B96FC2"/>
    <w:rsid w:val="0BFF49C4"/>
    <w:rsid w:val="0DEE1934"/>
    <w:rsid w:val="0E242A7C"/>
    <w:rsid w:val="0ED168E7"/>
    <w:rsid w:val="113B78AC"/>
    <w:rsid w:val="12A460C1"/>
    <w:rsid w:val="162B2D0F"/>
    <w:rsid w:val="165443DC"/>
    <w:rsid w:val="169C47A6"/>
    <w:rsid w:val="17580FA8"/>
    <w:rsid w:val="185A18F0"/>
    <w:rsid w:val="188744BB"/>
    <w:rsid w:val="18BE57EA"/>
    <w:rsid w:val="1BEE6D2B"/>
    <w:rsid w:val="1C316C17"/>
    <w:rsid w:val="1D813BCE"/>
    <w:rsid w:val="1E7463B5"/>
    <w:rsid w:val="206104AB"/>
    <w:rsid w:val="23181AA9"/>
    <w:rsid w:val="23AE6894"/>
    <w:rsid w:val="262C54FE"/>
    <w:rsid w:val="26DF2B62"/>
    <w:rsid w:val="274F38E7"/>
    <w:rsid w:val="27B578E3"/>
    <w:rsid w:val="28CD03A2"/>
    <w:rsid w:val="28F8169B"/>
    <w:rsid w:val="29C72969"/>
    <w:rsid w:val="2C306F10"/>
    <w:rsid w:val="2D81280D"/>
    <w:rsid w:val="2F801F6D"/>
    <w:rsid w:val="34125129"/>
    <w:rsid w:val="344277BC"/>
    <w:rsid w:val="362353CB"/>
    <w:rsid w:val="37A253AC"/>
    <w:rsid w:val="3D1D7758"/>
    <w:rsid w:val="3EC769EA"/>
    <w:rsid w:val="3F4C14EF"/>
    <w:rsid w:val="40A67324"/>
    <w:rsid w:val="40C652D1"/>
    <w:rsid w:val="43C358D1"/>
    <w:rsid w:val="446C618F"/>
    <w:rsid w:val="46230C36"/>
    <w:rsid w:val="48CD0316"/>
    <w:rsid w:val="4B005883"/>
    <w:rsid w:val="4B5C2965"/>
    <w:rsid w:val="4BB72DCC"/>
    <w:rsid w:val="4C143394"/>
    <w:rsid w:val="4D4001BD"/>
    <w:rsid w:val="4F381A8F"/>
    <w:rsid w:val="52AA6800"/>
    <w:rsid w:val="53430A03"/>
    <w:rsid w:val="56A22742"/>
    <w:rsid w:val="592B3838"/>
    <w:rsid w:val="5C6519EA"/>
    <w:rsid w:val="5F3833E6"/>
    <w:rsid w:val="60A96349"/>
    <w:rsid w:val="61307381"/>
    <w:rsid w:val="616E1341"/>
    <w:rsid w:val="63312626"/>
    <w:rsid w:val="64191A38"/>
    <w:rsid w:val="64616F3B"/>
    <w:rsid w:val="688B0A2A"/>
    <w:rsid w:val="69C767F5"/>
    <w:rsid w:val="6B5903E1"/>
    <w:rsid w:val="6D0F39D8"/>
    <w:rsid w:val="6D341690"/>
    <w:rsid w:val="6E22773B"/>
    <w:rsid w:val="70253512"/>
    <w:rsid w:val="70342381"/>
    <w:rsid w:val="72C47B38"/>
    <w:rsid w:val="73E76313"/>
    <w:rsid w:val="740A1685"/>
    <w:rsid w:val="740D2C3B"/>
    <w:rsid w:val="755E371E"/>
    <w:rsid w:val="75EC4CA3"/>
    <w:rsid w:val="77511A05"/>
    <w:rsid w:val="79A8143C"/>
    <w:rsid w:val="79FF0F4D"/>
    <w:rsid w:val="7A2761C2"/>
    <w:rsid w:val="7A554FEF"/>
    <w:rsid w:val="7A9674E6"/>
    <w:rsid w:val="7B1D0E0A"/>
    <w:rsid w:val="7FD142D3"/>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 w:semiHidden="0" w:name="heading 5"/>
    <w:lsdException w:qFormat="1" w:unhideWhenUsed="0" w:uiPriority="1" w:semiHidden="0" w:name="heading 6"/>
    <w:lsdException w:qFormat="1" w:uiPriority="9" w:semiHidden="0" w:name="heading 7"/>
    <w:lsdException w:qFormat="1" w:uiPriority="9" w:semiHidden="0" w:name="heading 8"/>
    <w:lsdException w:qFormat="1" w:uiPriority="9" w:semiHidden="0"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qFormat="1" w:unhideWhenUsed="0" w:uiPriority="0"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nhideWhenUsed="0" w:uiPriority="0" w:semiHidden="0" w:name="toc 9"/>
    <w:lsdException w:qFormat="1" w:unhideWhenUsed="0" w:uiPriority="0" w:semiHidden="0" w:name="Normal Indent"/>
    <w:lsdException w:qFormat="1" w:uiPriority="99" w:name="footnote text"/>
    <w:lsdException w:qFormat="1" w:unhideWhenUsed="0" w:uiPriority="0" w:name="annotation text"/>
    <w:lsdException w:qFormat="1" w:unhideWhenUsed="0" w:uiPriority="0" w:semiHidden="0" w:name="header"/>
    <w:lsdException w:qFormat="1" w:unhideWhenUsed="0" w:uiPriority="99" w:semiHidden="0" w:name="footer"/>
    <w:lsdException w:qFormat="1" w:unhideWhenUsed="0" w:uiPriority="0" w:name="index heading"/>
    <w:lsdException w:qFormat="1" w:unhideWhenUsed="0" w:uiPriority="0" w:semiHidden="0" w:name="caption"/>
    <w:lsdException w:qFormat="1" w:uiPriority="0" w:semiHidden="0" w:name="table of figures"/>
    <w:lsdException w:uiPriority="99" w:name="envelope address"/>
    <w:lsdException w:uiPriority="99" w:name="envelope return"/>
    <w:lsdException w:qFormat="1" w:uiPriority="99" w:semiHidden="0" w:name="footnote reference"/>
    <w:lsdException w:qFormat="1" w:unhideWhenUsed="0" w:uiPriority="0" w:name="annotation reference"/>
    <w:lsdException w:uiPriority="99" w:name="line number"/>
    <w:lsdException w:qFormat="1" w:unhideWhenUsed="0" w:uiPriority="0" w:semiHidden="0" w:name="page number"/>
    <w:lsdException w:qFormat="1" w:uiPriority="99" w:name="endnote reference"/>
    <w:lsdException w:qFormat="1" w:uiPriority="99" w:name="endnote text"/>
    <w:lsdException w:qFormat="1" w:unhideWhenUsed="0" w:uiPriority="0" w:semiHidden="0" w:name="table of authorities"/>
    <w:lsdException w:uiPriority="99" w:name="macro"/>
    <w:lsdException w:uiPriority="99" w:name="toa heading"/>
    <w:lsdException w:qFormat="1" w:unhideWhenUsed="0" w:uiPriority="0" w:semiHidden="0" w:name="List"/>
    <w:lsdException w:uiPriority="99" w:name="List Bullet"/>
    <w:lsdException w:qFormat="1" w:uiPriority="99" w:name="List Number"/>
    <w:lsdException w:qFormat="1" w:unhideWhenUsed="0" w:uiPriority="0"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qFormat="1" w:unhideWhenUsed="0" w:uiPriority="0" w:semiHidden="0"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iPriority="0" w:semiHidden="0" w:name="Message Header"/>
    <w:lsdException w:qFormat="1" w:unhideWhenUsed="0" w:uiPriority="0" w:semiHidden="0" w:name="Subtitle"/>
    <w:lsdException w:qFormat="1"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uiPriority="99"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nhideWhenUsed="0" w:uiPriority="0"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pPr>
    <w:rPr>
      <w:rFonts w:hint="default" w:ascii="Calibri" w:hAnsi="Calibri" w:eastAsia="宋体" w:cs="宋体"/>
      <w:sz w:val="21"/>
      <w:szCs w:val="21"/>
      <w:lang w:val="en-US" w:eastAsia="zh-CN" w:bidi="ar-SA"/>
    </w:rPr>
  </w:style>
  <w:style w:type="paragraph" w:styleId="2">
    <w:name w:val="heading 1"/>
    <w:basedOn w:val="1"/>
    <w:next w:val="1"/>
    <w:qFormat/>
    <w:uiPriority w:val="99"/>
    <w:pPr>
      <w:keepNext/>
      <w:spacing w:before="120" w:after="160" w:line="259" w:lineRule="auto"/>
      <w:ind w:left="432" w:hanging="432"/>
      <w:outlineLvl w:val="0"/>
    </w:pPr>
    <w:rPr>
      <w:rFonts w:eastAsia="黑体"/>
      <w:b/>
      <w:bCs/>
      <w:color w:val="000000"/>
      <w:sz w:val="30"/>
      <w:szCs w:val="30"/>
    </w:rPr>
  </w:style>
  <w:style w:type="paragraph" w:styleId="3">
    <w:name w:val="heading 2"/>
    <w:basedOn w:val="1"/>
    <w:next w:val="1"/>
    <w:link w:val="218"/>
    <w:qFormat/>
    <w:uiPriority w:val="0"/>
    <w:pPr>
      <w:keepNext/>
      <w:keepLines/>
      <w:spacing w:before="260" w:after="260" w:line="360" w:lineRule="auto"/>
      <w:ind w:firstLine="540"/>
      <w:outlineLvl w:val="1"/>
    </w:pPr>
    <w:rPr>
      <w:rFonts w:ascii="Arial" w:hAnsi="Arial" w:eastAsia="黑体"/>
      <w:b/>
      <w:bCs/>
      <w:sz w:val="32"/>
      <w:szCs w:val="32"/>
    </w:rPr>
  </w:style>
  <w:style w:type="paragraph" w:styleId="4">
    <w:name w:val="heading 3"/>
    <w:basedOn w:val="1"/>
    <w:next w:val="5"/>
    <w:link w:val="219"/>
    <w:qFormat/>
    <w:uiPriority w:val="0"/>
    <w:pPr>
      <w:keepNext/>
      <w:keepLines/>
      <w:spacing w:before="260" w:after="260" w:line="416" w:lineRule="auto"/>
      <w:outlineLvl w:val="2"/>
    </w:pPr>
    <w:rPr>
      <w:b/>
      <w:bCs/>
      <w:sz w:val="32"/>
      <w:szCs w:val="32"/>
    </w:rPr>
  </w:style>
  <w:style w:type="paragraph" w:styleId="6">
    <w:name w:val="heading 4"/>
    <w:basedOn w:val="1"/>
    <w:next w:val="5"/>
    <w:qFormat/>
    <w:uiPriority w:val="0"/>
    <w:pPr>
      <w:keepNext/>
      <w:keepLines/>
      <w:spacing w:before="280" w:after="290" w:line="376" w:lineRule="auto"/>
      <w:outlineLvl w:val="3"/>
    </w:pPr>
    <w:rPr>
      <w:rFonts w:ascii="Arial" w:hAnsi="Arial" w:eastAsia="黑体"/>
      <w:b/>
      <w:bCs/>
      <w:sz w:val="28"/>
      <w:szCs w:val="28"/>
    </w:rPr>
  </w:style>
  <w:style w:type="paragraph" w:styleId="7">
    <w:name w:val="heading 5"/>
    <w:basedOn w:val="8"/>
    <w:next w:val="8"/>
    <w:link w:val="73"/>
    <w:unhideWhenUsed/>
    <w:qFormat/>
    <w:uiPriority w:val="9"/>
    <w:pPr>
      <w:keepNext/>
      <w:keepLines/>
      <w:spacing w:before="320" w:after="200"/>
      <w:outlineLvl w:val="4"/>
    </w:pPr>
    <w:rPr>
      <w:rFonts w:ascii="等线" w:hAnsi="等线" w:eastAsia="等线" w:cs="等线"/>
      <w:b/>
      <w:bCs/>
      <w:sz w:val="24"/>
      <w:szCs w:val="24"/>
    </w:rPr>
  </w:style>
  <w:style w:type="paragraph" w:styleId="9">
    <w:name w:val="heading 6"/>
    <w:basedOn w:val="1"/>
    <w:next w:val="1"/>
    <w:qFormat/>
    <w:uiPriority w:val="1"/>
    <w:pPr>
      <w:ind w:left="756"/>
      <w:outlineLvl w:val="5"/>
    </w:pPr>
    <w:rPr>
      <w:rFonts w:ascii="宋体" w:hAnsi="宋体" w:eastAsia="宋体" w:cs="宋体"/>
      <w:b/>
      <w:bCs/>
      <w:sz w:val="24"/>
      <w:szCs w:val="24"/>
      <w:lang w:val="en-US" w:eastAsia="zh-CN" w:bidi="ar-SA"/>
    </w:rPr>
  </w:style>
  <w:style w:type="paragraph" w:styleId="10">
    <w:name w:val="heading 7"/>
    <w:basedOn w:val="8"/>
    <w:next w:val="8"/>
    <w:link w:val="75"/>
    <w:unhideWhenUsed/>
    <w:qFormat/>
    <w:uiPriority w:val="9"/>
    <w:pPr>
      <w:keepNext/>
      <w:keepLines/>
      <w:spacing w:before="320" w:after="200"/>
      <w:outlineLvl w:val="6"/>
    </w:pPr>
    <w:rPr>
      <w:rFonts w:ascii="等线" w:hAnsi="等线" w:eastAsia="等线" w:cs="等线"/>
      <w:b/>
      <w:bCs/>
      <w:i/>
      <w:iCs/>
      <w:sz w:val="22"/>
      <w:szCs w:val="22"/>
    </w:rPr>
  </w:style>
  <w:style w:type="paragraph" w:styleId="11">
    <w:name w:val="heading 8"/>
    <w:basedOn w:val="8"/>
    <w:next w:val="8"/>
    <w:link w:val="76"/>
    <w:unhideWhenUsed/>
    <w:qFormat/>
    <w:uiPriority w:val="9"/>
    <w:pPr>
      <w:keepNext/>
      <w:keepLines/>
      <w:spacing w:before="320" w:after="200"/>
      <w:outlineLvl w:val="7"/>
    </w:pPr>
    <w:rPr>
      <w:rFonts w:ascii="等线" w:hAnsi="等线" w:eastAsia="等线" w:cs="等线"/>
      <w:i/>
      <w:iCs/>
      <w:sz w:val="22"/>
      <w:szCs w:val="22"/>
    </w:rPr>
  </w:style>
  <w:style w:type="paragraph" w:styleId="12">
    <w:name w:val="heading 9"/>
    <w:basedOn w:val="8"/>
    <w:next w:val="8"/>
    <w:link w:val="77"/>
    <w:unhideWhenUsed/>
    <w:qFormat/>
    <w:uiPriority w:val="9"/>
    <w:pPr>
      <w:keepNext/>
      <w:keepLines/>
      <w:spacing w:before="320" w:after="200"/>
      <w:outlineLvl w:val="8"/>
    </w:pPr>
    <w:rPr>
      <w:rFonts w:ascii="等线" w:hAnsi="等线" w:eastAsia="等线" w:cs="等线"/>
      <w:i/>
      <w:iCs/>
      <w:sz w:val="21"/>
      <w:szCs w:val="21"/>
    </w:rPr>
  </w:style>
  <w:style w:type="character" w:default="1" w:styleId="58">
    <w:name w:val="Default Paragraph Font"/>
    <w:semiHidden/>
    <w:qFormat/>
    <w:uiPriority w:val="0"/>
  </w:style>
  <w:style w:type="table" w:default="1" w:styleId="56">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paragraph" w:styleId="5">
    <w:name w:val="Normal Indent"/>
    <w:basedOn w:val="1"/>
    <w:next w:val="1"/>
    <w:link w:val="220"/>
    <w:qFormat/>
    <w:uiPriority w:val="0"/>
    <w:pPr>
      <w:spacing w:line="440" w:lineRule="exact"/>
      <w:ind w:firstLine="652"/>
    </w:pPr>
    <w:rPr>
      <w:spacing w:val="20"/>
      <w:szCs w:val="20"/>
    </w:rPr>
  </w:style>
  <w:style w:type="paragraph" w:customStyle="1" w:styleId="8">
    <w:name w:val="Normal"/>
    <w:qFormat/>
    <w:uiPriority w:val="0"/>
    <w:pPr>
      <w:jc w:val="both"/>
    </w:pPr>
    <w:rPr>
      <w:rFonts w:hint="default" w:ascii="Calibri" w:hAnsi="Calibri" w:eastAsia="宋体" w:cs="宋体"/>
      <w:sz w:val="21"/>
      <w:szCs w:val="21"/>
      <w:lang w:val="en-US" w:eastAsia="zh-CN" w:bidi="ar-SA"/>
    </w:rPr>
  </w:style>
  <w:style w:type="paragraph" w:styleId="13">
    <w:name w:val="toc 7"/>
    <w:basedOn w:val="8"/>
    <w:next w:val="8"/>
    <w:unhideWhenUsed/>
    <w:qFormat/>
    <w:uiPriority w:val="39"/>
    <w:pPr>
      <w:spacing w:after="57"/>
      <w:ind w:left="1701" w:right="0" w:firstLine="0"/>
    </w:pPr>
  </w:style>
  <w:style w:type="paragraph" w:styleId="14">
    <w:name w:val="table of authorities"/>
    <w:next w:val="1"/>
    <w:qFormat/>
    <w:uiPriority w:val="0"/>
    <w:pPr>
      <w:widowControl w:val="0"/>
      <w:spacing w:line="360" w:lineRule="auto"/>
      <w:ind w:left="0" w:leftChars="0" w:firstLine="720" w:firstLineChars="200"/>
      <w:jc w:val="both"/>
    </w:pPr>
    <w:rPr>
      <w:rFonts w:ascii="Times New Roman" w:hAnsi="Times New Roman" w:eastAsia="宋体" w:cs="Times New Roman"/>
      <w:kern w:val="2"/>
      <w:sz w:val="24"/>
      <w:szCs w:val="24"/>
      <w:lang w:val="en-US" w:eastAsia="zh-CN" w:bidi="ar-SA"/>
    </w:rPr>
  </w:style>
  <w:style w:type="paragraph" w:styleId="15">
    <w:name w:val="Note Heading"/>
    <w:basedOn w:val="1"/>
    <w:next w:val="1"/>
    <w:qFormat/>
    <w:uiPriority w:val="0"/>
    <w:pPr>
      <w:jc w:val="center"/>
    </w:pPr>
    <w:rPr>
      <w:sz w:val="28"/>
      <w:szCs w:val="20"/>
    </w:rPr>
  </w:style>
  <w:style w:type="paragraph" w:styleId="16">
    <w:name w:val="List Number"/>
    <w:basedOn w:val="1"/>
    <w:semiHidden/>
    <w:unhideWhenUsed/>
    <w:qFormat/>
    <w:uiPriority w:val="99"/>
    <w:pPr>
      <w:numPr>
        <w:ilvl w:val="0"/>
        <w:numId w:val="1"/>
      </w:numPr>
    </w:pPr>
  </w:style>
  <w:style w:type="paragraph" w:styleId="17">
    <w:name w:val="caption"/>
    <w:basedOn w:val="1"/>
    <w:next w:val="1"/>
    <w:qFormat/>
    <w:uiPriority w:val="0"/>
    <w:rPr>
      <w:rFonts w:ascii="Arial" w:hAnsi="Arial" w:eastAsia="黑体" w:cs="Arial"/>
      <w:sz w:val="20"/>
      <w:szCs w:val="20"/>
    </w:rPr>
  </w:style>
  <w:style w:type="paragraph" w:styleId="18">
    <w:name w:val="Document Map"/>
    <w:basedOn w:val="1"/>
    <w:qFormat/>
    <w:uiPriority w:val="0"/>
    <w:rPr>
      <w:rFonts w:ascii="宋体"/>
      <w:sz w:val="18"/>
      <w:szCs w:val="18"/>
    </w:rPr>
  </w:style>
  <w:style w:type="paragraph" w:styleId="19">
    <w:name w:val="annotation text"/>
    <w:basedOn w:val="1"/>
    <w:link w:val="221"/>
    <w:semiHidden/>
    <w:qFormat/>
    <w:uiPriority w:val="0"/>
    <w:pPr>
      <w:jc w:val="left"/>
    </w:pPr>
    <w:rPr>
      <w:szCs w:val="20"/>
    </w:rPr>
  </w:style>
  <w:style w:type="paragraph" w:styleId="20">
    <w:name w:val="Salutation"/>
    <w:basedOn w:val="1"/>
    <w:next w:val="1"/>
    <w:unhideWhenUsed/>
    <w:qFormat/>
    <w:uiPriority w:val="0"/>
    <w:rPr>
      <w:sz w:val="28"/>
    </w:rPr>
  </w:style>
  <w:style w:type="paragraph" w:styleId="21">
    <w:name w:val="Body Text"/>
    <w:basedOn w:val="1"/>
    <w:link w:val="216"/>
    <w:qFormat/>
    <w:uiPriority w:val="0"/>
    <w:pPr>
      <w:widowControl/>
      <w:spacing w:before="60" w:after="160" w:line="259" w:lineRule="auto"/>
      <w:ind w:right="113"/>
    </w:pPr>
    <w:rPr>
      <w:sz w:val="18"/>
      <w:szCs w:val="20"/>
    </w:rPr>
  </w:style>
  <w:style w:type="paragraph" w:styleId="22">
    <w:name w:val="Body Text Indent"/>
    <w:basedOn w:val="1"/>
    <w:link w:val="222"/>
    <w:qFormat/>
    <w:uiPriority w:val="0"/>
    <w:pPr>
      <w:spacing w:after="120"/>
      <w:ind w:left="420"/>
    </w:pPr>
    <w:rPr>
      <w:szCs w:val="20"/>
    </w:rPr>
  </w:style>
  <w:style w:type="paragraph" w:styleId="23">
    <w:name w:val="List 2"/>
    <w:basedOn w:val="1"/>
    <w:qFormat/>
    <w:uiPriority w:val="0"/>
    <w:pPr>
      <w:ind w:left="100" w:hanging="200"/>
    </w:pPr>
    <w:rPr>
      <w:sz w:val="28"/>
    </w:rPr>
  </w:style>
  <w:style w:type="paragraph" w:styleId="24">
    <w:name w:val="Block Text"/>
    <w:basedOn w:val="1"/>
    <w:qFormat/>
    <w:uiPriority w:val="0"/>
    <w:pPr>
      <w:spacing w:after="120"/>
      <w:ind w:left="1440" w:right="1440"/>
    </w:pPr>
  </w:style>
  <w:style w:type="paragraph" w:styleId="25">
    <w:name w:val="toc 5"/>
    <w:basedOn w:val="8"/>
    <w:next w:val="8"/>
    <w:unhideWhenUsed/>
    <w:qFormat/>
    <w:uiPriority w:val="39"/>
    <w:pPr>
      <w:spacing w:after="57"/>
      <w:ind w:left="1134" w:right="0" w:firstLine="0"/>
    </w:pPr>
  </w:style>
  <w:style w:type="paragraph" w:styleId="26">
    <w:name w:val="toc 3"/>
    <w:basedOn w:val="8"/>
    <w:next w:val="8"/>
    <w:unhideWhenUsed/>
    <w:qFormat/>
    <w:uiPriority w:val="39"/>
    <w:pPr>
      <w:spacing w:after="57"/>
      <w:ind w:left="567" w:right="0" w:firstLine="0"/>
    </w:pPr>
  </w:style>
  <w:style w:type="paragraph" w:styleId="27">
    <w:name w:val="Plain Text"/>
    <w:basedOn w:val="1"/>
    <w:next w:val="20"/>
    <w:link w:val="223"/>
    <w:qFormat/>
    <w:uiPriority w:val="0"/>
    <w:rPr>
      <w:rFonts w:ascii="宋体" w:hAnsi="Courier New"/>
      <w:sz w:val="21"/>
      <w:szCs w:val="21"/>
    </w:rPr>
  </w:style>
  <w:style w:type="paragraph" w:styleId="28">
    <w:name w:val="List Bullet 5"/>
    <w:basedOn w:val="1"/>
    <w:qFormat/>
    <w:uiPriority w:val="0"/>
    <w:pPr>
      <w:widowControl/>
      <w:spacing w:line="360" w:lineRule="auto"/>
      <w:ind w:firstLine="480"/>
      <w:jc w:val="left"/>
    </w:pPr>
    <w:rPr>
      <w:sz w:val="24"/>
    </w:rPr>
  </w:style>
  <w:style w:type="paragraph" w:styleId="29">
    <w:name w:val="toc 8"/>
    <w:basedOn w:val="8"/>
    <w:next w:val="8"/>
    <w:unhideWhenUsed/>
    <w:qFormat/>
    <w:uiPriority w:val="39"/>
    <w:pPr>
      <w:spacing w:after="57"/>
      <w:ind w:left="1984" w:right="0" w:firstLine="0"/>
    </w:pPr>
  </w:style>
  <w:style w:type="paragraph" w:styleId="30">
    <w:name w:val="Date"/>
    <w:basedOn w:val="1"/>
    <w:next w:val="1"/>
    <w:link w:val="224"/>
    <w:qFormat/>
    <w:uiPriority w:val="0"/>
    <w:pPr>
      <w:ind w:left="100"/>
    </w:pPr>
    <w:rPr>
      <w:szCs w:val="20"/>
    </w:rPr>
  </w:style>
  <w:style w:type="paragraph" w:styleId="31">
    <w:name w:val="Body Text Indent 2"/>
    <w:basedOn w:val="1"/>
    <w:next w:val="32"/>
    <w:qFormat/>
    <w:uiPriority w:val="0"/>
    <w:pPr>
      <w:spacing w:after="120" w:line="480" w:lineRule="auto"/>
      <w:ind w:left="420"/>
    </w:pPr>
    <w:rPr>
      <w:sz w:val="28"/>
    </w:rPr>
  </w:style>
  <w:style w:type="paragraph" w:styleId="32">
    <w:name w:val="Body Text First Indent 2"/>
    <w:basedOn w:val="1"/>
    <w:next w:val="33"/>
    <w:qFormat/>
    <w:uiPriority w:val="0"/>
    <w:pPr>
      <w:ind w:firstLine="420"/>
    </w:pPr>
    <w:rPr>
      <w:sz w:val="21"/>
      <w:szCs w:val="24"/>
    </w:rPr>
  </w:style>
  <w:style w:type="paragraph" w:styleId="33">
    <w:name w:val="Body Text First Indent"/>
    <w:basedOn w:val="1"/>
    <w:next w:val="34"/>
    <w:link w:val="230"/>
    <w:qFormat/>
    <w:uiPriority w:val="0"/>
    <w:pPr>
      <w:widowControl w:val="0"/>
      <w:spacing w:before="0" w:after="120" w:line="240" w:lineRule="auto"/>
      <w:ind w:right="0" w:firstLine="420"/>
    </w:pPr>
    <w:rPr>
      <w:sz w:val="21"/>
      <w:szCs w:val="24"/>
    </w:rPr>
  </w:style>
  <w:style w:type="paragraph" w:customStyle="1" w:styleId="34">
    <w:name w:val="样式 正文首行缩进 + 首行缩进:  2 字符1"/>
    <w:basedOn w:val="1"/>
    <w:next w:val="35"/>
    <w:qFormat/>
    <w:uiPriority w:val="0"/>
    <w:pPr>
      <w:spacing w:line="360" w:lineRule="auto"/>
      <w:ind w:firstLine="480" w:firstLineChars="200"/>
    </w:pPr>
    <w:rPr>
      <w:sz w:val="24"/>
    </w:rPr>
  </w:style>
  <w:style w:type="paragraph" w:styleId="35">
    <w:name w:val="toc 1"/>
    <w:basedOn w:val="1"/>
    <w:next w:val="1"/>
    <w:semiHidden/>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kern w:val="0"/>
      <w:sz w:val="21"/>
      <w:szCs w:val="21"/>
      <w:lang w:val="en-US" w:eastAsia="zh-CN" w:bidi="ar"/>
    </w:rPr>
  </w:style>
  <w:style w:type="paragraph" w:styleId="36">
    <w:name w:val="endnote text"/>
    <w:basedOn w:val="8"/>
    <w:link w:val="214"/>
    <w:semiHidden/>
    <w:unhideWhenUsed/>
    <w:qFormat/>
    <w:uiPriority w:val="99"/>
    <w:pPr>
      <w:spacing w:after="0" w:line="240" w:lineRule="auto"/>
    </w:pPr>
    <w:rPr>
      <w:sz w:val="20"/>
    </w:rPr>
  </w:style>
  <w:style w:type="paragraph" w:styleId="37">
    <w:name w:val="Balloon Text"/>
    <w:basedOn w:val="1"/>
    <w:link w:val="225"/>
    <w:semiHidden/>
    <w:qFormat/>
    <w:uiPriority w:val="0"/>
    <w:rPr>
      <w:sz w:val="18"/>
      <w:szCs w:val="20"/>
    </w:rPr>
  </w:style>
  <w:style w:type="paragraph" w:styleId="38">
    <w:name w:val="footer"/>
    <w:basedOn w:val="1"/>
    <w:link w:val="226"/>
    <w:qFormat/>
    <w:uiPriority w:val="99"/>
    <w:pPr>
      <w:tabs>
        <w:tab w:val="center" w:pos="4153"/>
        <w:tab w:val="right" w:pos="8306"/>
      </w:tabs>
      <w:jc w:val="left"/>
    </w:pPr>
    <w:rPr>
      <w:sz w:val="18"/>
      <w:szCs w:val="20"/>
    </w:rPr>
  </w:style>
  <w:style w:type="paragraph" w:styleId="39">
    <w:name w:val="header"/>
    <w:basedOn w:val="1"/>
    <w:next w:val="21"/>
    <w:link w:val="227"/>
    <w:qFormat/>
    <w:uiPriority w:val="0"/>
    <w:pPr>
      <w:pBdr>
        <w:bottom w:val="single" w:color="000000" w:sz="6" w:space="1"/>
      </w:pBdr>
      <w:tabs>
        <w:tab w:val="center" w:pos="4153"/>
        <w:tab w:val="right" w:pos="8306"/>
      </w:tabs>
      <w:jc w:val="center"/>
    </w:pPr>
    <w:rPr>
      <w:sz w:val="18"/>
      <w:szCs w:val="20"/>
    </w:rPr>
  </w:style>
  <w:style w:type="paragraph" w:styleId="40">
    <w:name w:val="toc 4"/>
    <w:basedOn w:val="8"/>
    <w:next w:val="8"/>
    <w:unhideWhenUsed/>
    <w:qFormat/>
    <w:uiPriority w:val="39"/>
    <w:pPr>
      <w:spacing w:after="57"/>
      <w:ind w:left="850" w:right="0" w:firstLine="0"/>
    </w:pPr>
  </w:style>
  <w:style w:type="paragraph" w:styleId="41">
    <w:name w:val="index heading"/>
    <w:basedOn w:val="1"/>
    <w:next w:val="42"/>
    <w:semiHidden/>
    <w:qFormat/>
    <w:uiPriority w:val="0"/>
    <w:rPr>
      <w:rFonts w:ascii="Arial" w:hAnsi="Arial" w:cs="Arial"/>
      <w:b/>
      <w:bCs/>
    </w:rPr>
  </w:style>
  <w:style w:type="paragraph" w:styleId="42">
    <w:name w:val="index 1"/>
    <w:basedOn w:val="1"/>
    <w:next w:val="1"/>
    <w:qFormat/>
    <w:uiPriority w:val="0"/>
    <w:pPr>
      <w:tabs>
        <w:tab w:val="left" w:pos="932"/>
        <w:tab w:val="center" w:pos="4535"/>
      </w:tabs>
      <w:spacing w:line="400" w:lineRule="exact"/>
      <w:jc w:val="center"/>
    </w:pPr>
    <w:rPr>
      <w:rFonts w:ascii="宋体" w:hAnsi="宋体"/>
      <w:bCs/>
      <w:sz w:val="24"/>
    </w:rPr>
  </w:style>
  <w:style w:type="paragraph" w:styleId="43">
    <w:name w:val="Subtitle"/>
    <w:basedOn w:val="1"/>
    <w:qFormat/>
    <w:uiPriority w:val="0"/>
    <w:pPr>
      <w:spacing w:line="360" w:lineRule="auto"/>
      <w:jc w:val="center"/>
    </w:pPr>
    <w:rPr>
      <w:rFonts w:ascii="宋体" w:hAnsi="宋体" w:eastAsia="仿宋" w:cs="宋体"/>
      <w:spacing w:val="-16"/>
      <w:szCs w:val="21"/>
    </w:rPr>
  </w:style>
  <w:style w:type="paragraph" w:styleId="44">
    <w:name w:val="List"/>
    <w:basedOn w:val="1"/>
    <w:qFormat/>
    <w:uiPriority w:val="0"/>
    <w:pPr>
      <w:spacing w:line="360" w:lineRule="auto"/>
      <w:jc w:val="center"/>
    </w:pPr>
    <w:rPr>
      <w:rFonts w:eastAsia="黑体"/>
      <w:sz w:val="24"/>
      <w:szCs w:val="20"/>
    </w:rPr>
  </w:style>
  <w:style w:type="paragraph" w:styleId="45">
    <w:name w:val="footnote text"/>
    <w:basedOn w:val="8"/>
    <w:link w:val="213"/>
    <w:semiHidden/>
    <w:unhideWhenUsed/>
    <w:qFormat/>
    <w:uiPriority w:val="99"/>
    <w:pPr>
      <w:spacing w:after="40" w:line="240" w:lineRule="auto"/>
    </w:pPr>
    <w:rPr>
      <w:sz w:val="18"/>
    </w:rPr>
  </w:style>
  <w:style w:type="paragraph" w:styleId="46">
    <w:name w:val="toc 6"/>
    <w:basedOn w:val="8"/>
    <w:next w:val="8"/>
    <w:unhideWhenUsed/>
    <w:qFormat/>
    <w:uiPriority w:val="39"/>
    <w:pPr>
      <w:spacing w:after="57"/>
      <w:ind w:left="1417" w:right="0" w:firstLine="0"/>
    </w:pPr>
  </w:style>
  <w:style w:type="paragraph" w:styleId="47">
    <w:name w:val="Body Text Indent 3"/>
    <w:basedOn w:val="1"/>
    <w:qFormat/>
    <w:uiPriority w:val="0"/>
    <w:pPr>
      <w:spacing w:after="120"/>
      <w:ind w:left="420"/>
    </w:pPr>
    <w:rPr>
      <w:sz w:val="16"/>
      <w:szCs w:val="16"/>
    </w:rPr>
  </w:style>
  <w:style w:type="paragraph" w:styleId="48">
    <w:name w:val="table of figures"/>
    <w:basedOn w:val="1"/>
    <w:next w:val="1"/>
    <w:unhideWhenUsed/>
    <w:qFormat/>
    <w:uiPriority w:val="0"/>
    <w:pPr>
      <w:ind w:hanging="200"/>
    </w:pPr>
    <w:rPr>
      <w:rFonts w:hint="eastAsia"/>
      <w:szCs w:val="20"/>
    </w:rPr>
  </w:style>
  <w:style w:type="paragraph" w:styleId="49">
    <w:name w:val="toc 2"/>
    <w:basedOn w:val="1"/>
    <w:next w:val="1"/>
    <w:qFormat/>
    <w:uiPriority w:val="0"/>
    <w:pPr>
      <w:ind w:left="420"/>
    </w:pPr>
  </w:style>
  <w:style w:type="paragraph" w:styleId="50">
    <w:name w:val="toc 9"/>
    <w:basedOn w:val="1"/>
    <w:next w:val="1"/>
    <w:qFormat/>
    <w:uiPriority w:val="0"/>
    <w:pPr>
      <w:spacing w:line="440" w:lineRule="exact"/>
      <w:ind w:left="1920" w:firstLine="200"/>
      <w:jc w:val="left"/>
    </w:pPr>
    <w:rPr>
      <w:spacing w:val="20"/>
      <w:sz w:val="24"/>
      <w:szCs w:val="21"/>
    </w:rPr>
  </w:style>
  <w:style w:type="paragraph" w:styleId="51">
    <w:name w:val="Body Text 2"/>
    <w:basedOn w:val="1"/>
    <w:qFormat/>
    <w:uiPriority w:val="0"/>
    <w:pPr>
      <w:spacing w:after="120" w:line="480" w:lineRule="auto"/>
    </w:pPr>
    <w:rPr>
      <w:sz w:val="28"/>
    </w:rPr>
  </w:style>
  <w:style w:type="paragraph" w:styleId="52">
    <w:name w:val="Message Header"/>
    <w:basedOn w:val="1"/>
    <w:unhideWhenUsed/>
    <w:qFormat/>
    <w:uiPriority w:val="0"/>
    <w:pPr>
      <w:pBdr>
        <w:top w:val="single" w:color="auto" w:sz="6" w:space="1"/>
        <w:left w:val="single" w:color="auto" w:sz="6" w:space="1"/>
        <w:bottom w:val="single" w:color="auto" w:sz="6" w:space="1"/>
        <w:right w:val="single" w:color="auto" w:sz="6" w:space="1"/>
      </w:pBdr>
      <w:shd w:val="pct20" w:color="auto" w:fill="auto"/>
      <w:spacing w:beforeLines="0" w:afterLines="0"/>
      <w:ind w:left="1080" w:leftChars="500" w:hanging="1080" w:hangingChars="500"/>
    </w:pPr>
    <w:rPr>
      <w:rFonts w:hint="default" w:ascii="Arial" w:hAnsi="Arial" w:eastAsia="宋体" w:cs="Arial"/>
      <w:sz w:val="24"/>
      <w:szCs w:val="24"/>
    </w:rPr>
  </w:style>
  <w:style w:type="paragraph" w:styleId="53">
    <w:name w:val="Normal (Web)"/>
    <w:basedOn w:val="1"/>
    <w:link w:val="228"/>
    <w:qFormat/>
    <w:uiPriority w:val="0"/>
    <w:pPr>
      <w:widowControl/>
      <w:spacing w:before="100" w:beforeAutospacing="1" w:after="100" w:afterAutospacing="1"/>
      <w:jc w:val="left"/>
    </w:pPr>
    <w:rPr>
      <w:rFonts w:ascii="宋体" w:hAnsi="宋体"/>
      <w:szCs w:val="20"/>
    </w:rPr>
  </w:style>
  <w:style w:type="paragraph" w:styleId="54">
    <w:name w:val="Title"/>
    <w:basedOn w:val="8"/>
    <w:next w:val="8"/>
    <w:link w:val="79"/>
    <w:qFormat/>
    <w:uiPriority w:val="10"/>
    <w:pPr>
      <w:spacing w:before="300" w:after="200"/>
      <w:contextualSpacing/>
    </w:pPr>
    <w:rPr>
      <w:sz w:val="48"/>
      <w:szCs w:val="48"/>
    </w:rPr>
  </w:style>
  <w:style w:type="paragraph" w:styleId="55">
    <w:name w:val="annotation subject"/>
    <w:basedOn w:val="19"/>
    <w:next w:val="19"/>
    <w:link w:val="229"/>
    <w:semiHidden/>
    <w:qFormat/>
    <w:uiPriority w:val="0"/>
    <w:rPr>
      <w:b/>
    </w:rPr>
  </w:style>
  <w:style w:type="table" w:styleId="57">
    <w:name w:val="Table Grid"/>
    <w:basedOn w:val="56"/>
    <w:qFormat/>
    <w:uiPriority w:val="0"/>
    <w:rPr>
      <w:lang w:val="en-US" w:eastAsia="zh-CN" w:bidi="ar-SA"/>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character" w:styleId="59">
    <w:name w:val="Strong"/>
    <w:qFormat/>
    <w:uiPriority w:val="0"/>
    <w:rPr>
      <w:b/>
      <w:bCs/>
    </w:rPr>
  </w:style>
  <w:style w:type="character" w:styleId="60">
    <w:name w:val="endnote reference"/>
    <w:basedOn w:val="58"/>
    <w:semiHidden/>
    <w:unhideWhenUsed/>
    <w:qFormat/>
    <w:uiPriority w:val="99"/>
    <w:rPr>
      <w:vertAlign w:val="superscript"/>
    </w:rPr>
  </w:style>
  <w:style w:type="character" w:styleId="61">
    <w:name w:val="page number"/>
    <w:basedOn w:val="58"/>
    <w:qFormat/>
    <w:uiPriority w:val="0"/>
  </w:style>
  <w:style w:type="character" w:styleId="62">
    <w:name w:val="Emphasis"/>
    <w:qFormat/>
    <w:uiPriority w:val="0"/>
    <w:rPr>
      <w:i/>
      <w:iCs/>
    </w:rPr>
  </w:style>
  <w:style w:type="character" w:styleId="63">
    <w:name w:val="Hyperlink"/>
    <w:basedOn w:val="58"/>
    <w:qFormat/>
    <w:uiPriority w:val="0"/>
    <w:rPr>
      <w:color w:val="136EC2"/>
      <w:u w:val="single"/>
    </w:rPr>
  </w:style>
  <w:style w:type="character" w:styleId="64">
    <w:name w:val="annotation reference"/>
    <w:basedOn w:val="58"/>
    <w:semiHidden/>
    <w:qFormat/>
    <w:uiPriority w:val="0"/>
    <w:rPr>
      <w:sz w:val="21"/>
    </w:rPr>
  </w:style>
  <w:style w:type="character" w:styleId="65">
    <w:name w:val="footnote reference"/>
    <w:basedOn w:val="58"/>
    <w:unhideWhenUsed/>
    <w:qFormat/>
    <w:uiPriority w:val="99"/>
    <w:rPr>
      <w:vertAlign w:val="superscript"/>
    </w:rPr>
  </w:style>
  <w:style w:type="paragraph" w:customStyle="1" w:styleId="66">
    <w:name w:val="xl27"/>
    <w:basedOn w:val="1"/>
    <w:next w:val="1"/>
    <w:qFormat/>
    <w:uiPriority w:val="0"/>
    <w:pPr>
      <w:widowControl/>
      <w:pBdr>
        <w:bottom w:val="single" w:color="000000" w:sz="4" w:space="0"/>
        <w:right w:val="single" w:color="000000" w:sz="4" w:space="0"/>
      </w:pBdr>
      <w:spacing w:before="100" w:beforeAutospacing="1" w:after="100" w:afterAutospacing="1"/>
      <w:jc w:val="center"/>
    </w:pPr>
    <w:rPr>
      <w:szCs w:val="21"/>
    </w:rPr>
  </w:style>
  <w:style w:type="paragraph" w:customStyle="1" w:styleId="67">
    <w:name w:val="Normal (Web)1"/>
    <w:next w:val="68"/>
    <w:qFormat/>
    <w:uiPriority w:val="0"/>
    <w:pPr>
      <w:widowControl/>
      <w:jc w:val="both"/>
    </w:pPr>
    <w:rPr>
      <w:rFonts w:hint="eastAsia" w:ascii="宋体" w:hAnsi="Times New Roman" w:eastAsia="宋体" w:cs="Times New Roman"/>
      <w:kern w:val="2"/>
      <w:sz w:val="24"/>
      <w:szCs w:val="21"/>
      <w:lang w:val="en-US" w:eastAsia="zh-CN"/>
    </w:rPr>
  </w:style>
  <w:style w:type="paragraph" w:customStyle="1" w:styleId="68">
    <w:name w:val="Date1"/>
    <w:next w:val="1"/>
    <w:qFormat/>
    <w:uiPriority w:val="0"/>
    <w:pPr>
      <w:widowControl w:val="0"/>
      <w:autoSpaceDE w:val="0"/>
      <w:autoSpaceDN w:val="0"/>
      <w:adjustRightInd w:val="0"/>
      <w:jc w:val="both"/>
      <w:textAlignment w:val="baseline"/>
    </w:pPr>
    <w:rPr>
      <w:rFonts w:hint="eastAsia" w:ascii="宋体" w:hAnsi="Times New Roman" w:eastAsia="宋体" w:cs="Times New Roman"/>
      <w:spacing w:val="5"/>
      <w:kern w:val="0"/>
      <w:sz w:val="24"/>
      <w:szCs w:val="20"/>
      <w:lang w:val="en-US" w:eastAsia="zh-CN"/>
    </w:rPr>
  </w:style>
  <w:style w:type="character" w:customStyle="1" w:styleId="69">
    <w:name w:val="Heading 1 Char"/>
    <w:basedOn w:val="58"/>
    <w:qFormat/>
    <w:uiPriority w:val="9"/>
    <w:rPr>
      <w:rFonts w:ascii="等线" w:hAnsi="等线" w:eastAsia="等线" w:cs="等线"/>
      <w:sz w:val="40"/>
      <w:szCs w:val="40"/>
    </w:rPr>
  </w:style>
  <w:style w:type="character" w:customStyle="1" w:styleId="70">
    <w:name w:val="Heading 2 Char"/>
    <w:basedOn w:val="58"/>
    <w:qFormat/>
    <w:uiPriority w:val="9"/>
    <w:rPr>
      <w:rFonts w:ascii="等线" w:hAnsi="等线" w:eastAsia="等线" w:cs="等线"/>
      <w:sz w:val="34"/>
    </w:rPr>
  </w:style>
  <w:style w:type="character" w:customStyle="1" w:styleId="71">
    <w:name w:val="Heading 3 Char"/>
    <w:basedOn w:val="58"/>
    <w:qFormat/>
    <w:uiPriority w:val="9"/>
    <w:rPr>
      <w:rFonts w:ascii="等线" w:hAnsi="等线" w:eastAsia="等线" w:cs="等线"/>
      <w:sz w:val="30"/>
      <w:szCs w:val="30"/>
    </w:rPr>
  </w:style>
  <w:style w:type="character" w:customStyle="1" w:styleId="72">
    <w:name w:val="Heading 4 Char"/>
    <w:basedOn w:val="58"/>
    <w:qFormat/>
    <w:uiPriority w:val="9"/>
    <w:rPr>
      <w:rFonts w:ascii="等线" w:hAnsi="等线" w:eastAsia="等线" w:cs="等线"/>
      <w:b/>
      <w:bCs/>
      <w:sz w:val="26"/>
      <w:szCs w:val="26"/>
    </w:rPr>
  </w:style>
  <w:style w:type="character" w:customStyle="1" w:styleId="73">
    <w:name w:val="Heading 5 Char"/>
    <w:basedOn w:val="58"/>
    <w:link w:val="7"/>
    <w:qFormat/>
    <w:uiPriority w:val="9"/>
    <w:rPr>
      <w:rFonts w:ascii="等线" w:hAnsi="等线" w:eastAsia="等线" w:cs="等线"/>
      <w:b/>
      <w:bCs/>
      <w:sz w:val="24"/>
      <w:szCs w:val="24"/>
    </w:rPr>
  </w:style>
  <w:style w:type="character" w:customStyle="1" w:styleId="74">
    <w:name w:val="Heading 6 Char"/>
    <w:basedOn w:val="58"/>
    <w:qFormat/>
    <w:uiPriority w:val="9"/>
    <w:rPr>
      <w:rFonts w:ascii="等线" w:hAnsi="等线" w:eastAsia="等线" w:cs="等线"/>
      <w:b/>
      <w:bCs/>
      <w:sz w:val="22"/>
      <w:szCs w:val="22"/>
    </w:rPr>
  </w:style>
  <w:style w:type="character" w:customStyle="1" w:styleId="75">
    <w:name w:val="Heading 7 Char"/>
    <w:basedOn w:val="58"/>
    <w:link w:val="10"/>
    <w:qFormat/>
    <w:uiPriority w:val="9"/>
    <w:rPr>
      <w:rFonts w:ascii="等线" w:hAnsi="等线" w:eastAsia="等线" w:cs="等线"/>
      <w:b/>
      <w:bCs/>
      <w:i/>
      <w:iCs/>
      <w:sz w:val="22"/>
      <w:szCs w:val="22"/>
    </w:rPr>
  </w:style>
  <w:style w:type="character" w:customStyle="1" w:styleId="76">
    <w:name w:val="Heading 8 Char"/>
    <w:basedOn w:val="58"/>
    <w:link w:val="11"/>
    <w:qFormat/>
    <w:uiPriority w:val="9"/>
    <w:rPr>
      <w:rFonts w:ascii="等线" w:hAnsi="等线" w:eastAsia="等线" w:cs="等线"/>
      <w:i/>
      <w:iCs/>
      <w:sz w:val="22"/>
      <w:szCs w:val="22"/>
    </w:rPr>
  </w:style>
  <w:style w:type="character" w:customStyle="1" w:styleId="77">
    <w:name w:val="Heading 9 Char"/>
    <w:basedOn w:val="58"/>
    <w:link w:val="12"/>
    <w:qFormat/>
    <w:uiPriority w:val="9"/>
    <w:rPr>
      <w:rFonts w:ascii="等线" w:hAnsi="等线" w:eastAsia="等线" w:cs="等线"/>
      <w:i/>
      <w:iCs/>
      <w:sz w:val="21"/>
      <w:szCs w:val="21"/>
    </w:rPr>
  </w:style>
  <w:style w:type="paragraph" w:styleId="78">
    <w:name w:val="No Spacing"/>
    <w:qFormat/>
    <w:uiPriority w:val="1"/>
    <w:pPr>
      <w:spacing w:before="0" w:after="0" w:line="240" w:lineRule="auto"/>
    </w:pPr>
    <w:rPr>
      <w:rFonts w:hint="default" w:ascii="Times New Roman" w:hAnsi="Times New Roman" w:eastAsia="宋体" w:cs="Times New Roman"/>
    </w:rPr>
  </w:style>
  <w:style w:type="character" w:customStyle="1" w:styleId="79">
    <w:name w:val="Title Char"/>
    <w:basedOn w:val="58"/>
    <w:link w:val="54"/>
    <w:qFormat/>
    <w:uiPriority w:val="10"/>
    <w:rPr>
      <w:sz w:val="48"/>
      <w:szCs w:val="48"/>
    </w:rPr>
  </w:style>
  <w:style w:type="character" w:customStyle="1" w:styleId="80">
    <w:name w:val="Subtitle Char"/>
    <w:basedOn w:val="58"/>
    <w:qFormat/>
    <w:uiPriority w:val="11"/>
    <w:rPr>
      <w:sz w:val="24"/>
      <w:szCs w:val="24"/>
    </w:rPr>
  </w:style>
  <w:style w:type="paragraph" w:styleId="81">
    <w:name w:val="Quote"/>
    <w:basedOn w:val="8"/>
    <w:next w:val="8"/>
    <w:link w:val="82"/>
    <w:qFormat/>
    <w:uiPriority w:val="29"/>
    <w:pPr>
      <w:ind w:left="720" w:right="720"/>
    </w:pPr>
    <w:rPr>
      <w:i/>
    </w:rPr>
  </w:style>
  <w:style w:type="character" w:customStyle="1" w:styleId="82">
    <w:name w:val="Quote Char"/>
    <w:link w:val="81"/>
    <w:qFormat/>
    <w:uiPriority w:val="29"/>
    <w:rPr>
      <w:i/>
    </w:rPr>
  </w:style>
  <w:style w:type="paragraph" w:styleId="83">
    <w:name w:val="Intense Quote"/>
    <w:basedOn w:val="8"/>
    <w:next w:val="8"/>
    <w:link w:val="84"/>
    <w:qFormat/>
    <w:uiPriority w:val="30"/>
    <w:pPr>
      <w:pBdr>
        <w:top w:val="single" w:color="FFFFFF" w:sz="4" w:space="5"/>
        <w:left w:val="single" w:color="FFFFFF" w:sz="4" w:space="10"/>
        <w:bottom w:val="single" w:color="FFFFFF" w:sz="4" w:space="5"/>
        <w:right w:val="single" w:color="FFFFFF" w:sz="4" w:space="10"/>
      </w:pBdr>
      <w:shd w:val="clear" w:color="auto" w:fill="F2F2F2"/>
      <w:ind w:left="720" w:right="720"/>
      <w:contextualSpacing w:val="0"/>
    </w:pPr>
    <w:rPr>
      <w:i/>
    </w:rPr>
  </w:style>
  <w:style w:type="character" w:customStyle="1" w:styleId="84">
    <w:name w:val="Intense Quote Char"/>
    <w:link w:val="83"/>
    <w:qFormat/>
    <w:uiPriority w:val="30"/>
    <w:rPr>
      <w:i/>
    </w:rPr>
  </w:style>
  <w:style w:type="character" w:customStyle="1" w:styleId="85">
    <w:name w:val="Header Char"/>
    <w:basedOn w:val="58"/>
    <w:qFormat/>
    <w:uiPriority w:val="99"/>
  </w:style>
  <w:style w:type="character" w:customStyle="1" w:styleId="86">
    <w:name w:val="Footer Char"/>
    <w:basedOn w:val="58"/>
    <w:qFormat/>
    <w:uiPriority w:val="99"/>
  </w:style>
  <w:style w:type="character" w:customStyle="1" w:styleId="87">
    <w:name w:val="Caption Char"/>
    <w:qFormat/>
    <w:uiPriority w:val="99"/>
  </w:style>
  <w:style w:type="table" w:customStyle="1" w:styleId="88">
    <w:name w:val="Table Grid Light"/>
    <w:basedOn w:val="56"/>
    <w:qFormat/>
    <w:uiPriority w:val="59"/>
    <w:pPr>
      <w:spacing w:after="0" w:line="240" w:lineRule="auto"/>
    </w:pPr>
    <w:tblPr>
      <w:tblBorders>
        <w:top w:val="single" w:color="AEAEAE" w:themeColor="text1" w:themeTint="50" w:sz="4" w:space="0"/>
        <w:left w:val="single" w:color="AEAEAE" w:themeColor="text1" w:themeTint="50" w:sz="4" w:space="0"/>
        <w:bottom w:val="single" w:color="AEAEAE" w:themeColor="text1" w:themeTint="50" w:sz="4" w:space="0"/>
        <w:right w:val="single" w:color="AEAEAE" w:themeColor="text1" w:themeTint="50" w:sz="4" w:space="0"/>
        <w:insideH w:val="single" w:color="AEAEAE" w:themeColor="text1" w:themeTint="50" w:sz="4" w:space="0"/>
        <w:insideV w:val="single" w:color="AEAEAE" w:themeColor="text1" w:themeTint="50" w:sz="4" w:space="0"/>
      </w:tblBorders>
      <w:tblCellMar>
        <w:top w:w="0" w:type="dxa"/>
        <w:left w:w="108" w:type="dxa"/>
        <w:bottom w:w="0" w:type="dxa"/>
        <w:right w:w="108" w:type="dxa"/>
      </w:tblCellMar>
    </w:tbl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table" w:customStyle="1" w:styleId="89">
    <w:name w:val="Plain Table 1"/>
    <w:basedOn w:val="56"/>
    <w:qFormat/>
    <w:uiPriority w:val="59"/>
    <w:pPr>
      <w:spacing w:after="0" w:line="240" w:lineRule="auto"/>
    </w:pPr>
    <w:tblPr>
      <w:tblBorders>
        <w:top w:val="single" w:color="AEAEAE" w:themeColor="text1" w:themeTint="50" w:sz="4" w:space="0"/>
        <w:left w:val="single" w:color="AEAEAE" w:themeColor="text1" w:themeTint="50" w:sz="4" w:space="0"/>
        <w:bottom w:val="single" w:color="AEAEAE" w:themeColor="text1" w:themeTint="50" w:sz="4" w:space="0"/>
        <w:right w:val="single" w:color="AEAEAE" w:themeColor="text1" w:themeTint="50" w:sz="4" w:space="0"/>
        <w:insideH w:val="single" w:color="AEAEAE" w:themeColor="text1" w:themeTint="50" w:sz="4" w:space="0"/>
        <w:insideV w:val="single" w:color="AEAEAE" w:themeColor="text1" w:themeTint="50" w:sz="4" w:space="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cPr>
        <w:shd w:val="clear" w:color="F1F1F1" w:themeColor="text1" w:themeTint="0D" w:fill="F1F1F1" w:themeFill="text1" w:themeFillTint="0D"/>
      </w:tcPr>
    </w:tblStylePr>
    <w:tblStylePr w:type="band2Vert"/>
    <w:tblStylePr w:type="band1Horz">
      <w:tcPr>
        <w:shd w:val="clear" w:color="F1F1F1" w:themeColor="text1" w:themeTint="0D" w:fill="F1F1F1" w:themeFill="text1" w:themeFillTint="0D"/>
      </w:tcPr>
    </w:tblStylePr>
    <w:tblStylePr w:type="band2Horz"/>
    <w:tblStylePr w:type="neCell"/>
    <w:tblStylePr w:type="nwCell"/>
    <w:tblStylePr w:type="seCell"/>
    <w:tblStylePr w:type="swCell"/>
  </w:style>
  <w:style w:type="table" w:customStyle="1" w:styleId="90">
    <w:name w:val="Plain Table 2"/>
    <w:basedOn w:val="56"/>
    <w:qFormat/>
    <w:uiPriority w:val="59"/>
    <w:pPr>
      <w:spacing w:after="0" w:line="240" w:lineRule="auto"/>
    </w:pPr>
    <w:tblPr>
      <w:tblBorders>
        <w:top w:val="single" w:color="000000" w:themeColor="text1" w:sz="4" w:space="0"/>
        <w:left w:val="none" w:color="000000" w:themeColor="text1" w:sz="4" w:space="0"/>
        <w:bottom w:val="single" w:color="000000" w:themeColor="text1" w:sz="4" w:space="0"/>
        <w:right w:val="none" w:color="000000" w:themeColor="text1" w:sz="4" w:space="0"/>
      </w:tblBorders>
      <w:tblCellMar>
        <w:top w:w="0" w:type="dxa"/>
        <w:left w:w="108" w:type="dxa"/>
        <w:bottom w:w="0" w:type="dxa"/>
        <w:right w:w="108" w:type="dxa"/>
      </w:tblCellMar>
    </w:tbl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band1Horz">
      <w:tcPr>
        <w:tcBorders>
          <w:top w:val="single" w:color="000000" w:themeColor="text1" w:sz="4" w:space="0"/>
          <w:bottom w:val="single" w:color="000000" w:themeColor="text1" w:sz="4" w:space="0"/>
        </w:tcBorders>
      </w:tcPr>
    </w:tblStylePr>
    <w:tblStylePr w:type="band2Horz"/>
    <w:tblStylePr w:type="neCell"/>
    <w:tblStylePr w:type="nwCell"/>
    <w:tblStylePr w:type="seCell"/>
    <w:tblStylePr w:type="swCell"/>
  </w:style>
  <w:style w:type="table" w:customStyle="1" w:styleId="91">
    <w:name w:val="Plain Table 3"/>
    <w:basedOn w:val="56"/>
    <w:qFormat/>
    <w:uiPriority w:val="99"/>
    <w:pPr>
      <w:spacing w:after="0" w:line="240" w:lineRule="auto"/>
    </w:pPr>
    <w:tblStylePr w:type="firstRow">
      <w:rPr>
        <w:b/>
        <w:caps/>
        <w:color w:val="404040"/>
      </w:rPr>
      <w:tcPr>
        <w:tcBorders>
          <w:top w:val="nil"/>
          <w:left w:val="nil"/>
          <w:bottom w:val="single" w:color="404040" w:sz="4" w:space="0"/>
          <w:right w:val="nil"/>
        </w:tcBorders>
      </w:tcPr>
    </w:tblStylePr>
    <w:tblStylePr w:type="lastRow">
      <w:rPr>
        <w:b/>
        <w:caps/>
        <w:color w:val="404040"/>
      </w:rPr>
    </w:tblStylePr>
    <w:tblStylePr w:type="firstCol">
      <w:rPr>
        <w:b/>
        <w:caps/>
        <w:color w:val="404040"/>
      </w:rPr>
      <w:tcPr>
        <w:tcBorders>
          <w:top w:val="nil"/>
          <w:left w:val="nil"/>
          <w:bottom w:val="nil"/>
          <w:right w:val="single" w:color="404040" w:sz="4" w:space="0"/>
        </w:tcBorders>
      </w:tcPr>
    </w:tblStylePr>
    <w:tblStylePr w:type="lastCol">
      <w:rPr>
        <w:b/>
        <w:caps/>
        <w:color w:val="404040"/>
      </w:rPr>
    </w:tblStylePr>
    <w:tblStylePr w:type="band1Vert">
      <w:rPr>
        <w:rFonts w:ascii="Arial" w:hAnsi="Arial"/>
        <w:color w:val="404040"/>
        <w:sz w:val="22"/>
      </w:rPr>
      <w:tcPr>
        <w:shd w:val="clear" w:color="F1F1F1" w:themeColor="text1" w:themeTint="0D" w:fill="F1F1F1" w:themeFill="text1" w:themeFillTint="0D"/>
      </w:tcPr>
    </w:tblStylePr>
    <w:tblStylePr w:type="band2Vert"/>
    <w:tblStylePr w:type="band1Horz">
      <w:rPr>
        <w:rFonts w:ascii="Arial" w:hAnsi="Arial"/>
        <w:color w:val="404040"/>
        <w:sz w:val="22"/>
      </w:rPr>
      <w:tcPr>
        <w:shd w:val="clear" w:color="F1F1F1" w:themeColor="text1" w:themeTint="0D" w:fill="F1F1F1" w:themeFill="text1" w:themeFillTint="0D"/>
      </w:tcPr>
    </w:tblStylePr>
    <w:tblStylePr w:type="band2Horz"/>
    <w:tblStylePr w:type="neCell"/>
    <w:tblStylePr w:type="nwCell"/>
    <w:tblStylePr w:type="seCell"/>
    <w:tblStylePr w:type="swCell"/>
  </w:style>
  <w:style w:type="table" w:customStyle="1" w:styleId="92">
    <w:name w:val="Plain Table 4"/>
    <w:basedOn w:val="56"/>
    <w:qFormat/>
    <w:uiPriority w:val="99"/>
    <w:pPr>
      <w:spacing w:after="0" w:line="240" w:lineRule="auto"/>
    </w:p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F1F1F1" w:themeColor="text1" w:themeTint="0D" w:fill="F1F1F1" w:themeFill="text1" w:themeFillTint="0D"/>
      </w:tcPr>
    </w:tblStylePr>
    <w:tblStylePr w:type="band2Vert"/>
    <w:tblStylePr w:type="band1Horz">
      <w:rPr>
        <w:rFonts w:ascii="Arial" w:hAnsi="Arial"/>
        <w:color w:val="404040"/>
        <w:sz w:val="22"/>
      </w:rPr>
      <w:tcPr>
        <w:shd w:val="clear" w:color="F1F1F1" w:themeColor="text1" w:themeTint="0D" w:fill="F1F1F1" w:themeFill="text1" w:themeFillTint="0D"/>
      </w:tcPr>
    </w:tblStylePr>
    <w:tblStylePr w:type="band2Horz"/>
    <w:tblStylePr w:type="neCell"/>
    <w:tblStylePr w:type="nwCell"/>
    <w:tblStylePr w:type="seCell"/>
    <w:tblStylePr w:type="swCell"/>
  </w:style>
  <w:style w:type="table" w:customStyle="1" w:styleId="93">
    <w:name w:val="Plain Table 5"/>
    <w:basedOn w:val="56"/>
    <w:qFormat/>
    <w:uiPriority w:val="99"/>
    <w:pPr>
      <w:spacing w:after="0" w:line="240" w:lineRule="auto"/>
    </w:pPr>
    <w:tblStylePr w:type="firstRow">
      <w:rPr>
        <w:i/>
        <w:color w:val="404040"/>
      </w:rPr>
      <w:tcPr>
        <w:tcBorders>
          <w:left w:val="nil"/>
          <w:bottom w:val="single" w:color="404040" w:sz="4" w:space="0"/>
          <w:right w:val="nil"/>
        </w:tcBorders>
        <w:shd w:val="clear" w:color="FFFFFF" w:fill="auto"/>
      </w:tcPr>
    </w:tblStylePr>
    <w:tblStylePr w:type="lastRow">
      <w:rPr>
        <w:i/>
        <w:color w:val="404040"/>
      </w:rPr>
      <w:tcPr>
        <w:tcBorders>
          <w:top w:val="single" w:color="404040" w:sz="4" w:space="0"/>
          <w:left w:val="nil"/>
          <w:right w:val="nil"/>
        </w:tcBorders>
        <w:shd w:val="clear" w:color="FFFFFF" w:fill="auto"/>
      </w:tcPr>
    </w:tblStylePr>
    <w:tblStylePr w:type="firstCol">
      <w:pPr>
        <w:jc w:val="right"/>
      </w:pPr>
      <w:rPr>
        <w:i/>
        <w:color w:val="404040"/>
      </w:rPr>
      <w:tcPr>
        <w:tcBorders>
          <w:right w:val="single" w:color="404040" w:sz="4" w:space="0"/>
        </w:tcBorders>
        <w:shd w:val="clear" w:color="FFFFFF" w:fill="auto"/>
      </w:tcPr>
    </w:tblStylePr>
    <w:tblStylePr w:type="lastCol">
      <w:rPr>
        <w:i/>
        <w:color w:val="404040"/>
      </w:rPr>
      <w:tcPr>
        <w:tcBorders>
          <w:left w:val="single" w:color="404040" w:sz="4" w:space="0"/>
        </w:tcBorders>
        <w:shd w:val="clear" w:color="FFFFFF" w:fill="auto"/>
      </w:tcPr>
    </w:tblStylePr>
    <w:tblStylePr w:type="band1Vert">
      <w:rPr>
        <w:rFonts w:ascii="Arial" w:hAnsi="Arial"/>
        <w:color w:val="404040"/>
        <w:sz w:val="22"/>
      </w:rPr>
      <w:tcPr>
        <w:shd w:val="clear" w:color="F1F1F1" w:themeColor="text1" w:themeTint="0D" w:fill="F1F1F1" w:themeFill="text1" w:themeFillTint="0D"/>
      </w:tcPr>
    </w:tblStylePr>
    <w:tblStylePr w:type="band2Vert"/>
    <w:tblStylePr w:type="band1Horz">
      <w:rPr>
        <w:rFonts w:ascii="Arial" w:hAnsi="Arial"/>
        <w:color w:val="404040"/>
        <w:sz w:val="22"/>
      </w:rPr>
      <w:tcPr>
        <w:shd w:val="clear" w:color="F1F1F1" w:themeColor="text1" w:themeTint="0D" w:fill="F1F1F1" w:themeFill="text1" w:themeFillTint="0D"/>
      </w:tcPr>
    </w:tblStylePr>
    <w:tblStylePr w:type="band2Horz"/>
    <w:tblStylePr w:type="neCell"/>
    <w:tblStylePr w:type="nwCell"/>
    <w:tblStylePr w:type="seCell"/>
    <w:tblStylePr w:type="swCell"/>
  </w:style>
  <w:style w:type="table" w:customStyle="1" w:styleId="94">
    <w:name w:val="Grid Table 1 Light"/>
    <w:basedOn w:val="56"/>
    <w:qFormat/>
    <w:uiPriority w:val="99"/>
    <w:pPr>
      <w:spacing w:after="0" w:line="240" w:lineRule="auto"/>
    </w:pPr>
    <w:tblPr>
      <w:tblBorders>
        <w:top w:val="single" w:color="979797" w:themeColor="text1" w:themeTint="67" w:sz="4" w:space="0"/>
        <w:left w:val="single" w:color="979797" w:themeColor="text1" w:themeTint="67" w:sz="4" w:space="0"/>
        <w:bottom w:val="single" w:color="979797" w:themeColor="text1" w:themeTint="67" w:sz="4" w:space="0"/>
        <w:right w:val="single" w:color="979797" w:themeColor="text1" w:themeTint="67" w:sz="4" w:space="0"/>
        <w:insideH w:val="single" w:color="979797" w:themeColor="text1" w:themeTint="67" w:sz="4" w:space="0"/>
        <w:insideV w:val="single" w:color="979797" w:themeColor="text1" w:themeTint="67" w:sz="4" w:space="0"/>
      </w:tblBorders>
    </w:tblPr>
    <w:tblStylePr w:type="firstRow">
      <w:rPr>
        <w:b/>
        <w:color w:val="404040"/>
      </w:rPr>
      <w:tcPr>
        <w:tcBorders>
          <w:bottom w:val="single" w:color="696969" w:themeColor="text1"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Vert"/>
    <w:tblStylePr w:type="band2Vert"/>
    <w:tblStylePr w:type="band1Horz">
      <w:rPr>
        <w:rFonts w:ascii="Arial" w:hAnsi="Arial"/>
        <w:color w:val="404040"/>
        <w:sz w:val="22"/>
      </w:rPr>
      <w:tcPr>
        <w:tcBorders>
          <w:top w:val="single" w:color="979797" w:themeColor="text1" w:themeTint="67" w:sz="4" w:space="0"/>
          <w:left w:val="single" w:color="979797" w:themeColor="text1" w:themeTint="67" w:sz="4" w:space="0"/>
          <w:bottom w:val="single" w:color="979797" w:themeColor="text1" w:themeTint="67" w:sz="4" w:space="0"/>
          <w:right w:val="single" w:color="979797" w:themeColor="text1" w:themeTint="67" w:sz="4" w:space="0"/>
        </w:tcBorders>
      </w:tcPr>
    </w:tblStylePr>
    <w:tblStylePr w:type="band2Horz"/>
    <w:tblStylePr w:type="neCell"/>
    <w:tblStylePr w:type="nwCell"/>
    <w:tblStylePr w:type="seCell"/>
    <w:tblStylePr w:type="swCell"/>
  </w:style>
  <w:style w:type="table" w:customStyle="1" w:styleId="95">
    <w:name w:val="Grid Table 1 Light - Accent 1"/>
    <w:basedOn w:val="56"/>
    <w:qFormat/>
    <w:uiPriority w:val="99"/>
    <w:pPr>
      <w:spacing w:after="0" w:line="240" w:lineRule="auto"/>
    </w:pPr>
    <w:tblPr>
      <w:tblBorders>
        <w:top w:val="single" w:color="B7CCE4" w:themeColor="accent1" w:themeTint="67" w:sz="4" w:space="0"/>
        <w:left w:val="single" w:color="B7CCE4" w:themeColor="accent1" w:themeTint="67" w:sz="4" w:space="0"/>
        <w:bottom w:val="single" w:color="B7CCE4" w:themeColor="accent1" w:themeTint="67" w:sz="4" w:space="0"/>
        <w:right w:val="single" w:color="B7CCE4" w:themeColor="accent1" w:themeTint="67" w:sz="4" w:space="0"/>
        <w:insideH w:val="single" w:color="B7CCE4" w:themeColor="accent1" w:themeTint="67" w:sz="4" w:space="0"/>
        <w:insideV w:val="single" w:color="B7CCE4" w:themeColor="accent1" w:themeTint="67" w:sz="4" w:space="0"/>
      </w:tblBorders>
    </w:tblPr>
    <w:tblStylePr w:type="firstRow">
      <w:rPr>
        <w:b/>
        <w:color w:val="404040"/>
      </w:rPr>
      <w:tcPr>
        <w:tcBorders>
          <w:bottom w:val="single" w:color="98B5D8" w:themeColor="accent1"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Vert"/>
    <w:tblStylePr w:type="band2Vert"/>
    <w:tblStylePr w:type="band1Horz">
      <w:rPr>
        <w:rFonts w:ascii="Arial" w:hAnsi="Arial"/>
        <w:color w:val="404040"/>
        <w:sz w:val="22"/>
      </w:rPr>
      <w:tcPr>
        <w:tcBorders>
          <w:top w:val="single" w:color="B7CCE4" w:themeColor="accent1" w:themeTint="67" w:sz="4" w:space="0"/>
          <w:left w:val="single" w:color="B7CCE4" w:themeColor="accent1" w:themeTint="67" w:sz="4" w:space="0"/>
          <w:bottom w:val="single" w:color="B7CCE4" w:themeColor="accent1" w:themeTint="67" w:sz="4" w:space="0"/>
          <w:right w:val="single" w:color="B7CCE4" w:themeColor="accent1" w:themeTint="67" w:sz="4" w:space="0"/>
        </w:tcBorders>
      </w:tcPr>
    </w:tblStylePr>
    <w:tblStylePr w:type="band2Horz"/>
    <w:tblStylePr w:type="neCell"/>
    <w:tblStylePr w:type="nwCell"/>
    <w:tblStylePr w:type="seCell"/>
    <w:tblStylePr w:type="swCell"/>
  </w:style>
  <w:style w:type="table" w:customStyle="1" w:styleId="96">
    <w:name w:val="Grid Table 1 Light - Accent 2"/>
    <w:basedOn w:val="56"/>
    <w:qFormat/>
    <w:uiPriority w:val="99"/>
    <w:pPr>
      <w:spacing w:after="0" w:line="240" w:lineRule="auto"/>
    </w:pPr>
    <w:tblPr>
      <w:tblBorders>
        <w:top w:val="single" w:color="E5B8B7" w:themeColor="accent2" w:themeTint="67" w:sz="4" w:space="0"/>
        <w:left w:val="single" w:color="E5B8B7" w:themeColor="accent2" w:themeTint="67" w:sz="4" w:space="0"/>
        <w:bottom w:val="single" w:color="E5B8B7" w:themeColor="accent2" w:themeTint="67" w:sz="4" w:space="0"/>
        <w:right w:val="single" w:color="E5B8B7" w:themeColor="accent2" w:themeTint="67" w:sz="4" w:space="0"/>
        <w:insideH w:val="single" w:color="E5B8B7" w:themeColor="accent2" w:themeTint="67" w:sz="4" w:space="0"/>
        <w:insideV w:val="single" w:color="E5B8B7" w:themeColor="accent2" w:themeTint="67" w:sz="4" w:space="0"/>
      </w:tblBorders>
    </w:tblPr>
    <w:tblStylePr w:type="firstRow">
      <w:rPr>
        <w:b/>
        <w:color w:val="404040"/>
      </w:rPr>
      <w:tcPr>
        <w:tcBorders>
          <w:bottom w:val="single" w:color="DA9896" w:themeColor="accent2"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Vert"/>
    <w:tblStylePr w:type="band2Vert"/>
    <w:tblStylePr w:type="band1Horz">
      <w:rPr>
        <w:rFonts w:ascii="Arial" w:hAnsi="Arial"/>
        <w:color w:val="404040"/>
        <w:sz w:val="22"/>
      </w:rPr>
      <w:tcPr>
        <w:tcBorders>
          <w:top w:val="single" w:color="E5B8B7" w:themeColor="accent2" w:themeTint="67" w:sz="4" w:space="0"/>
          <w:left w:val="single" w:color="E5B8B7" w:themeColor="accent2" w:themeTint="67" w:sz="4" w:space="0"/>
          <w:bottom w:val="single" w:color="E5B8B7" w:themeColor="accent2" w:themeTint="67" w:sz="4" w:space="0"/>
          <w:right w:val="single" w:color="E5B8B7" w:themeColor="accent2" w:themeTint="67" w:sz="4" w:space="0"/>
        </w:tcBorders>
      </w:tcPr>
    </w:tblStylePr>
    <w:tblStylePr w:type="band2Horz"/>
    <w:tblStylePr w:type="neCell"/>
    <w:tblStylePr w:type="nwCell"/>
    <w:tblStylePr w:type="seCell"/>
    <w:tblStylePr w:type="swCell"/>
  </w:style>
  <w:style w:type="table" w:customStyle="1" w:styleId="97">
    <w:name w:val="Grid Table 1 Light - Accent 3"/>
    <w:basedOn w:val="56"/>
    <w:qFormat/>
    <w:uiPriority w:val="99"/>
    <w:pPr>
      <w:spacing w:after="0" w:line="240" w:lineRule="auto"/>
    </w:pPr>
    <w:tblPr>
      <w:tbl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insideH w:val="single" w:color="D6E3BB" w:themeColor="accent3" w:themeTint="67" w:sz="4" w:space="0"/>
        <w:insideV w:val="single" w:color="D6E3BB" w:themeColor="accent3" w:themeTint="67" w:sz="4" w:space="0"/>
      </w:tblBorders>
    </w:tblPr>
    <w:tblStylePr w:type="firstRow">
      <w:rPr>
        <w:b/>
        <w:color w:val="404040"/>
      </w:rPr>
      <w:tcPr>
        <w:tcBorders>
          <w:bottom w:val="single" w:color="C4D79E" w:themeColor="accent3"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Vert"/>
    <w:tblStylePr w:type="band2Vert"/>
    <w:tblStylePr w:type="band1Horz">
      <w:rPr>
        <w:rFonts w:ascii="Arial" w:hAnsi="Arial"/>
        <w:color w:val="404040"/>
        <w:sz w:val="22"/>
      </w:rPr>
      <w:tcPr>
        <w:tc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tcBorders>
      </w:tcPr>
    </w:tblStylePr>
    <w:tblStylePr w:type="band2Horz"/>
    <w:tblStylePr w:type="neCell"/>
    <w:tblStylePr w:type="nwCell"/>
    <w:tblStylePr w:type="seCell"/>
    <w:tblStylePr w:type="swCell"/>
  </w:style>
  <w:style w:type="table" w:customStyle="1" w:styleId="98">
    <w:name w:val="Grid Table 1 Light - Accent 4"/>
    <w:basedOn w:val="56"/>
    <w:qFormat/>
    <w:uiPriority w:val="99"/>
    <w:pPr>
      <w:spacing w:after="0" w:line="240" w:lineRule="auto"/>
    </w:pPr>
    <w:tblPr>
      <w:tbl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insideH w:val="single" w:color="CBC0D9" w:themeColor="accent4" w:themeTint="67" w:sz="4" w:space="0"/>
        <w:insideV w:val="single" w:color="CBC0D9" w:themeColor="accent4" w:themeTint="67" w:sz="4" w:space="0"/>
      </w:tblBorders>
    </w:tblPr>
    <w:tblStylePr w:type="firstRow">
      <w:rPr>
        <w:b/>
        <w:color w:val="404040"/>
      </w:rPr>
      <w:tcPr>
        <w:tcBorders>
          <w:bottom w:val="single" w:color="B4A4C8" w:themeColor="accent4"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Vert"/>
    <w:tblStylePr w:type="band2Vert"/>
    <w:tblStylePr w:type="band1Horz">
      <w:rPr>
        <w:rFonts w:ascii="Arial" w:hAnsi="Arial"/>
        <w:color w:val="404040"/>
        <w:sz w:val="22"/>
      </w:rPr>
      <w:tcPr>
        <w:tc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tcBorders>
      </w:tcPr>
    </w:tblStylePr>
    <w:tblStylePr w:type="band2Horz"/>
    <w:tblStylePr w:type="neCell"/>
    <w:tblStylePr w:type="nwCell"/>
    <w:tblStylePr w:type="seCell"/>
    <w:tblStylePr w:type="swCell"/>
  </w:style>
  <w:style w:type="table" w:customStyle="1" w:styleId="99">
    <w:name w:val="Grid Table 1 Light - Accent 5"/>
    <w:basedOn w:val="56"/>
    <w:qFormat/>
    <w:uiPriority w:val="99"/>
    <w:pPr>
      <w:spacing w:after="0" w:line="240" w:lineRule="auto"/>
    </w:pPr>
    <w:tblPr>
      <w:tblBorders>
        <w:top w:val="single" w:color="B6DDE7" w:themeColor="accent5" w:themeTint="67" w:sz="4" w:space="0"/>
        <w:left w:val="single" w:color="B6DDE7" w:themeColor="accent5" w:themeTint="67" w:sz="4" w:space="0"/>
        <w:bottom w:val="single" w:color="B6DDE7" w:themeColor="accent5" w:themeTint="67" w:sz="4" w:space="0"/>
        <w:right w:val="single" w:color="B6DDE7" w:themeColor="accent5" w:themeTint="67" w:sz="4" w:space="0"/>
        <w:insideH w:val="single" w:color="B6DDE7" w:themeColor="accent5" w:themeTint="67" w:sz="4" w:space="0"/>
        <w:insideV w:val="single" w:color="B6DDE7" w:themeColor="accent5" w:themeTint="67" w:sz="4" w:space="0"/>
      </w:tblBorders>
    </w:tblPr>
    <w:tblStylePr w:type="firstRow">
      <w:rPr>
        <w:b/>
        <w:color w:val="404040"/>
      </w:rPr>
      <w:tcPr>
        <w:tcBorders>
          <w:bottom w:val="single" w:color="95CEDD" w:themeColor="accent5"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Vert"/>
    <w:tblStylePr w:type="band2Vert"/>
    <w:tblStylePr w:type="band1Horz">
      <w:rPr>
        <w:rFonts w:ascii="Arial" w:hAnsi="Arial"/>
        <w:color w:val="404040"/>
        <w:sz w:val="22"/>
      </w:rPr>
      <w:tcPr>
        <w:tcBorders>
          <w:top w:val="single" w:color="B6DDE7" w:themeColor="accent5" w:themeTint="67" w:sz="4" w:space="0"/>
          <w:left w:val="single" w:color="B6DDE7" w:themeColor="accent5" w:themeTint="67" w:sz="4" w:space="0"/>
          <w:bottom w:val="single" w:color="B6DDE7" w:themeColor="accent5" w:themeTint="67" w:sz="4" w:space="0"/>
          <w:right w:val="single" w:color="B6DDE7" w:themeColor="accent5" w:themeTint="67" w:sz="4" w:space="0"/>
        </w:tcBorders>
      </w:tcPr>
    </w:tblStylePr>
    <w:tblStylePr w:type="band2Horz"/>
    <w:tblStylePr w:type="neCell"/>
    <w:tblStylePr w:type="nwCell"/>
    <w:tblStylePr w:type="seCell"/>
    <w:tblStylePr w:type="swCell"/>
  </w:style>
  <w:style w:type="table" w:customStyle="1" w:styleId="100">
    <w:name w:val="Grid Table 1 Light - Accent 6"/>
    <w:basedOn w:val="56"/>
    <w:qFormat/>
    <w:uiPriority w:val="99"/>
    <w:pPr>
      <w:spacing w:after="0" w:line="240" w:lineRule="auto"/>
    </w:pPr>
    <w:tblPr>
      <w:tbl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insideH w:val="single" w:color="FBD4B4" w:themeColor="accent6" w:themeTint="67" w:sz="4" w:space="0"/>
        <w:insideV w:val="single" w:color="FBD4B4" w:themeColor="accent6" w:themeTint="67" w:sz="4" w:space="0"/>
      </w:tblBorders>
    </w:tblPr>
    <w:tblStylePr w:type="firstRow">
      <w:rPr>
        <w:b/>
        <w:color w:val="404040"/>
      </w:rPr>
      <w:tcPr>
        <w:tcBorders>
          <w:bottom w:val="single" w:color="FAC192" w:themeColor="accent6"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Vert"/>
    <w:tblStylePr w:type="band2Vert"/>
    <w:tblStylePr w:type="band1Horz">
      <w:rPr>
        <w:rFonts w:ascii="Arial" w:hAnsi="Arial"/>
        <w:color w:val="404040"/>
        <w:sz w:val="22"/>
      </w:rPr>
      <w:tcPr>
        <w:tc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tcBorders>
      </w:tcPr>
    </w:tblStylePr>
    <w:tblStylePr w:type="band2Horz"/>
    <w:tblStylePr w:type="neCell"/>
    <w:tblStylePr w:type="nwCell"/>
    <w:tblStylePr w:type="seCell"/>
    <w:tblStylePr w:type="swCell"/>
  </w:style>
  <w:style w:type="table" w:customStyle="1" w:styleId="101">
    <w:name w:val="Grid Table 2"/>
    <w:basedOn w:val="56"/>
    <w:qFormat/>
    <w:uiPriority w:val="99"/>
    <w:pPr>
      <w:spacing w:after="0" w:line="240" w:lineRule="auto"/>
    </w:pPr>
    <w:tblPr>
      <w:tblBorders>
        <w:bottom w:val="single" w:color="696969" w:themeColor="text1" w:themeTint="95" w:sz="4" w:space="0"/>
        <w:insideH w:val="single" w:color="696969" w:themeColor="text1" w:themeTint="95" w:sz="4" w:space="0"/>
        <w:insideV w:val="single" w:color="696969" w:themeColor="text1" w:themeTint="95" w:sz="4" w:space="0"/>
      </w:tblBorders>
    </w:tblPr>
    <w:tblStylePr w:type="firstRow">
      <w:rPr>
        <w:b/>
        <w:color w:val="404040"/>
      </w:rPr>
      <w:tcPr>
        <w:tcBorders>
          <w:top w:val="nil"/>
          <w:left w:val="nil"/>
          <w:bottom w:val="single" w:color="696969" w:themeColor="text1" w:themeTint="95" w:sz="12" w:space="0"/>
          <w:right w:val="nil"/>
        </w:tcBorders>
        <w:shd w:val="clear" w:color="FFFFFF" w:fill="auto"/>
      </w:tcPr>
    </w:tblStylePr>
    <w:tblStylePr w:type="lastRow">
      <w:rPr>
        <w:b/>
        <w:color w:val="404040"/>
      </w:rPr>
      <w:tcPr>
        <w:tcBorders>
          <w:top w:val="single" w:color="696969" w:themeColor="text1" w:themeTint="95"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CACACA" w:themeColor="text1" w:themeTint="34" w:fill="CACACA" w:themeFill="text1" w:themeFillTint="34"/>
      </w:tcPr>
    </w:tblStylePr>
    <w:tblStylePr w:type="band2Vert"/>
    <w:tblStylePr w:type="band1Horz">
      <w:rPr>
        <w:rFonts w:ascii="Arial" w:hAnsi="Arial"/>
        <w:color w:val="404040"/>
        <w:sz w:val="22"/>
      </w:rPr>
      <w:tcPr>
        <w:shd w:val="clear" w:color="CACACA" w:themeColor="text1" w:themeTint="34" w:fill="CACACA" w:themeFill="text1" w:themeFillTint="34"/>
      </w:tcPr>
    </w:tblStylePr>
    <w:tblStylePr w:type="band2Horz"/>
    <w:tblStylePr w:type="neCell"/>
    <w:tblStylePr w:type="nwCell"/>
    <w:tblStylePr w:type="seCell"/>
    <w:tblStylePr w:type="swCell"/>
  </w:style>
  <w:style w:type="table" w:customStyle="1" w:styleId="102">
    <w:name w:val="Grid Table 2 - Accent 1"/>
    <w:basedOn w:val="56"/>
    <w:qFormat/>
    <w:uiPriority w:val="99"/>
    <w:pPr>
      <w:spacing w:after="0" w:line="240" w:lineRule="auto"/>
    </w:pPr>
    <w:tblPr>
      <w:tblBorders>
        <w:bottom w:val="single" w:color="5D8BC2" w:themeColor="accent1" w:themeTint="EA" w:sz="4" w:space="0"/>
        <w:insideH w:val="single" w:color="5D8BC2" w:themeColor="accent1" w:themeTint="EA" w:sz="4" w:space="0"/>
        <w:insideV w:val="single" w:color="5D8BC2" w:themeColor="accent1" w:themeTint="EA" w:sz="4" w:space="0"/>
      </w:tblBorders>
    </w:tblPr>
    <w:tblStylePr w:type="firstRow">
      <w:rPr>
        <w:b/>
        <w:color w:val="404040"/>
      </w:rPr>
      <w:tcPr>
        <w:tcBorders>
          <w:top w:val="nil"/>
          <w:left w:val="nil"/>
          <w:bottom w:val="single" w:color="5D8BC2" w:themeColor="accent1" w:themeTint="EA" w:sz="12" w:space="0"/>
          <w:right w:val="nil"/>
        </w:tcBorders>
        <w:shd w:val="clear" w:color="FFFFFF" w:fill="auto"/>
      </w:tcPr>
    </w:tblStylePr>
    <w:tblStylePr w:type="lastRow">
      <w:rPr>
        <w:b/>
        <w:color w:val="404040"/>
      </w:rPr>
      <w:tcPr>
        <w:tcBorders>
          <w:top w:val="single" w:color="5D8BC2" w:themeColor="accent1" w:themeTint="EA"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BE5F1" w:themeColor="accent1" w:themeTint="34" w:fill="DBE5F1" w:themeFill="accent1" w:themeFillTint="34"/>
      </w:tcPr>
    </w:tblStylePr>
    <w:tblStylePr w:type="band2Vert"/>
    <w:tblStylePr w:type="band1Horz">
      <w:rPr>
        <w:rFonts w:ascii="Arial" w:hAnsi="Arial"/>
        <w:color w:val="404040"/>
        <w:sz w:val="22"/>
      </w:rPr>
      <w:tcPr>
        <w:shd w:val="clear" w:color="DBE5F1" w:themeColor="accent1" w:themeTint="34" w:fill="DBE5F1" w:themeFill="accent1" w:themeFillTint="34"/>
      </w:tcPr>
    </w:tblStylePr>
    <w:tblStylePr w:type="band2Horz"/>
    <w:tblStylePr w:type="neCell"/>
    <w:tblStylePr w:type="nwCell"/>
    <w:tblStylePr w:type="seCell"/>
    <w:tblStylePr w:type="swCell"/>
  </w:style>
  <w:style w:type="table" w:customStyle="1" w:styleId="103">
    <w:name w:val="Grid Table 2 - Accent 2"/>
    <w:basedOn w:val="56"/>
    <w:qFormat/>
    <w:uiPriority w:val="99"/>
    <w:pPr>
      <w:spacing w:after="0" w:line="240" w:lineRule="auto"/>
    </w:pPr>
    <w:tblPr>
      <w:tblBorders>
        <w:bottom w:val="single" w:color="D99795" w:themeColor="accent2" w:themeTint="97" w:sz="4" w:space="0"/>
        <w:insideH w:val="single" w:color="D99795" w:themeColor="accent2" w:themeTint="97" w:sz="4" w:space="0"/>
        <w:insideV w:val="single" w:color="D99795" w:themeColor="accent2" w:themeTint="97" w:sz="4" w:space="0"/>
      </w:tblBorders>
    </w:tblPr>
    <w:tblStylePr w:type="firstRow">
      <w:rPr>
        <w:b/>
        <w:color w:val="404040"/>
      </w:rPr>
      <w:tcPr>
        <w:tcBorders>
          <w:top w:val="nil"/>
          <w:left w:val="nil"/>
          <w:bottom w:val="single" w:color="D99795" w:themeColor="accent2" w:themeTint="97" w:sz="12" w:space="0"/>
          <w:right w:val="nil"/>
        </w:tcBorders>
        <w:shd w:val="clear" w:color="FFFFFF" w:fill="auto"/>
      </w:tcPr>
    </w:tblStylePr>
    <w:tblStylePr w:type="lastRow">
      <w:rPr>
        <w:b/>
        <w:color w:val="404040"/>
      </w:rPr>
      <w:tcPr>
        <w:tcBorders>
          <w:top w:val="single" w:color="D99795" w:themeColor="accent2" w:themeTint="97"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2DCDC" w:themeColor="accent2" w:themeTint="32" w:fill="F2DCDC" w:themeFill="accent2" w:themeFillTint="32"/>
      </w:tcPr>
    </w:tblStylePr>
    <w:tblStylePr w:type="band2Vert"/>
    <w:tblStylePr w:type="band1Horz">
      <w:rPr>
        <w:rFonts w:ascii="Arial" w:hAnsi="Arial"/>
        <w:color w:val="404040"/>
        <w:sz w:val="22"/>
      </w:rPr>
      <w:tcPr>
        <w:shd w:val="clear" w:color="F2DCDC" w:themeColor="accent2" w:themeTint="32" w:fill="F2DCDC" w:themeFill="accent2" w:themeFillTint="32"/>
      </w:tcPr>
    </w:tblStylePr>
    <w:tblStylePr w:type="band2Horz"/>
    <w:tblStylePr w:type="neCell"/>
    <w:tblStylePr w:type="nwCell"/>
    <w:tblStylePr w:type="seCell"/>
    <w:tblStylePr w:type="swCell"/>
  </w:style>
  <w:style w:type="table" w:customStyle="1" w:styleId="104">
    <w:name w:val="Grid Table 2 - Accent 3"/>
    <w:basedOn w:val="56"/>
    <w:qFormat/>
    <w:uiPriority w:val="99"/>
    <w:pPr>
      <w:spacing w:after="0" w:line="240" w:lineRule="auto"/>
    </w:pPr>
    <w:tblPr>
      <w:tblBorders>
        <w:bottom w:val="single" w:color="9BBB59" w:themeColor="accent3" w:themeTint="FE" w:sz="4" w:space="0"/>
        <w:insideH w:val="single" w:color="9BBB59" w:themeColor="accent3" w:themeTint="FE" w:sz="4" w:space="0"/>
        <w:insideV w:val="single" w:color="9BBB59" w:themeColor="accent3" w:themeTint="FE" w:sz="4" w:space="0"/>
      </w:tblBorders>
    </w:tblPr>
    <w:tblStylePr w:type="firstRow">
      <w:rPr>
        <w:b/>
        <w:color w:val="404040"/>
      </w:rPr>
      <w:tcPr>
        <w:tcBorders>
          <w:top w:val="nil"/>
          <w:left w:val="nil"/>
          <w:bottom w:val="single" w:color="9BBB59" w:themeColor="accent3" w:themeTint="FE" w:sz="12" w:space="0"/>
          <w:right w:val="nil"/>
        </w:tcBorders>
        <w:shd w:val="clear" w:color="FFFFFF" w:fill="auto"/>
      </w:tcPr>
    </w:tblStylePr>
    <w:tblStylePr w:type="lastRow">
      <w:rPr>
        <w:b/>
        <w:color w:val="404040"/>
      </w:rPr>
      <w:tcPr>
        <w:tcBorders>
          <w:top w:val="single" w:color="9BBB59" w:themeColor="accent3" w:themeTint="FE"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AF1DD" w:themeColor="accent3" w:themeTint="34" w:fill="EAF1DD" w:themeFill="accent3" w:themeFillTint="34"/>
      </w:tcPr>
    </w:tblStylePr>
    <w:tblStylePr w:type="band2Vert"/>
    <w:tblStylePr w:type="band1Horz">
      <w:rPr>
        <w:rFonts w:ascii="Arial" w:hAnsi="Arial"/>
        <w:color w:val="404040"/>
        <w:sz w:val="22"/>
      </w:rPr>
      <w:tcPr>
        <w:shd w:val="clear" w:color="EAF1DD" w:themeColor="accent3" w:themeTint="34" w:fill="EAF1DD" w:themeFill="accent3" w:themeFillTint="34"/>
      </w:tcPr>
    </w:tblStylePr>
    <w:tblStylePr w:type="band2Horz"/>
    <w:tblStylePr w:type="neCell"/>
    <w:tblStylePr w:type="nwCell"/>
    <w:tblStylePr w:type="seCell"/>
    <w:tblStylePr w:type="swCell"/>
  </w:style>
  <w:style w:type="table" w:customStyle="1" w:styleId="105">
    <w:name w:val="Grid Table 2 - Accent 4"/>
    <w:basedOn w:val="56"/>
    <w:qFormat/>
    <w:uiPriority w:val="99"/>
    <w:pPr>
      <w:spacing w:after="0" w:line="240" w:lineRule="auto"/>
    </w:pPr>
    <w:tblPr>
      <w:tblBorders>
        <w:bottom w:val="single" w:color="B2A1C6" w:themeColor="accent4" w:themeTint="9A" w:sz="4" w:space="0"/>
        <w:insideH w:val="single" w:color="B2A1C6" w:themeColor="accent4" w:themeTint="9A" w:sz="4" w:space="0"/>
        <w:insideV w:val="single" w:color="B2A1C6" w:themeColor="accent4" w:themeTint="9A" w:sz="4" w:space="0"/>
      </w:tblBorders>
    </w:tblPr>
    <w:tblStylePr w:type="firstRow">
      <w:rPr>
        <w:b/>
        <w:color w:val="404040"/>
      </w:rPr>
      <w:tcPr>
        <w:tcBorders>
          <w:top w:val="nil"/>
          <w:left w:val="nil"/>
          <w:bottom w:val="single" w:color="B2A1C6" w:themeColor="accent4" w:themeTint="9A" w:sz="12" w:space="0"/>
          <w:right w:val="nil"/>
        </w:tcBorders>
        <w:shd w:val="clear" w:color="FFFFFF" w:fill="auto"/>
      </w:tcPr>
    </w:tblStylePr>
    <w:tblStylePr w:type="lastRow">
      <w:rPr>
        <w:b/>
        <w:color w:val="404040"/>
      </w:rPr>
      <w:tcPr>
        <w:tcBorders>
          <w:top w:val="single" w:color="B2A1C6" w:themeColor="accent4" w:themeTint="9A"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5DFEC" w:themeColor="accent4" w:themeTint="34" w:fill="E5DFEC" w:themeFill="accent4" w:themeFillTint="34"/>
      </w:tcPr>
    </w:tblStylePr>
    <w:tblStylePr w:type="band2Vert"/>
    <w:tblStylePr w:type="band1Horz">
      <w:rPr>
        <w:rFonts w:ascii="Arial" w:hAnsi="Arial"/>
        <w:color w:val="404040"/>
        <w:sz w:val="22"/>
      </w:rPr>
      <w:tcPr>
        <w:shd w:val="clear" w:color="E5DFEC" w:themeColor="accent4" w:themeTint="34" w:fill="E5DFEC" w:themeFill="accent4" w:themeFillTint="34"/>
      </w:tcPr>
    </w:tblStylePr>
    <w:tblStylePr w:type="band2Horz"/>
    <w:tblStylePr w:type="neCell"/>
    <w:tblStylePr w:type="nwCell"/>
    <w:tblStylePr w:type="seCell"/>
    <w:tblStylePr w:type="swCell"/>
  </w:style>
  <w:style w:type="table" w:customStyle="1" w:styleId="106">
    <w:name w:val="Grid Table 2 - Accent 5"/>
    <w:basedOn w:val="56"/>
    <w:qFormat/>
    <w:uiPriority w:val="99"/>
    <w:pPr>
      <w:spacing w:after="0" w:line="240" w:lineRule="auto"/>
    </w:pPr>
    <w:tblPr>
      <w:tblBorders>
        <w:bottom w:val="single" w:color="4BACC6" w:themeColor="accent5" w:sz="4" w:space="0"/>
        <w:insideH w:val="single" w:color="4BACC6" w:themeColor="accent5" w:sz="4" w:space="0"/>
        <w:insideV w:val="single" w:color="4BACC6" w:themeColor="accent5" w:sz="4" w:space="0"/>
      </w:tblBorders>
    </w:tblPr>
    <w:tblStylePr w:type="firstRow">
      <w:rPr>
        <w:b/>
        <w:color w:val="404040"/>
      </w:rPr>
      <w:tcPr>
        <w:tcBorders>
          <w:top w:val="nil"/>
          <w:left w:val="nil"/>
          <w:bottom w:val="single" w:color="4BACC6" w:themeColor="accent5" w:sz="12" w:space="0"/>
          <w:right w:val="nil"/>
        </w:tcBorders>
        <w:shd w:val="clear" w:color="FFFFFF" w:fill="auto"/>
      </w:tcPr>
    </w:tblStylePr>
    <w:tblStylePr w:type="lastRow">
      <w:rPr>
        <w:b/>
        <w:color w:val="404040"/>
      </w:rPr>
      <w:tcPr>
        <w:tcBorders>
          <w:top w:val="single" w:color="4BACC6" w:themeColor="accent5"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AEEF3" w:themeColor="accent5" w:themeTint="34" w:fill="DAEEF3" w:themeFill="accent5" w:themeFillTint="34"/>
      </w:tcPr>
    </w:tblStylePr>
    <w:tblStylePr w:type="band2Vert"/>
    <w:tblStylePr w:type="band1Horz">
      <w:rPr>
        <w:rFonts w:ascii="Arial" w:hAnsi="Arial"/>
        <w:color w:val="404040"/>
        <w:sz w:val="22"/>
      </w:rPr>
      <w:tcPr>
        <w:shd w:val="clear" w:color="DAEEF3" w:themeColor="accent5" w:themeTint="34" w:fill="DAEEF3" w:themeFill="accent5" w:themeFillTint="34"/>
      </w:tcPr>
    </w:tblStylePr>
    <w:tblStylePr w:type="band2Horz"/>
    <w:tblStylePr w:type="neCell"/>
    <w:tblStylePr w:type="nwCell"/>
    <w:tblStylePr w:type="seCell"/>
    <w:tblStylePr w:type="swCell"/>
  </w:style>
  <w:style w:type="table" w:customStyle="1" w:styleId="107">
    <w:name w:val="Grid Table 2 - Accent 6"/>
    <w:basedOn w:val="56"/>
    <w:qFormat/>
    <w:uiPriority w:val="99"/>
    <w:pPr>
      <w:spacing w:after="0" w:line="240" w:lineRule="auto"/>
    </w:pPr>
    <w:tblPr>
      <w:tblBorders>
        <w:bottom w:val="single" w:color="F79646" w:themeColor="accent6" w:sz="4" w:space="0"/>
        <w:insideH w:val="single" w:color="F79646" w:themeColor="accent6" w:sz="4" w:space="0"/>
        <w:insideV w:val="single" w:color="F79646" w:themeColor="accent6" w:sz="4" w:space="0"/>
      </w:tblBorders>
    </w:tblPr>
    <w:tblStylePr w:type="firstRow">
      <w:rPr>
        <w:b/>
        <w:color w:val="404040"/>
      </w:rPr>
      <w:tcPr>
        <w:tcBorders>
          <w:top w:val="nil"/>
          <w:left w:val="nil"/>
          <w:bottom w:val="single" w:color="F79646" w:themeColor="accent6" w:sz="12" w:space="0"/>
          <w:right w:val="nil"/>
        </w:tcBorders>
        <w:shd w:val="clear" w:color="FFFFFF" w:fill="auto"/>
      </w:tcPr>
    </w:tblStylePr>
    <w:tblStylePr w:type="lastRow">
      <w:rPr>
        <w:b/>
        <w:color w:val="404040"/>
      </w:rPr>
      <w:tcPr>
        <w:tcBorders>
          <w:top w:val="single" w:color="F79646" w:themeColor="accent6"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DE9D9" w:themeColor="accent6" w:themeTint="34" w:fill="FDE9D9" w:themeFill="accent6" w:themeFillTint="34"/>
      </w:tcPr>
    </w:tblStylePr>
    <w:tblStylePr w:type="band2Vert"/>
    <w:tblStylePr w:type="band1Horz">
      <w:rPr>
        <w:rFonts w:ascii="Arial" w:hAnsi="Arial"/>
        <w:color w:val="404040"/>
        <w:sz w:val="22"/>
      </w:rPr>
      <w:tcPr>
        <w:shd w:val="clear" w:color="FDE9D9" w:themeColor="accent6" w:themeTint="34" w:fill="FDE9D9" w:themeFill="accent6" w:themeFillTint="34"/>
      </w:tcPr>
    </w:tblStylePr>
    <w:tblStylePr w:type="band2Horz"/>
    <w:tblStylePr w:type="neCell"/>
    <w:tblStylePr w:type="nwCell"/>
    <w:tblStylePr w:type="seCell"/>
    <w:tblStylePr w:type="swCell"/>
  </w:style>
  <w:style w:type="table" w:customStyle="1" w:styleId="108">
    <w:name w:val="Grid Table 3"/>
    <w:basedOn w:val="56"/>
    <w:qFormat/>
    <w:uiPriority w:val="99"/>
    <w:pPr>
      <w:spacing w:after="0" w:line="240" w:lineRule="auto"/>
    </w:pPr>
    <w:tblPr>
      <w:tblBorders>
        <w:bottom w:val="single" w:color="696969" w:themeColor="text1" w:themeTint="95" w:sz="4" w:space="0"/>
        <w:insideH w:val="single" w:color="696969" w:themeColor="text1" w:themeTint="95" w:sz="4" w:space="0"/>
        <w:insideV w:val="single" w:color="696969" w:themeColor="text1" w:themeTint="95"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CACACA" w:themeColor="text1" w:themeTint="34" w:fill="CACACA" w:themeFill="text1" w:themeFillTint="34"/>
      </w:tcPr>
    </w:tblStylePr>
    <w:tblStylePr w:type="band2Vert"/>
    <w:tblStylePr w:type="band1Horz">
      <w:rPr>
        <w:rFonts w:ascii="Arial" w:hAnsi="Arial"/>
        <w:color w:val="404040"/>
        <w:sz w:val="22"/>
      </w:rPr>
      <w:tcPr>
        <w:shd w:val="clear" w:color="CACACA" w:themeColor="text1" w:themeTint="34" w:fill="CACACA" w:themeFill="text1" w:themeFillTint="34"/>
      </w:tcPr>
    </w:tblStylePr>
    <w:tblStylePr w:type="band2Horz"/>
    <w:tblStylePr w:type="neCell"/>
    <w:tblStylePr w:type="nwCell"/>
    <w:tblStylePr w:type="seCell"/>
    <w:tblStylePr w:type="swCell"/>
  </w:style>
  <w:style w:type="table" w:customStyle="1" w:styleId="109">
    <w:name w:val="Grid Table 3 - Accent 1"/>
    <w:basedOn w:val="56"/>
    <w:qFormat/>
    <w:uiPriority w:val="99"/>
    <w:pPr>
      <w:spacing w:after="0" w:line="240" w:lineRule="auto"/>
    </w:pPr>
    <w:tblPr>
      <w:tblBorders>
        <w:bottom w:val="single" w:color="5D8BC2" w:themeColor="accent1" w:themeTint="EA" w:sz="4" w:space="0"/>
        <w:insideH w:val="single" w:color="5D8BC2" w:themeColor="accent1" w:themeTint="EA" w:sz="4" w:space="0"/>
        <w:insideV w:val="single" w:color="5D8BC2" w:themeColor="accent1" w:themeTint="EA"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DBE5F1" w:themeColor="accent1" w:themeTint="34" w:fill="DBE5F1" w:themeFill="accent1" w:themeFillTint="34"/>
      </w:tcPr>
    </w:tblStylePr>
    <w:tblStylePr w:type="band2Vert"/>
    <w:tblStylePr w:type="band1Horz">
      <w:rPr>
        <w:rFonts w:ascii="Arial" w:hAnsi="Arial"/>
        <w:color w:val="404040"/>
        <w:sz w:val="22"/>
      </w:rPr>
      <w:tcPr>
        <w:shd w:val="clear" w:color="DBE5F1" w:themeColor="accent1" w:themeTint="34" w:fill="DBE5F1" w:themeFill="accent1" w:themeFillTint="34"/>
      </w:tcPr>
    </w:tblStylePr>
    <w:tblStylePr w:type="band2Horz"/>
    <w:tblStylePr w:type="neCell"/>
    <w:tblStylePr w:type="nwCell"/>
    <w:tblStylePr w:type="seCell"/>
    <w:tblStylePr w:type="swCell"/>
  </w:style>
  <w:style w:type="table" w:customStyle="1" w:styleId="110">
    <w:name w:val="Grid Table 3 - Accent 2"/>
    <w:basedOn w:val="56"/>
    <w:qFormat/>
    <w:uiPriority w:val="99"/>
    <w:pPr>
      <w:spacing w:after="0" w:line="240" w:lineRule="auto"/>
    </w:pPr>
    <w:tblPr>
      <w:tblBorders>
        <w:bottom w:val="single" w:color="D99795" w:themeColor="accent2" w:themeTint="97" w:sz="4" w:space="0"/>
        <w:insideH w:val="single" w:color="D99795" w:themeColor="accent2" w:themeTint="97" w:sz="4" w:space="0"/>
        <w:insideV w:val="single" w:color="D99795" w:themeColor="accent2" w:themeTint="97"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F2DCDC" w:themeColor="accent2" w:themeTint="32" w:fill="F2DCDC" w:themeFill="accent2" w:themeFillTint="32"/>
      </w:tcPr>
    </w:tblStylePr>
    <w:tblStylePr w:type="band2Vert"/>
    <w:tblStylePr w:type="band1Horz">
      <w:rPr>
        <w:rFonts w:ascii="Arial" w:hAnsi="Arial"/>
        <w:color w:val="404040"/>
        <w:sz w:val="22"/>
      </w:rPr>
      <w:tcPr>
        <w:shd w:val="clear" w:color="F2DCDC" w:themeColor="accent2" w:themeTint="32" w:fill="F2DCDC" w:themeFill="accent2" w:themeFillTint="32"/>
      </w:tcPr>
    </w:tblStylePr>
    <w:tblStylePr w:type="band2Horz"/>
    <w:tblStylePr w:type="neCell"/>
    <w:tblStylePr w:type="nwCell"/>
    <w:tblStylePr w:type="seCell"/>
    <w:tblStylePr w:type="swCell"/>
  </w:style>
  <w:style w:type="table" w:customStyle="1" w:styleId="111">
    <w:name w:val="Grid Table 3 - Accent 3"/>
    <w:basedOn w:val="56"/>
    <w:qFormat/>
    <w:uiPriority w:val="99"/>
    <w:pPr>
      <w:spacing w:after="0" w:line="240" w:lineRule="auto"/>
    </w:pPr>
    <w:tblPr>
      <w:tblBorders>
        <w:bottom w:val="single" w:color="9BBB59" w:themeColor="accent3" w:themeTint="FE" w:sz="4" w:space="0"/>
        <w:insideH w:val="single" w:color="9BBB59" w:themeColor="accent3" w:themeTint="FE" w:sz="4" w:space="0"/>
        <w:insideV w:val="single" w:color="9BBB59" w:themeColor="accent3" w:themeTint="FE"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EAF1DD" w:themeColor="accent3" w:themeTint="34" w:fill="EAF1DD" w:themeFill="accent3" w:themeFillTint="34"/>
      </w:tcPr>
    </w:tblStylePr>
    <w:tblStylePr w:type="band2Vert"/>
    <w:tblStylePr w:type="band1Horz">
      <w:rPr>
        <w:rFonts w:ascii="Arial" w:hAnsi="Arial"/>
        <w:color w:val="404040"/>
        <w:sz w:val="22"/>
      </w:rPr>
      <w:tcPr>
        <w:shd w:val="clear" w:color="EAF1DD" w:themeColor="accent3" w:themeTint="34" w:fill="EAF1DD" w:themeFill="accent3" w:themeFillTint="34"/>
      </w:tcPr>
    </w:tblStylePr>
    <w:tblStylePr w:type="band2Horz"/>
    <w:tblStylePr w:type="neCell"/>
    <w:tblStylePr w:type="nwCell"/>
    <w:tblStylePr w:type="seCell"/>
    <w:tblStylePr w:type="swCell"/>
  </w:style>
  <w:style w:type="table" w:customStyle="1" w:styleId="112">
    <w:name w:val="Grid Table 3 - Accent 4"/>
    <w:basedOn w:val="56"/>
    <w:qFormat/>
    <w:uiPriority w:val="99"/>
    <w:pPr>
      <w:spacing w:after="0" w:line="240" w:lineRule="auto"/>
    </w:pPr>
    <w:tblPr>
      <w:tblBorders>
        <w:bottom w:val="single" w:color="B2A1C6" w:themeColor="accent4" w:themeTint="9A" w:sz="4" w:space="0"/>
        <w:insideH w:val="single" w:color="B2A1C6" w:themeColor="accent4" w:themeTint="9A" w:sz="4" w:space="0"/>
        <w:insideV w:val="single" w:color="B2A1C6" w:themeColor="accent4" w:themeTint="9A"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E5DFEC" w:themeColor="accent4" w:themeTint="34" w:fill="E5DFEC" w:themeFill="accent4" w:themeFillTint="34"/>
      </w:tcPr>
    </w:tblStylePr>
    <w:tblStylePr w:type="band2Vert"/>
    <w:tblStylePr w:type="band1Horz">
      <w:rPr>
        <w:rFonts w:ascii="Arial" w:hAnsi="Arial"/>
        <w:color w:val="404040"/>
        <w:sz w:val="22"/>
      </w:rPr>
      <w:tcPr>
        <w:shd w:val="clear" w:color="E5DFEC" w:themeColor="accent4" w:themeTint="34" w:fill="E5DFEC" w:themeFill="accent4" w:themeFillTint="34"/>
      </w:tcPr>
    </w:tblStylePr>
    <w:tblStylePr w:type="band2Horz"/>
    <w:tblStylePr w:type="neCell"/>
    <w:tblStylePr w:type="nwCell"/>
    <w:tblStylePr w:type="seCell"/>
    <w:tblStylePr w:type="swCell"/>
  </w:style>
  <w:style w:type="table" w:customStyle="1" w:styleId="113">
    <w:name w:val="Grid Table 3 - Accent 5"/>
    <w:basedOn w:val="56"/>
    <w:qFormat/>
    <w:uiPriority w:val="99"/>
    <w:pPr>
      <w:spacing w:after="0" w:line="240" w:lineRule="auto"/>
    </w:pPr>
    <w:tblPr>
      <w:tblBorders>
        <w:bottom w:val="single" w:color="4BACC6" w:themeColor="accent5" w:sz="4" w:space="0"/>
        <w:insideH w:val="single" w:color="4BACC6" w:themeColor="accent5" w:sz="4" w:space="0"/>
        <w:insideV w:val="single" w:color="4BACC6" w:themeColor="accent5"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DAEEF3" w:themeColor="accent5" w:themeTint="34" w:fill="DAEEF3" w:themeFill="accent5" w:themeFillTint="34"/>
      </w:tcPr>
    </w:tblStylePr>
    <w:tblStylePr w:type="band2Vert"/>
    <w:tblStylePr w:type="band1Horz">
      <w:rPr>
        <w:rFonts w:ascii="Arial" w:hAnsi="Arial"/>
        <w:color w:val="404040"/>
        <w:sz w:val="22"/>
      </w:rPr>
      <w:tcPr>
        <w:shd w:val="clear" w:color="DAEEF3" w:themeColor="accent5" w:themeTint="34" w:fill="DAEEF3" w:themeFill="accent5" w:themeFillTint="34"/>
      </w:tcPr>
    </w:tblStylePr>
    <w:tblStylePr w:type="band2Horz"/>
    <w:tblStylePr w:type="neCell"/>
    <w:tblStylePr w:type="nwCell"/>
    <w:tblStylePr w:type="seCell"/>
    <w:tblStylePr w:type="swCell"/>
  </w:style>
  <w:style w:type="table" w:customStyle="1" w:styleId="114">
    <w:name w:val="Grid Table 3 - Accent 6"/>
    <w:basedOn w:val="56"/>
    <w:qFormat/>
    <w:uiPriority w:val="99"/>
    <w:pPr>
      <w:spacing w:after="0" w:line="240" w:lineRule="auto"/>
    </w:pPr>
    <w:tblPr>
      <w:tblBorders>
        <w:bottom w:val="single" w:color="F79646" w:themeColor="accent6" w:sz="4" w:space="0"/>
        <w:insideH w:val="single" w:color="F79646" w:themeColor="accent6" w:sz="4" w:space="0"/>
        <w:insideV w:val="single" w:color="F79646" w:themeColor="accent6"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FDE9D9" w:themeColor="accent6" w:themeTint="34" w:fill="FDE9D9" w:themeFill="accent6" w:themeFillTint="34"/>
      </w:tcPr>
    </w:tblStylePr>
    <w:tblStylePr w:type="band2Vert"/>
    <w:tblStylePr w:type="band1Horz">
      <w:rPr>
        <w:rFonts w:ascii="Arial" w:hAnsi="Arial"/>
        <w:color w:val="404040"/>
        <w:sz w:val="22"/>
      </w:rPr>
      <w:tcPr>
        <w:shd w:val="clear" w:color="FDE9D9" w:themeColor="accent6" w:themeTint="34" w:fill="FDE9D9" w:themeFill="accent6" w:themeFillTint="34"/>
      </w:tcPr>
    </w:tblStylePr>
    <w:tblStylePr w:type="band2Horz"/>
    <w:tblStylePr w:type="neCell"/>
    <w:tblStylePr w:type="nwCell"/>
    <w:tblStylePr w:type="seCell"/>
    <w:tblStylePr w:type="swCell"/>
  </w:style>
  <w:style w:type="table" w:customStyle="1" w:styleId="115">
    <w:name w:val="Grid Table 4"/>
    <w:basedOn w:val="56"/>
    <w:qFormat/>
    <w:uiPriority w:val="59"/>
    <w:pPr>
      <w:spacing w:after="0" w:line="240" w:lineRule="auto"/>
    </w:pPr>
    <w:tblPr>
      <w:tblBorders>
        <w:top w:val="single" w:color="6E6E6E" w:themeColor="text1" w:themeTint="90" w:sz="4" w:space="0"/>
        <w:left w:val="single" w:color="6E6E6E" w:themeColor="text1" w:themeTint="90" w:sz="4" w:space="0"/>
        <w:bottom w:val="single" w:color="6E6E6E" w:themeColor="text1" w:themeTint="90" w:sz="4" w:space="0"/>
        <w:right w:val="single" w:color="6E6E6E" w:themeColor="text1" w:themeTint="90" w:sz="4" w:space="0"/>
        <w:insideH w:val="single" w:color="6E6E6E" w:themeColor="text1" w:themeTint="90" w:sz="4" w:space="0"/>
        <w:insideV w:val="single" w:color="6E6E6E" w:themeColor="text1" w:themeTint="90" w:sz="4" w:space="0"/>
      </w:tblBorders>
    </w:tblPr>
    <w:tblStylePr w:type="firstRow">
      <w:rPr>
        <w:rFonts w:ascii="Arial" w:hAnsi="Arial"/>
        <w:b/>
        <w:color w:val="FFFFFF"/>
        <w:sz w:val="22"/>
      </w:rPr>
      <w:tcPr>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000000" w:themeColor="text1" w:fill="000000" w:themeFill="text1"/>
      </w:tcPr>
    </w:tblStylePr>
    <w:tblStylePr w:type="lastRow">
      <w:rPr>
        <w:b/>
        <w:color w:val="404040"/>
      </w:rPr>
      <w:tcPr>
        <w:tcBorders>
          <w:top w:val="single" w:color="000000" w:themeColor="text1"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CACACA" w:themeColor="text1" w:themeTint="34" w:fill="CACACA" w:themeFill="text1" w:themeFillTint="34"/>
      </w:tcPr>
    </w:tblStylePr>
    <w:tblStylePr w:type="band2Vert"/>
    <w:tblStylePr w:type="band1Horz">
      <w:rPr>
        <w:rFonts w:ascii="Arial" w:hAnsi="Arial"/>
        <w:color w:val="404040"/>
        <w:sz w:val="22"/>
      </w:rPr>
      <w:tcPr>
        <w:shd w:val="clear" w:color="CACACA" w:themeColor="text1" w:themeTint="34" w:fill="CACACA" w:themeFill="text1" w:themeFillTint="34"/>
      </w:tcPr>
    </w:tblStylePr>
    <w:tblStylePr w:type="band2Horz"/>
    <w:tblStylePr w:type="neCell"/>
    <w:tblStylePr w:type="nwCell"/>
    <w:tblStylePr w:type="seCell"/>
    <w:tblStylePr w:type="swCell"/>
  </w:style>
  <w:style w:type="table" w:customStyle="1" w:styleId="116">
    <w:name w:val="Grid Table 4 - Accent 1"/>
    <w:basedOn w:val="56"/>
    <w:qFormat/>
    <w:uiPriority w:val="59"/>
    <w:pPr>
      <w:spacing w:after="0" w:line="240" w:lineRule="auto"/>
    </w:pPr>
    <w:tblPr>
      <w:tblBorders>
        <w:top w:val="single" w:color="9BB7D9" w:themeColor="accent1" w:themeTint="90" w:sz="4" w:space="0"/>
        <w:left w:val="single" w:color="9BB7D9" w:themeColor="accent1" w:themeTint="90" w:sz="4" w:space="0"/>
        <w:bottom w:val="single" w:color="9BB7D9" w:themeColor="accent1" w:themeTint="90" w:sz="4" w:space="0"/>
        <w:right w:val="single" w:color="9BB7D9" w:themeColor="accent1" w:themeTint="90" w:sz="4" w:space="0"/>
        <w:insideH w:val="single" w:color="9BB7D9" w:themeColor="accent1" w:themeTint="90" w:sz="4" w:space="0"/>
        <w:insideV w:val="single" w:color="9BB7D9" w:themeColor="accent1" w:themeTint="90" w:sz="4" w:space="0"/>
      </w:tblBorders>
    </w:tblPr>
    <w:tblStylePr w:type="firstRow">
      <w:rPr>
        <w:rFonts w:ascii="Arial" w:hAnsi="Arial"/>
        <w:b/>
        <w:color w:val="FFFFFF"/>
        <w:sz w:val="22"/>
      </w:rPr>
      <w:tcPr>
        <w:tcBorders>
          <w:top w:val="single" w:color="5D8BC2" w:themeColor="accent1" w:themeTint="EA" w:sz="4" w:space="0"/>
          <w:left w:val="single" w:color="5D8BC2" w:themeColor="accent1" w:themeTint="EA" w:sz="4" w:space="0"/>
          <w:bottom w:val="single" w:color="5D8BC2" w:themeColor="accent1" w:themeTint="EA" w:sz="4" w:space="0"/>
          <w:right w:val="single" w:color="5D8BC2" w:themeColor="accent1" w:themeTint="EA" w:sz="4" w:space="0"/>
        </w:tcBorders>
        <w:shd w:val="clear" w:color="5D8BC2" w:themeColor="accent1" w:themeTint="EA" w:fill="5D8BC2" w:themeFill="accent1" w:themeFillTint="EA"/>
      </w:tcPr>
    </w:tblStylePr>
    <w:tblStylePr w:type="lastRow">
      <w:rPr>
        <w:b/>
        <w:color w:val="404040"/>
      </w:rPr>
      <w:tcPr>
        <w:tcBorders>
          <w:top w:val="single" w:color="5D8BC2" w:themeColor="accent1" w:themeTint="EA"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CE6F2" w:themeColor="accent1" w:themeTint="32" w:fill="DCE6F2" w:themeFill="accent1" w:themeFillTint="32"/>
      </w:tcPr>
    </w:tblStylePr>
    <w:tblStylePr w:type="band2Vert"/>
    <w:tblStylePr w:type="band1Horz">
      <w:rPr>
        <w:rFonts w:ascii="Arial" w:hAnsi="Arial"/>
        <w:color w:val="404040"/>
        <w:sz w:val="22"/>
      </w:rPr>
      <w:tcPr>
        <w:shd w:val="clear" w:color="DCE6F2" w:themeColor="accent1" w:themeTint="32" w:fill="DCE6F2" w:themeFill="accent1" w:themeFillTint="32"/>
      </w:tcPr>
    </w:tblStylePr>
    <w:tblStylePr w:type="band2Horz"/>
    <w:tblStylePr w:type="neCell"/>
    <w:tblStylePr w:type="nwCell"/>
    <w:tblStylePr w:type="seCell"/>
    <w:tblStylePr w:type="swCell"/>
  </w:style>
  <w:style w:type="table" w:customStyle="1" w:styleId="117">
    <w:name w:val="Grid Table 4 - Accent 2"/>
    <w:basedOn w:val="56"/>
    <w:qFormat/>
    <w:uiPriority w:val="59"/>
    <w:pPr>
      <w:spacing w:after="0" w:line="240" w:lineRule="auto"/>
    </w:pPr>
    <w:tblPr>
      <w:tblBorders>
        <w:top w:val="single" w:color="DB9C9A" w:themeColor="accent2" w:themeTint="90" w:sz="4" w:space="0"/>
        <w:left w:val="single" w:color="DB9C9A" w:themeColor="accent2" w:themeTint="90" w:sz="4" w:space="0"/>
        <w:bottom w:val="single" w:color="DB9C9A" w:themeColor="accent2" w:themeTint="90" w:sz="4" w:space="0"/>
        <w:right w:val="single" w:color="DB9C9A" w:themeColor="accent2" w:themeTint="90" w:sz="4" w:space="0"/>
        <w:insideH w:val="single" w:color="DB9C9A" w:themeColor="accent2" w:themeTint="90" w:sz="4" w:space="0"/>
        <w:insideV w:val="single" w:color="DB9C9A" w:themeColor="accent2" w:themeTint="90" w:sz="4" w:space="0"/>
      </w:tblBorders>
    </w:tblPr>
    <w:tblStylePr w:type="firstRow">
      <w:rPr>
        <w:rFonts w:ascii="Arial" w:hAnsi="Arial"/>
        <w:b/>
        <w:color w:val="FFFFFF"/>
        <w:sz w:val="22"/>
      </w:rPr>
      <w:tcPr>
        <w:tcBorders>
          <w:top w:val="single" w:color="D99795" w:themeColor="accent2" w:themeTint="97" w:sz="4" w:space="0"/>
          <w:left w:val="single" w:color="D99795" w:themeColor="accent2" w:themeTint="97" w:sz="4" w:space="0"/>
          <w:bottom w:val="single" w:color="D99795" w:themeColor="accent2" w:themeTint="97" w:sz="4" w:space="0"/>
          <w:right w:val="single" w:color="D99795" w:themeColor="accent2" w:themeTint="97" w:sz="4" w:space="0"/>
        </w:tcBorders>
        <w:shd w:val="clear" w:color="D99795" w:themeColor="accent2" w:themeTint="97" w:fill="D99795" w:themeFill="accent2" w:themeFillTint="97"/>
      </w:tcPr>
    </w:tblStylePr>
    <w:tblStylePr w:type="lastRow">
      <w:rPr>
        <w:b/>
        <w:color w:val="404040"/>
      </w:rPr>
      <w:tcPr>
        <w:tcBorders>
          <w:top w:val="single" w:color="D99795" w:themeColor="accent2" w:themeTint="97"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2DCDC" w:themeColor="accent2" w:themeTint="32" w:fill="F2DCDC" w:themeFill="accent2" w:themeFillTint="32"/>
      </w:tcPr>
    </w:tblStylePr>
    <w:tblStylePr w:type="band2Vert"/>
    <w:tblStylePr w:type="band1Horz">
      <w:rPr>
        <w:rFonts w:ascii="Arial" w:hAnsi="Arial"/>
        <w:color w:val="404040"/>
        <w:sz w:val="22"/>
      </w:rPr>
      <w:tcPr>
        <w:shd w:val="clear" w:color="F2DCDC" w:themeColor="accent2" w:themeTint="32" w:fill="F2DCDC" w:themeFill="accent2" w:themeFillTint="32"/>
      </w:tcPr>
    </w:tblStylePr>
    <w:tblStylePr w:type="band2Horz"/>
    <w:tblStylePr w:type="neCell"/>
    <w:tblStylePr w:type="nwCell"/>
    <w:tblStylePr w:type="seCell"/>
    <w:tblStylePr w:type="swCell"/>
  </w:style>
  <w:style w:type="table" w:customStyle="1" w:styleId="118">
    <w:name w:val="Grid Table 4 - Accent 3"/>
    <w:basedOn w:val="56"/>
    <w:qFormat/>
    <w:uiPriority w:val="59"/>
    <w:pPr>
      <w:spacing w:after="0" w:line="240" w:lineRule="auto"/>
    </w:pPr>
    <w:tblPr>
      <w:tblBorders>
        <w:top w:val="single" w:color="C6D8A1" w:themeColor="accent3" w:themeTint="90" w:sz="4" w:space="0"/>
        <w:left w:val="single" w:color="C6D8A1" w:themeColor="accent3" w:themeTint="90" w:sz="4" w:space="0"/>
        <w:bottom w:val="single" w:color="C6D8A1" w:themeColor="accent3" w:themeTint="90" w:sz="4" w:space="0"/>
        <w:right w:val="single" w:color="C6D8A1" w:themeColor="accent3" w:themeTint="90" w:sz="4" w:space="0"/>
        <w:insideH w:val="single" w:color="C6D8A1" w:themeColor="accent3" w:themeTint="90" w:sz="4" w:space="0"/>
        <w:insideV w:val="single" w:color="C6D8A1" w:themeColor="accent3" w:themeTint="90" w:sz="4" w:space="0"/>
      </w:tblBorders>
    </w:tblPr>
    <w:tblStylePr w:type="firstRow">
      <w:rPr>
        <w:rFonts w:ascii="Arial" w:hAnsi="Arial"/>
        <w:b/>
        <w:color w:val="FFFFFF"/>
        <w:sz w:val="22"/>
      </w:rPr>
      <w:tcPr>
        <w:tcBorders>
          <w:top w:val="single" w:color="9BBB59" w:themeColor="accent3" w:themeTint="FE" w:sz="4" w:space="0"/>
          <w:left w:val="single" w:color="9BBB59" w:themeColor="accent3" w:themeTint="FE" w:sz="4" w:space="0"/>
          <w:bottom w:val="single" w:color="9BBB59" w:themeColor="accent3" w:themeTint="FE" w:sz="4" w:space="0"/>
          <w:right w:val="single" w:color="9BBB59" w:themeColor="accent3" w:themeTint="FE" w:sz="4" w:space="0"/>
        </w:tcBorders>
        <w:shd w:val="clear" w:color="9BBB59" w:themeColor="accent3" w:themeTint="FE" w:fill="9BBB59" w:themeFill="accent3" w:themeFillTint="FE"/>
      </w:tcPr>
    </w:tblStylePr>
    <w:tblStylePr w:type="lastRow">
      <w:rPr>
        <w:b/>
        <w:color w:val="404040"/>
      </w:rPr>
      <w:tcPr>
        <w:tcBorders>
          <w:top w:val="single" w:color="9BBB59" w:themeColor="accent3" w:themeTint="FE"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AF1DD" w:themeColor="accent3" w:themeTint="34" w:fill="EAF1DD" w:themeFill="accent3" w:themeFillTint="34"/>
      </w:tcPr>
    </w:tblStylePr>
    <w:tblStylePr w:type="band2Vert"/>
    <w:tblStylePr w:type="band1Horz">
      <w:rPr>
        <w:rFonts w:ascii="Arial" w:hAnsi="Arial"/>
        <w:color w:val="404040"/>
        <w:sz w:val="22"/>
      </w:rPr>
      <w:tcPr>
        <w:shd w:val="clear" w:color="EAF1DD" w:themeColor="accent3" w:themeTint="34" w:fill="EAF1DD" w:themeFill="accent3" w:themeFillTint="34"/>
      </w:tcPr>
    </w:tblStylePr>
    <w:tblStylePr w:type="band2Horz"/>
    <w:tblStylePr w:type="neCell"/>
    <w:tblStylePr w:type="nwCell"/>
    <w:tblStylePr w:type="seCell"/>
    <w:tblStylePr w:type="swCell"/>
  </w:style>
  <w:style w:type="table" w:customStyle="1" w:styleId="119">
    <w:name w:val="Grid Table 4 - Accent 4"/>
    <w:basedOn w:val="56"/>
    <w:qFormat/>
    <w:uiPriority w:val="59"/>
    <w:pPr>
      <w:spacing w:after="0" w:line="240" w:lineRule="auto"/>
    </w:pPr>
    <w:tblPr>
      <w:tblBorders>
        <w:top w:val="single" w:color="B7A7CA" w:themeColor="accent4" w:themeTint="90" w:sz="4" w:space="0"/>
        <w:left w:val="single" w:color="B7A7CA" w:themeColor="accent4" w:themeTint="90" w:sz="4" w:space="0"/>
        <w:bottom w:val="single" w:color="B7A7CA" w:themeColor="accent4" w:themeTint="90" w:sz="4" w:space="0"/>
        <w:right w:val="single" w:color="B7A7CA" w:themeColor="accent4" w:themeTint="90" w:sz="4" w:space="0"/>
        <w:insideH w:val="single" w:color="B7A7CA" w:themeColor="accent4" w:themeTint="90" w:sz="4" w:space="0"/>
        <w:insideV w:val="single" w:color="B7A7CA" w:themeColor="accent4" w:themeTint="90" w:sz="4" w:space="0"/>
      </w:tblBorders>
    </w:tblPr>
    <w:tblStylePr w:type="firstRow">
      <w:rPr>
        <w:rFonts w:ascii="Arial" w:hAnsi="Arial"/>
        <w:b/>
        <w:color w:val="FFFFFF"/>
        <w:sz w:val="22"/>
      </w:rPr>
      <w:tcPr>
        <w:tcBorders>
          <w:top w:val="single" w:color="B2A1C6" w:themeColor="accent4" w:themeTint="9A" w:sz="4" w:space="0"/>
          <w:left w:val="single" w:color="B2A1C6" w:themeColor="accent4" w:themeTint="9A" w:sz="4" w:space="0"/>
          <w:bottom w:val="single" w:color="B2A1C6" w:themeColor="accent4" w:themeTint="9A" w:sz="4" w:space="0"/>
          <w:right w:val="single" w:color="B2A1C6" w:themeColor="accent4" w:themeTint="9A" w:sz="4" w:space="0"/>
        </w:tcBorders>
        <w:shd w:val="clear" w:color="B2A1C6" w:themeColor="accent4" w:themeTint="9A" w:fill="B2A1C6" w:themeFill="accent4" w:themeFillTint="9A"/>
      </w:tcPr>
    </w:tblStylePr>
    <w:tblStylePr w:type="lastRow">
      <w:rPr>
        <w:b/>
        <w:color w:val="404040"/>
      </w:rPr>
      <w:tcPr>
        <w:tcBorders>
          <w:top w:val="single" w:color="B2A1C6" w:themeColor="accent4" w:themeTint="9A"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5DFEC" w:themeColor="accent4" w:themeTint="34" w:fill="E5DFEC" w:themeFill="accent4" w:themeFillTint="34"/>
      </w:tcPr>
    </w:tblStylePr>
    <w:tblStylePr w:type="band2Vert"/>
    <w:tblStylePr w:type="band1Horz">
      <w:rPr>
        <w:rFonts w:ascii="Arial" w:hAnsi="Arial"/>
        <w:color w:val="404040"/>
        <w:sz w:val="22"/>
      </w:rPr>
      <w:tcPr>
        <w:shd w:val="clear" w:color="E5DFEC" w:themeColor="accent4" w:themeTint="34" w:fill="E5DFEC" w:themeFill="accent4" w:themeFillTint="34"/>
      </w:tcPr>
    </w:tblStylePr>
    <w:tblStylePr w:type="band2Horz"/>
    <w:tblStylePr w:type="neCell"/>
    <w:tblStylePr w:type="nwCell"/>
    <w:tblStylePr w:type="seCell"/>
    <w:tblStylePr w:type="swCell"/>
  </w:style>
  <w:style w:type="table" w:customStyle="1" w:styleId="120">
    <w:name w:val="Grid Table 4 - Accent 5"/>
    <w:basedOn w:val="56"/>
    <w:qFormat/>
    <w:uiPriority w:val="59"/>
    <w:pPr>
      <w:spacing w:after="0" w:line="240" w:lineRule="auto"/>
    </w:pPr>
    <w:tblPr>
      <w:tblBorders>
        <w:top w:val="single" w:color="99D0DE" w:themeColor="accent5" w:themeTint="90" w:sz="4" w:space="0"/>
        <w:left w:val="single" w:color="99D0DE" w:themeColor="accent5" w:themeTint="90" w:sz="4" w:space="0"/>
        <w:bottom w:val="single" w:color="99D0DE" w:themeColor="accent5" w:themeTint="90" w:sz="4" w:space="0"/>
        <w:right w:val="single" w:color="99D0DE" w:themeColor="accent5" w:themeTint="90" w:sz="4" w:space="0"/>
        <w:insideH w:val="single" w:color="99D0DE" w:themeColor="accent5" w:themeTint="90" w:sz="4" w:space="0"/>
        <w:insideV w:val="single" w:color="99D0DE" w:themeColor="accent5" w:themeTint="90" w:sz="4" w:space="0"/>
      </w:tblBorders>
    </w:tblPr>
    <w:tblStylePr w:type="firstRow">
      <w:rPr>
        <w:rFonts w:ascii="Arial" w:hAnsi="Arial"/>
        <w:b/>
        <w:color w:val="FFFFFF"/>
        <w:sz w:val="22"/>
      </w:rPr>
      <w:tcPr>
        <w:tcBorders>
          <w:top w:val="single" w:color="4BACC6" w:themeColor="accent5" w:sz="4" w:space="0"/>
          <w:left w:val="single" w:color="4BACC6" w:themeColor="accent5" w:sz="4" w:space="0"/>
          <w:bottom w:val="single" w:color="4BACC6" w:themeColor="accent5" w:sz="4" w:space="0"/>
          <w:right w:val="single" w:color="4BACC6" w:themeColor="accent5" w:sz="4" w:space="0"/>
        </w:tcBorders>
        <w:shd w:val="clear" w:color="4BACC6" w:themeColor="accent5" w:fill="4BACC6" w:themeFill="accent5"/>
      </w:tcPr>
    </w:tblStylePr>
    <w:tblStylePr w:type="lastRow">
      <w:rPr>
        <w:b/>
        <w:color w:val="404040"/>
      </w:rPr>
      <w:tcPr>
        <w:tcBorders>
          <w:top w:val="single" w:color="4BACC6" w:themeColor="accent5"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AEEF3" w:themeColor="accent5" w:themeTint="34" w:fill="DAEEF3" w:themeFill="accent5" w:themeFillTint="34"/>
      </w:tcPr>
    </w:tblStylePr>
    <w:tblStylePr w:type="band2Vert"/>
    <w:tblStylePr w:type="band1Horz">
      <w:rPr>
        <w:rFonts w:ascii="Arial" w:hAnsi="Arial"/>
        <w:color w:val="404040"/>
        <w:sz w:val="22"/>
      </w:rPr>
      <w:tcPr>
        <w:shd w:val="clear" w:color="DAEEF3" w:themeColor="accent5" w:themeTint="34" w:fill="DAEEF3" w:themeFill="accent5" w:themeFillTint="34"/>
      </w:tcPr>
    </w:tblStylePr>
    <w:tblStylePr w:type="band2Horz"/>
    <w:tblStylePr w:type="neCell"/>
    <w:tblStylePr w:type="nwCell"/>
    <w:tblStylePr w:type="seCell"/>
    <w:tblStylePr w:type="swCell"/>
  </w:style>
  <w:style w:type="table" w:customStyle="1" w:styleId="121">
    <w:name w:val="Grid Table 4 - Accent 6"/>
    <w:basedOn w:val="56"/>
    <w:qFormat/>
    <w:uiPriority w:val="59"/>
    <w:pPr>
      <w:spacing w:after="0" w:line="240" w:lineRule="auto"/>
    </w:pPr>
    <w:tblPr>
      <w:tblBorders>
        <w:top w:val="single" w:color="FAC396" w:themeColor="accent6" w:themeTint="90" w:sz="4" w:space="0"/>
        <w:left w:val="single" w:color="FAC396" w:themeColor="accent6" w:themeTint="90" w:sz="4" w:space="0"/>
        <w:bottom w:val="single" w:color="FAC396" w:themeColor="accent6" w:themeTint="90" w:sz="4" w:space="0"/>
        <w:right w:val="single" w:color="FAC396" w:themeColor="accent6" w:themeTint="90" w:sz="4" w:space="0"/>
        <w:insideH w:val="single" w:color="FAC396" w:themeColor="accent6" w:themeTint="90" w:sz="4" w:space="0"/>
        <w:insideV w:val="single" w:color="FAC396" w:themeColor="accent6" w:themeTint="90" w:sz="4" w:space="0"/>
      </w:tblBorders>
    </w:tblPr>
    <w:tblStylePr w:type="firstRow">
      <w:rPr>
        <w:rFonts w:ascii="Arial" w:hAnsi="Arial"/>
        <w:b/>
        <w:color w:val="FFFFFF"/>
        <w:sz w:val="22"/>
      </w:rPr>
      <w:tcPr>
        <w:tcBorders>
          <w:top w:val="single" w:color="F79646" w:themeColor="accent6" w:sz="4" w:space="0"/>
          <w:left w:val="single" w:color="F79646" w:themeColor="accent6" w:sz="4" w:space="0"/>
          <w:bottom w:val="single" w:color="F79646" w:themeColor="accent6" w:sz="4" w:space="0"/>
          <w:right w:val="single" w:color="F79646" w:themeColor="accent6" w:sz="4" w:space="0"/>
        </w:tcBorders>
        <w:shd w:val="clear" w:color="F79646" w:themeColor="accent6" w:fill="F79646" w:themeFill="accent6"/>
      </w:tcPr>
    </w:tblStylePr>
    <w:tblStylePr w:type="lastRow">
      <w:rPr>
        <w:b/>
        <w:color w:val="404040"/>
      </w:rPr>
      <w:tcPr>
        <w:tcBorders>
          <w:top w:val="single" w:color="F79646" w:themeColor="accent6"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DE9D9" w:themeColor="accent6" w:themeTint="34" w:fill="FDE9D9" w:themeFill="accent6" w:themeFillTint="34"/>
      </w:tcPr>
    </w:tblStylePr>
    <w:tblStylePr w:type="band2Vert"/>
    <w:tblStylePr w:type="band1Horz">
      <w:rPr>
        <w:rFonts w:ascii="Arial" w:hAnsi="Arial"/>
        <w:color w:val="404040"/>
        <w:sz w:val="22"/>
      </w:rPr>
      <w:tcPr>
        <w:shd w:val="clear" w:color="FDE9D9" w:themeColor="accent6" w:themeTint="34" w:fill="FDE9D9" w:themeFill="accent6" w:themeFillTint="34"/>
      </w:tcPr>
    </w:tblStylePr>
    <w:tblStylePr w:type="band2Horz"/>
    <w:tblStylePr w:type="neCell"/>
    <w:tblStylePr w:type="nwCell"/>
    <w:tblStylePr w:type="seCell"/>
    <w:tblStylePr w:type="swCell"/>
  </w:style>
  <w:style w:type="table" w:customStyle="1" w:styleId="122">
    <w:name w:val="Grid Table 5 Dark"/>
    <w:basedOn w:val="56"/>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000000" w:themeColor="text1" w:fill="000000" w:themeFill="text1"/>
      </w:tcPr>
    </w:tblStylePr>
    <w:tblStylePr w:type="lastRow">
      <w:rPr>
        <w:rFonts w:ascii="Arial" w:hAnsi="Arial"/>
        <w:b/>
        <w:color w:val="FFFFFF"/>
        <w:sz w:val="22"/>
      </w:rPr>
      <w:tcPr>
        <w:tcBorders>
          <w:top w:val="single" w:color="FFFFFF" w:themeColor="light1" w:sz="4" w:space="0"/>
        </w:tcBorders>
        <w:shd w:val="clear" w:color="000000" w:themeColor="text1" w:fill="000000" w:themeFill="text1"/>
      </w:tcPr>
    </w:tblStylePr>
    <w:tblStylePr w:type="firstCol">
      <w:rPr>
        <w:rFonts w:ascii="Arial" w:hAnsi="Arial"/>
        <w:b/>
        <w:color w:val="FFFFFF"/>
        <w:sz w:val="22"/>
      </w:rPr>
      <w:tcPr>
        <w:shd w:val="clear" w:color="000000" w:themeColor="text1" w:fill="000000" w:themeFill="text1"/>
      </w:tcPr>
    </w:tblStylePr>
    <w:tblStylePr w:type="lastCol">
      <w:rPr>
        <w:rFonts w:ascii="Arial" w:hAnsi="Arial"/>
        <w:b/>
        <w:color w:val="FFFFFF"/>
        <w:sz w:val="22"/>
      </w:rPr>
      <w:tcPr>
        <w:shd w:val="clear" w:color="000000" w:themeColor="text1" w:fill="000000" w:themeFill="text1"/>
      </w:tcPr>
    </w:tblStylePr>
    <w:tblStylePr w:type="band1Vert">
      <w:tcPr>
        <w:shd w:val="clear" w:color="898989" w:themeColor="text1" w:themeTint="75" w:fill="898989" w:themeFill="text1" w:themeFillTint="75"/>
      </w:tcPr>
    </w:tblStylePr>
    <w:tblStylePr w:type="band2Vert"/>
    <w:tblStylePr w:type="band1Horz">
      <w:tcPr>
        <w:shd w:val="clear" w:color="898989" w:themeColor="text1" w:themeTint="75" w:fill="898989" w:themeFill="text1" w:themeFillTint="75"/>
      </w:tcPr>
    </w:tblStylePr>
    <w:tblStylePr w:type="band2Horz"/>
    <w:tblStylePr w:type="neCell"/>
    <w:tblStylePr w:type="nwCell"/>
    <w:tblStylePr w:type="seCell"/>
    <w:tblStylePr w:type="swCell"/>
  </w:style>
  <w:style w:type="table" w:customStyle="1" w:styleId="123">
    <w:name w:val="Grid Table 5 Dark- Accent 1"/>
    <w:basedOn w:val="56"/>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4F81BD" w:themeColor="accent1" w:fill="4F81BD" w:themeFill="accent1"/>
      </w:tcPr>
    </w:tblStylePr>
    <w:tblStylePr w:type="lastRow">
      <w:rPr>
        <w:rFonts w:ascii="Arial" w:hAnsi="Arial"/>
        <w:b/>
        <w:color w:val="FFFFFF"/>
        <w:sz w:val="22"/>
      </w:rPr>
      <w:tcPr>
        <w:tcBorders>
          <w:top w:val="single" w:color="FFFFFF" w:themeColor="light1" w:sz="4" w:space="0"/>
        </w:tcBorders>
        <w:shd w:val="clear" w:color="4F81BD" w:themeColor="accent1" w:fill="4F81BD" w:themeFill="accent1"/>
      </w:tcPr>
    </w:tblStylePr>
    <w:tblStylePr w:type="firstCol">
      <w:rPr>
        <w:rFonts w:ascii="Arial" w:hAnsi="Arial"/>
        <w:b/>
        <w:color w:val="FFFFFF"/>
        <w:sz w:val="22"/>
      </w:rPr>
      <w:tcPr>
        <w:shd w:val="clear" w:color="4F81BD" w:themeColor="accent1" w:fill="4F81BD" w:themeFill="accent1"/>
      </w:tcPr>
    </w:tblStylePr>
    <w:tblStylePr w:type="lastCol">
      <w:rPr>
        <w:rFonts w:ascii="Arial" w:hAnsi="Arial"/>
        <w:b/>
        <w:color w:val="FFFFFF"/>
        <w:sz w:val="22"/>
      </w:rPr>
      <w:tcPr>
        <w:shd w:val="clear" w:color="4F81BD" w:themeColor="accent1" w:fill="4F81BD" w:themeFill="accent1"/>
      </w:tcPr>
    </w:tblStylePr>
    <w:tblStylePr w:type="band1Vert">
      <w:tcPr>
        <w:shd w:val="clear" w:color="AEC5E0" w:themeColor="accent1" w:themeTint="75" w:fill="AEC5E0" w:themeFill="accent1" w:themeFillTint="75"/>
      </w:tcPr>
    </w:tblStylePr>
    <w:tblStylePr w:type="band2Vert"/>
    <w:tblStylePr w:type="band1Horz">
      <w:tcPr>
        <w:shd w:val="clear" w:color="AEC5E0" w:themeColor="accent1" w:themeTint="75" w:fill="AEC5E0" w:themeFill="accent1" w:themeFillTint="75"/>
      </w:tcPr>
    </w:tblStylePr>
    <w:tblStylePr w:type="band2Horz"/>
    <w:tblStylePr w:type="neCell"/>
    <w:tblStylePr w:type="nwCell"/>
    <w:tblStylePr w:type="seCell"/>
    <w:tblStylePr w:type="swCell"/>
  </w:style>
  <w:style w:type="table" w:customStyle="1" w:styleId="124">
    <w:name w:val="Grid Table 5 Dark - Accent 2"/>
    <w:basedOn w:val="56"/>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C0504D" w:themeColor="accent2" w:fill="C0504D" w:themeFill="accent2"/>
      </w:tcPr>
    </w:tblStylePr>
    <w:tblStylePr w:type="lastRow">
      <w:rPr>
        <w:rFonts w:ascii="Arial" w:hAnsi="Arial"/>
        <w:b/>
        <w:color w:val="FFFFFF"/>
        <w:sz w:val="22"/>
      </w:rPr>
      <w:tcPr>
        <w:tcBorders>
          <w:top w:val="single" w:color="FFFFFF" w:themeColor="light1" w:sz="4" w:space="0"/>
        </w:tcBorders>
        <w:shd w:val="clear" w:color="C0504D" w:themeColor="accent2" w:fill="C0504D" w:themeFill="accent2"/>
      </w:tcPr>
    </w:tblStylePr>
    <w:tblStylePr w:type="firstCol">
      <w:rPr>
        <w:rFonts w:ascii="Arial" w:hAnsi="Arial"/>
        <w:b/>
        <w:color w:val="FFFFFF"/>
        <w:sz w:val="22"/>
      </w:rPr>
      <w:tcPr>
        <w:shd w:val="clear" w:color="C0504D" w:themeColor="accent2" w:fill="C0504D" w:themeFill="accent2"/>
      </w:tcPr>
    </w:tblStylePr>
    <w:tblStylePr w:type="lastCol">
      <w:rPr>
        <w:rFonts w:ascii="Arial" w:hAnsi="Arial"/>
        <w:b/>
        <w:color w:val="FFFFFF"/>
        <w:sz w:val="22"/>
      </w:rPr>
      <w:tcPr>
        <w:shd w:val="clear" w:color="C0504D" w:themeColor="accent2" w:fill="C0504D" w:themeFill="accent2"/>
      </w:tcPr>
    </w:tblStylePr>
    <w:tblStylePr w:type="band1Vert">
      <w:tcPr>
        <w:shd w:val="clear" w:color="E2AEAD" w:themeColor="accent2" w:themeTint="75" w:fill="E2AEAD" w:themeFill="accent2" w:themeFillTint="75"/>
      </w:tcPr>
    </w:tblStylePr>
    <w:tblStylePr w:type="band2Vert"/>
    <w:tblStylePr w:type="band1Horz">
      <w:tcPr>
        <w:shd w:val="clear" w:color="E2AEAD" w:themeColor="accent2" w:themeTint="75" w:fill="E2AEAD" w:themeFill="accent2" w:themeFillTint="75"/>
      </w:tcPr>
    </w:tblStylePr>
    <w:tblStylePr w:type="band2Horz"/>
    <w:tblStylePr w:type="neCell"/>
    <w:tblStylePr w:type="nwCell"/>
    <w:tblStylePr w:type="seCell"/>
    <w:tblStylePr w:type="swCell"/>
  </w:style>
  <w:style w:type="table" w:customStyle="1" w:styleId="125">
    <w:name w:val="Grid Table 5 Dark - Accent 3"/>
    <w:basedOn w:val="56"/>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9BBB59" w:themeColor="accent3" w:fill="9BBB59" w:themeFill="accent3"/>
      </w:tcPr>
    </w:tblStylePr>
    <w:tblStylePr w:type="lastRow">
      <w:rPr>
        <w:rFonts w:ascii="Arial" w:hAnsi="Arial"/>
        <w:b/>
        <w:color w:val="FFFFFF"/>
        <w:sz w:val="22"/>
      </w:rPr>
      <w:tcPr>
        <w:tcBorders>
          <w:top w:val="single" w:color="FFFFFF" w:themeColor="light1" w:sz="4" w:space="0"/>
        </w:tcBorders>
        <w:shd w:val="clear" w:color="9BBB59" w:themeColor="accent3" w:fill="9BBB59" w:themeFill="accent3"/>
      </w:tcPr>
    </w:tblStylePr>
    <w:tblStylePr w:type="firstCol">
      <w:rPr>
        <w:rFonts w:ascii="Arial" w:hAnsi="Arial"/>
        <w:b/>
        <w:color w:val="FFFFFF"/>
        <w:sz w:val="22"/>
      </w:rPr>
      <w:tcPr>
        <w:shd w:val="clear" w:color="9BBB59" w:themeColor="accent3" w:fill="9BBB59" w:themeFill="accent3"/>
      </w:tcPr>
    </w:tblStylePr>
    <w:tblStylePr w:type="lastCol">
      <w:rPr>
        <w:rFonts w:ascii="Arial" w:hAnsi="Arial"/>
        <w:b/>
        <w:color w:val="FFFFFF"/>
        <w:sz w:val="22"/>
      </w:rPr>
      <w:tcPr>
        <w:shd w:val="clear" w:color="9BBB59" w:themeColor="accent3" w:fill="9BBB59" w:themeFill="accent3"/>
      </w:tcPr>
    </w:tblStylePr>
    <w:tblStylePr w:type="band1Vert">
      <w:tcPr>
        <w:shd w:val="clear" w:color="D1DFB2" w:themeColor="accent3" w:themeTint="75" w:fill="D1DFB2" w:themeFill="accent3" w:themeFillTint="75"/>
      </w:tcPr>
    </w:tblStylePr>
    <w:tblStylePr w:type="band2Vert"/>
    <w:tblStylePr w:type="band1Horz">
      <w:tcPr>
        <w:shd w:val="clear" w:color="D1DFB2" w:themeColor="accent3" w:themeTint="75" w:fill="D1DFB2" w:themeFill="accent3" w:themeFillTint="75"/>
      </w:tcPr>
    </w:tblStylePr>
    <w:tblStylePr w:type="band2Horz"/>
    <w:tblStylePr w:type="neCell"/>
    <w:tblStylePr w:type="nwCell"/>
    <w:tblStylePr w:type="seCell"/>
    <w:tblStylePr w:type="swCell"/>
  </w:style>
  <w:style w:type="table" w:customStyle="1" w:styleId="126">
    <w:name w:val="Grid Table 5 Dark- Accent 4"/>
    <w:basedOn w:val="56"/>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8064A2" w:themeColor="accent4" w:fill="8064A2" w:themeFill="accent4"/>
      </w:tcPr>
    </w:tblStylePr>
    <w:tblStylePr w:type="lastRow">
      <w:rPr>
        <w:rFonts w:ascii="Arial" w:hAnsi="Arial"/>
        <w:b/>
        <w:color w:val="FFFFFF"/>
        <w:sz w:val="22"/>
      </w:rPr>
      <w:tcPr>
        <w:tcBorders>
          <w:top w:val="single" w:color="FFFFFF" w:themeColor="light1" w:sz="4" w:space="0"/>
        </w:tcBorders>
        <w:shd w:val="clear" w:color="8064A2" w:themeColor="accent4" w:fill="8064A2" w:themeFill="accent4"/>
      </w:tcPr>
    </w:tblStylePr>
    <w:tblStylePr w:type="firstCol">
      <w:rPr>
        <w:rFonts w:ascii="Arial" w:hAnsi="Arial"/>
        <w:b/>
        <w:color w:val="FFFFFF"/>
        <w:sz w:val="22"/>
      </w:rPr>
      <w:tcPr>
        <w:shd w:val="clear" w:color="8064A2" w:themeColor="accent4" w:fill="8064A2" w:themeFill="accent4"/>
      </w:tcPr>
    </w:tblStylePr>
    <w:tblStylePr w:type="lastCol">
      <w:rPr>
        <w:rFonts w:ascii="Arial" w:hAnsi="Arial"/>
        <w:b/>
        <w:color w:val="FFFFFF"/>
        <w:sz w:val="22"/>
      </w:rPr>
      <w:tcPr>
        <w:shd w:val="clear" w:color="8064A2" w:themeColor="accent4" w:fill="8064A2" w:themeFill="accent4"/>
      </w:tcPr>
    </w:tblStylePr>
    <w:tblStylePr w:type="band1Vert">
      <w:tcPr>
        <w:shd w:val="clear" w:color="C4B7D4" w:themeColor="accent4" w:themeTint="75" w:fill="C4B7D4" w:themeFill="accent4" w:themeFillTint="75"/>
      </w:tcPr>
    </w:tblStylePr>
    <w:tblStylePr w:type="band2Vert"/>
    <w:tblStylePr w:type="band1Horz">
      <w:tcPr>
        <w:shd w:val="clear" w:color="C4B7D4" w:themeColor="accent4" w:themeTint="75" w:fill="C4B7D4" w:themeFill="accent4" w:themeFillTint="75"/>
      </w:tcPr>
    </w:tblStylePr>
    <w:tblStylePr w:type="band2Horz"/>
    <w:tblStylePr w:type="neCell"/>
    <w:tblStylePr w:type="nwCell"/>
    <w:tblStylePr w:type="seCell"/>
    <w:tblStylePr w:type="swCell"/>
  </w:style>
  <w:style w:type="table" w:customStyle="1" w:styleId="127">
    <w:name w:val="Grid Table 5 Dark - Accent 5"/>
    <w:basedOn w:val="56"/>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4BACC6" w:themeColor="accent5" w:fill="4BACC6" w:themeFill="accent5"/>
      </w:tcPr>
    </w:tblStylePr>
    <w:tblStylePr w:type="lastRow">
      <w:rPr>
        <w:rFonts w:ascii="Arial" w:hAnsi="Arial"/>
        <w:b/>
        <w:color w:val="FFFFFF"/>
        <w:sz w:val="22"/>
      </w:rPr>
      <w:tcPr>
        <w:tcBorders>
          <w:top w:val="single" w:color="FFFFFF" w:themeColor="light1" w:sz="4" w:space="0"/>
        </w:tcBorders>
        <w:shd w:val="clear" w:color="4BACC6" w:themeColor="accent5" w:fill="4BACC6" w:themeFill="accent5"/>
      </w:tcPr>
    </w:tblStylePr>
    <w:tblStylePr w:type="firstCol">
      <w:rPr>
        <w:rFonts w:ascii="Arial" w:hAnsi="Arial"/>
        <w:b/>
        <w:color w:val="FFFFFF"/>
        <w:sz w:val="22"/>
      </w:rPr>
      <w:tcPr>
        <w:shd w:val="clear" w:color="4BACC6" w:themeColor="accent5" w:fill="4BACC6" w:themeFill="accent5"/>
      </w:tcPr>
    </w:tblStylePr>
    <w:tblStylePr w:type="lastCol">
      <w:rPr>
        <w:rFonts w:ascii="Arial" w:hAnsi="Arial"/>
        <w:b/>
        <w:color w:val="FFFFFF"/>
        <w:sz w:val="22"/>
      </w:rPr>
      <w:tcPr>
        <w:shd w:val="clear" w:color="4BACC6" w:themeColor="accent5" w:fill="4BACC6" w:themeFill="accent5"/>
      </w:tcPr>
    </w:tblStylePr>
    <w:tblStylePr w:type="band1Vert">
      <w:tcPr>
        <w:shd w:val="clear" w:color="ACD8E4" w:themeColor="accent5" w:themeTint="75" w:fill="ACD8E4" w:themeFill="accent5" w:themeFillTint="75"/>
      </w:tcPr>
    </w:tblStylePr>
    <w:tblStylePr w:type="band2Vert"/>
    <w:tblStylePr w:type="band1Horz">
      <w:tcPr>
        <w:shd w:val="clear" w:color="ACD8E4" w:themeColor="accent5" w:themeTint="75" w:fill="ACD8E4" w:themeFill="accent5" w:themeFillTint="75"/>
      </w:tcPr>
    </w:tblStylePr>
    <w:tblStylePr w:type="band2Horz"/>
    <w:tblStylePr w:type="neCell"/>
    <w:tblStylePr w:type="nwCell"/>
    <w:tblStylePr w:type="seCell"/>
    <w:tblStylePr w:type="swCell"/>
  </w:style>
  <w:style w:type="table" w:customStyle="1" w:styleId="128">
    <w:name w:val="Grid Table 5 Dark - Accent 6"/>
    <w:basedOn w:val="56"/>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F79646" w:themeColor="accent6" w:fill="F79646" w:themeFill="accent6"/>
      </w:tcPr>
    </w:tblStylePr>
    <w:tblStylePr w:type="lastRow">
      <w:rPr>
        <w:rFonts w:ascii="Arial" w:hAnsi="Arial"/>
        <w:b/>
        <w:color w:val="FFFFFF"/>
        <w:sz w:val="22"/>
      </w:rPr>
      <w:tcPr>
        <w:tcBorders>
          <w:top w:val="single" w:color="FFFFFF" w:themeColor="light1" w:sz="4" w:space="0"/>
        </w:tcBorders>
        <w:shd w:val="clear" w:color="F79646" w:themeColor="accent6" w:fill="F79646" w:themeFill="accent6"/>
      </w:tcPr>
    </w:tblStylePr>
    <w:tblStylePr w:type="firstCol">
      <w:rPr>
        <w:rFonts w:ascii="Arial" w:hAnsi="Arial"/>
        <w:b/>
        <w:color w:val="FFFFFF"/>
        <w:sz w:val="22"/>
      </w:rPr>
      <w:tcPr>
        <w:shd w:val="clear" w:color="F79646" w:themeColor="accent6" w:fill="F79646" w:themeFill="accent6"/>
      </w:tcPr>
    </w:tblStylePr>
    <w:tblStylePr w:type="lastCol">
      <w:rPr>
        <w:rFonts w:ascii="Arial" w:hAnsi="Arial"/>
        <w:b/>
        <w:color w:val="FFFFFF"/>
        <w:sz w:val="22"/>
      </w:rPr>
      <w:tcPr>
        <w:shd w:val="clear" w:color="F79646" w:themeColor="accent6" w:fill="F79646" w:themeFill="accent6"/>
      </w:tcPr>
    </w:tblStylePr>
    <w:tblStylePr w:type="band1Vert">
      <w:tcPr>
        <w:shd w:val="clear" w:color="FBCEAA" w:themeColor="accent6" w:themeTint="75" w:fill="FBCEAA" w:themeFill="accent6" w:themeFillTint="75"/>
      </w:tcPr>
    </w:tblStylePr>
    <w:tblStylePr w:type="band2Vert"/>
    <w:tblStylePr w:type="band1Horz">
      <w:tcPr>
        <w:shd w:val="clear" w:color="FBCEAA" w:themeColor="accent6" w:themeTint="75" w:fill="FBCEAA" w:themeFill="accent6" w:themeFillTint="75"/>
      </w:tcPr>
    </w:tblStylePr>
    <w:tblStylePr w:type="band2Horz"/>
    <w:tblStylePr w:type="neCell"/>
    <w:tblStylePr w:type="nwCell"/>
    <w:tblStylePr w:type="seCell"/>
    <w:tblStylePr w:type="swCell"/>
  </w:style>
  <w:style w:type="table" w:customStyle="1" w:styleId="129">
    <w:name w:val="Grid Table 6 Colorful"/>
    <w:basedOn w:val="56"/>
    <w:qFormat/>
    <w:uiPriority w:val="99"/>
    <w:pPr>
      <w:spacing w:after="0" w:line="240" w:lineRule="auto"/>
    </w:pPr>
    <w:tblP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
    <w:tblStylePr w:type="firstRow">
      <w:rPr>
        <w:b/>
        <w:color w:val="808080" w:themeColor="text1" w:themeTint="80"/>
        <w14:textFill>
          <w14:solidFill>
            <w14:schemeClr w14:val="tx1">
              <w14:lumMod w14:val="50000"/>
              <w14:lumOff w14:val="50000"/>
            </w14:schemeClr>
          </w14:solidFill>
        </w14:textFill>
      </w:rPr>
      <w:tcPr>
        <w:tcBorders>
          <w:bottom w:val="single" w:color="7E7E7E" w:themeColor="text1" w:themeTint="80" w:sz="12" w:space="0"/>
        </w:tcBorders>
      </w:tcPr>
    </w:tblStylePr>
    <w:tblStylePr w:type="lastRow">
      <w:rPr>
        <w:b/>
        <w:color w:val="808080" w:themeColor="text1" w:themeTint="80"/>
        <w14:textFill>
          <w14:solidFill>
            <w14:schemeClr w14:val="tx1">
              <w14:lumMod w14:val="50000"/>
              <w14:lumOff w14:val="50000"/>
            </w14:schemeClr>
          </w14:solidFill>
        </w14:textFill>
      </w:rPr>
    </w:tblStylePr>
    <w:tblStylePr w:type="firstCol">
      <w:rPr>
        <w:b/>
        <w:color w:val="808080" w:themeColor="text1" w:themeTint="80"/>
        <w14:textFill>
          <w14:solidFill>
            <w14:schemeClr w14:val="tx1">
              <w14:lumMod w14:val="50000"/>
              <w14:lumOff w14:val="50000"/>
            </w14:schemeClr>
          </w14:solidFill>
        </w14:textFill>
      </w:rPr>
    </w:tblStylePr>
    <w:tblStylePr w:type="lastCol">
      <w:rPr>
        <w:b/>
        <w:color w:val="808080" w:themeColor="text1" w:themeTint="80"/>
        <w14:textFill>
          <w14:solidFill>
            <w14:schemeClr w14:val="tx1">
              <w14:lumMod w14:val="50000"/>
              <w14:lumOff w14:val="50000"/>
            </w14:schemeClr>
          </w14:solidFill>
        </w14:textFill>
      </w:rPr>
    </w:tblStylePr>
    <w:tblStylePr w:type="band1Vert">
      <w:tcPr>
        <w:shd w:val="clear" w:color="CACACA" w:themeColor="text1" w:themeTint="34" w:fill="CACACA" w:themeFill="text1" w:themeFillTint="34"/>
      </w:tcPr>
    </w:tblStylePr>
    <w:tblStylePr w:type="band2Vert"/>
    <w:tblStylePr w:type="band1Horz">
      <w:rPr>
        <w:rFonts w:ascii="Arial" w:hAnsi="Arial"/>
        <w:color w:val="808080" w:themeColor="text1" w:themeTint="80"/>
        <w:sz w:val="22"/>
        <w14:textFill>
          <w14:solidFill>
            <w14:schemeClr w14:val="tx1">
              <w14:lumMod w14:val="50000"/>
              <w14:lumOff w14:val="50000"/>
            </w14:schemeClr>
          </w14:solidFill>
        </w14:textFill>
      </w:rPr>
      <w:tcPr>
        <w:shd w:val="clear" w:color="CACACA" w:themeColor="text1" w:themeTint="34" w:fill="CACACA" w:themeFill="text1" w:themeFillTint="34"/>
      </w:tcPr>
    </w:tblStylePr>
    <w:tblStylePr w:type="band2Horz">
      <w:rPr>
        <w:rFonts w:ascii="Arial" w:hAnsi="Arial"/>
        <w:color w:val="808080" w:themeColor="text1" w:themeTint="80"/>
        <w:sz w:val="22"/>
        <w14:textFill>
          <w14:solidFill>
            <w14:schemeClr w14:val="tx1">
              <w14:lumMod w14:val="50000"/>
              <w14:lumOff w14:val="50000"/>
            </w14:schemeClr>
          </w14:solidFill>
        </w14:textFill>
      </w:rPr>
    </w:tblStylePr>
    <w:tblStylePr w:type="neCell"/>
    <w:tblStylePr w:type="nwCell"/>
    <w:tblStylePr w:type="seCell"/>
    <w:tblStylePr w:type="swCell"/>
  </w:style>
  <w:style w:type="table" w:customStyle="1" w:styleId="130">
    <w:name w:val="Grid Table 6 Colorful - Accent 1"/>
    <w:basedOn w:val="56"/>
    <w:qFormat/>
    <w:uiPriority w:val="99"/>
    <w:pPr>
      <w:spacing w:after="0" w:line="240" w:lineRule="auto"/>
    </w:pPr>
    <w:tblPr>
      <w:tblBorders>
        <w:top w:val="single" w:color="A6BFDD" w:themeColor="accent1" w:themeTint="80" w:sz="4" w:space="0"/>
        <w:left w:val="single" w:color="A6BFDD" w:themeColor="accent1" w:themeTint="80" w:sz="4" w:space="0"/>
        <w:bottom w:val="single" w:color="A6BFDD" w:themeColor="accent1" w:themeTint="80" w:sz="4" w:space="0"/>
        <w:right w:val="single" w:color="A6BFDD" w:themeColor="accent1" w:themeTint="80" w:sz="4" w:space="0"/>
        <w:insideH w:val="single" w:color="A6BFDD" w:themeColor="accent1" w:themeTint="80" w:sz="4" w:space="0"/>
        <w:insideV w:val="single" w:color="A6BFDD" w:themeColor="accent1" w:themeTint="80" w:sz="4" w:space="0"/>
      </w:tblBorders>
    </w:tblPr>
    <w:tblStylePr w:type="firstRow">
      <w:rPr>
        <w:b/>
        <w:color w:val="A7C0DE" w:themeColor="accent1" w:themeTint="80"/>
        <w14:textFill>
          <w14:solidFill>
            <w14:schemeClr w14:val="accent1">
              <w14:lumMod w14:val="50000"/>
              <w14:lumOff w14:val="50000"/>
            </w14:schemeClr>
          </w14:solidFill>
        </w14:textFill>
      </w:rPr>
      <w:tcPr>
        <w:tcBorders>
          <w:bottom w:val="single" w:color="A6BFDD" w:themeColor="accent1" w:themeTint="80" w:sz="12" w:space="0"/>
        </w:tcBorders>
      </w:tcPr>
    </w:tblStylePr>
    <w:tblStylePr w:type="lastRow">
      <w:rPr>
        <w:b/>
        <w:color w:val="A7C0DE" w:themeColor="accent1" w:themeTint="80"/>
        <w14:textFill>
          <w14:solidFill>
            <w14:schemeClr w14:val="accent1">
              <w14:lumMod w14:val="50000"/>
              <w14:lumOff w14:val="50000"/>
            </w14:schemeClr>
          </w14:solidFill>
        </w14:textFill>
      </w:rPr>
    </w:tblStylePr>
    <w:tblStylePr w:type="firstCol">
      <w:rPr>
        <w:b/>
        <w:color w:val="A7C0DE" w:themeColor="accent1" w:themeTint="80"/>
        <w14:textFill>
          <w14:solidFill>
            <w14:schemeClr w14:val="accent1">
              <w14:lumMod w14:val="50000"/>
              <w14:lumOff w14:val="50000"/>
            </w14:schemeClr>
          </w14:solidFill>
        </w14:textFill>
      </w:rPr>
    </w:tblStylePr>
    <w:tblStylePr w:type="lastCol">
      <w:rPr>
        <w:b/>
        <w:color w:val="A7C0DE" w:themeColor="accent1" w:themeTint="80"/>
        <w14:textFill>
          <w14:solidFill>
            <w14:schemeClr w14:val="accent1">
              <w14:lumMod w14:val="50000"/>
              <w14:lumOff w14:val="50000"/>
            </w14:schemeClr>
          </w14:solidFill>
        </w14:textFill>
      </w:rPr>
    </w:tblStylePr>
    <w:tblStylePr w:type="band1Vert">
      <w:tcPr>
        <w:shd w:val="clear" w:color="DBE5F1" w:themeColor="accent1" w:themeTint="34" w:fill="DBE5F1" w:themeFill="accent1" w:themeFillTint="34"/>
      </w:tcPr>
    </w:tblStylePr>
    <w:tblStylePr w:type="band2Vert"/>
    <w:tblStylePr w:type="band1Horz">
      <w:rPr>
        <w:rFonts w:ascii="Arial" w:hAnsi="Arial"/>
        <w:color w:val="A7C0DE" w:themeColor="accent1" w:themeTint="80"/>
        <w:sz w:val="22"/>
        <w14:textFill>
          <w14:solidFill>
            <w14:schemeClr w14:val="accent1">
              <w14:lumMod w14:val="50000"/>
              <w14:lumOff w14:val="50000"/>
            </w14:schemeClr>
          </w14:solidFill>
        </w14:textFill>
      </w:rPr>
      <w:tcPr>
        <w:shd w:val="clear" w:color="DBE5F1" w:themeColor="accent1" w:themeTint="34" w:fill="DBE5F1" w:themeFill="accent1" w:themeFillTint="34"/>
      </w:tcPr>
    </w:tblStylePr>
    <w:tblStylePr w:type="band2Horz">
      <w:rPr>
        <w:rFonts w:ascii="Arial" w:hAnsi="Arial"/>
        <w:color w:val="A7C0DE" w:themeColor="accent1" w:themeTint="80"/>
        <w:sz w:val="22"/>
        <w14:textFill>
          <w14:solidFill>
            <w14:schemeClr w14:val="accent1">
              <w14:lumMod w14:val="50000"/>
              <w14:lumOff w14:val="50000"/>
            </w14:schemeClr>
          </w14:solidFill>
        </w14:textFill>
      </w:rPr>
    </w:tblStylePr>
    <w:tblStylePr w:type="neCell"/>
    <w:tblStylePr w:type="nwCell"/>
    <w:tblStylePr w:type="seCell"/>
    <w:tblStylePr w:type="swCell"/>
  </w:style>
  <w:style w:type="table" w:customStyle="1" w:styleId="131">
    <w:name w:val="Grid Table 6 Colorful - Accent 2"/>
    <w:basedOn w:val="56"/>
    <w:qFormat/>
    <w:uiPriority w:val="99"/>
    <w:pPr>
      <w:spacing w:after="0" w:line="240" w:lineRule="auto"/>
    </w:pPr>
    <w:tblPr>
      <w:tblBorders>
        <w:top w:val="single" w:color="D99795" w:themeColor="accent2" w:themeTint="97" w:sz="4" w:space="0"/>
        <w:left w:val="single" w:color="D99795" w:themeColor="accent2" w:themeTint="97" w:sz="4" w:space="0"/>
        <w:bottom w:val="single" w:color="D99795" w:themeColor="accent2" w:themeTint="97" w:sz="4" w:space="0"/>
        <w:right w:val="single" w:color="D99795" w:themeColor="accent2" w:themeTint="97" w:sz="4" w:space="0"/>
        <w:insideH w:val="single" w:color="D99795" w:themeColor="accent2" w:themeTint="97" w:sz="4" w:space="0"/>
        <w:insideV w:val="single" w:color="D99795" w:themeColor="accent2" w:themeTint="97" w:sz="4" w:space="0"/>
      </w:tblBorders>
    </w:tblPr>
    <w:tblStylePr w:type="firstRow">
      <w:rPr>
        <w:b/>
        <w:color w:val="DA9896" w:themeColor="accent2" w:themeTint="96"/>
        <w14:textFill>
          <w14:solidFill>
            <w14:schemeClr w14:val="accent2">
              <w14:lumMod w14:val="59000"/>
              <w14:lumOff w14:val="41000"/>
            </w14:schemeClr>
          </w14:solidFill>
        </w14:textFill>
      </w:rPr>
      <w:tcPr>
        <w:tcBorders>
          <w:bottom w:val="single" w:color="D99795" w:themeColor="accent2" w:themeTint="97" w:sz="12" w:space="0"/>
        </w:tcBorders>
      </w:tcPr>
    </w:tblStylePr>
    <w:tblStylePr w:type="lastRow">
      <w:rPr>
        <w:b/>
        <w:color w:val="DA9896" w:themeColor="accent2" w:themeTint="96"/>
        <w14:textFill>
          <w14:solidFill>
            <w14:schemeClr w14:val="accent2">
              <w14:lumMod w14:val="59000"/>
              <w14:lumOff w14:val="41000"/>
            </w14:schemeClr>
          </w14:solidFill>
        </w14:textFill>
      </w:rPr>
    </w:tblStylePr>
    <w:tblStylePr w:type="firstCol">
      <w:rPr>
        <w:b/>
        <w:color w:val="DA9896" w:themeColor="accent2" w:themeTint="96"/>
        <w14:textFill>
          <w14:solidFill>
            <w14:schemeClr w14:val="accent2">
              <w14:lumMod w14:val="59000"/>
              <w14:lumOff w14:val="41000"/>
            </w14:schemeClr>
          </w14:solidFill>
        </w14:textFill>
      </w:rPr>
    </w:tblStylePr>
    <w:tblStylePr w:type="lastCol">
      <w:rPr>
        <w:b/>
        <w:color w:val="DA9896" w:themeColor="accent2" w:themeTint="96"/>
        <w14:textFill>
          <w14:solidFill>
            <w14:schemeClr w14:val="accent2">
              <w14:lumMod w14:val="59000"/>
              <w14:lumOff w14:val="41000"/>
            </w14:schemeClr>
          </w14:solidFill>
        </w14:textFill>
      </w:rPr>
    </w:tblStylePr>
    <w:tblStylePr w:type="band1Vert">
      <w:tcPr>
        <w:shd w:val="clear" w:color="F2DCDC" w:themeColor="accent2" w:themeTint="32" w:fill="F2DCDC" w:themeFill="accent2" w:themeFillTint="32"/>
      </w:tcPr>
    </w:tblStylePr>
    <w:tblStylePr w:type="band2Vert"/>
    <w:tblStylePr w:type="band1Horz">
      <w:rPr>
        <w:rFonts w:ascii="Arial" w:hAnsi="Arial"/>
        <w:color w:val="DA9896" w:themeColor="accent2" w:themeTint="96"/>
        <w:sz w:val="22"/>
        <w14:textFill>
          <w14:solidFill>
            <w14:schemeClr w14:val="accent2">
              <w14:lumMod w14:val="59000"/>
              <w14:lumOff w14:val="41000"/>
            </w14:schemeClr>
          </w14:solidFill>
        </w14:textFill>
      </w:rPr>
      <w:tcPr>
        <w:shd w:val="clear" w:color="F2DCDC" w:themeColor="accent2" w:themeTint="32" w:fill="F2DCDC" w:themeFill="accent2" w:themeFillTint="32"/>
      </w:tcPr>
    </w:tblStylePr>
    <w:tblStylePr w:type="band2Horz">
      <w:rPr>
        <w:rFonts w:ascii="Arial" w:hAnsi="Arial"/>
        <w:color w:val="DA9896" w:themeColor="accent2" w:themeTint="96"/>
        <w:sz w:val="22"/>
        <w14:textFill>
          <w14:solidFill>
            <w14:schemeClr w14:val="accent2">
              <w14:lumMod w14:val="59000"/>
              <w14:lumOff w14:val="41000"/>
            </w14:schemeClr>
          </w14:solidFill>
        </w14:textFill>
      </w:rPr>
    </w:tblStylePr>
    <w:tblStylePr w:type="neCell"/>
    <w:tblStylePr w:type="nwCell"/>
    <w:tblStylePr w:type="seCell"/>
    <w:tblStylePr w:type="swCell"/>
  </w:style>
  <w:style w:type="table" w:customStyle="1" w:styleId="132">
    <w:name w:val="Grid Table 6 Colorful - Accent 3"/>
    <w:basedOn w:val="56"/>
    <w:qFormat/>
    <w:uiPriority w:val="99"/>
    <w:pPr>
      <w:spacing w:after="0" w:line="240" w:lineRule="auto"/>
    </w:pPr>
    <w:tblPr>
      <w:tblBorders>
        <w:top w:val="single" w:color="9BBB59" w:themeColor="accent3" w:themeTint="FE" w:sz="4" w:space="0"/>
        <w:left w:val="single" w:color="9BBB59" w:themeColor="accent3" w:themeTint="FE" w:sz="4" w:space="0"/>
        <w:bottom w:val="single" w:color="9BBB59" w:themeColor="accent3" w:themeTint="FE" w:sz="4" w:space="0"/>
        <w:right w:val="single" w:color="9BBB59" w:themeColor="accent3" w:themeTint="FE" w:sz="4" w:space="0"/>
        <w:insideH w:val="single" w:color="9BBB59" w:themeColor="accent3" w:themeTint="FE" w:sz="4" w:space="0"/>
        <w:insideV w:val="single" w:color="9BBB59" w:themeColor="accent3" w:themeTint="FE" w:sz="4" w:space="0"/>
      </w:tblBorders>
    </w:tblPr>
    <w:tblStylePr w:type="firstRow">
      <w:rPr>
        <w:b/>
        <w:color w:val="9BBB59" w:themeColor="accent3" w:themeTint="FF"/>
        <w14:textFill>
          <w14:solidFill>
            <w14:schemeClr w14:val="accent3">
              <w14:lumMod w14:val="100000"/>
              <w14:lumOff w14:val="0"/>
            </w14:schemeClr>
          </w14:solidFill>
        </w14:textFill>
      </w:rPr>
      <w:tcPr>
        <w:tcBorders>
          <w:bottom w:val="single" w:color="9BBB59" w:themeColor="accent3" w:themeTint="FE" w:sz="12" w:space="0"/>
        </w:tcBorders>
      </w:tcPr>
    </w:tblStylePr>
    <w:tblStylePr w:type="lastRow">
      <w:rPr>
        <w:b/>
        <w:color w:val="9BBB59" w:themeColor="accent3" w:themeTint="FF"/>
        <w14:textFill>
          <w14:solidFill>
            <w14:schemeClr w14:val="accent3">
              <w14:lumMod w14:val="100000"/>
              <w14:lumOff w14:val="0"/>
            </w14:schemeClr>
          </w14:solidFill>
        </w14:textFill>
      </w:rPr>
    </w:tblStylePr>
    <w:tblStylePr w:type="firstCol">
      <w:rPr>
        <w:b/>
        <w:color w:val="9BBB59" w:themeColor="accent3" w:themeTint="FF"/>
        <w14:textFill>
          <w14:solidFill>
            <w14:schemeClr w14:val="accent3">
              <w14:lumMod w14:val="100000"/>
              <w14:lumOff w14:val="0"/>
            </w14:schemeClr>
          </w14:solidFill>
        </w14:textFill>
      </w:rPr>
    </w:tblStylePr>
    <w:tblStylePr w:type="lastCol">
      <w:rPr>
        <w:b/>
        <w:color w:val="9BBB59" w:themeColor="accent3" w:themeTint="FF"/>
        <w14:textFill>
          <w14:solidFill>
            <w14:schemeClr w14:val="accent3">
              <w14:lumMod w14:val="100000"/>
              <w14:lumOff w14:val="0"/>
            </w14:schemeClr>
          </w14:solidFill>
        </w14:textFill>
      </w:rPr>
    </w:tblStylePr>
    <w:tblStylePr w:type="band1Vert">
      <w:tcPr>
        <w:shd w:val="clear" w:color="EAF1DD" w:themeColor="accent3" w:themeTint="34" w:fill="EAF1DD" w:themeFill="accent3" w:themeFillTint="34"/>
      </w:tcPr>
    </w:tblStylePr>
    <w:tblStylePr w:type="band2Vert"/>
    <w:tblStylePr w:type="band1Horz">
      <w:rPr>
        <w:rFonts w:ascii="Arial" w:hAnsi="Arial"/>
        <w:color w:val="9BBB59" w:themeColor="accent3" w:themeTint="FF"/>
        <w:sz w:val="22"/>
        <w14:textFill>
          <w14:solidFill>
            <w14:schemeClr w14:val="accent3">
              <w14:lumMod w14:val="100000"/>
              <w14:lumOff w14:val="0"/>
            </w14:schemeClr>
          </w14:solidFill>
        </w14:textFill>
      </w:rPr>
      <w:tcPr>
        <w:shd w:val="clear" w:color="EAF1DD" w:themeColor="accent3" w:themeTint="34" w:fill="EAF1DD" w:themeFill="accent3" w:themeFillTint="34"/>
      </w:tcPr>
    </w:tblStylePr>
    <w:tblStylePr w:type="band2Horz">
      <w:rPr>
        <w:rFonts w:ascii="Arial" w:hAnsi="Arial"/>
        <w:color w:val="9BBB59" w:themeColor="accent3" w:themeTint="FF"/>
        <w:sz w:val="22"/>
        <w14:textFill>
          <w14:solidFill>
            <w14:schemeClr w14:val="accent3">
              <w14:lumMod w14:val="100000"/>
              <w14:lumOff w14:val="0"/>
            </w14:schemeClr>
          </w14:solidFill>
        </w14:textFill>
      </w:rPr>
    </w:tblStylePr>
    <w:tblStylePr w:type="neCell"/>
    <w:tblStylePr w:type="nwCell"/>
    <w:tblStylePr w:type="seCell"/>
    <w:tblStylePr w:type="swCell"/>
  </w:style>
  <w:style w:type="table" w:customStyle="1" w:styleId="133">
    <w:name w:val="Grid Table 6 Colorful - Accent 4"/>
    <w:basedOn w:val="56"/>
    <w:qFormat/>
    <w:uiPriority w:val="99"/>
    <w:pPr>
      <w:spacing w:after="0" w:line="240" w:lineRule="auto"/>
    </w:pPr>
    <w:tblPr>
      <w:tblBorders>
        <w:top w:val="single" w:color="B2A1C6" w:themeColor="accent4" w:themeTint="9A" w:sz="4" w:space="0"/>
        <w:left w:val="single" w:color="B2A1C6" w:themeColor="accent4" w:themeTint="9A" w:sz="4" w:space="0"/>
        <w:bottom w:val="single" w:color="B2A1C6" w:themeColor="accent4" w:themeTint="9A" w:sz="4" w:space="0"/>
        <w:right w:val="single" w:color="B2A1C6" w:themeColor="accent4" w:themeTint="9A" w:sz="4" w:space="0"/>
        <w:insideH w:val="single" w:color="B2A1C6" w:themeColor="accent4" w:themeTint="9A" w:sz="4" w:space="0"/>
        <w:insideV w:val="single" w:color="B2A1C6" w:themeColor="accent4" w:themeTint="9A" w:sz="4" w:space="0"/>
      </w:tblBorders>
    </w:tblPr>
    <w:tblStylePr w:type="firstRow">
      <w:rPr>
        <w:b/>
        <w:color w:val="B3A2C7" w:themeColor="accent4" w:themeTint="99"/>
        <w14:textFill>
          <w14:solidFill>
            <w14:schemeClr w14:val="accent4">
              <w14:lumMod w14:val="60000"/>
              <w14:lumOff w14:val="40000"/>
            </w14:schemeClr>
          </w14:solidFill>
        </w14:textFill>
      </w:rPr>
      <w:tcPr>
        <w:tcBorders>
          <w:bottom w:val="single" w:color="B2A1C6" w:themeColor="accent4" w:themeTint="9A" w:sz="12" w:space="0"/>
        </w:tcBorders>
      </w:tcPr>
    </w:tblStylePr>
    <w:tblStylePr w:type="lastRow">
      <w:rPr>
        <w:b/>
        <w:color w:val="B3A2C7" w:themeColor="accent4" w:themeTint="99"/>
        <w14:textFill>
          <w14:solidFill>
            <w14:schemeClr w14:val="accent4">
              <w14:lumMod w14:val="60000"/>
              <w14:lumOff w14:val="40000"/>
            </w14:schemeClr>
          </w14:solidFill>
        </w14:textFill>
      </w:rPr>
    </w:tblStylePr>
    <w:tblStylePr w:type="firstCol">
      <w:rPr>
        <w:b/>
        <w:color w:val="B3A2C7" w:themeColor="accent4" w:themeTint="99"/>
        <w14:textFill>
          <w14:solidFill>
            <w14:schemeClr w14:val="accent4">
              <w14:lumMod w14:val="60000"/>
              <w14:lumOff w14:val="40000"/>
            </w14:schemeClr>
          </w14:solidFill>
        </w14:textFill>
      </w:rPr>
    </w:tblStylePr>
    <w:tblStylePr w:type="lastCol">
      <w:rPr>
        <w:b/>
        <w:color w:val="B3A2C7" w:themeColor="accent4" w:themeTint="99"/>
        <w14:textFill>
          <w14:solidFill>
            <w14:schemeClr w14:val="accent4">
              <w14:lumMod w14:val="60000"/>
              <w14:lumOff w14:val="40000"/>
            </w14:schemeClr>
          </w14:solidFill>
        </w14:textFill>
      </w:rPr>
    </w:tblStylePr>
    <w:tblStylePr w:type="band1Vert">
      <w:tcPr>
        <w:shd w:val="clear" w:color="E5DFEC" w:themeColor="accent4" w:themeTint="34" w:fill="E5DFEC" w:themeFill="accent4" w:themeFillTint="34"/>
      </w:tcPr>
    </w:tblStylePr>
    <w:tblStylePr w:type="band2Vert"/>
    <w:tblStylePr w:type="band1Horz">
      <w:rPr>
        <w:rFonts w:ascii="Arial" w:hAnsi="Arial"/>
        <w:color w:val="B3A2C7" w:themeColor="accent4" w:themeTint="99"/>
        <w:sz w:val="22"/>
        <w14:textFill>
          <w14:solidFill>
            <w14:schemeClr w14:val="accent4">
              <w14:lumMod w14:val="60000"/>
              <w14:lumOff w14:val="40000"/>
            </w14:schemeClr>
          </w14:solidFill>
        </w14:textFill>
      </w:rPr>
      <w:tcPr>
        <w:shd w:val="clear" w:color="E5DFEC" w:themeColor="accent4" w:themeTint="34" w:fill="E5DFEC" w:themeFill="accent4" w:themeFillTint="34"/>
      </w:tcPr>
    </w:tblStylePr>
    <w:tblStylePr w:type="band2Horz">
      <w:rPr>
        <w:rFonts w:ascii="Arial" w:hAnsi="Arial"/>
        <w:color w:val="B3A2C7" w:themeColor="accent4" w:themeTint="99"/>
        <w:sz w:val="22"/>
        <w14:textFill>
          <w14:solidFill>
            <w14:schemeClr w14:val="accent4">
              <w14:lumMod w14:val="60000"/>
              <w14:lumOff w14:val="40000"/>
            </w14:schemeClr>
          </w14:solidFill>
        </w14:textFill>
      </w:rPr>
    </w:tblStylePr>
    <w:tblStylePr w:type="neCell"/>
    <w:tblStylePr w:type="nwCell"/>
    <w:tblStylePr w:type="seCell"/>
    <w:tblStylePr w:type="swCell"/>
  </w:style>
  <w:style w:type="table" w:customStyle="1" w:styleId="134">
    <w:name w:val="Grid Table 6 Colorful - Accent 5"/>
    <w:basedOn w:val="56"/>
    <w:qFormat/>
    <w:uiPriority w:val="99"/>
    <w:pPr>
      <w:spacing w:after="0" w:line="240" w:lineRule="auto"/>
    </w:pPr>
    <w:tblPr>
      <w:tblBorders>
        <w:top w:val="single" w:color="4BACC6" w:themeColor="accent5" w:sz="4" w:space="0"/>
        <w:left w:val="single" w:color="4BACC6" w:themeColor="accent5" w:sz="4" w:space="0"/>
        <w:bottom w:val="single" w:color="4BACC6" w:themeColor="accent5" w:sz="4" w:space="0"/>
        <w:right w:val="single" w:color="4BACC6" w:themeColor="accent5" w:sz="4" w:space="0"/>
        <w:insideH w:val="single" w:color="4BACC6" w:themeColor="accent5" w:sz="4" w:space="0"/>
        <w:insideV w:val="single" w:color="4BACC6" w:themeColor="accent5" w:sz="4" w:space="0"/>
      </w:tblBorders>
    </w:tblPr>
    <w:tblStylePr w:type="firstRow">
      <w:rPr>
        <w:b/>
        <w:color w:val="266778" w:themeColor="accent5" w:themeShade="94"/>
      </w:rPr>
      <w:tcPr>
        <w:tcBorders>
          <w:bottom w:val="single" w:color="4BACC6" w:themeColor="accent5" w:sz="12" w:space="0"/>
        </w:tcBorders>
      </w:tcPr>
    </w:tblStylePr>
    <w:tblStylePr w:type="lastRow">
      <w:rPr>
        <w:b/>
        <w:color w:val="266778" w:themeColor="accent5" w:themeShade="94"/>
      </w:rPr>
    </w:tblStylePr>
    <w:tblStylePr w:type="firstCol">
      <w:rPr>
        <w:b/>
        <w:color w:val="266778" w:themeColor="accent5" w:themeShade="94"/>
      </w:rPr>
    </w:tblStylePr>
    <w:tblStylePr w:type="lastCol">
      <w:rPr>
        <w:b/>
        <w:color w:val="266778" w:themeColor="accent5" w:themeShade="94"/>
      </w:rPr>
    </w:tblStylePr>
    <w:tblStylePr w:type="band1Vert">
      <w:tcPr>
        <w:shd w:val="clear" w:color="DAEEF3" w:themeColor="accent5" w:themeTint="34" w:fill="DAEEF3" w:themeFill="accent5" w:themeFillTint="34"/>
      </w:tcPr>
    </w:tblStylePr>
    <w:tblStylePr w:type="band2Vert"/>
    <w:tblStylePr w:type="band1Horz">
      <w:rPr>
        <w:rFonts w:ascii="Arial" w:hAnsi="Arial"/>
        <w:color w:val="266778" w:themeColor="accent5" w:themeShade="94"/>
        <w:sz w:val="22"/>
      </w:rPr>
      <w:tcPr>
        <w:shd w:val="clear" w:color="DAEEF3" w:themeColor="accent5" w:themeTint="34" w:fill="DAEEF3" w:themeFill="accent5" w:themeFillTint="34"/>
      </w:tcPr>
    </w:tblStylePr>
    <w:tblStylePr w:type="band2Horz">
      <w:rPr>
        <w:rFonts w:ascii="Arial" w:hAnsi="Arial"/>
        <w:color w:val="266778" w:themeColor="accent5" w:themeShade="94"/>
        <w:sz w:val="22"/>
      </w:rPr>
    </w:tblStylePr>
    <w:tblStylePr w:type="neCell"/>
    <w:tblStylePr w:type="nwCell"/>
    <w:tblStylePr w:type="seCell"/>
    <w:tblStylePr w:type="swCell"/>
  </w:style>
  <w:style w:type="table" w:customStyle="1" w:styleId="135">
    <w:name w:val="Grid Table 6 Colorful - Accent 6"/>
    <w:basedOn w:val="56"/>
    <w:qFormat/>
    <w:uiPriority w:val="99"/>
    <w:pPr>
      <w:spacing w:after="0" w:line="240" w:lineRule="auto"/>
    </w:pPr>
    <w:tblPr>
      <w:tblBorders>
        <w:top w:val="single" w:color="F79646" w:themeColor="accent6" w:sz="4" w:space="0"/>
        <w:left w:val="single" w:color="F79646" w:themeColor="accent6" w:sz="4" w:space="0"/>
        <w:bottom w:val="single" w:color="F79646" w:themeColor="accent6" w:sz="4" w:space="0"/>
        <w:right w:val="single" w:color="F79646" w:themeColor="accent6" w:sz="4" w:space="0"/>
        <w:insideH w:val="single" w:color="F79646" w:themeColor="accent6" w:sz="4" w:space="0"/>
        <w:insideV w:val="single" w:color="F79646" w:themeColor="accent6" w:sz="4" w:space="0"/>
      </w:tblBorders>
    </w:tblPr>
    <w:tblStylePr w:type="firstRow">
      <w:rPr>
        <w:b/>
        <w:color w:val="266778" w:themeColor="accent5" w:themeShade="94"/>
      </w:rPr>
      <w:tcPr>
        <w:tcBorders>
          <w:bottom w:val="single" w:color="F79646" w:themeColor="accent6" w:sz="12" w:space="0"/>
        </w:tcBorders>
      </w:tcPr>
    </w:tblStylePr>
    <w:tblStylePr w:type="lastRow">
      <w:rPr>
        <w:b/>
        <w:color w:val="266778" w:themeColor="accent5" w:themeShade="94"/>
      </w:rPr>
    </w:tblStylePr>
    <w:tblStylePr w:type="firstCol">
      <w:rPr>
        <w:b/>
        <w:color w:val="266778" w:themeColor="accent5" w:themeShade="94"/>
      </w:rPr>
    </w:tblStylePr>
    <w:tblStylePr w:type="lastCol">
      <w:rPr>
        <w:b/>
        <w:color w:val="266778" w:themeColor="accent5" w:themeShade="94"/>
      </w:rPr>
    </w:tblStylePr>
    <w:tblStylePr w:type="band1Vert">
      <w:tcPr>
        <w:shd w:val="clear" w:color="FDE9D9" w:themeColor="accent6" w:themeTint="34" w:fill="FDE9D9" w:themeFill="accent6" w:themeFillTint="34"/>
      </w:tcPr>
    </w:tblStylePr>
    <w:tblStylePr w:type="band2Vert"/>
    <w:tblStylePr w:type="band1Horz">
      <w:rPr>
        <w:rFonts w:ascii="Arial" w:hAnsi="Arial"/>
        <w:color w:val="266778" w:themeColor="accent5" w:themeShade="94"/>
        <w:sz w:val="22"/>
      </w:rPr>
      <w:tcPr>
        <w:shd w:val="clear" w:color="FDE9D9" w:themeColor="accent6" w:themeTint="34" w:fill="FDE9D9" w:themeFill="accent6" w:themeFillTint="34"/>
      </w:tcPr>
    </w:tblStylePr>
    <w:tblStylePr w:type="band2Horz">
      <w:rPr>
        <w:rFonts w:ascii="Arial" w:hAnsi="Arial"/>
        <w:color w:val="266778" w:themeColor="accent5" w:themeShade="94"/>
        <w:sz w:val="22"/>
      </w:rPr>
    </w:tblStylePr>
    <w:tblStylePr w:type="neCell"/>
    <w:tblStylePr w:type="nwCell"/>
    <w:tblStylePr w:type="seCell"/>
    <w:tblStylePr w:type="swCell"/>
  </w:style>
  <w:style w:type="table" w:customStyle="1" w:styleId="136">
    <w:name w:val="Grid Table 7 Colorful"/>
    <w:basedOn w:val="56"/>
    <w:qFormat/>
    <w:uiPriority w:val="99"/>
    <w:pPr>
      <w:spacing w:after="0" w:line="240" w:lineRule="auto"/>
    </w:pPr>
    <w:tblPr>
      <w:tblBorders>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
    <w:tblStylePr w:type="firstRow">
      <w:rPr>
        <w:rFonts w:ascii="Arial" w:hAnsi="Arial"/>
        <w:b/>
        <w:color w:val="808080" w:themeColor="text1" w:themeTint="80"/>
        <w:sz w:val="22"/>
        <w14:textFill>
          <w14:solidFill>
            <w14:schemeClr w14:val="tx1">
              <w14:lumMod w14:val="50000"/>
              <w14:lumOff w14:val="50000"/>
            </w14:schemeClr>
          </w14:solidFill>
        </w14:textFill>
      </w:rPr>
      <w:tcPr>
        <w:tcBorders>
          <w:top w:val="nil"/>
          <w:left w:val="nil"/>
          <w:bottom w:val="single" w:color="7E7E7E" w:themeColor="text1" w:themeTint="80" w:sz="4" w:space="0"/>
          <w:right w:val="nil"/>
        </w:tcBorders>
        <w:shd w:val="clear" w:color="FFFFFF" w:themeColor="light1" w:fill="FFFFFF" w:themeFill="light1"/>
      </w:tcPr>
    </w:tblStylePr>
    <w:tblStylePr w:type="lastRow">
      <w:rPr>
        <w:rFonts w:ascii="Arial" w:hAnsi="Arial"/>
        <w:b/>
        <w:color w:val="808080" w:themeColor="text1" w:themeTint="80"/>
        <w:sz w:val="22"/>
        <w14:textFill>
          <w14:solidFill>
            <w14:schemeClr w14:val="tx1">
              <w14:lumMod w14:val="50000"/>
              <w14:lumOff w14:val="50000"/>
            </w14:schemeClr>
          </w14:solidFill>
        </w14:textFill>
      </w:rPr>
      <w:tcPr>
        <w:tcBorders>
          <w:top w:val="single" w:color="7E7E7E" w:themeColor="text1" w:themeTint="80" w:sz="4" w:space="0"/>
          <w:left w:val="nil"/>
          <w:bottom w:val="nil"/>
          <w:right w:val="nil"/>
        </w:tcBorders>
        <w:shd w:val="clear" w:color="FFFFFF" w:themeColor="light1" w:fill="FFFFFF" w:themeFill="light1"/>
      </w:tcPr>
    </w:tblStylePr>
    <w:tblStylePr w:type="firstCol">
      <w:pPr>
        <w:jc w:val="right"/>
      </w:pPr>
      <w:rPr>
        <w:rFonts w:ascii="Arial" w:hAnsi="Arial"/>
        <w:i/>
        <w:color w:val="808080" w:themeColor="text1" w:themeTint="80"/>
        <w:sz w:val="22"/>
        <w14:textFill>
          <w14:solidFill>
            <w14:schemeClr w14:val="tx1">
              <w14:lumMod w14:val="50000"/>
              <w14:lumOff w14:val="50000"/>
            </w14:schemeClr>
          </w14:solidFill>
        </w14:textFill>
      </w:rPr>
      <w:tcPr>
        <w:tcBorders>
          <w:top w:val="nil"/>
          <w:left w:val="nil"/>
          <w:bottom w:val="nil"/>
          <w:right w:val="single" w:color="7E7E7E" w:themeColor="text1" w:themeTint="80" w:sz="4" w:space="0"/>
        </w:tcBorders>
        <w:shd w:val="clear" w:color="FFFFFF" w:fill="auto"/>
      </w:tcPr>
    </w:tblStylePr>
    <w:tblStylePr w:type="lastCol">
      <w:rPr>
        <w:rFonts w:ascii="Arial" w:hAnsi="Arial"/>
        <w:i/>
        <w:color w:val="808080" w:themeColor="text1" w:themeTint="80"/>
        <w:sz w:val="22"/>
        <w14:textFill>
          <w14:solidFill>
            <w14:schemeClr w14:val="tx1">
              <w14:lumMod w14:val="50000"/>
              <w14:lumOff w14:val="50000"/>
            </w14:schemeClr>
          </w14:solidFill>
        </w14:textFill>
      </w:rPr>
      <w:tcPr>
        <w:tcBorders>
          <w:top w:val="nil"/>
          <w:left w:val="single" w:color="7E7E7E" w:themeColor="text1" w:themeTint="80" w:sz="4" w:space="0"/>
          <w:bottom w:val="nil"/>
          <w:right w:val="nil"/>
        </w:tcBorders>
        <w:shd w:val="clear" w:color="FFFFFF" w:fill="auto"/>
      </w:tcPr>
    </w:tblStylePr>
    <w:tblStylePr w:type="band1Vert">
      <w:tcPr>
        <w:shd w:val="clear" w:color="F1F1F1" w:themeColor="text1" w:themeTint="0D" w:fill="F1F1F1" w:themeFill="text1" w:themeFillTint="0D"/>
      </w:tcPr>
    </w:tblStylePr>
    <w:tblStylePr w:type="band2Vert"/>
    <w:tblStylePr w:type="band1Horz">
      <w:rPr>
        <w:rFonts w:ascii="Arial" w:hAnsi="Arial"/>
        <w:color w:val="808080" w:themeColor="text1" w:themeTint="80"/>
        <w:sz w:val="22"/>
        <w14:textFill>
          <w14:solidFill>
            <w14:schemeClr w14:val="tx1">
              <w14:lumMod w14:val="50000"/>
              <w14:lumOff w14:val="50000"/>
            </w14:schemeClr>
          </w14:solidFill>
        </w14:textFill>
      </w:rPr>
      <w:tcPr>
        <w:shd w:val="clear" w:color="F1F1F1" w:themeColor="text1" w:themeTint="0D" w:fill="F1F1F1" w:themeFill="text1" w:themeFillTint="0D"/>
      </w:tcPr>
    </w:tblStylePr>
    <w:tblStylePr w:type="band2Horz">
      <w:rPr>
        <w:rFonts w:ascii="Arial" w:hAnsi="Arial"/>
        <w:color w:val="808080" w:themeColor="text1" w:themeTint="80"/>
        <w:sz w:val="22"/>
        <w14:textFill>
          <w14:solidFill>
            <w14:schemeClr w14:val="tx1">
              <w14:lumMod w14:val="50000"/>
              <w14:lumOff w14:val="50000"/>
            </w14:schemeClr>
          </w14:solidFill>
        </w14:textFill>
      </w:rPr>
    </w:tblStylePr>
    <w:tblStylePr w:type="neCell"/>
    <w:tblStylePr w:type="nwCell"/>
    <w:tblStylePr w:type="seCell"/>
    <w:tblStylePr w:type="swCell"/>
  </w:style>
  <w:style w:type="table" w:customStyle="1" w:styleId="137">
    <w:name w:val="Grid Table 7 Colorful - Accent 1"/>
    <w:basedOn w:val="56"/>
    <w:qFormat/>
    <w:uiPriority w:val="99"/>
    <w:pPr>
      <w:spacing w:after="0" w:line="240" w:lineRule="auto"/>
    </w:pPr>
    <w:tblPr>
      <w:tblBorders>
        <w:bottom w:val="single" w:color="A6BFDD" w:themeColor="accent1" w:themeTint="80" w:sz="4" w:space="0"/>
        <w:right w:val="single" w:color="A6BFDD" w:themeColor="accent1" w:themeTint="80" w:sz="4" w:space="0"/>
        <w:insideH w:val="single" w:color="A6BFDD" w:themeColor="accent1" w:themeTint="80" w:sz="4" w:space="0"/>
        <w:insideV w:val="single" w:color="A6BFDD" w:themeColor="accent1" w:themeTint="80" w:sz="4" w:space="0"/>
      </w:tblBorders>
    </w:tblPr>
    <w:tblStylePr w:type="firstRow">
      <w:rPr>
        <w:rFonts w:ascii="Arial" w:hAnsi="Arial"/>
        <w:b/>
        <w:color w:val="A7C0DE" w:themeColor="accent1" w:themeTint="80"/>
        <w:sz w:val="22"/>
        <w14:textFill>
          <w14:solidFill>
            <w14:schemeClr w14:val="accent1">
              <w14:lumMod w14:val="50000"/>
              <w14:lumOff w14:val="50000"/>
            </w14:schemeClr>
          </w14:solidFill>
        </w14:textFill>
      </w:rPr>
      <w:tcPr>
        <w:tcBorders>
          <w:top w:val="nil"/>
          <w:left w:val="nil"/>
          <w:bottom w:val="single" w:color="A6BFDD" w:themeColor="accent1" w:themeTint="80" w:sz="4" w:space="0"/>
          <w:right w:val="nil"/>
        </w:tcBorders>
        <w:shd w:val="clear" w:color="FFFFFF" w:themeColor="light1" w:fill="FFFFFF" w:themeFill="light1"/>
      </w:tcPr>
    </w:tblStylePr>
    <w:tblStylePr w:type="lastRow">
      <w:rPr>
        <w:rFonts w:ascii="Arial" w:hAnsi="Arial"/>
        <w:b/>
        <w:color w:val="A7C0DE" w:themeColor="accent1" w:themeTint="80"/>
        <w:sz w:val="22"/>
        <w14:textFill>
          <w14:solidFill>
            <w14:schemeClr w14:val="accent1">
              <w14:lumMod w14:val="50000"/>
              <w14:lumOff w14:val="50000"/>
            </w14:schemeClr>
          </w14:solidFill>
        </w14:textFill>
      </w:rPr>
      <w:tcPr>
        <w:tcBorders>
          <w:top w:val="single" w:color="A6BFDD" w:themeColor="accent1" w:themeTint="80" w:sz="4" w:space="0"/>
          <w:left w:val="nil"/>
          <w:bottom w:val="nil"/>
          <w:right w:val="nil"/>
        </w:tcBorders>
        <w:shd w:val="clear" w:color="FFFFFF" w:themeColor="light1" w:fill="FFFFFF" w:themeFill="light1"/>
      </w:tcPr>
    </w:tblStylePr>
    <w:tblStylePr w:type="firstCol">
      <w:pPr>
        <w:jc w:val="right"/>
      </w:pPr>
      <w:rPr>
        <w:rFonts w:ascii="Arial" w:hAnsi="Arial"/>
        <w:i/>
        <w:color w:val="A7C0DE" w:themeColor="accent1" w:themeTint="80"/>
        <w:sz w:val="22"/>
        <w14:textFill>
          <w14:solidFill>
            <w14:schemeClr w14:val="accent1">
              <w14:lumMod w14:val="50000"/>
              <w14:lumOff w14:val="50000"/>
            </w14:schemeClr>
          </w14:solidFill>
        </w14:textFill>
      </w:rPr>
      <w:tcPr>
        <w:tcBorders>
          <w:top w:val="nil"/>
          <w:left w:val="nil"/>
          <w:bottom w:val="nil"/>
          <w:right w:val="single" w:color="A6BFDD" w:themeColor="accent1" w:themeTint="80" w:sz="4" w:space="0"/>
        </w:tcBorders>
        <w:shd w:val="clear" w:color="FFFFFF" w:fill="auto"/>
      </w:tcPr>
    </w:tblStylePr>
    <w:tblStylePr w:type="lastCol">
      <w:rPr>
        <w:rFonts w:ascii="Arial" w:hAnsi="Arial"/>
        <w:i/>
        <w:color w:val="A7C0DE" w:themeColor="accent1" w:themeTint="80"/>
        <w:sz w:val="22"/>
        <w14:textFill>
          <w14:solidFill>
            <w14:schemeClr w14:val="accent1">
              <w14:lumMod w14:val="50000"/>
              <w14:lumOff w14:val="50000"/>
            </w14:schemeClr>
          </w14:solidFill>
        </w14:textFill>
      </w:rPr>
      <w:tcPr>
        <w:tcBorders>
          <w:top w:val="nil"/>
          <w:left w:val="single" w:color="A6BFDD" w:themeColor="accent1" w:themeTint="80" w:sz="4" w:space="0"/>
          <w:bottom w:val="nil"/>
          <w:right w:val="nil"/>
        </w:tcBorders>
        <w:shd w:val="clear" w:color="FFFFFF" w:fill="auto"/>
      </w:tcPr>
    </w:tblStylePr>
    <w:tblStylePr w:type="band1Vert">
      <w:tcPr>
        <w:shd w:val="clear" w:color="DBE5F1" w:themeColor="accent1" w:themeTint="34" w:fill="DBE5F1" w:themeFill="accent1" w:themeFillTint="34"/>
      </w:tcPr>
    </w:tblStylePr>
    <w:tblStylePr w:type="band2Vert"/>
    <w:tblStylePr w:type="band1Horz">
      <w:rPr>
        <w:rFonts w:ascii="Arial" w:hAnsi="Arial"/>
        <w:color w:val="A7C0DE" w:themeColor="accent1" w:themeTint="80"/>
        <w:sz w:val="22"/>
        <w14:textFill>
          <w14:solidFill>
            <w14:schemeClr w14:val="accent1">
              <w14:lumMod w14:val="50000"/>
              <w14:lumOff w14:val="50000"/>
            </w14:schemeClr>
          </w14:solidFill>
        </w14:textFill>
      </w:rPr>
      <w:tcPr>
        <w:shd w:val="clear" w:color="DBE5F1" w:themeColor="accent1" w:themeTint="34" w:fill="DBE5F1" w:themeFill="accent1" w:themeFillTint="34"/>
      </w:tcPr>
    </w:tblStylePr>
    <w:tblStylePr w:type="band2Horz">
      <w:rPr>
        <w:rFonts w:ascii="Arial" w:hAnsi="Arial"/>
        <w:color w:val="A7C0DE" w:themeColor="accent1" w:themeTint="80"/>
        <w:sz w:val="22"/>
        <w14:textFill>
          <w14:solidFill>
            <w14:schemeClr w14:val="accent1">
              <w14:lumMod w14:val="50000"/>
              <w14:lumOff w14:val="50000"/>
            </w14:schemeClr>
          </w14:solidFill>
        </w14:textFill>
      </w:rPr>
    </w:tblStylePr>
    <w:tblStylePr w:type="neCell"/>
    <w:tblStylePr w:type="nwCell"/>
    <w:tblStylePr w:type="seCell"/>
    <w:tblStylePr w:type="swCell"/>
  </w:style>
  <w:style w:type="table" w:customStyle="1" w:styleId="138">
    <w:name w:val="Grid Table 7 Colorful - Accent 2"/>
    <w:basedOn w:val="56"/>
    <w:qFormat/>
    <w:uiPriority w:val="99"/>
    <w:pPr>
      <w:spacing w:after="0" w:line="240" w:lineRule="auto"/>
    </w:pPr>
    <w:tblPr>
      <w:tblBorders>
        <w:bottom w:val="single" w:color="D99795" w:themeColor="accent2" w:themeTint="97" w:sz="4" w:space="0"/>
        <w:right w:val="single" w:color="D99795" w:themeColor="accent2" w:themeTint="97" w:sz="4" w:space="0"/>
        <w:insideH w:val="single" w:color="D99795" w:themeColor="accent2" w:themeTint="97" w:sz="4" w:space="0"/>
        <w:insideV w:val="single" w:color="D99795" w:themeColor="accent2" w:themeTint="97" w:sz="4" w:space="0"/>
      </w:tblBorders>
    </w:tblPr>
    <w:tblStylePr w:type="firstRow">
      <w:rPr>
        <w:rFonts w:ascii="Arial" w:hAnsi="Arial"/>
        <w:b/>
        <w:color w:val="DA9896" w:themeColor="accent2" w:themeTint="96"/>
        <w:sz w:val="22"/>
        <w14:textFill>
          <w14:solidFill>
            <w14:schemeClr w14:val="accent2">
              <w14:lumMod w14:val="59000"/>
              <w14:lumOff w14:val="41000"/>
            </w14:schemeClr>
          </w14:solidFill>
        </w14:textFill>
      </w:rPr>
      <w:tcPr>
        <w:tcBorders>
          <w:top w:val="nil"/>
          <w:left w:val="nil"/>
          <w:bottom w:val="single" w:color="D99795" w:themeColor="accent2" w:themeTint="97" w:sz="4" w:space="0"/>
          <w:right w:val="nil"/>
        </w:tcBorders>
        <w:shd w:val="clear" w:color="FFFFFF" w:themeColor="light1" w:fill="FFFFFF" w:themeFill="light1"/>
      </w:tcPr>
    </w:tblStylePr>
    <w:tblStylePr w:type="lastRow">
      <w:rPr>
        <w:rFonts w:ascii="Arial" w:hAnsi="Arial"/>
        <w:b/>
        <w:color w:val="DA9896" w:themeColor="accent2" w:themeTint="96"/>
        <w:sz w:val="22"/>
        <w14:textFill>
          <w14:solidFill>
            <w14:schemeClr w14:val="accent2">
              <w14:lumMod w14:val="59000"/>
              <w14:lumOff w14:val="41000"/>
            </w14:schemeClr>
          </w14:solidFill>
        </w14:textFill>
      </w:rPr>
      <w:tcPr>
        <w:tcBorders>
          <w:top w:val="single" w:color="D99795" w:themeColor="accent2" w:themeTint="97" w:sz="4" w:space="0"/>
          <w:left w:val="nil"/>
          <w:bottom w:val="nil"/>
          <w:right w:val="nil"/>
        </w:tcBorders>
        <w:shd w:val="clear" w:color="FFFFFF" w:themeColor="light1" w:fill="FFFFFF" w:themeFill="light1"/>
      </w:tcPr>
    </w:tblStylePr>
    <w:tblStylePr w:type="firstCol">
      <w:pPr>
        <w:jc w:val="right"/>
      </w:pPr>
      <w:rPr>
        <w:rFonts w:ascii="Arial" w:hAnsi="Arial"/>
        <w:i/>
        <w:color w:val="DA9896" w:themeColor="accent2" w:themeTint="96"/>
        <w:sz w:val="22"/>
        <w14:textFill>
          <w14:solidFill>
            <w14:schemeClr w14:val="accent2">
              <w14:lumMod w14:val="59000"/>
              <w14:lumOff w14:val="41000"/>
            </w14:schemeClr>
          </w14:solidFill>
        </w14:textFill>
      </w:rPr>
      <w:tcPr>
        <w:tcBorders>
          <w:top w:val="nil"/>
          <w:left w:val="nil"/>
          <w:bottom w:val="nil"/>
          <w:right w:val="single" w:color="D99795" w:themeColor="accent2" w:themeTint="97" w:sz="4" w:space="0"/>
        </w:tcBorders>
        <w:shd w:val="clear" w:color="FFFFFF" w:fill="auto"/>
      </w:tcPr>
    </w:tblStylePr>
    <w:tblStylePr w:type="lastCol">
      <w:rPr>
        <w:rFonts w:ascii="Arial" w:hAnsi="Arial"/>
        <w:i/>
        <w:color w:val="DA9896" w:themeColor="accent2" w:themeTint="96"/>
        <w:sz w:val="22"/>
        <w14:textFill>
          <w14:solidFill>
            <w14:schemeClr w14:val="accent2">
              <w14:lumMod w14:val="59000"/>
              <w14:lumOff w14:val="41000"/>
            </w14:schemeClr>
          </w14:solidFill>
        </w14:textFill>
      </w:rPr>
      <w:tcPr>
        <w:tcBorders>
          <w:top w:val="nil"/>
          <w:left w:val="single" w:color="D99795" w:themeColor="accent2" w:themeTint="97" w:sz="4" w:space="0"/>
          <w:bottom w:val="nil"/>
          <w:right w:val="nil"/>
        </w:tcBorders>
        <w:shd w:val="clear" w:color="FFFFFF" w:fill="auto"/>
      </w:tcPr>
    </w:tblStylePr>
    <w:tblStylePr w:type="band1Vert">
      <w:tcPr>
        <w:shd w:val="clear" w:color="F2DCDC" w:themeColor="accent2" w:themeTint="32" w:fill="F2DCDC" w:themeFill="accent2" w:themeFillTint="32"/>
      </w:tcPr>
    </w:tblStylePr>
    <w:tblStylePr w:type="band2Vert"/>
    <w:tblStylePr w:type="band1Horz">
      <w:rPr>
        <w:rFonts w:ascii="Arial" w:hAnsi="Arial"/>
        <w:color w:val="DA9896" w:themeColor="accent2" w:themeTint="96"/>
        <w:sz w:val="22"/>
        <w14:textFill>
          <w14:solidFill>
            <w14:schemeClr w14:val="accent2">
              <w14:lumMod w14:val="59000"/>
              <w14:lumOff w14:val="41000"/>
            </w14:schemeClr>
          </w14:solidFill>
        </w14:textFill>
      </w:rPr>
      <w:tcPr>
        <w:shd w:val="clear" w:color="F2DCDC" w:themeColor="accent2" w:themeTint="32" w:fill="F2DCDC" w:themeFill="accent2" w:themeFillTint="32"/>
      </w:tcPr>
    </w:tblStylePr>
    <w:tblStylePr w:type="band2Horz">
      <w:rPr>
        <w:rFonts w:ascii="Arial" w:hAnsi="Arial"/>
        <w:color w:val="DA9896" w:themeColor="accent2" w:themeTint="96"/>
        <w:sz w:val="22"/>
        <w14:textFill>
          <w14:solidFill>
            <w14:schemeClr w14:val="accent2">
              <w14:lumMod w14:val="59000"/>
              <w14:lumOff w14:val="41000"/>
            </w14:schemeClr>
          </w14:solidFill>
        </w14:textFill>
      </w:rPr>
    </w:tblStylePr>
    <w:tblStylePr w:type="neCell"/>
    <w:tblStylePr w:type="nwCell"/>
    <w:tblStylePr w:type="seCell"/>
    <w:tblStylePr w:type="swCell"/>
  </w:style>
  <w:style w:type="table" w:customStyle="1" w:styleId="139">
    <w:name w:val="Grid Table 7 Colorful - Accent 3"/>
    <w:basedOn w:val="56"/>
    <w:qFormat/>
    <w:uiPriority w:val="99"/>
    <w:pPr>
      <w:spacing w:after="0" w:line="240" w:lineRule="auto"/>
    </w:pPr>
    <w:tblPr>
      <w:tblBorders>
        <w:bottom w:val="single" w:color="9BBB59" w:themeColor="accent3" w:themeTint="FE" w:sz="4" w:space="0"/>
        <w:right w:val="single" w:color="9BBB59" w:themeColor="accent3" w:themeTint="FE" w:sz="4" w:space="0"/>
        <w:insideH w:val="single" w:color="9BBB59" w:themeColor="accent3" w:themeTint="FE" w:sz="4" w:space="0"/>
        <w:insideV w:val="single" w:color="9BBB59" w:themeColor="accent3" w:themeTint="FE" w:sz="4" w:space="0"/>
      </w:tblBorders>
    </w:tblPr>
    <w:tblStylePr w:type="firstRow">
      <w:rPr>
        <w:rFonts w:ascii="Arial" w:hAnsi="Arial"/>
        <w:b/>
        <w:color w:val="9BBB59" w:themeColor="accent3" w:themeTint="FF"/>
        <w:sz w:val="22"/>
        <w14:textFill>
          <w14:solidFill>
            <w14:schemeClr w14:val="accent3">
              <w14:lumMod w14:val="100000"/>
              <w14:lumOff w14:val="0"/>
            </w14:schemeClr>
          </w14:solidFill>
        </w14:textFill>
      </w:rPr>
      <w:tcPr>
        <w:tcBorders>
          <w:top w:val="nil"/>
          <w:left w:val="nil"/>
          <w:bottom w:val="single" w:color="9BBB59" w:themeColor="accent3" w:themeTint="FE" w:sz="4" w:space="0"/>
          <w:right w:val="nil"/>
        </w:tcBorders>
        <w:shd w:val="clear" w:color="FFFFFF" w:themeColor="light1" w:fill="FFFFFF" w:themeFill="light1"/>
      </w:tcPr>
    </w:tblStylePr>
    <w:tblStylePr w:type="lastRow">
      <w:rPr>
        <w:rFonts w:ascii="Arial" w:hAnsi="Arial"/>
        <w:b/>
        <w:color w:val="9BBB59" w:themeColor="accent3" w:themeTint="FF"/>
        <w:sz w:val="22"/>
        <w14:textFill>
          <w14:solidFill>
            <w14:schemeClr w14:val="accent3">
              <w14:lumMod w14:val="100000"/>
              <w14:lumOff w14:val="0"/>
            </w14:schemeClr>
          </w14:solidFill>
        </w14:textFill>
      </w:rPr>
      <w:tcPr>
        <w:tcBorders>
          <w:top w:val="single" w:color="9BBB59" w:themeColor="accent3" w:themeTint="FE" w:sz="4" w:space="0"/>
          <w:left w:val="nil"/>
          <w:bottom w:val="nil"/>
          <w:right w:val="nil"/>
        </w:tcBorders>
        <w:shd w:val="clear" w:color="FFFFFF" w:themeColor="light1" w:fill="FFFFFF" w:themeFill="light1"/>
      </w:tcPr>
    </w:tblStylePr>
    <w:tblStylePr w:type="firstCol">
      <w:pPr>
        <w:jc w:val="right"/>
      </w:pPr>
      <w:rPr>
        <w:rFonts w:ascii="Arial" w:hAnsi="Arial"/>
        <w:i/>
        <w:color w:val="9BBB59" w:themeColor="accent3" w:themeTint="FF"/>
        <w:sz w:val="22"/>
        <w14:textFill>
          <w14:solidFill>
            <w14:schemeClr w14:val="accent3">
              <w14:lumMod w14:val="100000"/>
              <w14:lumOff w14:val="0"/>
            </w14:schemeClr>
          </w14:solidFill>
        </w14:textFill>
      </w:rPr>
      <w:tcPr>
        <w:tcBorders>
          <w:top w:val="nil"/>
          <w:left w:val="nil"/>
          <w:bottom w:val="nil"/>
          <w:right w:val="single" w:color="9BBB59" w:themeColor="accent3" w:themeTint="FE" w:sz="4" w:space="0"/>
        </w:tcBorders>
        <w:shd w:val="clear" w:color="FFFFFF" w:fill="auto"/>
      </w:tcPr>
    </w:tblStylePr>
    <w:tblStylePr w:type="lastCol">
      <w:rPr>
        <w:rFonts w:ascii="Arial" w:hAnsi="Arial"/>
        <w:i/>
        <w:color w:val="9BBB59" w:themeColor="accent3" w:themeTint="FF"/>
        <w:sz w:val="22"/>
        <w14:textFill>
          <w14:solidFill>
            <w14:schemeClr w14:val="accent3">
              <w14:lumMod w14:val="100000"/>
              <w14:lumOff w14:val="0"/>
            </w14:schemeClr>
          </w14:solidFill>
        </w14:textFill>
      </w:rPr>
      <w:tcPr>
        <w:tcBorders>
          <w:top w:val="nil"/>
          <w:left w:val="single" w:color="9BBB59" w:themeColor="accent3" w:themeTint="FE" w:sz="4" w:space="0"/>
          <w:bottom w:val="nil"/>
          <w:right w:val="nil"/>
        </w:tcBorders>
        <w:shd w:val="clear" w:color="FFFFFF" w:fill="auto"/>
      </w:tcPr>
    </w:tblStylePr>
    <w:tblStylePr w:type="band1Vert">
      <w:tcPr>
        <w:shd w:val="clear" w:color="EAF1DD" w:themeColor="accent3" w:themeTint="34" w:fill="EAF1DD" w:themeFill="accent3" w:themeFillTint="34"/>
      </w:tcPr>
    </w:tblStylePr>
    <w:tblStylePr w:type="band2Vert"/>
    <w:tblStylePr w:type="band1Horz">
      <w:rPr>
        <w:rFonts w:ascii="Arial" w:hAnsi="Arial"/>
        <w:color w:val="9BBB59" w:themeColor="accent3" w:themeTint="FF"/>
        <w:sz w:val="22"/>
        <w14:textFill>
          <w14:solidFill>
            <w14:schemeClr w14:val="accent3">
              <w14:lumMod w14:val="100000"/>
              <w14:lumOff w14:val="0"/>
            </w14:schemeClr>
          </w14:solidFill>
        </w14:textFill>
      </w:rPr>
      <w:tcPr>
        <w:shd w:val="clear" w:color="EAF1DD" w:themeColor="accent3" w:themeTint="34" w:fill="EAF1DD" w:themeFill="accent3" w:themeFillTint="34"/>
      </w:tcPr>
    </w:tblStylePr>
    <w:tblStylePr w:type="band2Horz">
      <w:rPr>
        <w:rFonts w:ascii="Arial" w:hAnsi="Arial"/>
        <w:color w:val="9BBB59" w:themeColor="accent3" w:themeTint="FF"/>
        <w:sz w:val="22"/>
        <w14:textFill>
          <w14:solidFill>
            <w14:schemeClr w14:val="accent3">
              <w14:lumMod w14:val="100000"/>
              <w14:lumOff w14:val="0"/>
            </w14:schemeClr>
          </w14:solidFill>
        </w14:textFill>
      </w:rPr>
    </w:tblStylePr>
    <w:tblStylePr w:type="neCell"/>
    <w:tblStylePr w:type="nwCell"/>
    <w:tblStylePr w:type="seCell"/>
    <w:tblStylePr w:type="swCell"/>
  </w:style>
  <w:style w:type="table" w:customStyle="1" w:styleId="140">
    <w:name w:val="Grid Table 7 Colorful - Accent 4"/>
    <w:basedOn w:val="56"/>
    <w:qFormat/>
    <w:uiPriority w:val="99"/>
    <w:pPr>
      <w:spacing w:after="0" w:line="240" w:lineRule="auto"/>
    </w:pPr>
    <w:tblPr>
      <w:tblBorders>
        <w:bottom w:val="single" w:color="B2A1C6" w:themeColor="accent4" w:themeTint="9A" w:sz="4" w:space="0"/>
        <w:right w:val="single" w:color="B2A1C6" w:themeColor="accent4" w:themeTint="9A" w:sz="4" w:space="0"/>
        <w:insideH w:val="single" w:color="B2A1C6" w:themeColor="accent4" w:themeTint="9A" w:sz="4" w:space="0"/>
        <w:insideV w:val="single" w:color="B2A1C6" w:themeColor="accent4" w:themeTint="9A" w:sz="4" w:space="0"/>
      </w:tblBorders>
    </w:tblPr>
    <w:tblStylePr w:type="firstRow">
      <w:rPr>
        <w:rFonts w:ascii="Arial" w:hAnsi="Arial"/>
        <w:b/>
        <w:color w:val="B3A2C7" w:themeColor="accent4" w:themeTint="99"/>
        <w:sz w:val="22"/>
        <w14:textFill>
          <w14:solidFill>
            <w14:schemeClr w14:val="accent4">
              <w14:lumMod w14:val="60000"/>
              <w14:lumOff w14:val="40000"/>
            </w14:schemeClr>
          </w14:solidFill>
        </w14:textFill>
      </w:rPr>
      <w:tcPr>
        <w:tcBorders>
          <w:top w:val="nil"/>
          <w:left w:val="nil"/>
          <w:bottom w:val="single" w:color="B2A1C6" w:themeColor="accent4" w:themeTint="9A" w:sz="4" w:space="0"/>
          <w:right w:val="nil"/>
        </w:tcBorders>
        <w:shd w:val="clear" w:color="FFFFFF" w:themeColor="light1" w:fill="FFFFFF" w:themeFill="light1"/>
      </w:tcPr>
    </w:tblStylePr>
    <w:tblStylePr w:type="lastRow">
      <w:rPr>
        <w:rFonts w:ascii="Arial" w:hAnsi="Arial"/>
        <w:b/>
        <w:color w:val="B3A2C7" w:themeColor="accent4" w:themeTint="99"/>
        <w:sz w:val="22"/>
        <w14:textFill>
          <w14:solidFill>
            <w14:schemeClr w14:val="accent4">
              <w14:lumMod w14:val="60000"/>
              <w14:lumOff w14:val="40000"/>
            </w14:schemeClr>
          </w14:solidFill>
        </w14:textFill>
      </w:rPr>
      <w:tcPr>
        <w:tcBorders>
          <w:top w:val="single" w:color="B2A1C6" w:themeColor="accent4" w:themeTint="9A" w:sz="4" w:space="0"/>
          <w:left w:val="nil"/>
          <w:bottom w:val="nil"/>
          <w:right w:val="nil"/>
        </w:tcBorders>
        <w:shd w:val="clear" w:color="FFFFFF" w:themeColor="light1" w:fill="FFFFFF" w:themeFill="light1"/>
      </w:tcPr>
    </w:tblStylePr>
    <w:tblStylePr w:type="firstCol">
      <w:pPr>
        <w:jc w:val="right"/>
      </w:pPr>
      <w:rPr>
        <w:rFonts w:ascii="Arial" w:hAnsi="Arial"/>
        <w:i/>
        <w:color w:val="B3A2C7" w:themeColor="accent4" w:themeTint="99"/>
        <w:sz w:val="22"/>
        <w14:textFill>
          <w14:solidFill>
            <w14:schemeClr w14:val="accent4">
              <w14:lumMod w14:val="60000"/>
              <w14:lumOff w14:val="40000"/>
            </w14:schemeClr>
          </w14:solidFill>
        </w14:textFill>
      </w:rPr>
      <w:tcPr>
        <w:tcBorders>
          <w:top w:val="nil"/>
          <w:left w:val="nil"/>
          <w:bottom w:val="nil"/>
          <w:right w:val="single" w:color="B2A1C6" w:themeColor="accent4" w:themeTint="9A" w:sz="4" w:space="0"/>
        </w:tcBorders>
        <w:shd w:val="clear" w:color="FFFFFF" w:fill="auto"/>
      </w:tcPr>
    </w:tblStylePr>
    <w:tblStylePr w:type="lastCol">
      <w:rPr>
        <w:rFonts w:ascii="Arial" w:hAnsi="Arial"/>
        <w:i/>
        <w:color w:val="B3A2C7" w:themeColor="accent4" w:themeTint="99"/>
        <w:sz w:val="22"/>
        <w14:textFill>
          <w14:solidFill>
            <w14:schemeClr w14:val="accent4">
              <w14:lumMod w14:val="60000"/>
              <w14:lumOff w14:val="40000"/>
            </w14:schemeClr>
          </w14:solidFill>
        </w14:textFill>
      </w:rPr>
      <w:tcPr>
        <w:tcBorders>
          <w:top w:val="nil"/>
          <w:left w:val="single" w:color="B2A1C6" w:themeColor="accent4" w:themeTint="9A" w:sz="4" w:space="0"/>
          <w:bottom w:val="nil"/>
          <w:right w:val="nil"/>
        </w:tcBorders>
        <w:shd w:val="clear" w:color="FFFFFF" w:fill="auto"/>
      </w:tcPr>
    </w:tblStylePr>
    <w:tblStylePr w:type="band1Vert">
      <w:tcPr>
        <w:shd w:val="clear" w:color="E5DFEC" w:themeColor="accent4" w:themeTint="34" w:fill="E5DFEC" w:themeFill="accent4" w:themeFillTint="34"/>
      </w:tcPr>
    </w:tblStylePr>
    <w:tblStylePr w:type="band2Vert"/>
    <w:tblStylePr w:type="band1Horz">
      <w:rPr>
        <w:rFonts w:ascii="Arial" w:hAnsi="Arial"/>
        <w:color w:val="B3A2C7" w:themeColor="accent4" w:themeTint="99"/>
        <w:sz w:val="22"/>
        <w14:textFill>
          <w14:solidFill>
            <w14:schemeClr w14:val="accent4">
              <w14:lumMod w14:val="60000"/>
              <w14:lumOff w14:val="40000"/>
            </w14:schemeClr>
          </w14:solidFill>
        </w14:textFill>
      </w:rPr>
      <w:tcPr>
        <w:shd w:val="clear" w:color="E5DFEC" w:themeColor="accent4" w:themeTint="34" w:fill="E5DFEC" w:themeFill="accent4" w:themeFillTint="34"/>
      </w:tcPr>
    </w:tblStylePr>
    <w:tblStylePr w:type="band2Horz">
      <w:rPr>
        <w:rFonts w:ascii="Arial" w:hAnsi="Arial"/>
        <w:color w:val="B3A2C7" w:themeColor="accent4" w:themeTint="99"/>
        <w:sz w:val="22"/>
        <w14:textFill>
          <w14:solidFill>
            <w14:schemeClr w14:val="accent4">
              <w14:lumMod w14:val="60000"/>
              <w14:lumOff w14:val="40000"/>
            </w14:schemeClr>
          </w14:solidFill>
        </w14:textFill>
      </w:rPr>
    </w:tblStylePr>
    <w:tblStylePr w:type="neCell"/>
    <w:tblStylePr w:type="nwCell"/>
    <w:tblStylePr w:type="seCell"/>
    <w:tblStylePr w:type="swCell"/>
  </w:style>
  <w:style w:type="table" w:customStyle="1" w:styleId="141">
    <w:name w:val="Grid Table 7 Colorful - Accent 5"/>
    <w:basedOn w:val="56"/>
    <w:qFormat/>
    <w:uiPriority w:val="99"/>
    <w:pPr>
      <w:spacing w:after="0" w:line="240" w:lineRule="auto"/>
    </w:pPr>
    <w:tblPr>
      <w:tblBorders>
        <w:bottom w:val="single" w:color="99D0DE" w:themeColor="accent5" w:themeTint="90" w:sz="4" w:space="0"/>
        <w:right w:val="single" w:color="99D0DE" w:themeColor="accent5" w:themeTint="90" w:sz="4" w:space="0"/>
        <w:insideH w:val="single" w:color="99D0DE" w:themeColor="accent5" w:themeTint="90" w:sz="4" w:space="0"/>
        <w:insideV w:val="single" w:color="99D0DE" w:themeColor="accent5" w:themeTint="90" w:sz="4" w:space="0"/>
      </w:tblBorders>
    </w:tblPr>
    <w:tblStylePr w:type="firstRow">
      <w:rPr>
        <w:rFonts w:ascii="Arial" w:hAnsi="Arial"/>
        <w:b/>
        <w:color w:val="266778" w:themeColor="accent5" w:themeShade="94"/>
        <w:sz w:val="22"/>
      </w:rPr>
      <w:tcPr>
        <w:tcBorders>
          <w:top w:val="nil"/>
          <w:left w:val="nil"/>
          <w:bottom w:val="single" w:color="99D0DE" w:themeColor="accent5" w:themeTint="90" w:sz="4" w:space="0"/>
          <w:right w:val="nil"/>
        </w:tcBorders>
        <w:shd w:val="clear" w:color="FFFFFF" w:themeColor="light1" w:fill="FFFFFF" w:themeFill="light1"/>
      </w:tcPr>
    </w:tblStylePr>
    <w:tblStylePr w:type="lastRow">
      <w:rPr>
        <w:rFonts w:ascii="Arial" w:hAnsi="Arial"/>
        <w:b/>
        <w:color w:val="266778" w:themeColor="accent5" w:themeShade="94"/>
        <w:sz w:val="22"/>
      </w:rPr>
      <w:tcPr>
        <w:tcBorders>
          <w:top w:val="single" w:color="99D0DE" w:themeColor="accent5" w:themeTint="90" w:sz="4" w:space="0"/>
          <w:left w:val="nil"/>
          <w:bottom w:val="nil"/>
          <w:right w:val="nil"/>
        </w:tcBorders>
        <w:shd w:val="clear" w:color="FFFFFF" w:themeColor="light1" w:fill="FFFFFF" w:themeFill="light1"/>
      </w:tcPr>
    </w:tblStylePr>
    <w:tblStylePr w:type="firstCol">
      <w:pPr>
        <w:jc w:val="right"/>
      </w:pPr>
      <w:rPr>
        <w:rFonts w:ascii="Arial" w:hAnsi="Arial"/>
        <w:i/>
        <w:color w:val="266778" w:themeColor="accent5" w:themeShade="94"/>
        <w:sz w:val="22"/>
      </w:rPr>
      <w:tcPr>
        <w:tcBorders>
          <w:top w:val="nil"/>
          <w:left w:val="nil"/>
          <w:bottom w:val="nil"/>
          <w:right w:val="single" w:color="99D0DE" w:themeColor="accent5" w:themeTint="90" w:sz="4" w:space="0"/>
        </w:tcBorders>
        <w:shd w:val="clear" w:color="FFFFFF" w:fill="auto"/>
      </w:tcPr>
    </w:tblStylePr>
    <w:tblStylePr w:type="lastCol">
      <w:rPr>
        <w:rFonts w:ascii="Arial" w:hAnsi="Arial"/>
        <w:i/>
        <w:color w:val="266778" w:themeColor="accent5" w:themeShade="94"/>
        <w:sz w:val="22"/>
      </w:rPr>
      <w:tcPr>
        <w:tcBorders>
          <w:top w:val="nil"/>
          <w:left w:val="single" w:color="99D0DE" w:themeColor="accent5" w:themeTint="90" w:sz="4" w:space="0"/>
          <w:bottom w:val="nil"/>
          <w:right w:val="nil"/>
        </w:tcBorders>
        <w:shd w:val="clear" w:color="FFFFFF" w:fill="auto"/>
      </w:tcPr>
    </w:tblStylePr>
    <w:tblStylePr w:type="band1Vert">
      <w:tcPr>
        <w:shd w:val="clear" w:color="DAEEF3" w:themeColor="accent5" w:themeTint="34" w:fill="DAEEF3" w:themeFill="accent5" w:themeFillTint="34"/>
      </w:tcPr>
    </w:tblStylePr>
    <w:tblStylePr w:type="band2Vert"/>
    <w:tblStylePr w:type="band1Horz">
      <w:rPr>
        <w:rFonts w:ascii="Arial" w:hAnsi="Arial"/>
        <w:color w:val="266778" w:themeColor="accent5" w:themeShade="94"/>
        <w:sz w:val="22"/>
      </w:rPr>
      <w:tcPr>
        <w:shd w:val="clear" w:color="DAEEF3" w:themeColor="accent5" w:themeTint="34" w:fill="DAEEF3" w:themeFill="accent5" w:themeFillTint="34"/>
      </w:tcPr>
    </w:tblStylePr>
    <w:tblStylePr w:type="band2Horz">
      <w:rPr>
        <w:rFonts w:ascii="Arial" w:hAnsi="Arial"/>
        <w:color w:val="266778" w:themeColor="accent5" w:themeShade="94"/>
        <w:sz w:val="22"/>
      </w:rPr>
    </w:tblStylePr>
    <w:tblStylePr w:type="neCell"/>
    <w:tblStylePr w:type="nwCell"/>
    <w:tblStylePr w:type="seCell"/>
    <w:tblStylePr w:type="swCell"/>
  </w:style>
  <w:style w:type="table" w:customStyle="1" w:styleId="142">
    <w:name w:val="Grid Table 7 Colorful - Accent 6"/>
    <w:basedOn w:val="56"/>
    <w:qFormat/>
    <w:uiPriority w:val="99"/>
    <w:pPr>
      <w:spacing w:after="0" w:line="240" w:lineRule="auto"/>
    </w:pPr>
    <w:tblPr>
      <w:tblBorders>
        <w:bottom w:val="single" w:color="FAC396" w:themeColor="accent6" w:themeTint="90" w:sz="4" w:space="0"/>
        <w:right w:val="single" w:color="FAC396" w:themeColor="accent6" w:themeTint="90" w:sz="4" w:space="0"/>
        <w:insideH w:val="single" w:color="FAC396" w:themeColor="accent6" w:themeTint="90" w:sz="4" w:space="0"/>
        <w:insideV w:val="single" w:color="FAC396" w:themeColor="accent6" w:themeTint="90" w:sz="4" w:space="0"/>
      </w:tblBorders>
    </w:tblPr>
    <w:tblStylePr w:type="firstRow">
      <w:rPr>
        <w:rFonts w:ascii="Arial" w:hAnsi="Arial"/>
        <w:b/>
        <w:color w:val="B05408" w:themeColor="accent6" w:themeShade="94"/>
        <w:sz w:val="22"/>
      </w:rPr>
      <w:tcPr>
        <w:tcBorders>
          <w:top w:val="nil"/>
          <w:left w:val="nil"/>
          <w:bottom w:val="single" w:color="FAC396" w:themeColor="accent6" w:themeTint="90" w:sz="4" w:space="0"/>
          <w:right w:val="nil"/>
        </w:tcBorders>
        <w:shd w:val="clear" w:color="FFFFFF" w:themeColor="light1" w:fill="FFFFFF" w:themeFill="light1"/>
      </w:tcPr>
    </w:tblStylePr>
    <w:tblStylePr w:type="lastRow">
      <w:rPr>
        <w:rFonts w:ascii="Arial" w:hAnsi="Arial"/>
        <w:b/>
        <w:color w:val="B05408" w:themeColor="accent6" w:themeShade="94"/>
        <w:sz w:val="22"/>
      </w:rPr>
      <w:tcPr>
        <w:tcBorders>
          <w:top w:val="single" w:color="FAC396" w:themeColor="accent6" w:themeTint="90" w:sz="4" w:space="0"/>
          <w:left w:val="nil"/>
          <w:bottom w:val="nil"/>
          <w:right w:val="nil"/>
        </w:tcBorders>
        <w:shd w:val="clear" w:color="FFFFFF" w:themeColor="light1" w:fill="FFFFFF" w:themeFill="light1"/>
      </w:tcPr>
    </w:tblStylePr>
    <w:tblStylePr w:type="firstCol">
      <w:pPr>
        <w:jc w:val="right"/>
      </w:pPr>
      <w:rPr>
        <w:rFonts w:ascii="Arial" w:hAnsi="Arial"/>
        <w:i/>
        <w:color w:val="B05408" w:themeColor="accent6" w:themeShade="94"/>
        <w:sz w:val="22"/>
      </w:rPr>
      <w:tcPr>
        <w:tcBorders>
          <w:top w:val="nil"/>
          <w:left w:val="nil"/>
          <w:bottom w:val="nil"/>
          <w:right w:val="single" w:color="FAC396" w:themeColor="accent6" w:themeTint="90" w:sz="4" w:space="0"/>
        </w:tcBorders>
        <w:shd w:val="clear" w:color="FFFFFF" w:fill="auto"/>
      </w:tcPr>
    </w:tblStylePr>
    <w:tblStylePr w:type="lastCol">
      <w:rPr>
        <w:rFonts w:ascii="Arial" w:hAnsi="Arial"/>
        <w:i/>
        <w:color w:val="B05408" w:themeColor="accent6" w:themeShade="94"/>
        <w:sz w:val="22"/>
      </w:rPr>
      <w:tcPr>
        <w:tcBorders>
          <w:top w:val="nil"/>
          <w:left w:val="single" w:color="FAC396" w:themeColor="accent6" w:themeTint="90" w:sz="4" w:space="0"/>
          <w:bottom w:val="nil"/>
          <w:right w:val="nil"/>
        </w:tcBorders>
        <w:shd w:val="clear" w:color="FFFFFF" w:fill="auto"/>
      </w:tcPr>
    </w:tblStylePr>
    <w:tblStylePr w:type="band1Vert">
      <w:tcPr>
        <w:shd w:val="clear" w:color="FDE9D9" w:themeColor="accent6" w:themeTint="34" w:fill="FDE9D9" w:themeFill="accent6" w:themeFillTint="34"/>
      </w:tcPr>
    </w:tblStylePr>
    <w:tblStylePr w:type="band2Vert"/>
    <w:tblStylePr w:type="band1Horz">
      <w:rPr>
        <w:rFonts w:ascii="Arial" w:hAnsi="Arial"/>
        <w:color w:val="B05408" w:themeColor="accent6" w:themeShade="94"/>
        <w:sz w:val="22"/>
      </w:rPr>
      <w:tcPr>
        <w:shd w:val="clear" w:color="FDE9D9" w:themeColor="accent6" w:themeTint="34" w:fill="FDE9D9" w:themeFill="accent6" w:themeFillTint="34"/>
      </w:tcPr>
    </w:tblStylePr>
    <w:tblStylePr w:type="band2Horz">
      <w:rPr>
        <w:rFonts w:ascii="Arial" w:hAnsi="Arial"/>
        <w:color w:val="B05408" w:themeColor="accent6" w:themeShade="94"/>
        <w:sz w:val="22"/>
      </w:rPr>
    </w:tblStylePr>
    <w:tblStylePr w:type="neCell"/>
    <w:tblStylePr w:type="nwCell"/>
    <w:tblStylePr w:type="seCell"/>
    <w:tblStylePr w:type="swCell"/>
  </w:style>
  <w:style w:type="table" w:customStyle="1" w:styleId="143">
    <w:name w:val="List Table 1 Light"/>
    <w:basedOn w:val="56"/>
    <w:qFormat/>
    <w:uiPriority w:val="99"/>
    <w:pPr>
      <w:spacing w:after="0" w:line="240" w:lineRule="auto"/>
    </w:pPr>
    <w:tblStylePr w:type="firstRow">
      <w:rPr>
        <w:b/>
        <w:color w:val="404040"/>
      </w:rPr>
      <w:tcPr>
        <w:tcBorders>
          <w:top w:val="nil"/>
          <w:left w:val="nil"/>
          <w:bottom w:val="single" w:color="000000" w:themeColor="text1" w:sz="4" w:space="0"/>
          <w:right w:val="nil"/>
        </w:tcBorders>
      </w:tcPr>
    </w:tblStylePr>
    <w:tblStylePr w:type="lastRow">
      <w:rPr>
        <w:b/>
        <w:color w:val="404040"/>
      </w:rPr>
      <w:tcPr>
        <w:tcBorders>
          <w:top w:val="single" w:color="000000" w:themeColor="text1" w:sz="4" w:space="0"/>
          <w:left w:val="nil"/>
          <w:bottom w:val="nil"/>
          <w:right w:val="nil"/>
        </w:tcBorders>
      </w:tcPr>
    </w:tblStylePr>
    <w:tblStylePr w:type="firstCol">
      <w:rPr>
        <w:b/>
        <w:color w:val="404040"/>
      </w:rPr>
    </w:tblStylePr>
    <w:tblStylePr w:type="lastCol">
      <w:rPr>
        <w:b/>
        <w:color w:val="404040"/>
      </w:rPr>
    </w:tblStylePr>
    <w:tblStylePr w:type="band1Vert">
      <w:tcPr>
        <w:shd w:val="clear" w:color="BEBEBE" w:themeColor="text1" w:themeTint="40" w:fill="BEBEBE" w:themeFill="text1" w:themeFillTint="40"/>
      </w:tcPr>
    </w:tblStylePr>
    <w:tblStylePr w:type="band2Vert"/>
    <w:tblStylePr w:type="band1Horz">
      <w:tcPr>
        <w:shd w:val="clear" w:color="BEBEBE" w:themeColor="text1" w:themeTint="40" w:fill="BEBEBE" w:themeFill="text1" w:themeFillTint="40"/>
      </w:tcPr>
    </w:tblStylePr>
    <w:tblStylePr w:type="band2Horz"/>
    <w:tblStylePr w:type="neCell"/>
    <w:tblStylePr w:type="nwCell"/>
    <w:tblStylePr w:type="seCell"/>
    <w:tblStylePr w:type="swCell"/>
  </w:style>
  <w:style w:type="table" w:customStyle="1" w:styleId="144">
    <w:name w:val="List Table 1 Light - Accent 1"/>
    <w:basedOn w:val="56"/>
    <w:qFormat/>
    <w:uiPriority w:val="99"/>
    <w:pPr>
      <w:spacing w:after="0" w:line="240" w:lineRule="auto"/>
    </w:pPr>
    <w:tblStylePr w:type="firstRow">
      <w:rPr>
        <w:b/>
        <w:color w:val="404040"/>
      </w:rPr>
      <w:tcPr>
        <w:tcBorders>
          <w:top w:val="nil"/>
          <w:left w:val="nil"/>
          <w:bottom w:val="single" w:color="4F81BD" w:themeColor="accent1" w:sz="4" w:space="0"/>
          <w:right w:val="nil"/>
        </w:tcBorders>
      </w:tcPr>
    </w:tblStylePr>
    <w:tblStylePr w:type="lastRow">
      <w:rPr>
        <w:b/>
        <w:color w:val="404040"/>
      </w:rPr>
      <w:tcPr>
        <w:tcBorders>
          <w:top w:val="single" w:color="4F81BD" w:themeColor="accent1" w:sz="4" w:space="0"/>
          <w:left w:val="nil"/>
          <w:bottom w:val="nil"/>
          <w:right w:val="nil"/>
        </w:tcBorders>
      </w:tcPr>
    </w:tblStylePr>
    <w:tblStylePr w:type="firstCol">
      <w:rPr>
        <w:b/>
        <w:color w:val="404040"/>
      </w:rPr>
    </w:tblStylePr>
    <w:tblStylePr w:type="lastCol">
      <w:rPr>
        <w:b/>
        <w:color w:val="404040"/>
      </w:rPr>
    </w:tblStylePr>
    <w:tblStylePr w:type="band1Vert">
      <w:tcPr>
        <w:shd w:val="clear" w:color="D2DFEE" w:themeColor="accent1" w:themeTint="40" w:fill="D2DFEE" w:themeFill="accent1" w:themeFillTint="40"/>
      </w:tcPr>
    </w:tblStylePr>
    <w:tblStylePr w:type="band2Vert"/>
    <w:tblStylePr w:type="band1Horz">
      <w:tcPr>
        <w:shd w:val="clear" w:color="D2DFEE" w:themeColor="accent1" w:themeTint="40" w:fill="D2DFEE" w:themeFill="accent1" w:themeFillTint="40"/>
      </w:tcPr>
    </w:tblStylePr>
    <w:tblStylePr w:type="band2Horz"/>
    <w:tblStylePr w:type="neCell"/>
    <w:tblStylePr w:type="nwCell"/>
    <w:tblStylePr w:type="seCell"/>
    <w:tblStylePr w:type="swCell"/>
  </w:style>
  <w:style w:type="table" w:customStyle="1" w:styleId="145">
    <w:name w:val="List Table 1 Light - Accent 2"/>
    <w:basedOn w:val="56"/>
    <w:qFormat/>
    <w:uiPriority w:val="99"/>
    <w:pPr>
      <w:spacing w:after="0" w:line="240" w:lineRule="auto"/>
    </w:pPr>
    <w:tblStylePr w:type="firstRow">
      <w:rPr>
        <w:b/>
        <w:color w:val="404040"/>
      </w:rPr>
      <w:tcPr>
        <w:tcBorders>
          <w:top w:val="nil"/>
          <w:left w:val="nil"/>
          <w:bottom w:val="single" w:color="C0504D" w:themeColor="accent2" w:sz="4" w:space="0"/>
          <w:right w:val="nil"/>
        </w:tcBorders>
      </w:tcPr>
    </w:tblStylePr>
    <w:tblStylePr w:type="lastRow">
      <w:rPr>
        <w:b/>
        <w:color w:val="404040"/>
      </w:rPr>
      <w:tcPr>
        <w:tcBorders>
          <w:top w:val="single" w:color="C0504D" w:themeColor="accent2" w:sz="4" w:space="0"/>
          <w:left w:val="nil"/>
          <w:bottom w:val="nil"/>
          <w:right w:val="nil"/>
        </w:tcBorders>
      </w:tcPr>
    </w:tblStylePr>
    <w:tblStylePr w:type="firstCol">
      <w:rPr>
        <w:b/>
        <w:color w:val="404040"/>
      </w:rPr>
    </w:tblStylePr>
    <w:tblStylePr w:type="lastCol">
      <w:rPr>
        <w:b/>
        <w:color w:val="404040"/>
      </w:rPr>
    </w:tblStylePr>
    <w:tblStylePr w:type="band1Vert">
      <w:tcPr>
        <w:shd w:val="clear" w:color="EFD3D2" w:themeColor="accent2" w:themeTint="40" w:fill="EFD3D2" w:themeFill="accent2" w:themeFillTint="40"/>
      </w:tcPr>
    </w:tblStylePr>
    <w:tblStylePr w:type="band2Vert"/>
    <w:tblStylePr w:type="band1Horz">
      <w:tcPr>
        <w:shd w:val="clear" w:color="EFD3D2" w:themeColor="accent2" w:themeTint="40" w:fill="EFD3D2" w:themeFill="accent2" w:themeFillTint="40"/>
      </w:tcPr>
    </w:tblStylePr>
    <w:tblStylePr w:type="band2Horz"/>
    <w:tblStylePr w:type="neCell"/>
    <w:tblStylePr w:type="nwCell"/>
    <w:tblStylePr w:type="seCell"/>
    <w:tblStylePr w:type="swCell"/>
  </w:style>
  <w:style w:type="table" w:customStyle="1" w:styleId="146">
    <w:name w:val="List Table 1 Light - Accent 3"/>
    <w:basedOn w:val="56"/>
    <w:qFormat/>
    <w:uiPriority w:val="99"/>
    <w:pPr>
      <w:spacing w:after="0" w:line="240" w:lineRule="auto"/>
    </w:pPr>
    <w:tblStylePr w:type="firstRow">
      <w:rPr>
        <w:b/>
        <w:color w:val="404040"/>
      </w:rPr>
      <w:tcPr>
        <w:tcBorders>
          <w:top w:val="nil"/>
          <w:left w:val="nil"/>
          <w:bottom w:val="single" w:color="9BBB59" w:themeColor="accent3" w:sz="4" w:space="0"/>
          <w:right w:val="nil"/>
        </w:tcBorders>
      </w:tcPr>
    </w:tblStylePr>
    <w:tblStylePr w:type="lastRow">
      <w:rPr>
        <w:b/>
        <w:color w:val="404040"/>
      </w:rPr>
      <w:tcPr>
        <w:tcBorders>
          <w:top w:val="single" w:color="9BBB59" w:themeColor="accent3" w:sz="4" w:space="0"/>
          <w:left w:val="nil"/>
          <w:bottom w:val="nil"/>
          <w:right w:val="nil"/>
        </w:tcBorders>
      </w:tcPr>
    </w:tblStylePr>
    <w:tblStylePr w:type="firstCol">
      <w:rPr>
        <w:b/>
        <w:color w:val="404040"/>
      </w:rPr>
    </w:tblStylePr>
    <w:tblStylePr w:type="lastCol">
      <w:rPr>
        <w:b/>
        <w:color w:val="404040"/>
      </w:rPr>
    </w:tblStylePr>
    <w:tblStylePr w:type="band1Vert">
      <w:tcPr>
        <w:shd w:val="clear" w:color="E5EDD5" w:themeColor="accent3" w:themeTint="40" w:fill="E5EDD5" w:themeFill="accent3" w:themeFillTint="40"/>
      </w:tcPr>
    </w:tblStylePr>
    <w:tblStylePr w:type="band2Vert"/>
    <w:tblStylePr w:type="band1Horz">
      <w:tcPr>
        <w:shd w:val="clear" w:color="E5EDD5" w:themeColor="accent3" w:themeTint="40" w:fill="E5EDD5" w:themeFill="accent3" w:themeFillTint="40"/>
      </w:tcPr>
    </w:tblStylePr>
    <w:tblStylePr w:type="band2Horz"/>
    <w:tblStylePr w:type="neCell"/>
    <w:tblStylePr w:type="nwCell"/>
    <w:tblStylePr w:type="seCell"/>
    <w:tblStylePr w:type="swCell"/>
  </w:style>
  <w:style w:type="table" w:customStyle="1" w:styleId="147">
    <w:name w:val="List Table 1 Light - Accent 4"/>
    <w:basedOn w:val="56"/>
    <w:qFormat/>
    <w:uiPriority w:val="99"/>
    <w:pPr>
      <w:spacing w:after="0" w:line="240" w:lineRule="auto"/>
    </w:pPr>
    <w:tblStylePr w:type="firstRow">
      <w:rPr>
        <w:b/>
        <w:color w:val="404040"/>
      </w:rPr>
      <w:tcPr>
        <w:tcBorders>
          <w:top w:val="nil"/>
          <w:left w:val="nil"/>
          <w:bottom w:val="single" w:color="8064A2" w:themeColor="accent4" w:sz="4" w:space="0"/>
          <w:right w:val="nil"/>
        </w:tcBorders>
      </w:tcPr>
    </w:tblStylePr>
    <w:tblStylePr w:type="lastRow">
      <w:rPr>
        <w:b/>
        <w:color w:val="404040"/>
      </w:rPr>
      <w:tcPr>
        <w:tcBorders>
          <w:top w:val="single" w:color="8064A2" w:themeColor="accent4" w:sz="4" w:space="0"/>
          <w:left w:val="nil"/>
          <w:bottom w:val="nil"/>
          <w:right w:val="nil"/>
        </w:tcBorders>
      </w:tcPr>
    </w:tblStylePr>
    <w:tblStylePr w:type="firstCol">
      <w:rPr>
        <w:b/>
        <w:color w:val="404040"/>
      </w:rPr>
    </w:tblStylePr>
    <w:tblStylePr w:type="lastCol">
      <w:rPr>
        <w:b/>
        <w:color w:val="404040"/>
      </w:rPr>
    </w:tblStylePr>
    <w:tblStylePr w:type="band1Vert">
      <w:tcPr>
        <w:shd w:val="clear" w:color="DFD8E7" w:themeColor="accent4" w:themeTint="40" w:fill="DFD8E7" w:themeFill="accent4" w:themeFillTint="40"/>
      </w:tcPr>
    </w:tblStylePr>
    <w:tblStylePr w:type="band2Vert"/>
    <w:tblStylePr w:type="band1Horz">
      <w:tcPr>
        <w:shd w:val="clear" w:color="DFD8E7" w:themeColor="accent4" w:themeTint="40" w:fill="DFD8E7" w:themeFill="accent4" w:themeFillTint="40"/>
      </w:tcPr>
    </w:tblStylePr>
    <w:tblStylePr w:type="band2Horz"/>
    <w:tblStylePr w:type="neCell"/>
    <w:tblStylePr w:type="nwCell"/>
    <w:tblStylePr w:type="seCell"/>
    <w:tblStylePr w:type="swCell"/>
  </w:style>
  <w:style w:type="table" w:customStyle="1" w:styleId="148">
    <w:name w:val="List Table 1 Light - Accent 5"/>
    <w:basedOn w:val="56"/>
    <w:qFormat/>
    <w:uiPriority w:val="99"/>
    <w:pPr>
      <w:spacing w:after="0" w:line="240" w:lineRule="auto"/>
    </w:pPr>
    <w:tblStylePr w:type="firstRow">
      <w:rPr>
        <w:b/>
        <w:color w:val="404040"/>
      </w:rPr>
      <w:tcPr>
        <w:tcBorders>
          <w:top w:val="nil"/>
          <w:left w:val="nil"/>
          <w:bottom w:val="single" w:color="4BACC6" w:themeColor="accent5" w:sz="4" w:space="0"/>
          <w:right w:val="nil"/>
        </w:tcBorders>
      </w:tcPr>
    </w:tblStylePr>
    <w:tblStylePr w:type="lastRow">
      <w:rPr>
        <w:b/>
        <w:color w:val="404040"/>
      </w:rPr>
      <w:tcPr>
        <w:tcBorders>
          <w:top w:val="single" w:color="4BACC6" w:themeColor="accent5" w:sz="4" w:space="0"/>
          <w:left w:val="nil"/>
          <w:bottom w:val="nil"/>
          <w:right w:val="nil"/>
        </w:tcBorders>
      </w:tcPr>
    </w:tblStylePr>
    <w:tblStylePr w:type="firstCol">
      <w:rPr>
        <w:b/>
        <w:color w:val="404040"/>
      </w:rPr>
    </w:tblStylePr>
    <w:tblStylePr w:type="lastCol">
      <w:rPr>
        <w:b/>
        <w:color w:val="404040"/>
      </w:rPr>
    </w:tblStylePr>
    <w:tblStylePr w:type="band1Vert">
      <w:tcPr>
        <w:shd w:val="clear" w:color="D1EAF0" w:themeColor="accent5" w:themeTint="40" w:fill="D1EAF0" w:themeFill="accent5" w:themeFillTint="40"/>
      </w:tcPr>
    </w:tblStylePr>
    <w:tblStylePr w:type="band2Vert"/>
    <w:tblStylePr w:type="band1Horz">
      <w:tcPr>
        <w:shd w:val="clear" w:color="D1EAF0" w:themeColor="accent5" w:themeTint="40" w:fill="D1EAF0" w:themeFill="accent5" w:themeFillTint="40"/>
      </w:tcPr>
    </w:tblStylePr>
    <w:tblStylePr w:type="band2Horz"/>
    <w:tblStylePr w:type="neCell"/>
    <w:tblStylePr w:type="nwCell"/>
    <w:tblStylePr w:type="seCell"/>
    <w:tblStylePr w:type="swCell"/>
  </w:style>
  <w:style w:type="table" w:customStyle="1" w:styleId="149">
    <w:name w:val="List Table 1 Light - Accent 6"/>
    <w:basedOn w:val="56"/>
    <w:qFormat/>
    <w:uiPriority w:val="99"/>
    <w:pPr>
      <w:spacing w:after="0" w:line="240" w:lineRule="auto"/>
    </w:pPr>
    <w:tblStylePr w:type="firstRow">
      <w:rPr>
        <w:b/>
        <w:color w:val="404040"/>
      </w:rPr>
      <w:tcPr>
        <w:tcBorders>
          <w:top w:val="nil"/>
          <w:left w:val="nil"/>
          <w:bottom w:val="single" w:color="F79646" w:themeColor="accent6" w:sz="4" w:space="0"/>
          <w:right w:val="nil"/>
        </w:tcBorders>
      </w:tcPr>
    </w:tblStylePr>
    <w:tblStylePr w:type="lastRow">
      <w:rPr>
        <w:b/>
        <w:color w:val="404040"/>
      </w:rPr>
      <w:tcPr>
        <w:tcBorders>
          <w:top w:val="single" w:color="F79646" w:themeColor="accent6" w:sz="4" w:space="0"/>
          <w:left w:val="nil"/>
          <w:bottom w:val="nil"/>
          <w:right w:val="nil"/>
        </w:tcBorders>
      </w:tcPr>
    </w:tblStylePr>
    <w:tblStylePr w:type="firstCol">
      <w:rPr>
        <w:b/>
        <w:color w:val="404040"/>
      </w:rPr>
    </w:tblStylePr>
    <w:tblStylePr w:type="lastCol">
      <w:rPr>
        <w:b/>
        <w:color w:val="404040"/>
      </w:rPr>
    </w:tblStylePr>
    <w:tblStylePr w:type="band1Vert">
      <w:tcPr>
        <w:shd w:val="clear" w:color="FCE4D0" w:themeColor="accent6" w:themeTint="40" w:fill="FCE4D0" w:themeFill="accent6" w:themeFillTint="40"/>
      </w:tcPr>
    </w:tblStylePr>
    <w:tblStylePr w:type="band2Vert"/>
    <w:tblStylePr w:type="band1Horz">
      <w:tcPr>
        <w:shd w:val="clear" w:color="FCE4D0" w:themeColor="accent6" w:themeTint="40" w:fill="FCE4D0" w:themeFill="accent6" w:themeFillTint="40"/>
      </w:tcPr>
    </w:tblStylePr>
    <w:tblStylePr w:type="band2Horz"/>
    <w:tblStylePr w:type="neCell"/>
    <w:tblStylePr w:type="nwCell"/>
    <w:tblStylePr w:type="seCell"/>
    <w:tblStylePr w:type="swCell"/>
  </w:style>
  <w:style w:type="table" w:customStyle="1" w:styleId="150">
    <w:name w:val="List Table 2"/>
    <w:basedOn w:val="56"/>
    <w:qFormat/>
    <w:uiPriority w:val="99"/>
    <w:pPr>
      <w:spacing w:after="0" w:line="240" w:lineRule="auto"/>
    </w:pPr>
    <w:tblPr>
      <w:tblBorders>
        <w:top w:val="single" w:color="6E6E6E" w:themeColor="text1" w:themeTint="90" w:sz="4" w:space="0"/>
        <w:bottom w:val="single" w:color="6E6E6E" w:themeColor="text1" w:themeTint="90" w:sz="4" w:space="0"/>
        <w:insideH w:val="single" w:color="6E6E6E" w:themeColor="text1" w:themeTint="90" w:sz="4" w:space="0"/>
      </w:tblBorders>
    </w:tblPr>
    <w:tblStylePr w:type="firstRow">
      <w:rPr>
        <w:rFonts w:ascii="Arial" w:hAnsi="Arial"/>
        <w:b/>
        <w:color w:val="404040"/>
        <w:sz w:val="22"/>
      </w:rPr>
      <w:tcPr>
        <w:tcBorders>
          <w:top w:val="single" w:color="6E6E6E" w:themeColor="text1" w:themeTint="90" w:sz="4" w:space="0"/>
          <w:left w:val="nil"/>
          <w:bottom w:val="single" w:color="6E6E6E" w:themeColor="text1" w:themeTint="90" w:sz="4" w:space="0"/>
          <w:right w:val="nil"/>
        </w:tcBorders>
      </w:tcPr>
    </w:tblStylePr>
    <w:tblStylePr w:type="lastRow">
      <w:rPr>
        <w:rFonts w:ascii="Arial" w:hAnsi="Arial"/>
        <w:b/>
        <w:color w:val="404040"/>
        <w:sz w:val="22"/>
      </w:rPr>
      <w:tcPr>
        <w:tcBorders>
          <w:top w:val="single" w:color="6E6E6E" w:themeColor="text1" w:themeTint="90" w:sz="4" w:space="0"/>
          <w:left w:val="nil"/>
          <w:bottom w:val="single" w:color="6E6E6E" w:themeColor="text1"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BEBEBE" w:themeColor="text1" w:themeTint="40" w:fill="BEBEBE" w:themeFill="text1" w:themeFillTint="40"/>
      </w:tcPr>
    </w:tblStylePr>
    <w:tblStylePr w:type="band2Vert"/>
    <w:tblStylePr w:type="band1Horz">
      <w:rPr>
        <w:rFonts w:ascii="Arial" w:hAnsi="Arial"/>
        <w:color w:val="404040"/>
        <w:sz w:val="22"/>
      </w:rPr>
      <w:tcPr>
        <w:shd w:val="clear" w:color="BEBEBE" w:themeColor="text1" w:themeTint="40" w:fill="BEBEBE" w:themeFill="text1" w:themeFillTint="40"/>
      </w:tcPr>
    </w:tblStylePr>
    <w:tblStylePr w:type="band2Horz"/>
    <w:tblStylePr w:type="neCell"/>
    <w:tblStylePr w:type="nwCell"/>
    <w:tblStylePr w:type="seCell"/>
    <w:tblStylePr w:type="swCell"/>
  </w:style>
  <w:style w:type="table" w:customStyle="1" w:styleId="151">
    <w:name w:val="List Table 2 - Accent 1"/>
    <w:basedOn w:val="56"/>
    <w:qFormat/>
    <w:uiPriority w:val="99"/>
    <w:pPr>
      <w:spacing w:after="0" w:line="240" w:lineRule="auto"/>
    </w:pPr>
    <w:tblPr>
      <w:tblBorders>
        <w:top w:val="single" w:color="9BB7D9" w:themeColor="accent1" w:themeTint="90" w:sz="4" w:space="0"/>
        <w:bottom w:val="single" w:color="9BB7D9" w:themeColor="accent1" w:themeTint="90" w:sz="4" w:space="0"/>
        <w:insideH w:val="single" w:color="9BB7D9" w:themeColor="accent1" w:themeTint="90" w:sz="4" w:space="0"/>
      </w:tblBorders>
    </w:tblPr>
    <w:tblStylePr w:type="firstRow">
      <w:rPr>
        <w:rFonts w:ascii="Arial" w:hAnsi="Arial"/>
        <w:b/>
        <w:color w:val="404040"/>
        <w:sz w:val="22"/>
      </w:rPr>
      <w:tcPr>
        <w:tcBorders>
          <w:top w:val="single" w:color="9BB7D9" w:themeColor="accent1" w:themeTint="90" w:sz="4" w:space="0"/>
          <w:left w:val="nil"/>
          <w:bottom w:val="single" w:color="9BB7D9" w:themeColor="accent1" w:themeTint="90" w:sz="4" w:space="0"/>
          <w:right w:val="nil"/>
        </w:tcBorders>
      </w:tcPr>
    </w:tblStylePr>
    <w:tblStylePr w:type="lastRow">
      <w:rPr>
        <w:rFonts w:ascii="Arial" w:hAnsi="Arial"/>
        <w:b/>
        <w:color w:val="404040"/>
        <w:sz w:val="22"/>
      </w:rPr>
      <w:tcPr>
        <w:tcBorders>
          <w:top w:val="single" w:color="9BB7D9" w:themeColor="accent1" w:themeTint="90" w:sz="4" w:space="0"/>
          <w:left w:val="nil"/>
          <w:bottom w:val="single" w:color="9BB7D9" w:themeColor="accent1"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D2DFEE" w:themeColor="accent1" w:themeTint="40" w:fill="D2DFEE" w:themeFill="accent1" w:themeFillTint="40"/>
      </w:tcPr>
    </w:tblStylePr>
    <w:tblStylePr w:type="band2Vert"/>
    <w:tblStylePr w:type="band1Horz">
      <w:rPr>
        <w:rFonts w:ascii="Arial" w:hAnsi="Arial"/>
        <w:color w:val="404040"/>
        <w:sz w:val="22"/>
      </w:rPr>
      <w:tcPr>
        <w:shd w:val="clear" w:color="D2DFEE" w:themeColor="accent1" w:themeTint="40" w:fill="D2DFEE" w:themeFill="accent1" w:themeFillTint="40"/>
      </w:tcPr>
    </w:tblStylePr>
    <w:tblStylePr w:type="band2Horz"/>
    <w:tblStylePr w:type="neCell"/>
    <w:tblStylePr w:type="nwCell"/>
    <w:tblStylePr w:type="seCell"/>
    <w:tblStylePr w:type="swCell"/>
  </w:style>
  <w:style w:type="table" w:customStyle="1" w:styleId="152">
    <w:name w:val="List Table 2 - Accent 2"/>
    <w:basedOn w:val="56"/>
    <w:qFormat/>
    <w:uiPriority w:val="99"/>
    <w:pPr>
      <w:spacing w:after="0" w:line="240" w:lineRule="auto"/>
    </w:pPr>
    <w:tblPr>
      <w:tblBorders>
        <w:top w:val="single" w:color="DB9C9A" w:themeColor="accent2" w:themeTint="90" w:sz="4" w:space="0"/>
        <w:bottom w:val="single" w:color="DB9C9A" w:themeColor="accent2" w:themeTint="90" w:sz="4" w:space="0"/>
        <w:insideH w:val="single" w:color="DB9C9A" w:themeColor="accent2" w:themeTint="90" w:sz="4" w:space="0"/>
      </w:tblBorders>
    </w:tblPr>
    <w:tblStylePr w:type="firstRow">
      <w:rPr>
        <w:rFonts w:ascii="Arial" w:hAnsi="Arial"/>
        <w:b/>
        <w:color w:val="404040"/>
        <w:sz w:val="22"/>
      </w:rPr>
      <w:tcPr>
        <w:tcBorders>
          <w:top w:val="single" w:color="DB9C9A" w:themeColor="accent2" w:themeTint="90" w:sz="4" w:space="0"/>
          <w:left w:val="nil"/>
          <w:bottom w:val="single" w:color="DB9C9A" w:themeColor="accent2" w:themeTint="90" w:sz="4" w:space="0"/>
          <w:right w:val="nil"/>
        </w:tcBorders>
      </w:tcPr>
    </w:tblStylePr>
    <w:tblStylePr w:type="lastRow">
      <w:rPr>
        <w:rFonts w:ascii="Arial" w:hAnsi="Arial"/>
        <w:b/>
        <w:color w:val="404040"/>
        <w:sz w:val="22"/>
      </w:rPr>
      <w:tcPr>
        <w:tcBorders>
          <w:top w:val="single" w:color="DB9C9A" w:themeColor="accent2" w:themeTint="90" w:sz="4" w:space="0"/>
          <w:left w:val="nil"/>
          <w:bottom w:val="single" w:color="DB9C9A" w:themeColor="accent2"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EFD3D2" w:themeColor="accent2" w:themeTint="40" w:fill="EFD3D2" w:themeFill="accent2" w:themeFillTint="40"/>
      </w:tcPr>
    </w:tblStylePr>
    <w:tblStylePr w:type="band2Vert"/>
    <w:tblStylePr w:type="band1Horz">
      <w:rPr>
        <w:rFonts w:ascii="Arial" w:hAnsi="Arial"/>
        <w:color w:val="404040"/>
        <w:sz w:val="22"/>
      </w:rPr>
      <w:tcPr>
        <w:shd w:val="clear" w:color="EFD3D2" w:themeColor="accent2" w:themeTint="40" w:fill="EFD3D2" w:themeFill="accent2" w:themeFillTint="40"/>
      </w:tcPr>
    </w:tblStylePr>
    <w:tblStylePr w:type="band2Horz"/>
    <w:tblStylePr w:type="neCell"/>
    <w:tblStylePr w:type="nwCell"/>
    <w:tblStylePr w:type="seCell"/>
    <w:tblStylePr w:type="swCell"/>
  </w:style>
  <w:style w:type="table" w:customStyle="1" w:styleId="153">
    <w:name w:val="List Table 2 - Accent 3"/>
    <w:basedOn w:val="56"/>
    <w:qFormat/>
    <w:uiPriority w:val="99"/>
    <w:pPr>
      <w:spacing w:after="0" w:line="240" w:lineRule="auto"/>
    </w:pPr>
    <w:tblPr>
      <w:tblBorders>
        <w:top w:val="single" w:color="C6D8A1" w:themeColor="accent3" w:themeTint="90" w:sz="4" w:space="0"/>
        <w:bottom w:val="single" w:color="C6D8A1" w:themeColor="accent3" w:themeTint="90" w:sz="4" w:space="0"/>
        <w:insideH w:val="single" w:color="C6D8A1" w:themeColor="accent3" w:themeTint="90" w:sz="4" w:space="0"/>
      </w:tblBorders>
    </w:tblPr>
    <w:tblStylePr w:type="firstRow">
      <w:rPr>
        <w:rFonts w:ascii="Arial" w:hAnsi="Arial"/>
        <w:b/>
        <w:color w:val="404040"/>
        <w:sz w:val="22"/>
      </w:rPr>
      <w:tcPr>
        <w:tcBorders>
          <w:top w:val="single" w:color="C6D8A1" w:themeColor="accent3" w:themeTint="90" w:sz="4" w:space="0"/>
          <w:left w:val="nil"/>
          <w:bottom w:val="single" w:color="C6D8A1" w:themeColor="accent3" w:themeTint="90" w:sz="4" w:space="0"/>
          <w:right w:val="nil"/>
        </w:tcBorders>
      </w:tcPr>
    </w:tblStylePr>
    <w:tblStylePr w:type="lastRow">
      <w:rPr>
        <w:rFonts w:ascii="Arial" w:hAnsi="Arial"/>
        <w:b/>
        <w:color w:val="404040"/>
        <w:sz w:val="22"/>
      </w:rPr>
      <w:tcPr>
        <w:tcBorders>
          <w:top w:val="single" w:color="C6D8A1" w:themeColor="accent3" w:themeTint="90" w:sz="4" w:space="0"/>
          <w:left w:val="nil"/>
          <w:bottom w:val="single" w:color="C6D8A1" w:themeColor="accent3"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E5EDD5" w:themeColor="accent3" w:themeTint="40" w:fill="E5EDD5" w:themeFill="accent3" w:themeFillTint="40"/>
      </w:tcPr>
    </w:tblStylePr>
    <w:tblStylePr w:type="band2Vert"/>
    <w:tblStylePr w:type="band1Horz">
      <w:rPr>
        <w:rFonts w:ascii="Arial" w:hAnsi="Arial"/>
        <w:color w:val="404040"/>
        <w:sz w:val="22"/>
      </w:rPr>
      <w:tcPr>
        <w:shd w:val="clear" w:color="E5EDD5" w:themeColor="accent3" w:themeTint="40" w:fill="E5EDD5" w:themeFill="accent3" w:themeFillTint="40"/>
      </w:tcPr>
    </w:tblStylePr>
    <w:tblStylePr w:type="band2Horz"/>
    <w:tblStylePr w:type="neCell"/>
    <w:tblStylePr w:type="nwCell"/>
    <w:tblStylePr w:type="seCell"/>
    <w:tblStylePr w:type="swCell"/>
  </w:style>
  <w:style w:type="table" w:customStyle="1" w:styleId="154">
    <w:name w:val="List Table 2 - Accent 4"/>
    <w:basedOn w:val="56"/>
    <w:qFormat/>
    <w:uiPriority w:val="99"/>
    <w:pPr>
      <w:spacing w:after="0" w:line="240" w:lineRule="auto"/>
    </w:pPr>
    <w:tblPr>
      <w:tblBorders>
        <w:top w:val="single" w:color="B7A7CA" w:themeColor="accent4" w:themeTint="90" w:sz="4" w:space="0"/>
        <w:bottom w:val="single" w:color="B7A7CA" w:themeColor="accent4" w:themeTint="90" w:sz="4" w:space="0"/>
        <w:insideH w:val="single" w:color="B7A7CA" w:themeColor="accent4" w:themeTint="90" w:sz="4" w:space="0"/>
      </w:tblBorders>
    </w:tblPr>
    <w:tblStylePr w:type="firstRow">
      <w:rPr>
        <w:rFonts w:ascii="Arial" w:hAnsi="Arial"/>
        <w:b/>
        <w:color w:val="404040"/>
        <w:sz w:val="22"/>
      </w:rPr>
      <w:tcPr>
        <w:tcBorders>
          <w:top w:val="single" w:color="B7A7CA" w:themeColor="accent4" w:themeTint="90" w:sz="4" w:space="0"/>
          <w:left w:val="nil"/>
          <w:bottom w:val="single" w:color="B7A7CA" w:themeColor="accent4" w:themeTint="90" w:sz="4" w:space="0"/>
          <w:right w:val="nil"/>
        </w:tcBorders>
      </w:tcPr>
    </w:tblStylePr>
    <w:tblStylePr w:type="lastRow">
      <w:rPr>
        <w:rFonts w:ascii="Arial" w:hAnsi="Arial"/>
        <w:b/>
        <w:color w:val="404040"/>
        <w:sz w:val="22"/>
      </w:rPr>
      <w:tcPr>
        <w:tcBorders>
          <w:top w:val="single" w:color="B7A7CA" w:themeColor="accent4" w:themeTint="90" w:sz="4" w:space="0"/>
          <w:left w:val="nil"/>
          <w:bottom w:val="single" w:color="B7A7CA" w:themeColor="accent4"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DFD8E7" w:themeColor="accent4" w:themeTint="40" w:fill="DFD8E7" w:themeFill="accent4" w:themeFillTint="40"/>
      </w:tcPr>
    </w:tblStylePr>
    <w:tblStylePr w:type="band2Vert"/>
    <w:tblStylePr w:type="band1Horz">
      <w:rPr>
        <w:rFonts w:ascii="Arial" w:hAnsi="Arial"/>
        <w:color w:val="404040"/>
        <w:sz w:val="22"/>
      </w:rPr>
      <w:tcPr>
        <w:shd w:val="clear" w:color="DFD8E7" w:themeColor="accent4" w:themeTint="40" w:fill="DFD8E7" w:themeFill="accent4" w:themeFillTint="40"/>
      </w:tcPr>
    </w:tblStylePr>
    <w:tblStylePr w:type="band2Horz"/>
    <w:tblStylePr w:type="neCell"/>
    <w:tblStylePr w:type="nwCell"/>
    <w:tblStylePr w:type="seCell"/>
    <w:tblStylePr w:type="swCell"/>
  </w:style>
  <w:style w:type="table" w:customStyle="1" w:styleId="155">
    <w:name w:val="List Table 2 - Accent 5"/>
    <w:basedOn w:val="56"/>
    <w:qFormat/>
    <w:uiPriority w:val="99"/>
    <w:pPr>
      <w:spacing w:after="0" w:line="240" w:lineRule="auto"/>
    </w:pPr>
    <w:tblPr>
      <w:tblBorders>
        <w:top w:val="single" w:color="99D0DE" w:themeColor="accent5" w:themeTint="90" w:sz="4" w:space="0"/>
        <w:bottom w:val="single" w:color="99D0DE" w:themeColor="accent5" w:themeTint="90" w:sz="4" w:space="0"/>
        <w:insideH w:val="single" w:color="99D0DE" w:themeColor="accent5" w:themeTint="90" w:sz="4" w:space="0"/>
      </w:tblBorders>
    </w:tblPr>
    <w:tblStylePr w:type="firstRow">
      <w:rPr>
        <w:rFonts w:ascii="Arial" w:hAnsi="Arial"/>
        <w:b/>
        <w:color w:val="404040"/>
        <w:sz w:val="22"/>
      </w:rPr>
      <w:tcPr>
        <w:tcBorders>
          <w:top w:val="single" w:color="99D0DE" w:themeColor="accent5" w:themeTint="90" w:sz="4" w:space="0"/>
          <w:left w:val="nil"/>
          <w:bottom w:val="single" w:color="99D0DE" w:themeColor="accent5" w:themeTint="90" w:sz="4" w:space="0"/>
          <w:right w:val="nil"/>
        </w:tcBorders>
      </w:tcPr>
    </w:tblStylePr>
    <w:tblStylePr w:type="lastRow">
      <w:rPr>
        <w:rFonts w:ascii="Arial" w:hAnsi="Arial"/>
        <w:b/>
        <w:color w:val="404040"/>
        <w:sz w:val="22"/>
      </w:rPr>
      <w:tcPr>
        <w:tcBorders>
          <w:top w:val="single" w:color="99D0DE" w:themeColor="accent5" w:themeTint="90" w:sz="4" w:space="0"/>
          <w:left w:val="nil"/>
          <w:bottom w:val="single" w:color="99D0DE" w:themeColor="accent5"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D1EAF0" w:themeColor="accent5" w:themeTint="40" w:fill="D1EAF0" w:themeFill="accent5" w:themeFillTint="40"/>
      </w:tcPr>
    </w:tblStylePr>
    <w:tblStylePr w:type="band2Vert"/>
    <w:tblStylePr w:type="band1Horz">
      <w:rPr>
        <w:rFonts w:ascii="Arial" w:hAnsi="Arial"/>
        <w:color w:val="404040"/>
        <w:sz w:val="22"/>
      </w:rPr>
      <w:tcPr>
        <w:shd w:val="clear" w:color="D1EAF0" w:themeColor="accent5" w:themeTint="40" w:fill="D1EAF0" w:themeFill="accent5" w:themeFillTint="40"/>
      </w:tcPr>
    </w:tblStylePr>
    <w:tblStylePr w:type="band2Horz"/>
    <w:tblStylePr w:type="neCell"/>
    <w:tblStylePr w:type="nwCell"/>
    <w:tblStylePr w:type="seCell"/>
    <w:tblStylePr w:type="swCell"/>
  </w:style>
  <w:style w:type="table" w:customStyle="1" w:styleId="156">
    <w:name w:val="List Table 2 - Accent 6"/>
    <w:basedOn w:val="56"/>
    <w:qFormat/>
    <w:uiPriority w:val="99"/>
    <w:pPr>
      <w:spacing w:after="0" w:line="240" w:lineRule="auto"/>
    </w:pPr>
    <w:tblPr>
      <w:tblBorders>
        <w:top w:val="single" w:color="FAC396" w:themeColor="accent6" w:themeTint="90" w:sz="4" w:space="0"/>
        <w:bottom w:val="single" w:color="FAC396" w:themeColor="accent6" w:themeTint="90" w:sz="4" w:space="0"/>
        <w:insideH w:val="single" w:color="FAC396" w:themeColor="accent6" w:themeTint="90" w:sz="4" w:space="0"/>
      </w:tblBorders>
    </w:tblPr>
    <w:tblStylePr w:type="firstRow">
      <w:rPr>
        <w:rFonts w:ascii="Arial" w:hAnsi="Arial"/>
        <w:b/>
        <w:color w:val="404040"/>
        <w:sz w:val="22"/>
      </w:rPr>
      <w:tcPr>
        <w:tcBorders>
          <w:top w:val="single" w:color="FAC396" w:themeColor="accent6" w:themeTint="90" w:sz="4" w:space="0"/>
          <w:left w:val="nil"/>
          <w:bottom w:val="single" w:color="FAC396" w:themeColor="accent6" w:themeTint="90" w:sz="4" w:space="0"/>
          <w:right w:val="nil"/>
        </w:tcBorders>
      </w:tcPr>
    </w:tblStylePr>
    <w:tblStylePr w:type="lastRow">
      <w:rPr>
        <w:rFonts w:ascii="Arial" w:hAnsi="Arial"/>
        <w:b/>
        <w:color w:val="404040"/>
        <w:sz w:val="22"/>
      </w:rPr>
      <w:tcPr>
        <w:tcBorders>
          <w:top w:val="single" w:color="FAC396" w:themeColor="accent6" w:themeTint="90" w:sz="4" w:space="0"/>
          <w:left w:val="nil"/>
          <w:bottom w:val="single" w:color="FAC396" w:themeColor="accent6"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FCE4D0" w:themeColor="accent6" w:themeTint="40" w:fill="FCE4D0" w:themeFill="accent6" w:themeFillTint="40"/>
      </w:tcPr>
    </w:tblStylePr>
    <w:tblStylePr w:type="band2Vert"/>
    <w:tblStylePr w:type="band1Horz">
      <w:rPr>
        <w:rFonts w:ascii="Arial" w:hAnsi="Arial"/>
        <w:color w:val="404040"/>
        <w:sz w:val="22"/>
      </w:rPr>
      <w:tcPr>
        <w:shd w:val="clear" w:color="FCE4D0" w:themeColor="accent6" w:themeTint="40" w:fill="FCE4D0" w:themeFill="accent6" w:themeFillTint="40"/>
      </w:tcPr>
    </w:tblStylePr>
    <w:tblStylePr w:type="band2Horz"/>
    <w:tblStylePr w:type="neCell"/>
    <w:tblStylePr w:type="nwCell"/>
    <w:tblStylePr w:type="seCell"/>
    <w:tblStylePr w:type="swCell"/>
  </w:style>
  <w:style w:type="table" w:customStyle="1" w:styleId="157">
    <w:name w:val="List Table 3"/>
    <w:basedOn w:val="56"/>
    <w:qFormat/>
    <w:uiPriority w:val="99"/>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firstRow">
      <w:rPr>
        <w:rFonts w:ascii="Arial" w:hAnsi="Arial"/>
        <w:b/>
        <w:color w:val="FFFFFF"/>
        <w:sz w:val="22"/>
      </w:r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band2Vert"/>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2Horz"/>
    <w:tblStylePr w:type="neCell"/>
    <w:tblStylePr w:type="nwCell"/>
    <w:tblStylePr w:type="seCell"/>
    <w:tblStylePr w:type="swCell"/>
  </w:style>
  <w:style w:type="table" w:customStyle="1" w:styleId="158">
    <w:name w:val="List Table 3 - Accent 1"/>
    <w:basedOn w:val="56"/>
    <w:qFormat/>
    <w:uiPriority w:val="99"/>
    <w:pPr>
      <w:spacing w:after="0" w:line="240" w:lineRule="auto"/>
    </w:pPr>
    <w:tblPr>
      <w:tblBorders>
        <w:top w:val="single" w:color="4F81BD" w:themeColor="accent1" w:sz="4" w:space="0"/>
        <w:left w:val="single" w:color="4F81BD" w:themeColor="accent1" w:sz="4" w:space="0"/>
        <w:bottom w:val="single" w:color="4F81BD" w:themeColor="accent1" w:sz="4" w:space="0"/>
        <w:right w:val="single" w:color="4F81BD" w:themeColor="accent1" w:sz="4" w:space="0"/>
      </w:tblBorders>
    </w:tblPr>
    <w:tblStylePr w:type="firstRow">
      <w:rPr>
        <w:rFonts w:ascii="Arial" w:hAnsi="Arial"/>
        <w:b/>
        <w:color w:val="FFFFFF"/>
        <w:sz w:val="22"/>
      </w:r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4F81BD" w:themeColor="accent1" w:sz="4" w:space="0"/>
          <w:right w:val="single" w:color="4F81BD" w:themeColor="accent1" w:sz="4" w:space="0"/>
        </w:tcBorders>
      </w:tcPr>
    </w:tblStylePr>
    <w:tblStylePr w:type="band2Vert"/>
    <w:tblStylePr w:type="band1Horz">
      <w:rPr>
        <w:rFonts w:ascii="Arial" w:hAnsi="Arial"/>
        <w:color w:val="404040"/>
        <w:sz w:val="22"/>
      </w:rPr>
      <w:tcPr>
        <w:tcBorders>
          <w:top w:val="single" w:color="4F81BD" w:themeColor="accent1" w:sz="4" w:space="0"/>
          <w:bottom w:val="single" w:color="4F81BD" w:themeColor="accent1" w:sz="4" w:space="0"/>
        </w:tcBorders>
      </w:tcPr>
    </w:tblStylePr>
    <w:tblStylePr w:type="band2Horz"/>
    <w:tblStylePr w:type="neCell"/>
    <w:tblStylePr w:type="nwCell"/>
    <w:tblStylePr w:type="seCell"/>
    <w:tblStylePr w:type="swCell"/>
  </w:style>
  <w:style w:type="table" w:customStyle="1" w:styleId="159">
    <w:name w:val="List Table 3 - Accent 2"/>
    <w:basedOn w:val="56"/>
    <w:qFormat/>
    <w:uiPriority w:val="99"/>
    <w:pPr>
      <w:spacing w:after="0" w:line="240" w:lineRule="auto"/>
    </w:pPr>
    <w:tblPr>
      <w:tblBorders>
        <w:top w:val="single" w:color="D99795" w:themeColor="accent2" w:themeTint="97" w:sz="4" w:space="0"/>
        <w:left w:val="single" w:color="D99795" w:themeColor="accent2" w:themeTint="97" w:sz="4" w:space="0"/>
        <w:bottom w:val="single" w:color="D99795" w:themeColor="accent2" w:themeTint="97" w:sz="4" w:space="0"/>
        <w:right w:val="single" w:color="D99795" w:themeColor="accent2" w:themeTint="97" w:sz="4" w:space="0"/>
      </w:tblBorders>
    </w:tblPr>
    <w:tblStylePr w:type="firstRow">
      <w:rPr>
        <w:rFonts w:ascii="Arial" w:hAnsi="Arial"/>
        <w:b/>
        <w:color w:val="FFFFFF"/>
        <w:sz w:val="22"/>
      </w:rPr>
      <w:tcPr>
        <w:shd w:val="clear" w:color="D99795" w:themeColor="accent2" w:themeTint="97" w:fill="D997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D99795" w:themeColor="accent2" w:themeTint="97" w:sz="4" w:space="0"/>
          <w:right w:val="single" w:color="D99795" w:themeColor="accent2" w:themeTint="97" w:sz="4" w:space="0"/>
        </w:tcBorders>
      </w:tcPr>
    </w:tblStylePr>
    <w:tblStylePr w:type="band2Vert"/>
    <w:tblStylePr w:type="band1Horz">
      <w:rPr>
        <w:rFonts w:ascii="Arial" w:hAnsi="Arial"/>
        <w:color w:val="404040"/>
        <w:sz w:val="22"/>
      </w:rPr>
      <w:tcPr>
        <w:tcBorders>
          <w:top w:val="single" w:color="D99795" w:themeColor="accent2" w:themeTint="97" w:sz="4" w:space="0"/>
          <w:bottom w:val="single" w:color="D99795" w:themeColor="accent2" w:themeTint="97" w:sz="4" w:space="0"/>
        </w:tcBorders>
      </w:tcPr>
    </w:tblStylePr>
    <w:tblStylePr w:type="band2Horz"/>
    <w:tblStylePr w:type="neCell"/>
    <w:tblStylePr w:type="nwCell"/>
    <w:tblStylePr w:type="seCell"/>
    <w:tblStylePr w:type="swCell"/>
  </w:style>
  <w:style w:type="table" w:customStyle="1" w:styleId="160">
    <w:name w:val="List Table 3 - Accent 3"/>
    <w:basedOn w:val="56"/>
    <w:qFormat/>
    <w:uiPriority w:val="99"/>
    <w:pPr>
      <w:spacing w:after="0" w:line="240" w:lineRule="auto"/>
    </w:pPr>
    <w:tblPr>
      <w:tblBorders>
        <w:top w:val="single" w:color="C3D69C" w:themeColor="accent3" w:themeTint="98" w:sz="4" w:space="0"/>
        <w:left w:val="single" w:color="C3D69C" w:themeColor="accent3" w:themeTint="98" w:sz="4" w:space="0"/>
        <w:bottom w:val="single" w:color="C3D69C" w:themeColor="accent3" w:themeTint="98" w:sz="4" w:space="0"/>
        <w:right w:val="single" w:color="C3D69C" w:themeColor="accent3" w:themeTint="98" w:sz="4" w:space="0"/>
      </w:tblBorders>
    </w:tblPr>
    <w:tblStylePr w:type="firstRow">
      <w:rPr>
        <w:rFonts w:ascii="Arial" w:hAnsi="Arial"/>
        <w:b/>
        <w:color w:val="FFFFFF"/>
        <w:sz w:val="22"/>
      </w:rPr>
      <w:tcPr>
        <w:shd w:val="clear" w:color="C3D69C" w:themeColor="accent3" w:themeTint="98" w:fill="C3D69C"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C3D69C" w:themeColor="accent3" w:themeTint="98" w:sz="4" w:space="0"/>
          <w:right w:val="single" w:color="C3D69C" w:themeColor="accent3" w:themeTint="98" w:sz="4" w:space="0"/>
        </w:tcBorders>
      </w:tcPr>
    </w:tblStylePr>
    <w:tblStylePr w:type="band2Vert"/>
    <w:tblStylePr w:type="band1Horz">
      <w:rPr>
        <w:rFonts w:ascii="Arial" w:hAnsi="Arial"/>
        <w:color w:val="404040"/>
        <w:sz w:val="22"/>
      </w:rPr>
      <w:tcPr>
        <w:tcBorders>
          <w:top w:val="single" w:color="C3D69C" w:themeColor="accent3" w:themeTint="98" w:sz="4" w:space="0"/>
          <w:bottom w:val="single" w:color="C3D69C" w:themeColor="accent3" w:themeTint="98" w:sz="4" w:space="0"/>
        </w:tcBorders>
      </w:tcPr>
    </w:tblStylePr>
    <w:tblStylePr w:type="band2Horz"/>
    <w:tblStylePr w:type="neCell"/>
    <w:tblStylePr w:type="nwCell"/>
    <w:tblStylePr w:type="seCell"/>
    <w:tblStylePr w:type="swCell"/>
  </w:style>
  <w:style w:type="table" w:customStyle="1" w:styleId="161">
    <w:name w:val="List Table 3 - Accent 4"/>
    <w:basedOn w:val="56"/>
    <w:qFormat/>
    <w:uiPriority w:val="99"/>
    <w:pPr>
      <w:spacing w:after="0" w:line="240" w:lineRule="auto"/>
    </w:pPr>
    <w:tblPr>
      <w:tblBorders>
        <w:top w:val="single" w:color="B2A1C6" w:themeColor="accent4" w:themeTint="9A" w:sz="4" w:space="0"/>
        <w:left w:val="single" w:color="B2A1C6" w:themeColor="accent4" w:themeTint="9A" w:sz="4" w:space="0"/>
        <w:bottom w:val="single" w:color="B2A1C6" w:themeColor="accent4" w:themeTint="9A" w:sz="4" w:space="0"/>
        <w:right w:val="single" w:color="B2A1C6" w:themeColor="accent4" w:themeTint="9A" w:sz="4" w:space="0"/>
      </w:tblBorders>
    </w:tblPr>
    <w:tblStylePr w:type="firstRow">
      <w:rPr>
        <w:rFonts w:ascii="Arial" w:hAnsi="Arial"/>
        <w:b/>
        <w:color w:val="FFFFFF"/>
        <w:sz w:val="22"/>
      </w:r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B2A1C6" w:themeColor="accent4" w:themeTint="9A" w:sz="4" w:space="0"/>
          <w:right w:val="single" w:color="B2A1C6" w:themeColor="accent4" w:themeTint="9A" w:sz="4" w:space="0"/>
        </w:tcBorders>
      </w:tcPr>
    </w:tblStylePr>
    <w:tblStylePr w:type="band2Vert"/>
    <w:tblStylePr w:type="band1Horz">
      <w:rPr>
        <w:rFonts w:ascii="Arial" w:hAnsi="Arial"/>
        <w:color w:val="404040"/>
        <w:sz w:val="22"/>
      </w:rPr>
      <w:tcPr>
        <w:tcBorders>
          <w:top w:val="single" w:color="B2A1C6" w:themeColor="accent4" w:themeTint="9A" w:sz="4" w:space="0"/>
          <w:bottom w:val="single" w:color="B2A1C6" w:themeColor="accent4" w:themeTint="9A" w:sz="4" w:space="0"/>
        </w:tcBorders>
      </w:tcPr>
    </w:tblStylePr>
    <w:tblStylePr w:type="band2Horz"/>
    <w:tblStylePr w:type="neCell"/>
    <w:tblStylePr w:type="nwCell"/>
    <w:tblStylePr w:type="seCell"/>
    <w:tblStylePr w:type="swCell"/>
  </w:style>
  <w:style w:type="table" w:customStyle="1" w:styleId="162">
    <w:name w:val="List Table 3 - Accent 5"/>
    <w:basedOn w:val="56"/>
    <w:qFormat/>
    <w:uiPriority w:val="99"/>
    <w:pPr>
      <w:spacing w:after="0" w:line="240" w:lineRule="auto"/>
    </w:pPr>
    <w:tblPr>
      <w:tblBorders>
        <w:top w:val="single" w:color="92CCDC" w:themeColor="accent5" w:themeTint="9A" w:sz="4" w:space="0"/>
        <w:left w:val="single" w:color="92CCDC" w:themeColor="accent5" w:themeTint="9A" w:sz="4" w:space="0"/>
        <w:bottom w:val="single" w:color="92CCDC" w:themeColor="accent5" w:themeTint="9A" w:sz="4" w:space="0"/>
        <w:right w:val="single" w:color="92CCDC" w:themeColor="accent5" w:themeTint="9A" w:sz="4" w:space="0"/>
      </w:tblBorders>
    </w:tblPr>
    <w:tblStylePr w:type="firstRow">
      <w:rPr>
        <w:rFonts w:ascii="Arial" w:hAnsi="Arial"/>
        <w:b/>
        <w:color w:val="FFFFFF"/>
        <w:sz w:val="22"/>
      </w:r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92CCDC" w:themeColor="accent5" w:themeTint="9A" w:sz="4" w:space="0"/>
          <w:right w:val="single" w:color="92CCDC" w:themeColor="accent5" w:themeTint="9A" w:sz="4" w:space="0"/>
        </w:tcBorders>
      </w:tcPr>
    </w:tblStylePr>
    <w:tblStylePr w:type="band2Vert"/>
    <w:tblStylePr w:type="band1Horz">
      <w:rPr>
        <w:rFonts w:ascii="Arial" w:hAnsi="Arial"/>
        <w:color w:val="404040"/>
        <w:sz w:val="22"/>
      </w:rPr>
      <w:tcPr>
        <w:tcBorders>
          <w:top w:val="single" w:color="92CCDC" w:themeColor="accent5" w:themeTint="9A" w:sz="4" w:space="0"/>
          <w:bottom w:val="single" w:color="92CCDC" w:themeColor="accent5" w:themeTint="9A" w:sz="4" w:space="0"/>
        </w:tcBorders>
      </w:tcPr>
    </w:tblStylePr>
    <w:tblStylePr w:type="band2Horz"/>
    <w:tblStylePr w:type="neCell"/>
    <w:tblStylePr w:type="nwCell"/>
    <w:tblStylePr w:type="seCell"/>
    <w:tblStylePr w:type="swCell"/>
  </w:style>
  <w:style w:type="table" w:customStyle="1" w:styleId="163">
    <w:name w:val="List Table 3 - Accent 6"/>
    <w:basedOn w:val="56"/>
    <w:qFormat/>
    <w:uiPriority w:val="99"/>
    <w:pPr>
      <w:spacing w:after="0" w:line="240" w:lineRule="auto"/>
    </w:pPr>
    <w:tblPr>
      <w:tblBorders>
        <w:top w:val="single" w:color="FAC090" w:themeColor="accent6" w:themeTint="98" w:sz="4" w:space="0"/>
        <w:left w:val="single" w:color="FAC090" w:themeColor="accent6" w:themeTint="98" w:sz="4" w:space="0"/>
        <w:bottom w:val="single" w:color="FAC090" w:themeColor="accent6" w:themeTint="98" w:sz="4" w:space="0"/>
        <w:right w:val="single" w:color="FAC090" w:themeColor="accent6" w:themeTint="98" w:sz="4" w:space="0"/>
      </w:tblBorders>
    </w:tblPr>
    <w:tblStylePr w:type="firstRow">
      <w:rPr>
        <w:rFonts w:ascii="Arial" w:hAnsi="Arial"/>
        <w:b/>
        <w:color w:val="FFFFFF"/>
        <w:sz w:val="22"/>
      </w:r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FAC090" w:themeColor="accent6" w:themeTint="98" w:sz="4" w:space="0"/>
          <w:right w:val="single" w:color="FAC090" w:themeColor="accent6" w:themeTint="98" w:sz="4" w:space="0"/>
        </w:tcBorders>
      </w:tcPr>
    </w:tblStylePr>
    <w:tblStylePr w:type="band2Vert"/>
    <w:tblStylePr w:type="band1Horz">
      <w:rPr>
        <w:rFonts w:ascii="Arial" w:hAnsi="Arial"/>
        <w:color w:val="404040"/>
        <w:sz w:val="22"/>
      </w:rPr>
      <w:tcPr>
        <w:tcBorders>
          <w:top w:val="single" w:color="FAC090" w:themeColor="accent6" w:themeTint="98" w:sz="4" w:space="0"/>
          <w:bottom w:val="single" w:color="FAC090" w:themeColor="accent6" w:themeTint="98" w:sz="4" w:space="0"/>
        </w:tcBorders>
      </w:tcPr>
    </w:tblStylePr>
    <w:tblStylePr w:type="band2Horz"/>
    <w:tblStylePr w:type="neCell"/>
    <w:tblStylePr w:type="nwCell"/>
    <w:tblStylePr w:type="seCell"/>
    <w:tblStylePr w:type="swCell"/>
  </w:style>
  <w:style w:type="table" w:customStyle="1" w:styleId="164">
    <w:name w:val="List Table 4"/>
    <w:basedOn w:val="56"/>
    <w:qFormat/>
    <w:uiPriority w:val="99"/>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firstRow">
      <w:rPr>
        <w:rFonts w:ascii="Arial" w:hAnsi="Arial"/>
        <w:b/>
        <w:color w:val="FFFFFF"/>
        <w:sz w:val="22"/>
      </w:r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BEBEBE" w:themeColor="text1" w:themeTint="40" w:fill="BEBEBE" w:themeFill="text1" w:themeFillTint="40"/>
      </w:tcPr>
    </w:tblStylePr>
    <w:tblStylePr w:type="band2Vert"/>
    <w:tblStylePr w:type="band1Horz">
      <w:rPr>
        <w:rFonts w:ascii="Arial" w:hAnsi="Arial"/>
        <w:color w:val="404040"/>
        <w:sz w:val="22"/>
      </w:rPr>
      <w:tcPr>
        <w:shd w:val="clear" w:color="BEBEBE" w:themeColor="text1" w:themeTint="40" w:fill="BEBEBE" w:themeFill="text1" w:themeFillTint="40"/>
      </w:tcPr>
    </w:tblStylePr>
    <w:tblStylePr w:type="band2Horz"/>
    <w:tblStylePr w:type="neCell"/>
    <w:tblStylePr w:type="nwCell"/>
    <w:tblStylePr w:type="seCell"/>
    <w:tblStylePr w:type="swCell"/>
  </w:style>
  <w:style w:type="table" w:customStyle="1" w:styleId="165">
    <w:name w:val="List Table 4 - Accent 1"/>
    <w:basedOn w:val="56"/>
    <w:qFormat/>
    <w:uiPriority w:val="99"/>
    <w:pPr>
      <w:spacing w:after="0" w:line="240" w:lineRule="auto"/>
    </w:pPr>
    <w:tblPr>
      <w:tblBorders>
        <w:top w:val="single" w:color="9BB7D9" w:themeColor="accent1" w:themeTint="90" w:sz="4" w:space="0"/>
        <w:left w:val="single" w:color="9BB7D9" w:themeColor="accent1" w:themeTint="90" w:sz="4" w:space="0"/>
        <w:bottom w:val="single" w:color="9BB7D9" w:themeColor="accent1" w:themeTint="90" w:sz="4" w:space="0"/>
        <w:right w:val="single" w:color="9BB7D9" w:themeColor="accent1" w:themeTint="90" w:sz="4" w:space="0"/>
        <w:insideH w:val="single" w:color="9BB7D9" w:themeColor="accent1" w:themeTint="90" w:sz="4" w:space="0"/>
      </w:tblBorders>
    </w:tblPr>
    <w:tblStylePr w:type="firstRow">
      <w:rPr>
        <w:rFonts w:ascii="Arial" w:hAnsi="Arial"/>
        <w:b/>
        <w:color w:val="FFFFFF"/>
        <w:sz w:val="22"/>
      </w:r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D2DFEE" w:themeColor="accent1" w:themeTint="40" w:fill="D2DFEE" w:themeFill="accent1" w:themeFillTint="40"/>
      </w:tcPr>
    </w:tblStylePr>
    <w:tblStylePr w:type="band2Vert"/>
    <w:tblStylePr w:type="band1Horz">
      <w:rPr>
        <w:rFonts w:ascii="Arial" w:hAnsi="Arial"/>
        <w:color w:val="404040"/>
        <w:sz w:val="22"/>
      </w:rPr>
      <w:tcPr>
        <w:shd w:val="clear" w:color="D2DFEE" w:themeColor="accent1" w:themeTint="40" w:fill="D2DFEE" w:themeFill="accent1" w:themeFillTint="40"/>
      </w:tcPr>
    </w:tblStylePr>
    <w:tblStylePr w:type="band2Horz"/>
    <w:tblStylePr w:type="neCell"/>
    <w:tblStylePr w:type="nwCell"/>
    <w:tblStylePr w:type="seCell"/>
    <w:tblStylePr w:type="swCell"/>
  </w:style>
  <w:style w:type="table" w:customStyle="1" w:styleId="166">
    <w:name w:val="List Table 4 - Accent 2"/>
    <w:basedOn w:val="56"/>
    <w:qFormat/>
    <w:uiPriority w:val="99"/>
    <w:pPr>
      <w:spacing w:after="0" w:line="240" w:lineRule="auto"/>
    </w:pPr>
    <w:tblPr>
      <w:tblBorders>
        <w:top w:val="single" w:color="DB9C9A" w:themeColor="accent2" w:themeTint="90" w:sz="4" w:space="0"/>
        <w:left w:val="single" w:color="DB9C9A" w:themeColor="accent2" w:themeTint="90" w:sz="4" w:space="0"/>
        <w:bottom w:val="single" w:color="DB9C9A" w:themeColor="accent2" w:themeTint="90" w:sz="4" w:space="0"/>
        <w:right w:val="single" w:color="DB9C9A" w:themeColor="accent2" w:themeTint="90" w:sz="4" w:space="0"/>
        <w:insideH w:val="single" w:color="DB9C9A" w:themeColor="accent2" w:themeTint="90" w:sz="4" w:space="0"/>
      </w:tblBorders>
    </w:tblPr>
    <w:tblStylePr w:type="firstRow">
      <w:rPr>
        <w:rFonts w:ascii="Arial" w:hAnsi="Arial"/>
        <w:b/>
        <w:color w:val="FFFFFF"/>
        <w:sz w:val="22"/>
      </w:r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EFD3D2" w:themeColor="accent2" w:themeTint="40" w:fill="EFD3D2" w:themeFill="accent2" w:themeFillTint="40"/>
      </w:tcPr>
    </w:tblStylePr>
    <w:tblStylePr w:type="band2Vert"/>
    <w:tblStylePr w:type="band1Horz">
      <w:rPr>
        <w:rFonts w:ascii="Arial" w:hAnsi="Arial"/>
        <w:color w:val="404040"/>
        <w:sz w:val="22"/>
      </w:rPr>
      <w:tcPr>
        <w:shd w:val="clear" w:color="EFD3D2" w:themeColor="accent2" w:themeTint="40" w:fill="EFD3D2" w:themeFill="accent2" w:themeFillTint="40"/>
      </w:tcPr>
    </w:tblStylePr>
    <w:tblStylePr w:type="band2Horz"/>
    <w:tblStylePr w:type="neCell"/>
    <w:tblStylePr w:type="nwCell"/>
    <w:tblStylePr w:type="seCell"/>
    <w:tblStylePr w:type="swCell"/>
  </w:style>
  <w:style w:type="table" w:customStyle="1" w:styleId="167">
    <w:name w:val="List Table 4 - Accent 3"/>
    <w:basedOn w:val="56"/>
    <w:qFormat/>
    <w:uiPriority w:val="99"/>
    <w:pPr>
      <w:spacing w:after="0" w:line="240" w:lineRule="auto"/>
    </w:pPr>
    <w:tblPr>
      <w:tblBorders>
        <w:top w:val="single" w:color="C6D8A1" w:themeColor="accent3" w:themeTint="90" w:sz="4" w:space="0"/>
        <w:left w:val="single" w:color="C6D8A1" w:themeColor="accent3" w:themeTint="90" w:sz="4" w:space="0"/>
        <w:bottom w:val="single" w:color="C6D8A1" w:themeColor="accent3" w:themeTint="90" w:sz="4" w:space="0"/>
        <w:right w:val="single" w:color="C6D8A1" w:themeColor="accent3" w:themeTint="90" w:sz="4" w:space="0"/>
        <w:insideH w:val="single" w:color="C6D8A1" w:themeColor="accent3" w:themeTint="90" w:sz="4" w:space="0"/>
      </w:tblBorders>
    </w:tblPr>
    <w:tblStylePr w:type="firstRow">
      <w:rPr>
        <w:rFonts w:ascii="Arial" w:hAnsi="Arial"/>
        <w:b/>
        <w:color w:val="FFFFFF"/>
        <w:sz w:val="22"/>
      </w:r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E5EDD5" w:themeColor="accent3" w:themeTint="40" w:fill="E5EDD5" w:themeFill="accent3" w:themeFillTint="40"/>
      </w:tcPr>
    </w:tblStylePr>
    <w:tblStylePr w:type="band2Vert"/>
    <w:tblStylePr w:type="band1Horz">
      <w:rPr>
        <w:rFonts w:ascii="Arial" w:hAnsi="Arial"/>
        <w:color w:val="404040"/>
        <w:sz w:val="22"/>
      </w:rPr>
      <w:tcPr>
        <w:shd w:val="clear" w:color="E5EDD5" w:themeColor="accent3" w:themeTint="40" w:fill="E5EDD5" w:themeFill="accent3" w:themeFillTint="40"/>
      </w:tcPr>
    </w:tblStylePr>
    <w:tblStylePr w:type="band2Horz"/>
    <w:tblStylePr w:type="neCell"/>
    <w:tblStylePr w:type="nwCell"/>
    <w:tblStylePr w:type="seCell"/>
    <w:tblStylePr w:type="swCell"/>
  </w:style>
  <w:style w:type="table" w:customStyle="1" w:styleId="168">
    <w:name w:val="List Table 4 - Accent 4"/>
    <w:basedOn w:val="56"/>
    <w:qFormat/>
    <w:uiPriority w:val="99"/>
    <w:pPr>
      <w:spacing w:after="0" w:line="240" w:lineRule="auto"/>
    </w:pPr>
    <w:tblPr>
      <w:tblBorders>
        <w:top w:val="single" w:color="B7A7CA" w:themeColor="accent4" w:themeTint="90" w:sz="4" w:space="0"/>
        <w:left w:val="single" w:color="B7A7CA" w:themeColor="accent4" w:themeTint="90" w:sz="4" w:space="0"/>
        <w:bottom w:val="single" w:color="B7A7CA" w:themeColor="accent4" w:themeTint="90" w:sz="4" w:space="0"/>
        <w:right w:val="single" w:color="B7A7CA" w:themeColor="accent4" w:themeTint="90" w:sz="4" w:space="0"/>
        <w:insideH w:val="single" w:color="B7A7CA" w:themeColor="accent4" w:themeTint="90" w:sz="4" w:space="0"/>
      </w:tblBorders>
    </w:tblPr>
    <w:tblStylePr w:type="firstRow">
      <w:rPr>
        <w:rFonts w:ascii="Arial" w:hAnsi="Arial"/>
        <w:b/>
        <w:color w:val="FFFFFF"/>
        <w:sz w:val="22"/>
      </w:r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DFD8E7" w:themeColor="accent4" w:themeTint="40" w:fill="DFD8E7" w:themeFill="accent4" w:themeFillTint="40"/>
      </w:tcPr>
    </w:tblStylePr>
    <w:tblStylePr w:type="band2Vert"/>
    <w:tblStylePr w:type="band1Horz">
      <w:rPr>
        <w:rFonts w:ascii="Arial" w:hAnsi="Arial"/>
        <w:color w:val="404040"/>
        <w:sz w:val="22"/>
      </w:rPr>
      <w:tcPr>
        <w:shd w:val="clear" w:color="DFD8E7" w:themeColor="accent4" w:themeTint="40" w:fill="DFD8E7" w:themeFill="accent4" w:themeFillTint="40"/>
      </w:tcPr>
    </w:tblStylePr>
    <w:tblStylePr w:type="band2Horz"/>
    <w:tblStylePr w:type="neCell"/>
    <w:tblStylePr w:type="nwCell"/>
    <w:tblStylePr w:type="seCell"/>
    <w:tblStylePr w:type="swCell"/>
  </w:style>
  <w:style w:type="table" w:customStyle="1" w:styleId="169">
    <w:name w:val="List Table 4 - Accent 5"/>
    <w:basedOn w:val="56"/>
    <w:qFormat/>
    <w:uiPriority w:val="99"/>
    <w:pPr>
      <w:spacing w:after="0" w:line="240" w:lineRule="auto"/>
    </w:pPr>
    <w:tblPr>
      <w:tblBorders>
        <w:top w:val="single" w:color="99D0DE" w:themeColor="accent5" w:themeTint="90" w:sz="4" w:space="0"/>
        <w:left w:val="single" w:color="99D0DE" w:themeColor="accent5" w:themeTint="90" w:sz="4" w:space="0"/>
        <w:bottom w:val="single" w:color="99D0DE" w:themeColor="accent5" w:themeTint="90" w:sz="4" w:space="0"/>
        <w:right w:val="single" w:color="99D0DE" w:themeColor="accent5" w:themeTint="90" w:sz="4" w:space="0"/>
        <w:insideH w:val="single" w:color="99D0DE" w:themeColor="accent5" w:themeTint="90" w:sz="4" w:space="0"/>
      </w:tblBorders>
    </w:tblPr>
    <w:tblStylePr w:type="firstRow">
      <w:rPr>
        <w:rFonts w:ascii="Arial" w:hAnsi="Arial"/>
        <w:b/>
        <w:color w:val="FFFFFF"/>
        <w:sz w:val="22"/>
      </w:r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D1EAF0" w:themeColor="accent5" w:themeTint="40" w:fill="D1EAF0" w:themeFill="accent5" w:themeFillTint="40"/>
      </w:tcPr>
    </w:tblStylePr>
    <w:tblStylePr w:type="band2Vert"/>
    <w:tblStylePr w:type="band1Horz">
      <w:rPr>
        <w:rFonts w:ascii="Arial" w:hAnsi="Arial"/>
        <w:color w:val="404040"/>
        <w:sz w:val="22"/>
      </w:rPr>
      <w:tcPr>
        <w:shd w:val="clear" w:color="D1EAF0" w:themeColor="accent5" w:themeTint="40" w:fill="D1EAF0" w:themeFill="accent5" w:themeFillTint="40"/>
      </w:tcPr>
    </w:tblStylePr>
    <w:tblStylePr w:type="band2Horz"/>
    <w:tblStylePr w:type="neCell"/>
    <w:tblStylePr w:type="nwCell"/>
    <w:tblStylePr w:type="seCell"/>
    <w:tblStylePr w:type="swCell"/>
  </w:style>
  <w:style w:type="table" w:customStyle="1" w:styleId="170">
    <w:name w:val="List Table 4 - Accent 6"/>
    <w:basedOn w:val="56"/>
    <w:qFormat/>
    <w:uiPriority w:val="99"/>
    <w:pPr>
      <w:spacing w:after="0" w:line="240" w:lineRule="auto"/>
    </w:pPr>
    <w:tblPr>
      <w:tblBorders>
        <w:top w:val="single" w:color="FAC396" w:themeColor="accent6" w:themeTint="90" w:sz="4" w:space="0"/>
        <w:left w:val="single" w:color="FAC396" w:themeColor="accent6" w:themeTint="90" w:sz="4" w:space="0"/>
        <w:bottom w:val="single" w:color="FAC396" w:themeColor="accent6" w:themeTint="90" w:sz="4" w:space="0"/>
        <w:right w:val="single" w:color="FAC396" w:themeColor="accent6" w:themeTint="90" w:sz="4" w:space="0"/>
        <w:insideH w:val="single" w:color="FAC396" w:themeColor="accent6" w:themeTint="90" w:sz="4" w:space="0"/>
      </w:tblBorders>
    </w:tblPr>
    <w:tblStylePr w:type="firstRow">
      <w:rPr>
        <w:rFonts w:ascii="Arial" w:hAnsi="Arial"/>
        <w:b/>
        <w:color w:val="FFFFFF"/>
        <w:sz w:val="22"/>
      </w:r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FCE4D0" w:themeColor="accent6" w:themeTint="40" w:fill="FCE4D0" w:themeFill="accent6" w:themeFillTint="40"/>
      </w:tcPr>
    </w:tblStylePr>
    <w:tblStylePr w:type="band2Vert"/>
    <w:tblStylePr w:type="band1Horz">
      <w:rPr>
        <w:rFonts w:ascii="Arial" w:hAnsi="Arial"/>
        <w:color w:val="404040"/>
        <w:sz w:val="22"/>
      </w:rPr>
      <w:tcPr>
        <w:shd w:val="clear" w:color="FCE4D0" w:themeColor="accent6" w:themeTint="40" w:fill="FCE4D0" w:themeFill="accent6" w:themeFillTint="40"/>
      </w:tcPr>
    </w:tblStylePr>
    <w:tblStylePr w:type="band2Horz"/>
    <w:tblStylePr w:type="neCell"/>
    <w:tblStylePr w:type="nwCell"/>
    <w:tblStylePr w:type="seCell"/>
    <w:tblStylePr w:type="swCell"/>
  </w:style>
  <w:style w:type="table" w:customStyle="1" w:styleId="171">
    <w:name w:val="List Table 5 Dark"/>
    <w:basedOn w:val="56"/>
    <w:qFormat/>
    <w:uiPriority w:val="99"/>
    <w:pPr>
      <w:spacing w:after="0" w:line="240" w:lineRule="auto"/>
    </w:pPr>
    <w:tblPr>
      <w:tblBorders>
        <w:top w:val="single" w:color="7E7E7E" w:themeColor="text1" w:themeTint="80" w:sz="32" w:space="0"/>
        <w:left w:val="single" w:color="7E7E7E" w:themeColor="text1" w:themeTint="80" w:sz="32" w:space="0"/>
        <w:bottom w:val="single" w:color="7E7E7E" w:themeColor="text1" w:themeTint="80" w:sz="32" w:space="0"/>
        <w:right w:val="single" w:color="7E7E7E" w:themeColor="text1" w:themeTint="80" w:sz="32" w:space="0"/>
      </w:tblBorders>
    </w:tblPr>
    <w:tblStylePr w:type="firstRow">
      <w:rPr>
        <w:rFonts w:ascii="Arial" w:hAnsi="Arial"/>
        <w:b/>
        <w:color w:val="FFFFFF" w:themeColor="light1"/>
        <w:sz w:val="22"/>
        <w14:textFill>
          <w14:solidFill>
            <w14:schemeClr w14:val="lt1"/>
          </w14:solidFill>
        </w14:textFill>
      </w:rPr>
      <w:tcPr>
        <w:tcBorders>
          <w:top w:val="single" w:color="7E7E7E" w:themeColor="text1" w:themeTint="80" w:sz="32" w:space="0"/>
          <w:bottom w:val="single" w:color="FFFFFF" w:themeColor="light1" w:sz="12" w:space="0"/>
        </w:tcBorders>
        <w:shd w:val="clear" w:color="7E7E7E" w:themeColor="text1" w:themeTint="80" w:fill="7E7E7E" w:themeFill="text1" w:themeFillTint="80"/>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7E7E7E" w:themeColor="text1" w:themeTint="80" w:sz="32" w:space="0"/>
          <w:right w:val="single" w:color="FFFFFF" w:themeColor="light1" w:sz="4" w:space="0"/>
        </w:tcBorders>
      </w:tcPr>
    </w:tblStylePr>
    <w:tblStylePr w:type="lastCol">
      <w:tcPr>
        <w:tcBorders>
          <w:left w:val="single" w:color="FFFFFF" w:themeColor="light1" w:sz="4" w:space="0"/>
          <w:right w:val="single" w:color="7E7E7E" w:themeColor="text1" w:themeTint="80" w:sz="32" w:space="0"/>
        </w:tcBorders>
      </w:tcPr>
    </w:tblStylePr>
    <w:tblStylePr w:type="band1Vert">
      <w:tcPr>
        <w:tcBorders>
          <w:left w:val="single" w:color="FFFFFF" w:themeColor="light1" w:sz="4" w:space="0"/>
          <w:right w:val="single" w:color="FFFFFF" w:themeColor="light1" w:sz="4" w:space="0"/>
        </w:tcBorders>
        <w:shd w:val="clear" w:color="7E7E7E" w:themeColor="text1" w:themeTint="80" w:fill="7E7E7E" w:themeFill="text1" w:themeFillTint="80"/>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7E7E7E" w:themeColor="text1" w:themeTint="80" w:fill="7E7E7E" w:themeFill="text1" w:themeFillTint="80"/>
      </w:tcPr>
    </w:tblStylePr>
    <w:tblStylePr w:type="band2Horz">
      <w:tcPr>
        <w:tcBorders>
          <w:top w:val="single" w:color="FFFFFF" w:themeColor="light1" w:sz="4" w:space="0"/>
          <w:bottom w:val="single" w:color="FFFFFF" w:themeColor="light1" w:sz="4" w:space="0"/>
        </w:tcBorders>
        <w:shd w:val="clear" w:color="7E7E7E" w:themeColor="text1" w:themeTint="80" w:fill="7E7E7E" w:themeFill="text1" w:themeFillTint="80"/>
      </w:tcPr>
    </w:tblStylePr>
    <w:tblStylePr w:type="neCell"/>
    <w:tblStylePr w:type="nwCell"/>
    <w:tblStylePr w:type="seCell"/>
    <w:tblStylePr w:type="swCell"/>
  </w:style>
  <w:style w:type="table" w:customStyle="1" w:styleId="172">
    <w:name w:val="List Table 5 Dark - Accent 1"/>
    <w:basedOn w:val="56"/>
    <w:qFormat/>
    <w:uiPriority w:val="99"/>
    <w:pPr>
      <w:spacing w:after="0" w:line="240" w:lineRule="auto"/>
    </w:pPr>
    <w:tblPr>
      <w:tblBorders>
        <w:top w:val="single" w:color="4F81BD" w:themeColor="accent1" w:sz="32" w:space="0"/>
        <w:left w:val="single" w:color="4F81BD" w:themeColor="accent1" w:sz="32" w:space="0"/>
        <w:bottom w:val="single" w:color="4F81BD" w:themeColor="accent1" w:sz="32" w:space="0"/>
        <w:right w:val="single" w:color="4F81BD" w:themeColor="accent1" w:sz="32" w:space="0"/>
      </w:tblBorders>
    </w:tblPr>
    <w:tblStylePr w:type="firstRow">
      <w:rPr>
        <w:rFonts w:ascii="Arial" w:hAnsi="Arial"/>
        <w:b/>
        <w:color w:val="FFFFFF" w:themeColor="light1"/>
        <w:sz w:val="22"/>
        <w14:textFill>
          <w14:solidFill>
            <w14:schemeClr w14:val="lt1"/>
          </w14:solidFill>
        </w14:textFill>
      </w:rPr>
      <w:tcPr>
        <w:tcBorders>
          <w:top w:val="single" w:color="4F81BD" w:themeColor="accent1" w:sz="32" w:space="0"/>
          <w:bottom w:val="single" w:color="FFFFFF" w:themeColor="light1" w:sz="12" w:space="0"/>
        </w:tcBorders>
        <w:shd w:val="clear" w:color="4F81BD" w:themeColor="accent1" w:fill="4F81BD" w:themeFill="accent1"/>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4F81BD" w:themeColor="accent1" w:sz="32" w:space="0"/>
          <w:right w:val="single" w:color="FFFFFF" w:themeColor="light1" w:sz="4" w:space="0"/>
        </w:tcBorders>
      </w:tcPr>
    </w:tblStylePr>
    <w:tblStylePr w:type="lastCol">
      <w:tcPr>
        <w:tcBorders>
          <w:left w:val="single" w:color="FFFFFF" w:themeColor="light1" w:sz="4" w:space="0"/>
          <w:right w:val="single" w:color="4F81BD" w:themeColor="accent1" w:sz="32" w:space="0"/>
        </w:tcBorders>
      </w:tcPr>
    </w:tblStylePr>
    <w:tblStylePr w:type="band1Vert">
      <w:tcPr>
        <w:tcBorders>
          <w:left w:val="single" w:color="FFFFFF" w:themeColor="light1" w:sz="4" w:space="0"/>
          <w:right w:val="single" w:color="FFFFFF" w:themeColor="light1" w:sz="4" w:space="0"/>
        </w:tcBorders>
        <w:shd w:val="clear" w:color="4F81BD" w:themeColor="accent1" w:fill="4F81BD" w:themeFill="accent1"/>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4F81BD" w:themeColor="accent1" w:fill="4F81BD" w:themeFill="accent1"/>
      </w:tcPr>
    </w:tblStylePr>
    <w:tblStylePr w:type="band2Horz">
      <w:tcPr>
        <w:tcBorders>
          <w:top w:val="single" w:color="FFFFFF" w:themeColor="light1" w:sz="4" w:space="0"/>
          <w:bottom w:val="single" w:color="FFFFFF" w:themeColor="light1" w:sz="4" w:space="0"/>
        </w:tcBorders>
        <w:shd w:val="clear" w:color="4F81BD" w:themeColor="accent1" w:fill="4F81BD" w:themeFill="accent1"/>
      </w:tcPr>
    </w:tblStylePr>
    <w:tblStylePr w:type="neCell"/>
    <w:tblStylePr w:type="nwCell"/>
    <w:tblStylePr w:type="seCell"/>
    <w:tblStylePr w:type="swCell"/>
  </w:style>
  <w:style w:type="table" w:customStyle="1" w:styleId="173">
    <w:name w:val="List Table 5 Dark - Accent 2"/>
    <w:basedOn w:val="56"/>
    <w:qFormat/>
    <w:uiPriority w:val="99"/>
    <w:pPr>
      <w:spacing w:after="0" w:line="240" w:lineRule="auto"/>
    </w:pPr>
    <w:tblPr>
      <w:tblBorders>
        <w:top w:val="single" w:color="D99795" w:themeColor="accent2" w:themeTint="97" w:sz="32" w:space="0"/>
        <w:left w:val="single" w:color="D99795" w:themeColor="accent2" w:themeTint="97" w:sz="32" w:space="0"/>
        <w:bottom w:val="single" w:color="D99795" w:themeColor="accent2" w:themeTint="97" w:sz="32" w:space="0"/>
        <w:right w:val="single" w:color="D99795" w:themeColor="accent2" w:themeTint="97" w:sz="32" w:space="0"/>
      </w:tblBorders>
    </w:tblPr>
    <w:tblStylePr w:type="firstRow">
      <w:rPr>
        <w:rFonts w:ascii="Arial" w:hAnsi="Arial"/>
        <w:b/>
        <w:color w:val="FFFFFF" w:themeColor="light1"/>
        <w:sz w:val="22"/>
        <w14:textFill>
          <w14:solidFill>
            <w14:schemeClr w14:val="lt1"/>
          </w14:solidFill>
        </w14:textFill>
      </w:rPr>
      <w:tcPr>
        <w:tcBorders>
          <w:top w:val="single" w:color="D99795" w:themeColor="accent2" w:themeTint="97" w:sz="32" w:space="0"/>
          <w:bottom w:val="single" w:color="FFFFFF" w:themeColor="light1" w:sz="12" w:space="0"/>
        </w:tcBorders>
        <w:shd w:val="clear" w:color="D99795" w:themeColor="accent2" w:themeTint="97" w:fill="D99795" w:themeFill="accent2" w:themeFillTint="97"/>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D99795" w:themeColor="accent2" w:themeTint="97" w:sz="32" w:space="0"/>
          <w:right w:val="single" w:color="FFFFFF" w:themeColor="light1" w:sz="4" w:space="0"/>
        </w:tcBorders>
      </w:tcPr>
    </w:tblStylePr>
    <w:tblStylePr w:type="lastCol">
      <w:tcPr>
        <w:tcBorders>
          <w:left w:val="single" w:color="FFFFFF" w:themeColor="light1" w:sz="4" w:space="0"/>
          <w:right w:val="single" w:color="D99795" w:themeColor="accent2" w:themeTint="97" w:sz="32" w:space="0"/>
        </w:tcBorders>
      </w:tcPr>
    </w:tblStylePr>
    <w:tblStylePr w:type="band1Vert">
      <w:tcPr>
        <w:tcBorders>
          <w:left w:val="single" w:color="FFFFFF" w:themeColor="light1" w:sz="4" w:space="0"/>
          <w:right w:val="single" w:color="FFFFFF" w:themeColor="light1" w:sz="4" w:space="0"/>
        </w:tcBorders>
        <w:shd w:val="clear" w:color="D99795" w:themeColor="accent2" w:themeTint="97" w:fill="D99795" w:themeFill="accent2" w:themeFillTint="97"/>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D99795" w:themeColor="accent2" w:themeTint="97" w:fill="D99795" w:themeFill="accent2" w:themeFillTint="97"/>
      </w:tcPr>
    </w:tblStylePr>
    <w:tblStylePr w:type="band2Horz">
      <w:tcPr>
        <w:tcBorders>
          <w:top w:val="single" w:color="FFFFFF" w:themeColor="light1" w:sz="4" w:space="0"/>
          <w:bottom w:val="single" w:color="FFFFFF" w:themeColor="light1" w:sz="4" w:space="0"/>
        </w:tcBorders>
        <w:shd w:val="clear" w:color="D99795" w:themeColor="accent2" w:themeTint="97" w:fill="D99795" w:themeFill="accent2" w:themeFillTint="97"/>
      </w:tcPr>
    </w:tblStylePr>
    <w:tblStylePr w:type="neCell"/>
    <w:tblStylePr w:type="nwCell"/>
    <w:tblStylePr w:type="seCell"/>
    <w:tblStylePr w:type="swCell"/>
  </w:style>
  <w:style w:type="table" w:customStyle="1" w:styleId="174">
    <w:name w:val="List Table 5 Dark - Accent 3"/>
    <w:basedOn w:val="56"/>
    <w:qFormat/>
    <w:uiPriority w:val="99"/>
    <w:pPr>
      <w:spacing w:after="0" w:line="240" w:lineRule="auto"/>
    </w:pPr>
    <w:tblPr>
      <w:tblBorders>
        <w:top w:val="single" w:color="C3D69C" w:themeColor="accent3" w:themeTint="98" w:sz="32" w:space="0"/>
        <w:left w:val="single" w:color="C3D69C" w:themeColor="accent3" w:themeTint="98" w:sz="32" w:space="0"/>
        <w:bottom w:val="single" w:color="C3D69C" w:themeColor="accent3" w:themeTint="98" w:sz="32" w:space="0"/>
        <w:right w:val="single" w:color="C3D69C" w:themeColor="accent3" w:themeTint="98" w:sz="32" w:space="0"/>
      </w:tblBorders>
    </w:tblPr>
    <w:tblStylePr w:type="firstRow">
      <w:rPr>
        <w:rFonts w:ascii="Arial" w:hAnsi="Arial"/>
        <w:b/>
        <w:color w:val="FFFFFF" w:themeColor="light1"/>
        <w:sz w:val="22"/>
        <w14:textFill>
          <w14:solidFill>
            <w14:schemeClr w14:val="lt1"/>
          </w14:solidFill>
        </w14:textFill>
      </w:rPr>
      <w:tcPr>
        <w:tcBorders>
          <w:top w:val="single" w:color="C3D69C" w:themeColor="accent3" w:themeTint="98" w:sz="32" w:space="0"/>
          <w:bottom w:val="single" w:color="FFFFFF" w:themeColor="light1" w:sz="12" w:space="0"/>
        </w:tcBorders>
        <w:shd w:val="clear" w:color="C3D69C" w:themeColor="accent3" w:themeTint="98" w:fill="C3D69C" w:themeFill="accent3" w:themeFillTint="98"/>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C3D69C" w:themeColor="accent3" w:themeTint="98" w:sz="32" w:space="0"/>
          <w:right w:val="single" w:color="FFFFFF" w:themeColor="light1" w:sz="4" w:space="0"/>
        </w:tcBorders>
      </w:tcPr>
    </w:tblStylePr>
    <w:tblStylePr w:type="lastCol">
      <w:tcPr>
        <w:tcBorders>
          <w:left w:val="single" w:color="FFFFFF" w:themeColor="light1" w:sz="4" w:space="0"/>
          <w:right w:val="single" w:color="C3D69C" w:themeColor="accent3" w:themeTint="98" w:sz="32" w:space="0"/>
        </w:tcBorders>
      </w:tcPr>
    </w:tblStylePr>
    <w:tblStylePr w:type="band1Vert">
      <w:tcPr>
        <w:tcBorders>
          <w:left w:val="single" w:color="FFFFFF" w:themeColor="light1" w:sz="4" w:space="0"/>
          <w:right w:val="single" w:color="FFFFFF" w:themeColor="light1" w:sz="4" w:space="0"/>
        </w:tcBorders>
        <w:shd w:val="clear" w:color="C3D69C" w:themeColor="accent3" w:themeTint="98" w:fill="C3D69C" w:themeFill="accent3" w:themeFillTint="98"/>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C3D69C" w:themeColor="accent3" w:themeTint="98" w:fill="C3D69C" w:themeFill="accent3" w:themeFillTint="98"/>
      </w:tcPr>
    </w:tblStylePr>
    <w:tblStylePr w:type="band2Horz">
      <w:tcPr>
        <w:tcBorders>
          <w:top w:val="single" w:color="FFFFFF" w:themeColor="light1" w:sz="4" w:space="0"/>
          <w:bottom w:val="single" w:color="FFFFFF" w:themeColor="light1" w:sz="4" w:space="0"/>
        </w:tcBorders>
        <w:shd w:val="clear" w:color="C3D69C" w:themeColor="accent3" w:themeTint="98" w:fill="C3D69C" w:themeFill="accent3" w:themeFillTint="98"/>
      </w:tcPr>
    </w:tblStylePr>
    <w:tblStylePr w:type="neCell"/>
    <w:tblStylePr w:type="nwCell"/>
    <w:tblStylePr w:type="seCell"/>
    <w:tblStylePr w:type="swCell"/>
  </w:style>
  <w:style w:type="table" w:customStyle="1" w:styleId="175">
    <w:name w:val="List Table 5 Dark - Accent 4"/>
    <w:basedOn w:val="56"/>
    <w:qFormat/>
    <w:uiPriority w:val="99"/>
    <w:pPr>
      <w:spacing w:after="0" w:line="240" w:lineRule="auto"/>
    </w:pPr>
    <w:tblPr>
      <w:tblBorders>
        <w:top w:val="single" w:color="B2A1C6" w:themeColor="accent4" w:themeTint="9A" w:sz="32" w:space="0"/>
        <w:left w:val="single" w:color="B2A1C6" w:themeColor="accent4" w:themeTint="9A" w:sz="32" w:space="0"/>
        <w:bottom w:val="single" w:color="B2A1C6" w:themeColor="accent4" w:themeTint="9A" w:sz="32" w:space="0"/>
        <w:right w:val="single" w:color="B2A1C6" w:themeColor="accent4" w:themeTint="9A" w:sz="32" w:space="0"/>
      </w:tblBorders>
    </w:tblPr>
    <w:tblStylePr w:type="firstRow">
      <w:rPr>
        <w:rFonts w:ascii="Arial" w:hAnsi="Arial"/>
        <w:b/>
        <w:color w:val="FFFFFF" w:themeColor="light1"/>
        <w:sz w:val="22"/>
        <w14:textFill>
          <w14:solidFill>
            <w14:schemeClr w14:val="lt1"/>
          </w14:solidFill>
        </w14:textFill>
      </w:rPr>
      <w:tcPr>
        <w:tcBorders>
          <w:top w:val="single" w:color="B2A1C6" w:themeColor="accent4" w:themeTint="9A" w:sz="32" w:space="0"/>
          <w:bottom w:val="single" w:color="FFFFFF" w:themeColor="light1" w:sz="12" w:space="0"/>
        </w:tcBorders>
        <w:shd w:val="clear" w:color="B2A1C6" w:themeColor="accent4" w:themeTint="9A" w:fill="B2A1C6" w:themeFill="accent4" w:themeFillTint="9A"/>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B2A1C6" w:themeColor="accent4" w:themeTint="9A" w:sz="32" w:space="0"/>
          <w:right w:val="single" w:color="FFFFFF" w:themeColor="light1" w:sz="4" w:space="0"/>
        </w:tcBorders>
      </w:tcPr>
    </w:tblStylePr>
    <w:tblStylePr w:type="lastCol">
      <w:tcPr>
        <w:tcBorders>
          <w:left w:val="single" w:color="FFFFFF" w:themeColor="light1" w:sz="4" w:space="0"/>
          <w:right w:val="single" w:color="B2A1C6" w:themeColor="accent4" w:themeTint="9A" w:sz="32" w:space="0"/>
        </w:tcBorders>
      </w:tcPr>
    </w:tblStylePr>
    <w:tblStylePr w:type="band1Vert">
      <w:tcPr>
        <w:tcBorders>
          <w:left w:val="single" w:color="FFFFFF" w:themeColor="light1" w:sz="4" w:space="0"/>
          <w:right w:val="single" w:color="FFFFFF" w:themeColor="light1" w:sz="4" w:space="0"/>
        </w:tcBorders>
        <w:shd w:val="clear" w:color="B2A1C6" w:themeColor="accent4" w:themeTint="9A" w:fill="B2A1C6" w:themeFill="accent4" w:themeFillTint="9A"/>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B2A1C6" w:themeColor="accent4" w:themeTint="9A" w:fill="B2A1C6" w:themeFill="accent4" w:themeFillTint="9A"/>
      </w:tcPr>
    </w:tblStylePr>
    <w:tblStylePr w:type="band2Horz">
      <w:tcPr>
        <w:tcBorders>
          <w:top w:val="single" w:color="FFFFFF" w:themeColor="light1" w:sz="4" w:space="0"/>
          <w:bottom w:val="single" w:color="FFFFFF" w:themeColor="light1" w:sz="4" w:space="0"/>
        </w:tcBorders>
        <w:shd w:val="clear" w:color="B2A1C6" w:themeColor="accent4" w:themeTint="9A" w:fill="B2A1C6" w:themeFill="accent4" w:themeFillTint="9A"/>
      </w:tcPr>
    </w:tblStylePr>
    <w:tblStylePr w:type="neCell"/>
    <w:tblStylePr w:type="nwCell"/>
    <w:tblStylePr w:type="seCell"/>
    <w:tblStylePr w:type="swCell"/>
  </w:style>
  <w:style w:type="table" w:customStyle="1" w:styleId="176">
    <w:name w:val="List Table 5 Dark - Accent 5"/>
    <w:basedOn w:val="56"/>
    <w:qFormat/>
    <w:uiPriority w:val="99"/>
    <w:pPr>
      <w:spacing w:after="0" w:line="240" w:lineRule="auto"/>
    </w:pPr>
    <w:tblPr>
      <w:tblBorders>
        <w:top w:val="single" w:color="92CCDC" w:themeColor="accent5" w:themeTint="9A" w:sz="32" w:space="0"/>
        <w:left w:val="single" w:color="92CCDC" w:themeColor="accent5" w:themeTint="9A" w:sz="32" w:space="0"/>
        <w:bottom w:val="single" w:color="92CCDC" w:themeColor="accent5" w:themeTint="9A" w:sz="32" w:space="0"/>
        <w:right w:val="single" w:color="92CCDC" w:themeColor="accent5" w:themeTint="9A" w:sz="32" w:space="0"/>
      </w:tblBorders>
    </w:tblPr>
    <w:tblStylePr w:type="firstRow">
      <w:rPr>
        <w:rFonts w:ascii="Arial" w:hAnsi="Arial"/>
        <w:b/>
        <w:color w:val="FFFFFF" w:themeColor="light1"/>
        <w:sz w:val="22"/>
        <w14:textFill>
          <w14:solidFill>
            <w14:schemeClr w14:val="lt1"/>
          </w14:solidFill>
        </w14:textFill>
      </w:rPr>
      <w:tcPr>
        <w:tcBorders>
          <w:top w:val="single" w:color="92CCDC" w:themeColor="accent5" w:themeTint="9A" w:sz="32" w:space="0"/>
          <w:bottom w:val="single" w:color="FFFFFF" w:themeColor="light1" w:sz="12" w:space="0"/>
        </w:tcBorders>
        <w:shd w:val="clear" w:color="92CCDC" w:themeColor="accent5" w:themeTint="9A" w:fill="92CCDC" w:themeFill="accent5" w:themeFillTint="9A"/>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92CCDC" w:themeColor="accent5" w:themeTint="9A" w:sz="32" w:space="0"/>
          <w:right w:val="single" w:color="FFFFFF" w:themeColor="light1" w:sz="4" w:space="0"/>
        </w:tcBorders>
      </w:tcPr>
    </w:tblStylePr>
    <w:tblStylePr w:type="lastCol">
      <w:tcPr>
        <w:tcBorders>
          <w:left w:val="single" w:color="FFFFFF" w:themeColor="light1" w:sz="4" w:space="0"/>
          <w:right w:val="single" w:color="92CCDC" w:themeColor="accent5" w:themeTint="9A" w:sz="32" w:space="0"/>
        </w:tcBorders>
      </w:tcPr>
    </w:tblStylePr>
    <w:tblStylePr w:type="band1Vert">
      <w:tcPr>
        <w:tcBorders>
          <w:left w:val="single" w:color="FFFFFF" w:themeColor="light1" w:sz="4" w:space="0"/>
          <w:right w:val="single" w:color="FFFFFF" w:themeColor="light1" w:sz="4" w:space="0"/>
        </w:tcBorders>
        <w:shd w:val="clear" w:color="92CCDC" w:themeColor="accent5" w:themeTint="9A" w:fill="92CCDC" w:themeFill="accent5" w:themeFillTint="9A"/>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92CCDC" w:themeColor="accent5" w:themeTint="9A" w:fill="92CCDC" w:themeFill="accent5" w:themeFillTint="9A"/>
      </w:tcPr>
    </w:tblStylePr>
    <w:tblStylePr w:type="band2Horz">
      <w:tcPr>
        <w:tcBorders>
          <w:top w:val="single" w:color="FFFFFF" w:themeColor="light1" w:sz="4" w:space="0"/>
          <w:bottom w:val="single" w:color="FFFFFF" w:themeColor="light1" w:sz="4" w:space="0"/>
        </w:tcBorders>
        <w:shd w:val="clear" w:color="92CCDC" w:themeColor="accent5" w:themeTint="9A" w:fill="92CCDC" w:themeFill="accent5" w:themeFillTint="9A"/>
      </w:tcPr>
    </w:tblStylePr>
    <w:tblStylePr w:type="neCell"/>
    <w:tblStylePr w:type="nwCell"/>
    <w:tblStylePr w:type="seCell"/>
    <w:tblStylePr w:type="swCell"/>
  </w:style>
  <w:style w:type="table" w:customStyle="1" w:styleId="177">
    <w:name w:val="List Table 5 Dark - Accent 6"/>
    <w:basedOn w:val="56"/>
    <w:qFormat/>
    <w:uiPriority w:val="99"/>
    <w:pPr>
      <w:spacing w:after="0" w:line="240" w:lineRule="auto"/>
    </w:pPr>
    <w:tblPr>
      <w:tblBorders>
        <w:top w:val="single" w:color="FAC090" w:themeColor="accent6" w:themeTint="98" w:sz="32" w:space="0"/>
        <w:left w:val="single" w:color="FAC090" w:themeColor="accent6" w:themeTint="98" w:sz="32" w:space="0"/>
        <w:bottom w:val="single" w:color="FAC090" w:themeColor="accent6" w:themeTint="98" w:sz="32" w:space="0"/>
        <w:right w:val="single" w:color="FAC090" w:themeColor="accent6" w:themeTint="98" w:sz="32" w:space="0"/>
      </w:tblBorders>
    </w:tblPr>
    <w:tblStylePr w:type="firstRow">
      <w:rPr>
        <w:rFonts w:ascii="Arial" w:hAnsi="Arial"/>
        <w:b/>
        <w:color w:val="FFFFFF" w:themeColor="light1"/>
        <w:sz w:val="22"/>
        <w14:textFill>
          <w14:solidFill>
            <w14:schemeClr w14:val="lt1"/>
          </w14:solidFill>
        </w14:textFill>
      </w:rPr>
      <w:tcPr>
        <w:tcBorders>
          <w:top w:val="single" w:color="FAC090" w:themeColor="accent6" w:themeTint="98" w:sz="32" w:space="0"/>
          <w:bottom w:val="single" w:color="FFFFFF" w:themeColor="light1" w:sz="12" w:space="0"/>
        </w:tcBorders>
        <w:shd w:val="clear" w:color="FAC090" w:themeColor="accent6" w:themeTint="98" w:fill="FAC090" w:themeFill="accent6" w:themeFillTint="98"/>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FAC090" w:themeColor="accent6" w:themeTint="98" w:sz="32" w:space="0"/>
          <w:right w:val="single" w:color="FFFFFF" w:themeColor="light1" w:sz="4" w:space="0"/>
        </w:tcBorders>
      </w:tcPr>
    </w:tblStylePr>
    <w:tblStylePr w:type="lastCol">
      <w:tcPr>
        <w:tcBorders>
          <w:left w:val="single" w:color="FFFFFF" w:themeColor="light1" w:sz="4" w:space="0"/>
          <w:right w:val="single" w:color="FAC090" w:themeColor="accent6" w:themeTint="98" w:sz="32" w:space="0"/>
        </w:tcBorders>
      </w:tcPr>
    </w:tblStylePr>
    <w:tblStylePr w:type="band1Vert">
      <w:tcPr>
        <w:tcBorders>
          <w:left w:val="single" w:color="FFFFFF" w:themeColor="light1" w:sz="4" w:space="0"/>
          <w:right w:val="single" w:color="FFFFFF" w:themeColor="light1" w:sz="4" w:space="0"/>
        </w:tcBorders>
        <w:shd w:val="clear" w:color="FAC090" w:themeColor="accent6" w:themeTint="98" w:fill="FAC090" w:themeFill="accent6" w:themeFillTint="98"/>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FAC090" w:themeColor="accent6" w:themeTint="98" w:fill="FAC090" w:themeFill="accent6" w:themeFillTint="98"/>
      </w:tcPr>
    </w:tblStylePr>
    <w:tblStylePr w:type="band2Horz">
      <w:tcPr>
        <w:tcBorders>
          <w:top w:val="single" w:color="FFFFFF" w:themeColor="light1" w:sz="4" w:space="0"/>
          <w:bottom w:val="single" w:color="FFFFFF" w:themeColor="light1" w:sz="4" w:space="0"/>
        </w:tcBorders>
        <w:shd w:val="clear" w:color="FAC090" w:themeColor="accent6" w:themeTint="98" w:fill="FAC090" w:themeFill="accent6" w:themeFillTint="98"/>
      </w:tcPr>
    </w:tblStylePr>
    <w:tblStylePr w:type="neCell"/>
    <w:tblStylePr w:type="nwCell"/>
    <w:tblStylePr w:type="seCell"/>
    <w:tblStylePr w:type="swCell"/>
  </w:style>
  <w:style w:type="table" w:customStyle="1" w:styleId="178">
    <w:name w:val="List Table 6 Colorful"/>
    <w:basedOn w:val="56"/>
    <w:qFormat/>
    <w:uiPriority w:val="99"/>
    <w:pPr>
      <w:spacing w:after="0" w:line="240" w:lineRule="auto"/>
    </w:pPr>
    <w:tblPr>
      <w:tblBorders>
        <w:top w:val="single" w:color="7E7E7E" w:themeColor="text1" w:themeTint="80" w:sz="4" w:space="0"/>
        <w:bottom w:val="single" w:color="7E7E7E" w:themeColor="text1" w:themeTint="80" w:sz="4" w:space="0"/>
      </w:tblBorders>
    </w:tblPr>
    <w:tblStylePr w:type="firstRow">
      <w:rPr>
        <w:b/>
        <w:color w:val="000000" w:themeColor="text1"/>
        <w14:textFill>
          <w14:solidFill>
            <w14:schemeClr w14:val="tx1"/>
          </w14:solidFill>
        </w14:textFill>
      </w:rPr>
      <w:tcPr>
        <w:tcBorders>
          <w:bottom w:val="single" w:color="7E7E7E" w:themeColor="text1" w:themeTint="80" w:sz="4" w:space="0"/>
        </w:tcBorders>
      </w:tcPr>
    </w:tblStylePr>
    <w:tblStylePr w:type="lastRow">
      <w:rPr>
        <w:b/>
        <w:color w:val="000000" w:themeColor="text1"/>
        <w14:textFill>
          <w14:solidFill>
            <w14:schemeClr w14:val="tx1"/>
          </w14:solidFill>
        </w14:textFill>
      </w:rPr>
      <w:tcPr>
        <w:tcBorders>
          <w:top w:val="single" w:color="7E7E7E" w:themeColor="text1" w:themeTint="80" w:sz="4" w:space="0"/>
        </w:tcBorders>
      </w:tcPr>
    </w:tblStylePr>
    <w:tblStylePr w:type="firstCol">
      <w:rPr>
        <w:b/>
        <w:color w:val="000000" w:themeColor="text1"/>
        <w14:textFill>
          <w14:solidFill>
            <w14:schemeClr w14:val="tx1"/>
          </w14:solidFill>
        </w14:textFill>
      </w:rPr>
    </w:tblStylePr>
    <w:tblStylePr w:type="lastCol">
      <w:rPr>
        <w:b/>
        <w:color w:val="000000" w:themeColor="text1"/>
        <w14:textFill>
          <w14:solidFill>
            <w14:schemeClr w14:val="tx1"/>
          </w14:solidFill>
        </w14:textFill>
      </w:rPr>
    </w:tblStylePr>
    <w:tblStylePr w:type="band1Vert">
      <w:tcPr>
        <w:shd w:val="clear" w:color="BEBEBE" w:themeColor="text1" w:themeTint="40" w:fill="BEBEBE" w:themeFill="text1" w:themeFillTint="40"/>
      </w:tcPr>
    </w:tblStylePr>
    <w:tblStylePr w:type="band2Vert"/>
    <w:tblStylePr w:type="band1Horz">
      <w:rPr>
        <w:rFonts w:ascii="Arial" w:hAnsi="Arial"/>
        <w:color w:val="000000" w:themeColor="text1"/>
        <w:sz w:val="22"/>
        <w14:textFill>
          <w14:solidFill>
            <w14:schemeClr w14:val="tx1"/>
          </w14:solidFill>
        </w14:textFill>
      </w:rPr>
      <w:tcPr>
        <w:shd w:val="clear" w:color="BEBEBE" w:themeColor="text1" w:themeTint="40" w:fill="BEBEBE" w:themeFill="text1" w:themeFillTint="40"/>
      </w:tcPr>
    </w:tblStylePr>
    <w:tblStylePr w:type="band2Horz">
      <w:rPr>
        <w:rFonts w:ascii="Arial" w:hAnsi="Arial"/>
        <w:color w:val="000000" w:themeColor="text1"/>
        <w:sz w:val="22"/>
        <w14:textFill>
          <w14:solidFill>
            <w14:schemeClr w14:val="tx1"/>
          </w14:solidFill>
        </w14:textFill>
      </w:rPr>
    </w:tblStylePr>
    <w:tblStylePr w:type="neCell"/>
    <w:tblStylePr w:type="nwCell"/>
    <w:tblStylePr w:type="seCell"/>
    <w:tblStylePr w:type="swCell"/>
  </w:style>
  <w:style w:type="table" w:customStyle="1" w:styleId="179">
    <w:name w:val="List Table 6 Colorful - Accent 1"/>
    <w:basedOn w:val="56"/>
    <w:qFormat/>
    <w:uiPriority w:val="99"/>
    <w:pPr>
      <w:spacing w:after="0" w:line="240" w:lineRule="auto"/>
    </w:pPr>
    <w:tblPr>
      <w:tblBorders>
        <w:top w:val="single" w:color="4F81BD" w:themeColor="accent1" w:sz="4" w:space="0"/>
        <w:bottom w:val="single" w:color="4F81BD" w:themeColor="accent1" w:sz="4" w:space="0"/>
      </w:tblBorders>
    </w:tblPr>
    <w:tblStylePr w:type="firstRow">
      <w:rPr>
        <w:b/>
        <w:color w:val="2A4B71" w:themeColor="accent1" w:themeShade="94"/>
      </w:rPr>
      <w:tcPr>
        <w:tcBorders>
          <w:bottom w:val="single" w:color="4F81BD" w:themeColor="accent1" w:sz="4" w:space="0"/>
        </w:tcBorders>
      </w:tcPr>
    </w:tblStylePr>
    <w:tblStylePr w:type="lastRow">
      <w:rPr>
        <w:b/>
        <w:color w:val="2A4B71" w:themeColor="accent1" w:themeShade="94"/>
      </w:rPr>
      <w:tcPr>
        <w:tcBorders>
          <w:top w:val="single" w:color="4F81BD" w:themeColor="accent1" w:sz="4" w:space="0"/>
        </w:tcBorders>
      </w:tcPr>
    </w:tblStylePr>
    <w:tblStylePr w:type="firstCol">
      <w:rPr>
        <w:b/>
        <w:color w:val="2A4B71" w:themeColor="accent1" w:themeShade="94"/>
      </w:rPr>
    </w:tblStylePr>
    <w:tblStylePr w:type="lastCol">
      <w:rPr>
        <w:b/>
        <w:color w:val="2A4B71" w:themeColor="accent1" w:themeShade="94"/>
      </w:rPr>
    </w:tblStylePr>
    <w:tblStylePr w:type="band1Vert">
      <w:tcPr>
        <w:shd w:val="clear" w:color="D2DFEE" w:themeColor="accent1" w:themeTint="40" w:fill="D2DFEE" w:themeFill="accent1" w:themeFillTint="40"/>
      </w:tcPr>
    </w:tblStylePr>
    <w:tblStylePr w:type="band2Vert"/>
    <w:tblStylePr w:type="band1Horz">
      <w:rPr>
        <w:rFonts w:ascii="Arial" w:hAnsi="Arial"/>
        <w:color w:val="2A4B71" w:themeColor="accent1" w:themeShade="94"/>
        <w:sz w:val="22"/>
      </w:rPr>
      <w:tcPr>
        <w:shd w:val="clear" w:color="D2DFEE" w:themeColor="accent1" w:themeTint="40" w:fill="D2DFEE" w:themeFill="accent1" w:themeFillTint="40"/>
      </w:tcPr>
    </w:tblStylePr>
    <w:tblStylePr w:type="band2Horz">
      <w:rPr>
        <w:rFonts w:ascii="Arial" w:hAnsi="Arial"/>
        <w:color w:val="2A4B71" w:themeColor="accent1" w:themeShade="94"/>
        <w:sz w:val="22"/>
      </w:rPr>
    </w:tblStylePr>
    <w:tblStylePr w:type="neCell"/>
    <w:tblStylePr w:type="nwCell"/>
    <w:tblStylePr w:type="seCell"/>
    <w:tblStylePr w:type="swCell"/>
  </w:style>
  <w:style w:type="table" w:customStyle="1" w:styleId="180">
    <w:name w:val="List Table 6 Colorful - Accent 2"/>
    <w:basedOn w:val="56"/>
    <w:qFormat/>
    <w:uiPriority w:val="99"/>
    <w:pPr>
      <w:spacing w:after="0" w:line="240" w:lineRule="auto"/>
    </w:pPr>
    <w:tblPr>
      <w:tblBorders>
        <w:top w:val="single" w:color="D99795" w:themeColor="accent2" w:themeTint="97" w:sz="4" w:space="0"/>
        <w:bottom w:val="single" w:color="D99795" w:themeColor="accent2" w:themeTint="97" w:sz="4" w:space="0"/>
      </w:tblBorders>
    </w:tblPr>
    <w:tblStylePr w:type="firstRow">
      <w:rPr>
        <w:b/>
        <w:color w:val="DA9896" w:themeColor="accent2" w:themeTint="96"/>
        <w14:textFill>
          <w14:solidFill>
            <w14:schemeClr w14:val="accent2">
              <w14:lumMod w14:val="59000"/>
              <w14:lumOff w14:val="41000"/>
            </w14:schemeClr>
          </w14:solidFill>
        </w14:textFill>
      </w:rPr>
      <w:tcPr>
        <w:tcBorders>
          <w:bottom w:val="single" w:color="D99795" w:themeColor="accent2" w:themeTint="97" w:sz="4" w:space="0"/>
        </w:tcBorders>
      </w:tcPr>
    </w:tblStylePr>
    <w:tblStylePr w:type="lastRow">
      <w:rPr>
        <w:b/>
        <w:color w:val="DA9896" w:themeColor="accent2" w:themeTint="96"/>
        <w14:textFill>
          <w14:solidFill>
            <w14:schemeClr w14:val="accent2">
              <w14:lumMod w14:val="59000"/>
              <w14:lumOff w14:val="41000"/>
            </w14:schemeClr>
          </w14:solidFill>
        </w14:textFill>
      </w:rPr>
      <w:tcPr>
        <w:tcBorders>
          <w:top w:val="single" w:color="D99795" w:themeColor="accent2" w:themeTint="97" w:sz="4" w:space="0"/>
        </w:tcBorders>
      </w:tcPr>
    </w:tblStylePr>
    <w:tblStylePr w:type="firstCol">
      <w:rPr>
        <w:b/>
        <w:color w:val="DA9896" w:themeColor="accent2" w:themeTint="96"/>
        <w14:textFill>
          <w14:solidFill>
            <w14:schemeClr w14:val="accent2">
              <w14:lumMod w14:val="59000"/>
              <w14:lumOff w14:val="41000"/>
            </w14:schemeClr>
          </w14:solidFill>
        </w14:textFill>
      </w:rPr>
    </w:tblStylePr>
    <w:tblStylePr w:type="lastCol">
      <w:rPr>
        <w:b/>
        <w:color w:val="DA9896" w:themeColor="accent2" w:themeTint="96"/>
        <w14:textFill>
          <w14:solidFill>
            <w14:schemeClr w14:val="accent2">
              <w14:lumMod w14:val="59000"/>
              <w14:lumOff w14:val="41000"/>
            </w14:schemeClr>
          </w14:solidFill>
        </w14:textFill>
      </w:rPr>
    </w:tblStylePr>
    <w:tblStylePr w:type="band1Vert">
      <w:tcPr>
        <w:shd w:val="clear" w:color="EFD3D2" w:themeColor="accent2" w:themeTint="40" w:fill="EFD3D2" w:themeFill="accent2" w:themeFillTint="40"/>
      </w:tcPr>
    </w:tblStylePr>
    <w:tblStylePr w:type="band2Vert"/>
    <w:tblStylePr w:type="band1Horz">
      <w:rPr>
        <w:rFonts w:ascii="Arial" w:hAnsi="Arial"/>
        <w:color w:val="DA9896" w:themeColor="accent2" w:themeTint="96"/>
        <w:sz w:val="22"/>
        <w14:textFill>
          <w14:solidFill>
            <w14:schemeClr w14:val="accent2">
              <w14:lumMod w14:val="59000"/>
              <w14:lumOff w14:val="41000"/>
            </w14:schemeClr>
          </w14:solidFill>
        </w14:textFill>
      </w:rPr>
      <w:tcPr>
        <w:shd w:val="clear" w:color="EFD3D2" w:themeColor="accent2" w:themeTint="40" w:fill="EFD3D2" w:themeFill="accent2" w:themeFillTint="40"/>
      </w:tcPr>
    </w:tblStylePr>
    <w:tblStylePr w:type="band2Horz">
      <w:rPr>
        <w:rFonts w:ascii="Arial" w:hAnsi="Arial"/>
        <w:color w:val="DA9896" w:themeColor="accent2" w:themeTint="96"/>
        <w:sz w:val="22"/>
        <w14:textFill>
          <w14:solidFill>
            <w14:schemeClr w14:val="accent2">
              <w14:lumMod w14:val="59000"/>
              <w14:lumOff w14:val="41000"/>
            </w14:schemeClr>
          </w14:solidFill>
        </w14:textFill>
      </w:rPr>
    </w:tblStylePr>
    <w:tblStylePr w:type="neCell"/>
    <w:tblStylePr w:type="nwCell"/>
    <w:tblStylePr w:type="seCell"/>
    <w:tblStylePr w:type="swCell"/>
  </w:style>
  <w:style w:type="table" w:customStyle="1" w:styleId="181">
    <w:name w:val="List Table 6 Colorful - Accent 3"/>
    <w:basedOn w:val="56"/>
    <w:qFormat/>
    <w:uiPriority w:val="99"/>
    <w:pPr>
      <w:spacing w:after="0" w:line="240" w:lineRule="auto"/>
    </w:pPr>
    <w:tblPr>
      <w:tblBorders>
        <w:top w:val="single" w:color="C3D69C" w:themeColor="accent3" w:themeTint="98" w:sz="4" w:space="0"/>
        <w:bottom w:val="single" w:color="C3D69C" w:themeColor="accent3" w:themeTint="98" w:sz="4" w:space="0"/>
      </w:tblBorders>
    </w:tblPr>
    <w:tblStylePr w:type="firstRow">
      <w:rPr>
        <w:b/>
        <w:color w:val="C3D69B" w:themeColor="accent3" w:themeTint="99"/>
        <w14:textFill>
          <w14:solidFill>
            <w14:schemeClr w14:val="accent3">
              <w14:lumMod w14:val="60000"/>
              <w14:lumOff w14:val="40000"/>
            </w14:schemeClr>
          </w14:solidFill>
        </w14:textFill>
      </w:rPr>
      <w:tcPr>
        <w:tcBorders>
          <w:bottom w:val="single" w:color="C3D69C" w:themeColor="accent3" w:themeTint="98" w:sz="4" w:space="0"/>
        </w:tcBorders>
      </w:tcPr>
    </w:tblStylePr>
    <w:tblStylePr w:type="lastRow">
      <w:rPr>
        <w:b/>
        <w:color w:val="C3D69B" w:themeColor="accent3" w:themeTint="99"/>
        <w14:textFill>
          <w14:solidFill>
            <w14:schemeClr w14:val="accent3">
              <w14:lumMod w14:val="60000"/>
              <w14:lumOff w14:val="40000"/>
            </w14:schemeClr>
          </w14:solidFill>
        </w14:textFill>
      </w:rPr>
      <w:tcPr>
        <w:tcBorders>
          <w:top w:val="single" w:color="C3D69C" w:themeColor="accent3" w:themeTint="98" w:sz="4" w:space="0"/>
        </w:tcBorders>
      </w:tcPr>
    </w:tblStylePr>
    <w:tblStylePr w:type="firstCol">
      <w:rPr>
        <w:b/>
        <w:color w:val="C3D69B" w:themeColor="accent3" w:themeTint="99"/>
        <w14:textFill>
          <w14:solidFill>
            <w14:schemeClr w14:val="accent3">
              <w14:lumMod w14:val="60000"/>
              <w14:lumOff w14:val="40000"/>
            </w14:schemeClr>
          </w14:solidFill>
        </w14:textFill>
      </w:rPr>
    </w:tblStylePr>
    <w:tblStylePr w:type="lastCol">
      <w:rPr>
        <w:b/>
        <w:color w:val="C3D69B" w:themeColor="accent3" w:themeTint="99"/>
        <w14:textFill>
          <w14:solidFill>
            <w14:schemeClr w14:val="accent3">
              <w14:lumMod w14:val="60000"/>
              <w14:lumOff w14:val="40000"/>
            </w14:schemeClr>
          </w14:solidFill>
        </w14:textFill>
      </w:rPr>
    </w:tblStylePr>
    <w:tblStylePr w:type="band1Vert">
      <w:tcPr>
        <w:shd w:val="clear" w:color="E5EDD5" w:themeColor="accent3" w:themeTint="40" w:fill="E5EDD5" w:themeFill="accent3" w:themeFillTint="40"/>
      </w:tcPr>
    </w:tblStylePr>
    <w:tblStylePr w:type="band2Vert"/>
    <w:tblStylePr w:type="band1Horz">
      <w:rPr>
        <w:rFonts w:ascii="Arial" w:hAnsi="Arial"/>
        <w:color w:val="C3D69B" w:themeColor="accent3" w:themeTint="99"/>
        <w:sz w:val="22"/>
        <w14:textFill>
          <w14:solidFill>
            <w14:schemeClr w14:val="accent3">
              <w14:lumMod w14:val="60000"/>
              <w14:lumOff w14:val="40000"/>
            </w14:schemeClr>
          </w14:solidFill>
        </w14:textFill>
      </w:rPr>
      <w:tcPr>
        <w:shd w:val="clear" w:color="E5EDD5" w:themeColor="accent3" w:themeTint="40" w:fill="E5EDD5" w:themeFill="accent3" w:themeFillTint="40"/>
      </w:tcPr>
    </w:tblStylePr>
    <w:tblStylePr w:type="band2Horz">
      <w:rPr>
        <w:rFonts w:ascii="Arial" w:hAnsi="Arial"/>
        <w:color w:val="C3D69B" w:themeColor="accent3" w:themeTint="99"/>
        <w:sz w:val="22"/>
        <w14:textFill>
          <w14:solidFill>
            <w14:schemeClr w14:val="accent3">
              <w14:lumMod w14:val="60000"/>
              <w14:lumOff w14:val="40000"/>
            </w14:schemeClr>
          </w14:solidFill>
        </w14:textFill>
      </w:rPr>
    </w:tblStylePr>
    <w:tblStylePr w:type="neCell"/>
    <w:tblStylePr w:type="nwCell"/>
    <w:tblStylePr w:type="seCell"/>
    <w:tblStylePr w:type="swCell"/>
  </w:style>
  <w:style w:type="table" w:customStyle="1" w:styleId="182">
    <w:name w:val="List Table 6 Colorful - Accent 4"/>
    <w:basedOn w:val="56"/>
    <w:qFormat/>
    <w:uiPriority w:val="99"/>
    <w:pPr>
      <w:spacing w:after="0" w:line="240" w:lineRule="auto"/>
    </w:pPr>
    <w:tblPr>
      <w:tblBorders>
        <w:top w:val="single" w:color="B2A1C6" w:themeColor="accent4" w:themeTint="9A" w:sz="4" w:space="0"/>
        <w:bottom w:val="single" w:color="B2A1C6" w:themeColor="accent4" w:themeTint="9A" w:sz="4" w:space="0"/>
      </w:tblBorders>
    </w:tblPr>
    <w:tblStylePr w:type="firstRow">
      <w:rPr>
        <w:b/>
        <w:color w:val="B3A2C7" w:themeColor="accent4" w:themeTint="99"/>
        <w14:textFill>
          <w14:solidFill>
            <w14:schemeClr w14:val="accent4">
              <w14:lumMod w14:val="60000"/>
              <w14:lumOff w14:val="40000"/>
            </w14:schemeClr>
          </w14:solidFill>
        </w14:textFill>
      </w:rPr>
      <w:tcPr>
        <w:tcBorders>
          <w:bottom w:val="single" w:color="B2A1C6" w:themeColor="accent4" w:themeTint="9A" w:sz="4" w:space="0"/>
        </w:tcBorders>
      </w:tcPr>
    </w:tblStylePr>
    <w:tblStylePr w:type="lastRow">
      <w:rPr>
        <w:b/>
        <w:color w:val="B3A2C7" w:themeColor="accent4" w:themeTint="99"/>
        <w14:textFill>
          <w14:solidFill>
            <w14:schemeClr w14:val="accent4">
              <w14:lumMod w14:val="60000"/>
              <w14:lumOff w14:val="40000"/>
            </w14:schemeClr>
          </w14:solidFill>
        </w14:textFill>
      </w:rPr>
      <w:tcPr>
        <w:tcBorders>
          <w:top w:val="single" w:color="B2A1C6" w:themeColor="accent4" w:themeTint="9A" w:sz="4" w:space="0"/>
        </w:tcBorders>
      </w:tcPr>
    </w:tblStylePr>
    <w:tblStylePr w:type="firstCol">
      <w:rPr>
        <w:b/>
        <w:color w:val="B3A2C7" w:themeColor="accent4" w:themeTint="99"/>
        <w14:textFill>
          <w14:solidFill>
            <w14:schemeClr w14:val="accent4">
              <w14:lumMod w14:val="60000"/>
              <w14:lumOff w14:val="40000"/>
            </w14:schemeClr>
          </w14:solidFill>
        </w14:textFill>
      </w:rPr>
    </w:tblStylePr>
    <w:tblStylePr w:type="lastCol">
      <w:rPr>
        <w:b/>
        <w:color w:val="B3A2C7" w:themeColor="accent4" w:themeTint="99"/>
        <w14:textFill>
          <w14:solidFill>
            <w14:schemeClr w14:val="accent4">
              <w14:lumMod w14:val="60000"/>
              <w14:lumOff w14:val="40000"/>
            </w14:schemeClr>
          </w14:solidFill>
        </w14:textFill>
      </w:rPr>
    </w:tblStylePr>
    <w:tblStylePr w:type="band1Vert">
      <w:tcPr>
        <w:shd w:val="clear" w:color="DFD8E7" w:themeColor="accent4" w:themeTint="40" w:fill="DFD8E7" w:themeFill="accent4" w:themeFillTint="40"/>
      </w:tcPr>
    </w:tblStylePr>
    <w:tblStylePr w:type="band2Vert"/>
    <w:tblStylePr w:type="band1Horz">
      <w:rPr>
        <w:rFonts w:ascii="Arial" w:hAnsi="Arial"/>
        <w:color w:val="B3A2C7" w:themeColor="accent4" w:themeTint="99"/>
        <w:sz w:val="22"/>
        <w14:textFill>
          <w14:solidFill>
            <w14:schemeClr w14:val="accent4">
              <w14:lumMod w14:val="60000"/>
              <w14:lumOff w14:val="40000"/>
            </w14:schemeClr>
          </w14:solidFill>
        </w14:textFill>
      </w:rPr>
      <w:tcPr>
        <w:shd w:val="clear" w:color="DFD8E7" w:themeColor="accent4" w:themeTint="40" w:fill="DFD8E7" w:themeFill="accent4" w:themeFillTint="40"/>
      </w:tcPr>
    </w:tblStylePr>
    <w:tblStylePr w:type="band2Horz">
      <w:rPr>
        <w:rFonts w:ascii="Arial" w:hAnsi="Arial"/>
        <w:color w:val="B3A2C7" w:themeColor="accent4" w:themeTint="99"/>
        <w:sz w:val="22"/>
        <w14:textFill>
          <w14:solidFill>
            <w14:schemeClr w14:val="accent4">
              <w14:lumMod w14:val="60000"/>
              <w14:lumOff w14:val="40000"/>
            </w14:schemeClr>
          </w14:solidFill>
        </w14:textFill>
      </w:rPr>
    </w:tblStylePr>
    <w:tblStylePr w:type="neCell"/>
    <w:tblStylePr w:type="nwCell"/>
    <w:tblStylePr w:type="seCell"/>
    <w:tblStylePr w:type="swCell"/>
  </w:style>
  <w:style w:type="table" w:customStyle="1" w:styleId="183">
    <w:name w:val="List Table 6 Colorful - Accent 5"/>
    <w:basedOn w:val="56"/>
    <w:qFormat/>
    <w:uiPriority w:val="99"/>
    <w:pPr>
      <w:spacing w:after="0" w:line="240" w:lineRule="auto"/>
    </w:pPr>
    <w:tblPr>
      <w:tblBorders>
        <w:top w:val="single" w:color="92CCDC" w:themeColor="accent5" w:themeTint="9A" w:sz="4" w:space="0"/>
        <w:bottom w:val="single" w:color="92CCDC" w:themeColor="accent5" w:themeTint="9A" w:sz="4" w:space="0"/>
      </w:tblBorders>
    </w:tblPr>
    <w:tblStylePr w:type="firstRow">
      <w:rPr>
        <w:b/>
        <w:color w:val="93CDDD" w:themeColor="accent5" w:themeTint="99"/>
        <w14:textFill>
          <w14:solidFill>
            <w14:schemeClr w14:val="accent5">
              <w14:lumMod w14:val="60000"/>
              <w14:lumOff w14:val="40000"/>
            </w14:schemeClr>
          </w14:solidFill>
        </w14:textFill>
      </w:rPr>
      <w:tcPr>
        <w:tcBorders>
          <w:bottom w:val="single" w:color="92CCDC" w:themeColor="accent5" w:themeTint="9A" w:sz="4" w:space="0"/>
        </w:tcBorders>
      </w:tcPr>
    </w:tblStylePr>
    <w:tblStylePr w:type="lastRow">
      <w:rPr>
        <w:b/>
        <w:color w:val="93CDDD" w:themeColor="accent5" w:themeTint="99"/>
        <w14:textFill>
          <w14:solidFill>
            <w14:schemeClr w14:val="accent5">
              <w14:lumMod w14:val="60000"/>
              <w14:lumOff w14:val="40000"/>
            </w14:schemeClr>
          </w14:solidFill>
        </w14:textFill>
      </w:rPr>
      <w:tcPr>
        <w:tcBorders>
          <w:top w:val="single" w:color="92CCDC" w:themeColor="accent5" w:themeTint="9A" w:sz="4" w:space="0"/>
        </w:tcBorders>
      </w:tcPr>
    </w:tblStylePr>
    <w:tblStylePr w:type="firstCol">
      <w:rPr>
        <w:b/>
        <w:color w:val="93CDDD" w:themeColor="accent5" w:themeTint="99"/>
        <w14:textFill>
          <w14:solidFill>
            <w14:schemeClr w14:val="accent5">
              <w14:lumMod w14:val="60000"/>
              <w14:lumOff w14:val="40000"/>
            </w14:schemeClr>
          </w14:solidFill>
        </w14:textFill>
      </w:rPr>
    </w:tblStylePr>
    <w:tblStylePr w:type="lastCol">
      <w:rPr>
        <w:b/>
        <w:color w:val="93CDDD" w:themeColor="accent5" w:themeTint="99"/>
        <w14:textFill>
          <w14:solidFill>
            <w14:schemeClr w14:val="accent5">
              <w14:lumMod w14:val="60000"/>
              <w14:lumOff w14:val="40000"/>
            </w14:schemeClr>
          </w14:solidFill>
        </w14:textFill>
      </w:rPr>
    </w:tblStylePr>
    <w:tblStylePr w:type="band1Vert">
      <w:tcPr>
        <w:shd w:val="clear" w:color="D1EAF0" w:themeColor="accent5" w:themeTint="40" w:fill="D1EAF0" w:themeFill="accent5" w:themeFillTint="40"/>
      </w:tcPr>
    </w:tblStylePr>
    <w:tblStylePr w:type="band2Vert"/>
    <w:tblStylePr w:type="band1Horz">
      <w:rPr>
        <w:rFonts w:ascii="Arial" w:hAnsi="Arial"/>
        <w:color w:val="93CDDD" w:themeColor="accent5" w:themeTint="99"/>
        <w:sz w:val="22"/>
        <w14:textFill>
          <w14:solidFill>
            <w14:schemeClr w14:val="accent5">
              <w14:lumMod w14:val="60000"/>
              <w14:lumOff w14:val="40000"/>
            </w14:schemeClr>
          </w14:solidFill>
        </w14:textFill>
      </w:rPr>
      <w:tcPr>
        <w:shd w:val="clear" w:color="D1EAF0" w:themeColor="accent5" w:themeTint="40" w:fill="D1EAF0" w:themeFill="accent5" w:themeFillTint="40"/>
      </w:tcPr>
    </w:tblStylePr>
    <w:tblStylePr w:type="band2Horz">
      <w:rPr>
        <w:rFonts w:ascii="Arial" w:hAnsi="Arial"/>
        <w:color w:val="93CDDD" w:themeColor="accent5" w:themeTint="99"/>
        <w:sz w:val="22"/>
        <w14:textFill>
          <w14:solidFill>
            <w14:schemeClr w14:val="accent5">
              <w14:lumMod w14:val="60000"/>
              <w14:lumOff w14:val="40000"/>
            </w14:schemeClr>
          </w14:solidFill>
        </w14:textFill>
      </w:rPr>
    </w:tblStylePr>
    <w:tblStylePr w:type="neCell"/>
    <w:tblStylePr w:type="nwCell"/>
    <w:tblStylePr w:type="seCell"/>
    <w:tblStylePr w:type="swCell"/>
  </w:style>
  <w:style w:type="table" w:customStyle="1" w:styleId="184">
    <w:name w:val="List Table 6 Colorful - Accent 6"/>
    <w:basedOn w:val="56"/>
    <w:qFormat/>
    <w:uiPriority w:val="99"/>
    <w:pPr>
      <w:spacing w:after="0" w:line="240" w:lineRule="auto"/>
    </w:pPr>
    <w:tblPr>
      <w:tblBorders>
        <w:top w:val="single" w:color="FAC090" w:themeColor="accent6" w:themeTint="98" w:sz="4" w:space="0"/>
        <w:bottom w:val="single" w:color="FAC090" w:themeColor="accent6" w:themeTint="98" w:sz="4" w:space="0"/>
      </w:tblBorders>
    </w:tblPr>
    <w:tblStylePr w:type="firstRow">
      <w:rPr>
        <w:b/>
        <w:color w:val="FAC090" w:themeColor="accent6" w:themeTint="99"/>
        <w14:textFill>
          <w14:solidFill>
            <w14:schemeClr w14:val="accent6">
              <w14:lumMod w14:val="60000"/>
              <w14:lumOff w14:val="40000"/>
            </w14:schemeClr>
          </w14:solidFill>
        </w14:textFill>
      </w:rPr>
      <w:tcPr>
        <w:tcBorders>
          <w:bottom w:val="single" w:color="FAC090" w:themeColor="accent6" w:themeTint="98" w:sz="4" w:space="0"/>
        </w:tcBorders>
      </w:tcPr>
    </w:tblStylePr>
    <w:tblStylePr w:type="lastRow">
      <w:rPr>
        <w:b/>
        <w:color w:val="FAC090" w:themeColor="accent6" w:themeTint="99"/>
        <w14:textFill>
          <w14:solidFill>
            <w14:schemeClr w14:val="accent6">
              <w14:lumMod w14:val="60000"/>
              <w14:lumOff w14:val="40000"/>
            </w14:schemeClr>
          </w14:solidFill>
        </w14:textFill>
      </w:rPr>
      <w:tcPr>
        <w:tcBorders>
          <w:top w:val="single" w:color="FAC090" w:themeColor="accent6" w:themeTint="98" w:sz="4" w:space="0"/>
        </w:tcBorders>
      </w:tcPr>
    </w:tblStylePr>
    <w:tblStylePr w:type="firstCol">
      <w:rPr>
        <w:b/>
        <w:color w:val="FAC090" w:themeColor="accent6" w:themeTint="99"/>
        <w14:textFill>
          <w14:solidFill>
            <w14:schemeClr w14:val="accent6">
              <w14:lumMod w14:val="60000"/>
              <w14:lumOff w14:val="40000"/>
            </w14:schemeClr>
          </w14:solidFill>
        </w14:textFill>
      </w:rPr>
    </w:tblStylePr>
    <w:tblStylePr w:type="lastCol">
      <w:rPr>
        <w:b/>
        <w:color w:val="FAC090" w:themeColor="accent6" w:themeTint="99"/>
        <w14:textFill>
          <w14:solidFill>
            <w14:schemeClr w14:val="accent6">
              <w14:lumMod w14:val="60000"/>
              <w14:lumOff w14:val="40000"/>
            </w14:schemeClr>
          </w14:solidFill>
        </w14:textFill>
      </w:rPr>
    </w:tblStylePr>
    <w:tblStylePr w:type="band1Vert">
      <w:tcPr>
        <w:shd w:val="clear" w:color="FCE4D0" w:themeColor="accent6" w:themeTint="40" w:fill="FCE4D0" w:themeFill="accent6" w:themeFillTint="40"/>
      </w:tcPr>
    </w:tblStylePr>
    <w:tblStylePr w:type="band2Vert"/>
    <w:tblStylePr w:type="band1Horz">
      <w:rPr>
        <w:rFonts w:ascii="Arial" w:hAnsi="Arial"/>
        <w:color w:val="FAC090" w:themeColor="accent6" w:themeTint="99"/>
        <w:sz w:val="22"/>
        <w14:textFill>
          <w14:solidFill>
            <w14:schemeClr w14:val="accent6">
              <w14:lumMod w14:val="60000"/>
              <w14:lumOff w14:val="40000"/>
            </w14:schemeClr>
          </w14:solidFill>
        </w14:textFill>
      </w:rPr>
      <w:tcPr>
        <w:shd w:val="clear" w:color="FCE4D0" w:themeColor="accent6" w:themeTint="40" w:fill="FCE4D0" w:themeFill="accent6" w:themeFillTint="40"/>
      </w:tcPr>
    </w:tblStylePr>
    <w:tblStylePr w:type="band2Horz">
      <w:rPr>
        <w:rFonts w:ascii="Arial" w:hAnsi="Arial"/>
        <w:color w:val="FAC090" w:themeColor="accent6" w:themeTint="99"/>
        <w:sz w:val="22"/>
        <w14:textFill>
          <w14:solidFill>
            <w14:schemeClr w14:val="accent6">
              <w14:lumMod w14:val="60000"/>
              <w14:lumOff w14:val="40000"/>
            </w14:schemeClr>
          </w14:solidFill>
        </w14:textFill>
      </w:rPr>
    </w:tblStylePr>
    <w:tblStylePr w:type="neCell"/>
    <w:tblStylePr w:type="nwCell"/>
    <w:tblStylePr w:type="seCell"/>
    <w:tblStylePr w:type="swCell"/>
  </w:style>
  <w:style w:type="table" w:customStyle="1" w:styleId="185">
    <w:name w:val="List Table 7 Colorful"/>
    <w:basedOn w:val="56"/>
    <w:qFormat/>
    <w:uiPriority w:val="99"/>
    <w:pPr>
      <w:spacing w:after="0" w:line="240" w:lineRule="auto"/>
    </w:pPr>
    <w:tblPr>
      <w:tblBorders>
        <w:right w:val="single" w:color="7E7E7E" w:themeColor="text1" w:themeTint="80" w:sz="4" w:space="0"/>
      </w:tblBorders>
    </w:tblPr>
    <w:tblStylePr w:type="firstRow">
      <w:rPr>
        <w:rFonts w:ascii="Arial" w:hAnsi="Arial"/>
        <w:i/>
        <w:color w:val="808080" w:themeColor="text1" w:themeTint="80"/>
        <w:sz w:val="22"/>
        <w14:textFill>
          <w14:solidFill>
            <w14:schemeClr w14:val="tx1">
              <w14:lumMod w14:val="50000"/>
              <w14:lumOff w14:val="50000"/>
            </w14:schemeClr>
          </w14:solidFill>
        </w14:textFill>
      </w:rPr>
      <w:tcPr>
        <w:tcBorders>
          <w:top w:val="nil"/>
          <w:left w:val="nil"/>
          <w:bottom w:val="single" w:color="7E7E7E" w:themeColor="text1" w:themeTint="80" w:sz="4" w:space="0"/>
          <w:right w:val="nil"/>
        </w:tcBorders>
        <w:shd w:val="clear" w:color="FFFFFF" w:themeColor="light1" w:fill="FFFFFF" w:themeFill="light1"/>
      </w:tcPr>
    </w:tblStylePr>
    <w:tblStylePr w:type="lastRow">
      <w:rPr>
        <w:rFonts w:ascii="Arial" w:hAnsi="Arial"/>
        <w:i/>
        <w:color w:val="808080" w:themeColor="text1" w:themeTint="80"/>
        <w:sz w:val="22"/>
        <w14:textFill>
          <w14:solidFill>
            <w14:schemeClr w14:val="tx1">
              <w14:lumMod w14:val="50000"/>
              <w14:lumOff w14:val="50000"/>
            </w14:schemeClr>
          </w14:solidFill>
        </w14:textFill>
      </w:rPr>
      <w:tcPr>
        <w:tcBorders>
          <w:top w:val="single" w:color="7E7E7E" w:themeColor="text1" w:themeTint="80" w:sz="4" w:space="0"/>
          <w:left w:val="nil"/>
          <w:bottom w:val="nil"/>
          <w:right w:val="nil"/>
        </w:tcBorders>
        <w:shd w:val="clear" w:color="FFFFFF" w:themeColor="light1" w:fill="FFFFFF" w:themeFill="light1"/>
      </w:tcPr>
    </w:tblStylePr>
    <w:tblStylePr w:type="firstCol">
      <w:pPr>
        <w:jc w:val="right"/>
      </w:pPr>
      <w:rPr>
        <w:rFonts w:ascii="Arial" w:hAnsi="Arial"/>
        <w:i/>
        <w:color w:val="808080" w:themeColor="text1" w:themeTint="80"/>
        <w:sz w:val="22"/>
        <w14:textFill>
          <w14:solidFill>
            <w14:schemeClr w14:val="tx1">
              <w14:lumMod w14:val="50000"/>
              <w14:lumOff w14:val="50000"/>
            </w14:schemeClr>
          </w14:solidFill>
        </w14:textFill>
      </w:rPr>
      <w:tcPr>
        <w:tcBorders>
          <w:top w:val="nil"/>
          <w:left w:val="nil"/>
          <w:bottom w:val="nil"/>
          <w:right w:val="single" w:color="7E7E7E" w:themeColor="text1" w:themeTint="80" w:sz="4" w:space="0"/>
        </w:tcBorders>
        <w:shd w:val="clear" w:color="FFFFFF" w:fill="auto"/>
      </w:tcPr>
    </w:tblStylePr>
    <w:tblStylePr w:type="lastCol">
      <w:rPr>
        <w:rFonts w:ascii="Arial" w:hAnsi="Arial"/>
        <w:i/>
        <w:color w:val="808080" w:themeColor="text1" w:themeTint="80"/>
        <w:sz w:val="22"/>
        <w14:textFill>
          <w14:solidFill>
            <w14:schemeClr w14:val="tx1">
              <w14:lumMod w14:val="50000"/>
              <w14:lumOff w14:val="50000"/>
            </w14:schemeClr>
          </w14:solidFill>
        </w14:textFill>
      </w:rPr>
      <w:tcPr>
        <w:tcBorders>
          <w:top w:val="nil"/>
          <w:left w:val="single" w:color="7E7E7E" w:themeColor="text1" w:themeTint="80" w:sz="4" w:space="0"/>
          <w:bottom w:val="nil"/>
          <w:right w:val="nil"/>
        </w:tcBorders>
        <w:shd w:val="clear" w:color="FFFFFF" w:fill="auto"/>
      </w:tcPr>
    </w:tblStylePr>
    <w:tblStylePr w:type="band1Vert">
      <w:tcPr>
        <w:shd w:val="clear" w:color="BEBEBE" w:themeColor="text1" w:themeTint="40" w:fill="BEBEBE" w:themeFill="text1" w:themeFillTint="40"/>
      </w:tcPr>
    </w:tblStylePr>
    <w:tblStylePr w:type="band2Vert"/>
    <w:tblStylePr w:type="band1Horz">
      <w:rPr>
        <w:rFonts w:ascii="Arial" w:hAnsi="Arial"/>
        <w:color w:val="808080" w:themeColor="text1" w:themeTint="80"/>
        <w:sz w:val="22"/>
        <w14:textFill>
          <w14:solidFill>
            <w14:schemeClr w14:val="tx1">
              <w14:lumMod w14:val="50000"/>
              <w14:lumOff w14:val="50000"/>
            </w14:schemeClr>
          </w14:solidFill>
        </w14:textFill>
      </w:rPr>
      <w:tcPr>
        <w:shd w:val="clear" w:color="BEBEBE" w:themeColor="text1" w:themeTint="40" w:fill="BEBEBE" w:themeFill="text1" w:themeFillTint="40"/>
      </w:tcPr>
    </w:tblStylePr>
    <w:tblStylePr w:type="band2Horz">
      <w:rPr>
        <w:rFonts w:ascii="Arial" w:hAnsi="Arial"/>
        <w:color w:val="808080" w:themeColor="text1" w:themeTint="80"/>
        <w:sz w:val="22"/>
        <w14:textFill>
          <w14:solidFill>
            <w14:schemeClr w14:val="tx1">
              <w14:lumMod w14:val="50000"/>
              <w14:lumOff w14:val="50000"/>
            </w14:schemeClr>
          </w14:solidFill>
        </w14:textFill>
      </w:rPr>
    </w:tblStylePr>
    <w:tblStylePr w:type="neCell"/>
    <w:tblStylePr w:type="nwCell"/>
    <w:tblStylePr w:type="seCell"/>
    <w:tblStylePr w:type="swCell"/>
  </w:style>
  <w:style w:type="table" w:customStyle="1" w:styleId="186">
    <w:name w:val="List Table 7 Colorful - Accent 1"/>
    <w:basedOn w:val="56"/>
    <w:qFormat/>
    <w:uiPriority w:val="99"/>
    <w:pPr>
      <w:spacing w:after="0" w:line="240" w:lineRule="auto"/>
    </w:pPr>
    <w:tblPr>
      <w:tblBorders>
        <w:right w:val="single" w:color="4F81BD" w:themeColor="accent1" w:sz="4" w:space="0"/>
      </w:tblBorders>
    </w:tblPr>
    <w:tblStylePr w:type="firstRow">
      <w:rPr>
        <w:rFonts w:ascii="Arial" w:hAnsi="Arial"/>
        <w:i/>
        <w:color w:val="2A4B71" w:themeColor="accent1" w:themeShade="94"/>
        <w:sz w:val="22"/>
      </w:rPr>
      <w:tcPr>
        <w:tcBorders>
          <w:top w:val="nil"/>
          <w:left w:val="nil"/>
          <w:bottom w:val="single" w:color="4F81BD" w:themeColor="accent1" w:sz="4" w:space="0"/>
          <w:right w:val="nil"/>
        </w:tcBorders>
        <w:shd w:val="clear" w:color="FFFFFF" w:themeColor="light1" w:fill="FFFFFF" w:themeFill="light1"/>
      </w:tcPr>
    </w:tblStylePr>
    <w:tblStylePr w:type="lastRow">
      <w:rPr>
        <w:rFonts w:ascii="Arial" w:hAnsi="Arial"/>
        <w:i/>
        <w:color w:val="2A4B71" w:themeColor="accent1" w:themeShade="94"/>
        <w:sz w:val="22"/>
      </w:rPr>
      <w:tcPr>
        <w:tcBorders>
          <w:top w:val="single" w:color="4F81BD" w:themeColor="accent1" w:sz="4" w:space="0"/>
          <w:left w:val="nil"/>
          <w:bottom w:val="nil"/>
          <w:right w:val="nil"/>
        </w:tcBorders>
        <w:shd w:val="clear" w:color="FFFFFF" w:themeColor="light1" w:fill="FFFFFF" w:themeFill="light1"/>
      </w:tcPr>
    </w:tblStylePr>
    <w:tblStylePr w:type="firstCol">
      <w:pPr>
        <w:jc w:val="right"/>
      </w:pPr>
      <w:rPr>
        <w:rFonts w:ascii="Arial" w:hAnsi="Arial"/>
        <w:i/>
        <w:color w:val="2A4B71" w:themeColor="accent1" w:themeShade="94"/>
        <w:sz w:val="22"/>
      </w:rPr>
      <w:tcPr>
        <w:tcBorders>
          <w:top w:val="nil"/>
          <w:left w:val="nil"/>
          <w:bottom w:val="nil"/>
          <w:right w:val="single" w:color="4F81BD" w:themeColor="accent1" w:sz="4" w:space="0"/>
        </w:tcBorders>
        <w:shd w:val="clear" w:color="FFFFFF" w:fill="auto"/>
      </w:tcPr>
    </w:tblStylePr>
    <w:tblStylePr w:type="lastCol">
      <w:rPr>
        <w:rFonts w:ascii="Arial" w:hAnsi="Arial"/>
        <w:i/>
        <w:color w:val="2A4B71" w:themeColor="accent1" w:themeShade="94"/>
        <w:sz w:val="22"/>
      </w:rPr>
      <w:tcPr>
        <w:tcBorders>
          <w:top w:val="nil"/>
          <w:left w:val="single" w:color="4F81BD" w:themeColor="accent1" w:sz="4" w:space="0"/>
          <w:bottom w:val="nil"/>
          <w:right w:val="nil"/>
        </w:tcBorders>
        <w:shd w:val="clear" w:color="FFFFFF" w:fill="auto"/>
      </w:tcPr>
    </w:tblStylePr>
    <w:tblStylePr w:type="band1Vert">
      <w:tcPr>
        <w:shd w:val="clear" w:color="D2DFEE" w:themeColor="accent1" w:themeTint="40" w:fill="D2DFEE" w:themeFill="accent1" w:themeFillTint="40"/>
      </w:tcPr>
    </w:tblStylePr>
    <w:tblStylePr w:type="band2Vert"/>
    <w:tblStylePr w:type="band1Horz">
      <w:rPr>
        <w:rFonts w:ascii="Arial" w:hAnsi="Arial"/>
        <w:color w:val="2A4B71" w:themeColor="accent1" w:themeShade="94"/>
        <w:sz w:val="22"/>
      </w:rPr>
      <w:tcPr>
        <w:shd w:val="clear" w:color="D2DFEE" w:themeColor="accent1" w:themeTint="40" w:fill="D2DFEE" w:themeFill="accent1" w:themeFillTint="40"/>
      </w:tcPr>
    </w:tblStylePr>
    <w:tblStylePr w:type="band2Horz">
      <w:rPr>
        <w:rFonts w:ascii="Arial" w:hAnsi="Arial"/>
        <w:color w:val="2A4B71" w:themeColor="accent1" w:themeShade="94"/>
        <w:sz w:val="22"/>
      </w:rPr>
    </w:tblStylePr>
    <w:tblStylePr w:type="neCell"/>
    <w:tblStylePr w:type="nwCell"/>
    <w:tblStylePr w:type="seCell"/>
    <w:tblStylePr w:type="swCell"/>
  </w:style>
  <w:style w:type="table" w:customStyle="1" w:styleId="187">
    <w:name w:val="List Table 7 Colorful - Accent 2"/>
    <w:basedOn w:val="56"/>
    <w:qFormat/>
    <w:uiPriority w:val="99"/>
    <w:pPr>
      <w:spacing w:after="0" w:line="240" w:lineRule="auto"/>
    </w:pPr>
    <w:tblPr>
      <w:tblBorders>
        <w:right w:val="single" w:color="D99795" w:themeColor="accent2" w:themeTint="97" w:sz="4" w:space="0"/>
      </w:tblBorders>
    </w:tblPr>
    <w:tblStylePr w:type="firstRow">
      <w:rPr>
        <w:rFonts w:ascii="Arial" w:hAnsi="Arial"/>
        <w:i/>
        <w:color w:val="DA9896" w:themeColor="accent2" w:themeTint="96"/>
        <w:sz w:val="22"/>
        <w14:textFill>
          <w14:solidFill>
            <w14:schemeClr w14:val="accent2">
              <w14:lumMod w14:val="59000"/>
              <w14:lumOff w14:val="41000"/>
            </w14:schemeClr>
          </w14:solidFill>
        </w14:textFill>
      </w:rPr>
      <w:tcPr>
        <w:tcBorders>
          <w:top w:val="nil"/>
          <w:left w:val="nil"/>
          <w:bottom w:val="single" w:color="D99795" w:themeColor="accent2" w:themeTint="97" w:sz="4" w:space="0"/>
          <w:right w:val="nil"/>
        </w:tcBorders>
        <w:shd w:val="clear" w:color="FFFFFF" w:themeColor="light1" w:fill="FFFFFF" w:themeFill="light1"/>
      </w:tcPr>
    </w:tblStylePr>
    <w:tblStylePr w:type="lastRow">
      <w:rPr>
        <w:rFonts w:ascii="Arial" w:hAnsi="Arial"/>
        <w:i/>
        <w:color w:val="DA9896" w:themeColor="accent2" w:themeTint="96"/>
        <w:sz w:val="22"/>
        <w14:textFill>
          <w14:solidFill>
            <w14:schemeClr w14:val="accent2">
              <w14:lumMod w14:val="59000"/>
              <w14:lumOff w14:val="41000"/>
            </w14:schemeClr>
          </w14:solidFill>
        </w14:textFill>
      </w:rPr>
      <w:tcPr>
        <w:tcBorders>
          <w:top w:val="single" w:color="D99795" w:themeColor="accent2" w:themeTint="97" w:sz="4" w:space="0"/>
          <w:left w:val="nil"/>
          <w:bottom w:val="nil"/>
          <w:right w:val="nil"/>
        </w:tcBorders>
        <w:shd w:val="clear" w:color="FFFFFF" w:themeColor="light1" w:fill="FFFFFF" w:themeFill="light1"/>
      </w:tcPr>
    </w:tblStylePr>
    <w:tblStylePr w:type="firstCol">
      <w:pPr>
        <w:jc w:val="right"/>
      </w:pPr>
      <w:rPr>
        <w:rFonts w:ascii="Arial" w:hAnsi="Arial"/>
        <w:i/>
        <w:color w:val="DA9896" w:themeColor="accent2" w:themeTint="96"/>
        <w:sz w:val="22"/>
        <w14:textFill>
          <w14:solidFill>
            <w14:schemeClr w14:val="accent2">
              <w14:lumMod w14:val="59000"/>
              <w14:lumOff w14:val="41000"/>
            </w14:schemeClr>
          </w14:solidFill>
        </w14:textFill>
      </w:rPr>
      <w:tcPr>
        <w:tcBorders>
          <w:top w:val="nil"/>
          <w:left w:val="nil"/>
          <w:bottom w:val="nil"/>
          <w:right w:val="single" w:color="D99795" w:themeColor="accent2" w:themeTint="97" w:sz="4" w:space="0"/>
        </w:tcBorders>
        <w:shd w:val="clear" w:color="FFFFFF" w:fill="auto"/>
      </w:tcPr>
    </w:tblStylePr>
    <w:tblStylePr w:type="lastCol">
      <w:rPr>
        <w:rFonts w:ascii="Arial" w:hAnsi="Arial"/>
        <w:i/>
        <w:color w:val="DA9896" w:themeColor="accent2" w:themeTint="96"/>
        <w:sz w:val="22"/>
        <w14:textFill>
          <w14:solidFill>
            <w14:schemeClr w14:val="accent2">
              <w14:lumMod w14:val="59000"/>
              <w14:lumOff w14:val="41000"/>
            </w14:schemeClr>
          </w14:solidFill>
        </w14:textFill>
      </w:rPr>
      <w:tcPr>
        <w:tcBorders>
          <w:top w:val="nil"/>
          <w:left w:val="single" w:color="D99795" w:themeColor="accent2" w:themeTint="97" w:sz="4" w:space="0"/>
          <w:bottom w:val="nil"/>
          <w:right w:val="nil"/>
        </w:tcBorders>
        <w:shd w:val="clear" w:color="FFFFFF" w:fill="auto"/>
      </w:tcPr>
    </w:tblStylePr>
    <w:tblStylePr w:type="band1Vert">
      <w:tcPr>
        <w:shd w:val="clear" w:color="EFD3D2" w:themeColor="accent2" w:themeTint="40" w:fill="EFD3D2" w:themeFill="accent2" w:themeFillTint="40"/>
      </w:tcPr>
    </w:tblStylePr>
    <w:tblStylePr w:type="band2Vert"/>
    <w:tblStylePr w:type="band1Horz">
      <w:rPr>
        <w:rFonts w:ascii="Arial" w:hAnsi="Arial"/>
        <w:color w:val="DA9896" w:themeColor="accent2" w:themeTint="96"/>
        <w:sz w:val="22"/>
        <w14:textFill>
          <w14:solidFill>
            <w14:schemeClr w14:val="accent2">
              <w14:lumMod w14:val="59000"/>
              <w14:lumOff w14:val="41000"/>
            </w14:schemeClr>
          </w14:solidFill>
        </w14:textFill>
      </w:rPr>
      <w:tcPr>
        <w:shd w:val="clear" w:color="EFD3D2" w:themeColor="accent2" w:themeTint="40" w:fill="EFD3D2" w:themeFill="accent2" w:themeFillTint="40"/>
      </w:tcPr>
    </w:tblStylePr>
    <w:tblStylePr w:type="band2Horz">
      <w:rPr>
        <w:rFonts w:ascii="Arial" w:hAnsi="Arial"/>
        <w:color w:val="DA9896" w:themeColor="accent2" w:themeTint="96"/>
        <w:sz w:val="22"/>
        <w14:textFill>
          <w14:solidFill>
            <w14:schemeClr w14:val="accent2">
              <w14:lumMod w14:val="59000"/>
              <w14:lumOff w14:val="41000"/>
            </w14:schemeClr>
          </w14:solidFill>
        </w14:textFill>
      </w:rPr>
    </w:tblStylePr>
    <w:tblStylePr w:type="neCell"/>
    <w:tblStylePr w:type="nwCell"/>
    <w:tblStylePr w:type="seCell"/>
    <w:tblStylePr w:type="swCell"/>
  </w:style>
  <w:style w:type="table" w:customStyle="1" w:styleId="188">
    <w:name w:val="List Table 7 Colorful - Accent 3"/>
    <w:basedOn w:val="56"/>
    <w:qFormat/>
    <w:uiPriority w:val="99"/>
    <w:pPr>
      <w:spacing w:after="0" w:line="240" w:lineRule="auto"/>
    </w:pPr>
    <w:tblPr>
      <w:tblBorders>
        <w:right w:val="single" w:color="C3D69C" w:themeColor="accent3" w:themeTint="98" w:sz="4" w:space="0"/>
      </w:tblBorders>
    </w:tblPr>
    <w:tblStylePr w:type="firstRow">
      <w:rPr>
        <w:rFonts w:ascii="Arial" w:hAnsi="Arial"/>
        <w:i/>
        <w:color w:val="C3D69B" w:themeColor="accent3" w:themeTint="99"/>
        <w:sz w:val="22"/>
        <w14:textFill>
          <w14:solidFill>
            <w14:schemeClr w14:val="accent3">
              <w14:lumMod w14:val="60000"/>
              <w14:lumOff w14:val="40000"/>
            </w14:schemeClr>
          </w14:solidFill>
        </w14:textFill>
      </w:rPr>
      <w:tcPr>
        <w:tcBorders>
          <w:top w:val="nil"/>
          <w:left w:val="nil"/>
          <w:bottom w:val="single" w:color="C3D69C" w:themeColor="accent3" w:themeTint="98" w:sz="4" w:space="0"/>
          <w:right w:val="nil"/>
        </w:tcBorders>
        <w:shd w:val="clear" w:color="FFFFFF" w:themeColor="light1" w:fill="FFFFFF" w:themeFill="light1"/>
      </w:tcPr>
    </w:tblStylePr>
    <w:tblStylePr w:type="lastRow">
      <w:rPr>
        <w:rFonts w:ascii="Arial" w:hAnsi="Arial"/>
        <w:i/>
        <w:color w:val="C3D69B" w:themeColor="accent3" w:themeTint="99"/>
        <w:sz w:val="22"/>
        <w14:textFill>
          <w14:solidFill>
            <w14:schemeClr w14:val="accent3">
              <w14:lumMod w14:val="60000"/>
              <w14:lumOff w14:val="40000"/>
            </w14:schemeClr>
          </w14:solidFill>
        </w14:textFill>
      </w:rPr>
      <w:tcPr>
        <w:tcBorders>
          <w:top w:val="single" w:color="C3D69C" w:themeColor="accent3" w:themeTint="98" w:sz="4" w:space="0"/>
          <w:left w:val="nil"/>
          <w:bottom w:val="nil"/>
          <w:right w:val="nil"/>
        </w:tcBorders>
        <w:shd w:val="clear" w:color="FFFFFF" w:themeColor="light1" w:fill="FFFFFF" w:themeFill="light1"/>
      </w:tcPr>
    </w:tblStylePr>
    <w:tblStylePr w:type="firstCol">
      <w:pPr>
        <w:jc w:val="right"/>
      </w:pPr>
      <w:rPr>
        <w:rFonts w:ascii="Arial" w:hAnsi="Arial"/>
        <w:i/>
        <w:color w:val="C3D69B" w:themeColor="accent3" w:themeTint="99"/>
        <w:sz w:val="22"/>
        <w14:textFill>
          <w14:solidFill>
            <w14:schemeClr w14:val="accent3">
              <w14:lumMod w14:val="60000"/>
              <w14:lumOff w14:val="40000"/>
            </w14:schemeClr>
          </w14:solidFill>
        </w14:textFill>
      </w:rPr>
      <w:tcPr>
        <w:tcBorders>
          <w:top w:val="nil"/>
          <w:left w:val="nil"/>
          <w:bottom w:val="nil"/>
          <w:right w:val="single" w:color="C3D69C" w:themeColor="accent3" w:themeTint="98" w:sz="4" w:space="0"/>
        </w:tcBorders>
        <w:shd w:val="clear" w:color="FFFFFF" w:fill="auto"/>
      </w:tcPr>
    </w:tblStylePr>
    <w:tblStylePr w:type="lastCol">
      <w:rPr>
        <w:rFonts w:ascii="Arial" w:hAnsi="Arial"/>
        <w:i/>
        <w:color w:val="C3D69B" w:themeColor="accent3" w:themeTint="99"/>
        <w:sz w:val="22"/>
        <w14:textFill>
          <w14:solidFill>
            <w14:schemeClr w14:val="accent3">
              <w14:lumMod w14:val="60000"/>
              <w14:lumOff w14:val="40000"/>
            </w14:schemeClr>
          </w14:solidFill>
        </w14:textFill>
      </w:rPr>
      <w:tcPr>
        <w:tcBorders>
          <w:top w:val="nil"/>
          <w:left w:val="single" w:color="C3D69C" w:themeColor="accent3" w:themeTint="98" w:sz="4" w:space="0"/>
          <w:bottom w:val="nil"/>
          <w:right w:val="nil"/>
        </w:tcBorders>
        <w:shd w:val="clear" w:color="FFFFFF" w:fill="auto"/>
      </w:tcPr>
    </w:tblStylePr>
    <w:tblStylePr w:type="band1Vert">
      <w:tcPr>
        <w:shd w:val="clear" w:color="E5EDD5" w:themeColor="accent3" w:themeTint="40" w:fill="E5EDD5" w:themeFill="accent3" w:themeFillTint="40"/>
      </w:tcPr>
    </w:tblStylePr>
    <w:tblStylePr w:type="band2Vert"/>
    <w:tblStylePr w:type="band1Horz">
      <w:rPr>
        <w:rFonts w:ascii="Arial" w:hAnsi="Arial"/>
        <w:color w:val="C3D69B" w:themeColor="accent3" w:themeTint="99"/>
        <w:sz w:val="22"/>
        <w14:textFill>
          <w14:solidFill>
            <w14:schemeClr w14:val="accent3">
              <w14:lumMod w14:val="60000"/>
              <w14:lumOff w14:val="40000"/>
            </w14:schemeClr>
          </w14:solidFill>
        </w14:textFill>
      </w:rPr>
      <w:tcPr>
        <w:shd w:val="clear" w:color="E5EDD5" w:themeColor="accent3" w:themeTint="40" w:fill="E5EDD5" w:themeFill="accent3" w:themeFillTint="40"/>
      </w:tcPr>
    </w:tblStylePr>
    <w:tblStylePr w:type="band2Horz">
      <w:rPr>
        <w:rFonts w:ascii="Arial" w:hAnsi="Arial"/>
        <w:color w:val="C3D69B" w:themeColor="accent3" w:themeTint="99"/>
        <w:sz w:val="22"/>
        <w14:textFill>
          <w14:solidFill>
            <w14:schemeClr w14:val="accent3">
              <w14:lumMod w14:val="60000"/>
              <w14:lumOff w14:val="40000"/>
            </w14:schemeClr>
          </w14:solidFill>
        </w14:textFill>
      </w:rPr>
    </w:tblStylePr>
    <w:tblStylePr w:type="neCell"/>
    <w:tblStylePr w:type="nwCell"/>
    <w:tblStylePr w:type="seCell"/>
    <w:tblStylePr w:type="swCell"/>
  </w:style>
  <w:style w:type="table" w:customStyle="1" w:styleId="189">
    <w:name w:val="List Table 7 Colorful - Accent 4"/>
    <w:basedOn w:val="56"/>
    <w:qFormat/>
    <w:uiPriority w:val="99"/>
    <w:pPr>
      <w:spacing w:after="0" w:line="240" w:lineRule="auto"/>
    </w:pPr>
    <w:tblPr>
      <w:tblBorders>
        <w:right w:val="single" w:color="B2A1C6" w:themeColor="accent4" w:themeTint="9A" w:sz="4" w:space="0"/>
      </w:tblBorders>
    </w:tblPr>
    <w:tblStylePr w:type="firstRow">
      <w:rPr>
        <w:rFonts w:ascii="Arial" w:hAnsi="Arial"/>
        <w:i/>
        <w:color w:val="B3A2C7" w:themeColor="accent4" w:themeTint="99"/>
        <w:sz w:val="22"/>
        <w14:textFill>
          <w14:solidFill>
            <w14:schemeClr w14:val="accent4">
              <w14:lumMod w14:val="60000"/>
              <w14:lumOff w14:val="40000"/>
            </w14:schemeClr>
          </w14:solidFill>
        </w14:textFill>
      </w:rPr>
      <w:tcPr>
        <w:tcBorders>
          <w:top w:val="nil"/>
          <w:left w:val="nil"/>
          <w:bottom w:val="single" w:color="B2A1C6" w:themeColor="accent4" w:themeTint="9A" w:sz="4" w:space="0"/>
          <w:right w:val="nil"/>
        </w:tcBorders>
        <w:shd w:val="clear" w:color="FFFFFF" w:themeColor="light1" w:fill="FFFFFF" w:themeFill="light1"/>
      </w:tcPr>
    </w:tblStylePr>
    <w:tblStylePr w:type="lastRow">
      <w:rPr>
        <w:rFonts w:ascii="Arial" w:hAnsi="Arial"/>
        <w:i/>
        <w:color w:val="B3A2C7" w:themeColor="accent4" w:themeTint="99"/>
        <w:sz w:val="22"/>
        <w14:textFill>
          <w14:solidFill>
            <w14:schemeClr w14:val="accent4">
              <w14:lumMod w14:val="60000"/>
              <w14:lumOff w14:val="40000"/>
            </w14:schemeClr>
          </w14:solidFill>
        </w14:textFill>
      </w:rPr>
      <w:tcPr>
        <w:tcBorders>
          <w:top w:val="single" w:color="B2A1C6" w:themeColor="accent4" w:themeTint="9A" w:sz="4" w:space="0"/>
          <w:left w:val="nil"/>
          <w:bottom w:val="nil"/>
          <w:right w:val="nil"/>
        </w:tcBorders>
        <w:shd w:val="clear" w:color="FFFFFF" w:themeColor="light1" w:fill="FFFFFF" w:themeFill="light1"/>
      </w:tcPr>
    </w:tblStylePr>
    <w:tblStylePr w:type="firstCol">
      <w:pPr>
        <w:jc w:val="right"/>
      </w:pPr>
      <w:rPr>
        <w:rFonts w:ascii="Arial" w:hAnsi="Arial"/>
        <w:i/>
        <w:color w:val="B3A2C7" w:themeColor="accent4" w:themeTint="99"/>
        <w:sz w:val="22"/>
        <w14:textFill>
          <w14:solidFill>
            <w14:schemeClr w14:val="accent4">
              <w14:lumMod w14:val="60000"/>
              <w14:lumOff w14:val="40000"/>
            </w14:schemeClr>
          </w14:solidFill>
        </w14:textFill>
      </w:rPr>
      <w:tcPr>
        <w:tcBorders>
          <w:top w:val="nil"/>
          <w:left w:val="nil"/>
          <w:bottom w:val="nil"/>
          <w:right w:val="single" w:color="B2A1C6" w:themeColor="accent4" w:themeTint="9A" w:sz="4" w:space="0"/>
        </w:tcBorders>
        <w:shd w:val="clear" w:color="FFFFFF" w:fill="auto"/>
      </w:tcPr>
    </w:tblStylePr>
    <w:tblStylePr w:type="lastCol">
      <w:rPr>
        <w:rFonts w:ascii="Arial" w:hAnsi="Arial"/>
        <w:i/>
        <w:color w:val="B3A2C7" w:themeColor="accent4" w:themeTint="99"/>
        <w:sz w:val="22"/>
        <w14:textFill>
          <w14:solidFill>
            <w14:schemeClr w14:val="accent4">
              <w14:lumMod w14:val="60000"/>
              <w14:lumOff w14:val="40000"/>
            </w14:schemeClr>
          </w14:solidFill>
        </w14:textFill>
      </w:rPr>
      <w:tcPr>
        <w:tcBorders>
          <w:top w:val="nil"/>
          <w:left w:val="single" w:color="B2A1C6" w:themeColor="accent4" w:themeTint="9A" w:sz="4" w:space="0"/>
          <w:bottom w:val="nil"/>
          <w:right w:val="nil"/>
        </w:tcBorders>
        <w:shd w:val="clear" w:color="FFFFFF" w:fill="auto"/>
      </w:tcPr>
    </w:tblStylePr>
    <w:tblStylePr w:type="band1Vert">
      <w:tcPr>
        <w:shd w:val="clear" w:color="DFD8E7" w:themeColor="accent4" w:themeTint="40" w:fill="DFD8E7" w:themeFill="accent4" w:themeFillTint="40"/>
      </w:tcPr>
    </w:tblStylePr>
    <w:tblStylePr w:type="band2Vert"/>
    <w:tblStylePr w:type="band1Horz">
      <w:rPr>
        <w:rFonts w:ascii="Arial" w:hAnsi="Arial"/>
        <w:color w:val="B3A2C7" w:themeColor="accent4" w:themeTint="99"/>
        <w:sz w:val="22"/>
        <w14:textFill>
          <w14:solidFill>
            <w14:schemeClr w14:val="accent4">
              <w14:lumMod w14:val="60000"/>
              <w14:lumOff w14:val="40000"/>
            </w14:schemeClr>
          </w14:solidFill>
        </w14:textFill>
      </w:rPr>
      <w:tcPr>
        <w:shd w:val="clear" w:color="DFD8E7" w:themeColor="accent4" w:themeTint="40" w:fill="DFD8E7" w:themeFill="accent4" w:themeFillTint="40"/>
      </w:tcPr>
    </w:tblStylePr>
    <w:tblStylePr w:type="band2Horz">
      <w:rPr>
        <w:rFonts w:ascii="Arial" w:hAnsi="Arial"/>
        <w:color w:val="B3A2C7" w:themeColor="accent4" w:themeTint="99"/>
        <w:sz w:val="22"/>
        <w14:textFill>
          <w14:solidFill>
            <w14:schemeClr w14:val="accent4">
              <w14:lumMod w14:val="60000"/>
              <w14:lumOff w14:val="40000"/>
            </w14:schemeClr>
          </w14:solidFill>
        </w14:textFill>
      </w:rPr>
    </w:tblStylePr>
    <w:tblStylePr w:type="neCell"/>
    <w:tblStylePr w:type="nwCell"/>
    <w:tblStylePr w:type="seCell"/>
    <w:tblStylePr w:type="swCell"/>
  </w:style>
  <w:style w:type="table" w:customStyle="1" w:styleId="190">
    <w:name w:val="List Table 7 Colorful - Accent 5"/>
    <w:basedOn w:val="56"/>
    <w:qFormat/>
    <w:uiPriority w:val="99"/>
    <w:pPr>
      <w:spacing w:after="0" w:line="240" w:lineRule="auto"/>
    </w:pPr>
    <w:tblPr>
      <w:tblBorders>
        <w:right w:val="single" w:color="92CCDC" w:themeColor="accent5" w:themeTint="9A" w:sz="4" w:space="0"/>
      </w:tblBorders>
    </w:tblPr>
    <w:tblStylePr w:type="firstRow">
      <w:rPr>
        <w:rFonts w:ascii="Arial" w:hAnsi="Arial"/>
        <w:i/>
        <w:color w:val="93CDDD" w:themeColor="accent5" w:themeTint="99"/>
        <w:sz w:val="22"/>
        <w14:textFill>
          <w14:solidFill>
            <w14:schemeClr w14:val="accent5">
              <w14:lumMod w14:val="60000"/>
              <w14:lumOff w14:val="40000"/>
            </w14:schemeClr>
          </w14:solidFill>
        </w14:textFill>
      </w:rPr>
      <w:tcPr>
        <w:tcBorders>
          <w:top w:val="nil"/>
          <w:left w:val="nil"/>
          <w:bottom w:val="single" w:color="92CCDC" w:themeColor="accent5" w:themeTint="9A" w:sz="4" w:space="0"/>
          <w:right w:val="nil"/>
        </w:tcBorders>
        <w:shd w:val="clear" w:color="FFFFFF" w:themeColor="light1" w:fill="FFFFFF" w:themeFill="light1"/>
      </w:tcPr>
    </w:tblStylePr>
    <w:tblStylePr w:type="lastRow">
      <w:rPr>
        <w:rFonts w:ascii="Arial" w:hAnsi="Arial"/>
        <w:i/>
        <w:color w:val="93CDDD" w:themeColor="accent5" w:themeTint="99"/>
        <w:sz w:val="22"/>
        <w14:textFill>
          <w14:solidFill>
            <w14:schemeClr w14:val="accent5">
              <w14:lumMod w14:val="60000"/>
              <w14:lumOff w14:val="40000"/>
            </w14:schemeClr>
          </w14:solidFill>
        </w14:textFill>
      </w:rPr>
      <w:tcPr>
        <w:tcBorders>
          <w:top w:val="single" w:color="92CCDC" w:themeColor="accent5" w:themeTint="9A" w:sz="4" w:space="0"/>
          <w:left w:val="nil"/>
          <w:bottom w:val="nil"/>
          <w:right w:val="nil"/>
        </w:tcBorders>
        <w:shd w:val="clear" w:color="FFFFFF" w:themeColor="light1" w:fill="FFFFFF" w:themeFill="light1"/>
      </w:tcPr>
    </w:tblStylePr>
    <w:tblStylePr w:type="firstCol">
      <w:pPr>
        <w:jc w:val="right"/>
      </w:pPr>
      <w:rPr>
        <w:rFonts w:ascii="Arial" w:hAnsi="Arial"/>
        <w:i/>
        <w:color w:val="93CDDD" w:themeColor="accent5" w:themeTint="99"/>
        <w:sz w:val="22"/>
        <w14:textFill>
          <w14:solidFill>
            <w14:schemeClr w14:val="accent5">
              <w14:lumMod w14:val="60000"/>
              <w14:lumOff w14:val="40000"/>
            </w14:schemeClr>
          </w14:solidFill>
        </w14:textFill>
      </w:rPr>
      <w:tcPr>
        <w:tcBorders>
          <w:top w:val="nil"/>
          <w:left w:val="nil"/>
          <w:bottom w:val="nil"/>
          <w:right w:val="single" w:color="92CCDC" w:themeColor="accent5" w:themeTint="9A" w:sz="4" w:space="0"/>
        </w:tcBorders>
        <w:shd w:val="clear" w:color="FFFFFF" w:fill="auto"/>
      </w:tcPr>
    </w:tblStylePr>
    <w:tblStylePr w:type="lastCol">
      <w:rPr>
        <w:rFonts w:ascii="Arial" w:hAnsi="Arial"/>
        <w:i/>
        <w:color w:val="93CDDD" w:themeColor="accent5" w:themeTint="99"/>
        <w:sz w:val="22"/>
        <w14:textFill>
          <w14:solidFill>
            <w14:schemeClr w14:val="accent5">
              <w14:lumMod w14:val="60000"/>
              <w14:lumOff w14:val="40000"/>
            </w14:schemeClr>
          </w14:solidFill>
        </w14:textFill>
      </w:rPr>
      <w:tcPr>
        <w:tcBorders>
          <w:top w:val="nil"/>
          <w:left w:val="single" w:color="92CCDC" w:themeColor="accent5" w:themeTint="9A" w:sz="4" w:space="0"/>
          <w:bottom w:val="nil"/>
          <w:right w:val="nil"/>
        </w:tcBorders>
        <w:shd w:val="clear" w:color="FFFFFF" w:fill="auto"/>
      </w:tcPr>
    </w:tblStylePr>
    <w:tblStylePr w:type="band1Vert">
      <w:tcPr>
        <w:shd w:val="clear" w:color="D1EAF0" w:themeColor="accent5" w:themeTint="40" w:fill="D1EAF0" w:themeFill="accent5" w:themeFillTint="40"/>
      </w:tcPr>
    </w:tblStylePr>
    <w:tblStylePr w:type="band2Vert"/>
    <w:tblStylePr w:type="band1Horz">
      <w:rPr>
        <w:rFonts w:ascii="Arial" w:hAnsi="Arial"/>
        <w:color w:val="93CDDD" w:themeColor="accent5" w:themeTint="99"/>
        <w:sz w:val="22"/>
        <w14:textFill>
          <w14:solidFill>
            <w14:schemeClr w14:val="accent5">
              <w14:lumMod w14:val="60000"/>
              <w14:lumOff w14:val="40000"/>
            </w14:schemeClr>
          </w14:solidFill>
        </w14:textFill>
      </w:rPr>
      <w:tcPr>
        <w:shd w:val="clear" w:color="D1EAF0" w:themeColor="accent5" w:themeTint="40" w:fill="D1EAF0" w:themeFill="accent5" w:themeFillTint="40"/>
      </w:tcPr>
    </w:tblStylePr>
    <w:tblStylePr w:type="band2Horz">
      <w:rPr>
        <w:rFonts w:ascii="Arial" w:hAnsi="Arial"/>
        <w:color w:val="93CDDD" w:themeColor="accent5" w:themeTint="99"/>
        <w:sz w:val="22"/>
        <w14:textFill>
          <w14:solidFill>
            <w14:schemeClr w14:val="accent5">
              <w14:lumMod w14:val="60000"/>
              <w14:lumOff w14:val="40000"/>
            </w14:schemeClr>
          </w14:solidFill>
        </w14:textFill>
      </w:rPr>
    </w:tblStylePr>
    <w:tblStylePr w:type="neCell"/>
    <w:tblStylePr w:type="nwCell"/>
    <w:tblStylePr w:type="seCell"/>
    <w:tblStylePr w:type="swCell"/>
  </w:style>
  <w:style w:type="table" w:customStyle="1" w:styleId="191">
    <w:name w:val="List Table 7 Colorful - Accent 6"/>
    <w:basedOn w:val="56"/>
    <w:qFormat/>
    <w:uiPriority w:val="99"/>
    <w:pPr>
      <w:spacing w:after="0" w:line="240" w:lineRule="auto"/>
    </w:pPr>
    <w:tblPr>
      <w:tblBorders>
        <w:right w:val="single" w:color="FAC090" w:themeColor="accent6" w:themeTint="98" w:sz="4" w:space="0"/>
      </w:tblBorders>
    </w:tblPr>
    <w:tblStylePr w:type="firstRow">
      <w:rPr>
        <w:rFonts w:ascii="Arial" w:hAnsi="Arial"/>
        <w:i/>
        <w:color w:val="FAC090" w:themeColor="accent6" w:themeTint="99"/>
        <w:sz w:val="22"/>
        <w14:textFill>
          <w14:solidFill>
            <w14:schemeClr w14:val="accent6">
              <w14:lumMod w14:val="60000"/>
              <w14:lumOff w14:val="40000"/>
            </w14:schemeClr>
          </w14:solidFill>
        </w14:textFill>
      </w:rPr>
      <w:tcPr>
        <w:tcBorders>
          <w:top w:val="nil"/>
          <w:left w:val="nil"/>
          <w:bottom w:val="single" w:color="FAC090" w:themeColor="accent6" w:themeTint="98" w:sz="4" w:space="0"/>
          <w:right w:val="nil"/>
        </w:tcBorders>
        <w:shd w:val="clear" w:color="FFFFFF" w:themeColor="light1" w:fill="FFFFFF" w:themeFill="light1"/>
      </w:tcPr>
    </w:tblStylePr>
    <w:tblStylePr w:type="lastRow">
      <w:rPr>
        <w:rFonts w:ascii="Arial" w:hAnsi="Arial"/>
        <w:i/>
        <w:color w:val="FAC090" w:themeColor="accent6" w:themeTint="99"/>
        <w:sz w:val="22"/>
        <w14:textFill>
          <w14:solidFill>
            <w14:schemeClr w14:val="accent6">
              <w14:lumMod w14:val="60000"/>
              <w14:lumOff w14:val="40000"/>
            </w14:schemeClr>
          </w14:solidFill>
        </w14:textFill>
      </w:rPr>
      <w:tcPr>
        <w:tcBorders>
          <w:top w:val="single" w:color="FAC090" w:themeColor="accent6" w:themeTint="98" w:sz="4" w:space="0"/>
          <w:left w:val="nil"/>
          <w:bottom w:val="nil"/>
          <w:right w:val="nil"/>
        </w:tcBorders>
        <w:shd w:val="clear" w:color="FFFFFF" w:themeColor="light1" w:fill="FFFFFF" w:themeFill="light1"/>
      </w:tcPr>
    </w:tblStylePr>
    <w:tblStylePr w:type="firstCol">
      <w:pPr>
        <w:jc w:val="right"/>
      </w:pPr>
      <w:rPr>
        <w:rFonts w:ascii="Arial" w:hAnsi="Arial"/>
        <w:i/>
        <w:color w:val="FAC090" w:themeColor="accent6" w:themeTint="99"/>
        <w:sz w:val="22"/>
        <w14:textFill>
          <w14:solidFill>
            <w14:schemeClr w14:val="accent6">
              <w14:lumMod w14:val="60000"/>
              <w14:lumOff w14:val="40000"/>
            </w14:schemeClr>
          </w14:solidFill>
        </w14:textFill>
      </w:rPr>
      <w:tcPr>
        <w:tcBorders>
          <w:top w:val="nil"/>
          <w:left w:val="nil"/>
          <w:bottom w:val="nil"/>
          <w:right w:val="single" w:color="FAC090" w:themeColor="accent6" w:themeTint="98" w:sz="4" w:space="0"/>
        </w:tcBorders>
        <w:shd w:val="clear" w:color="FFFFFF" w:fill="auto"/>
      </w:tcPr>
    </w:tblStylePr>
    <w:tblStylePr w:type="lastCol">
      <w:rPr>
        <w:rFonts w:ascii="Arial" w:hAnsi="Arial"/>
        <w:i/>
        <w:color w:val="FAC090" w:themeColor="accent6" w:themeTint="99"/>
        <w:sz w:val="22"/>
        <w14:textFill>
          <w14:solidFill>
            <w14:schemeClr w14:val="accent6">
              <w14:lumMod w14:val="60000"/>
              <w14:lumOff w14:val="40000"/>
            </w14:schemeClr>
          </w14:solidFill>
        </w14:textFill>
      </w:rPr>
      <w:tcPr>
        <w:tcBorders>
          <w:top w:val="nil"/>
          <w:left w:val="single" w:color="FAC090" w:themeColor="accent6" w:themeTint="98" w:sz="4" w:space="0"/>
          <w:bottom w:val="nil"/>
          <w:right w:val="nil"/>
        </w:tcBorders>
        <w:shd w:val="clear" w:color="FFFFFF" w:fill="auto"/>
      </w:tcPr>
    </w:tblStylePr>
    <w:tblStylePr w:type="band1Vert">
      <w:tcPr>
        <w:shd w:val="clear" w:color="FCE4D0" w:themeColor="accent6" w:themeTint="40" w:fill="FCE4D0" w:themeFill="accent6" w:themeFillTint="40"/>
      </w:tcPr>
    </w:tblStylePr>
    <w:tblStylePr w:type="band2Vert"/>
    <w:tblStylePr w:type="band1Horz">
      <w:rPr>
        <w:rFonts w:ascii="Arial" w:hAnsi="Arial"/>
        <w:color w:val="FAC090" w:themeColor="accent6" w:themeTint="99"/>
        <w:sz w:val="22"/>
        <w14:textFill>
          <w14:solidFill>
            <w14:schemeClr w14:val="accent6">
              <w14:lumMod w14:val="60000"/>
              <w14:lumOff w14:val="40000"/>
            </w14:schemeClr>
          </w14:solidFill>
        </w14:textFill>
      </w:rPr>
      <w:tcPr>
        <w:shd w:val="clear" w:color="FCE4D0" w:themeColor="accent6" w:themeTint="40" w:fill="FCE4D0" w:themeFill="accent6" w:themeFillTint="40"/>
      </w:tcPr>
    </w:tblStylePr>
    <w:tblStylePr w:type="band2Horz">
      <w:rPr>
        <w:rFonts w:ascii="Arial" w:hAnsi="Arial"/>
        <w:color w:val="FAC090" w:themeColor="accent6" w:themeTint="99"/>
        <w:sz w:val="22"/>
        <w14:textFill>
          <w14:solidFill>
            <w14:schemeClr w14:val="accent6">
              <w14:lumMod w14:val="60000"/>
              <w14:lumOff w14:val="40000"/>
            </w14:schemeClr>
          </w14:solidFill>
        </w14:textFill>
      </w:rPr>
    </w:tblStylePr>
    <w:tblStylePr w:type="neCell"/>
    <w:tblStylePr w:type="nwCell"/>
    <w:tblStylePr w:type="seCell"/>
    <w:tblStylePr w:type="swCell"/>
  </w:style>
  <w:style w:type="table" w:customStyle="1" w:styleId="192">
    <w:name w:val="Lined - Accent"/>
    <w:basedOn w:val="56"/>
    <w:qFormat/>
    <w:uiPriority w:val="99"/>
    <w:pPr>
      <w:spacing w:after="0" w:line="240" w:lineRule="auto"/>
    </w:pPr>
    <w:rPr>
      <w:color w:val="404040"/>
    </w:rPr>
    <w:tblStylePr w:type="firstRow">
      <w:rPr>
        <w:rFonts w:ascii="Arial" w:hAnsi="Arial"/>
        <w:color w:val="F2F2F2"/>
        <w:sz w:val="22"/>
      </w:rPr>
      <w:tcPr>
        <w:shd w:val="clear" w:color="7E7E7E" w:themeColor="text1" w:themeTint="80" w:fill="7E7E7E" w:themeFill="text1" w:themeFillTint="80"/>
      </w:tcPr>
    </w:tblStylePr>
    <w:tblStylePr w:type="lastRow">
      <w:rPr>
        <w:rFonts w:ascii="Arial" w:hAnsi="Arial"/>
        <w:color w:val="F2F2F2"/>
        <w:sz w:val="22"/>
      </w:rPr>
      <w:tcPr>
        <w:shd w:val="clear" w:color="7E7E7E" w:themeColor="text1" w:themeTint="80" w:fill="7E7E7E" w:themeFill="text1" w:themeFillTint="80"/>
      </w:tcPr>
    </w:tblStylePr>
    <w:tblStylePr w:type="firstCol">
      <w:rPr>
        <w:rFonts w:ascii="Arial" w:hAnsi="Arial"/>
        <w:color w:val="F2F2F2"/>
        <w:sz w:val="22"/>
      </w:rPr>
      <w:tcPr>
        <w:shd w:val="clear" w:color="7E7E7E" w:themeColor="text1" w:themeTint="80" w:fill="7E7E7E" w:themeFill="text1" w:themeFillTint="80"/>
      </w:tcPr>
    </w:tblStylePr>
    <w:tblStylePr w:type="lastCol">
      <w:rPr>
        <w:rFonts w:ascii="Arial" w:hAnsi="Arial"/>
        <w:color w:val="F2F2F2"/>
        <w:sz w:val="22"/>
      </w:rPr>
      <w:tcPr>
        <w:shd w:val="clear" w:color="7E7E7E" w:themeColor="text1" w:themeTint="80" w:fill="7E7E7E" w:themeFill="text1" w:themeFillTint="80"/>
      </w:tcPr>
    </w:tblStylePr>
    <w:tblStylePr w:type="band1Vert">
      <w:rPr>
        <w:rFonts w:ascii="Arial" w:hAnsi="Arial"/>
        <w:color w:val="404040"/>
        <w:sz w:val="22"/>
      </w:rPr>
    </w:tblStylePr>
    <w:tblStylePr w:type="band2Vert">
      <w:rPr>
        <w:rFonts w:ascii="Arial" w:hAnsi="Arial"/>
        <w:color w:val="404040"/>
        <w:sz w:val="22"/>
      </w:rPr>
      <w:tcPr>
        <w:shd w:val="clear" w:color="F1F1F1" w:themeColor="text1" w:themeTint="0D" w:fill="F1F1F1" w:themeFill="text1" w:themeFillTint="0D"/>
      </w:tcPr>
    </w:tblStylePr>
    <w:tblStylePr w:type="band1Horz">
      <w:rPr>
        <w:rFonts w:ascii="Arial" w:hAnsi="Arial"/>
        <w:color w:val="404040"/>
        <w:sz w:val="22"/>
      </w:rPr>
    </w:tblStylePr>
    <w:tblStylePr w:type="band2Horz">
      <w:rPr>
        <w:rFonts w:ascii="Arial" w:hAnsi="Arial"/>
        <w:color w:val="404040"/>
        <w:sz w:val="22"/>
      </w:rPr>
      <w:tcPr>
        <w:shd w:val="clear" w:color="F1F1F1" w:themeColor="text1" w:themeTint="0D" w:fill="F1F1F1" w:themeFill="text1" w:themeFillTint="0D"/>
      </w:tcPr>
    </w:tblStylePr>
    <w:tblStylePr w:type="neCell"/>
    <w:tblStylePr w:type="nwCell"/>
    <w:tblStylePr w:type="seCell"/>
    <w:tblStylePr w:type="swCell"/>
  </w:style>
  <w:style w:type="table" w:customStyle="1" w:styleId="193">
    <w:name w:val="Lined - Accent 1"/>
    <w:basedOn w:val="56"/>
    <w:qFormat/>
    <w:uiPriority w:val="99"/>
    <w:pPr>
      <w:spacing w:after="0" w:line="240" w:lineRule="auto"/>
    </w:pPr>
    <w:rPr>
      <w:color w:val="404040"/>
    </w:rPr>
    <w:tblStylePr w:type="firstRow">
      <w:rPr>
        <w:rFonts w:ascii="Arial" w:hAnsi="Arial"/>
        <w:color w:val="F2F2F2"/>
        <w:sz w:val="22"/>
      </w:rPr>
      <w:tcPr>
        <w:shd w:val="clear" w:color="5D8BC2" w:themeColor="accent1" w:themeTint="EA" w:fill="5D8BC2" w:themeFill="accent1" w:themeFillTint="EA"/>
      </w:tcPr>
    </w:tblStylePr>
    <w:tblStylePr w:type="lastRow">
      <w:rPr>
        <w:rFonts w:ascii="Arial" w:hAnsi="Arial"/>
        <w:color w:val="F2F2F2"/>
        <w:sz w:val="22"/>
      </w:rPr>
      <w:tcPr>
        <w:shd w:val="clear" w:color="5D8BC2" w:themeColor="accent1" w:themeTint="EA" w:fill="5D8BC2" w:themeFill="accent1" w:themeFillTint="EA"/>
      </w:tcPr>
    </w:tblStylePr>
    <w:tblStylePr w:type="firstCol">
      <w:rPr>
        <w:rFonts w:ascii="Arial" w:hAnsi="Arial"/>
        <w:color w:val="F2F2F2"/>
        <w:sz w:val="22"/>
      </w:rPr>
      <w:tcPr>
        <w:shd w:val="clear" w:color="5D8BC2" w:themeColor="accent1" w:themeTint="EA" w:fill="5D8BC2" w:themeFill="accent1" w:themeFillTint="EA"/>
      </w:tcPr>
    </w:tblStylePr>
    <w:tblStylePr w:type="lastCol">
      <w:rPr>
        <w:rFonts w:ascii="Arial" w:hAnsi="Arial"/>
        <w:color w:val="F2F2F2"/>
        <w:sz w:val="22"/>
      </w:rPr>
      <w:tcPr>
        <w:shd w:val="clear" w:color="5D8BC2" w:themeColor="accent1" w:themeTint="EA" w:fill="5D8BC2" w:themeFill="accent1" w:themeFillTint="EA"/>
      </w:tcPr>
    </w:tblStylePr>
    <w:tblStylePr w:type="band1Vert">
      <w:rPr>
        <w:rFonts w:ascii="Arial" w:hAnsi="Arial"/>
        <w:color w:val="404040"/>
        <w:sz w:val="22"/>
      </w:rPr>
    </w:tblStylePr>
    <w:tblStylePr w:type="band2Vert">
      <w:rPr>
        <w:rFonts w:ascii="Arial" w:hAnsi="Arial"/>
        <w:color w:val="404040"/>
        <w:sz w:val="22"/>
      </w:r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cPr>
        <w:shd w:val="clear" w:color="C7D7EA" w:themeColor="accent1" w:themeTint="50" w:fill="C7D7EA" w:themeFill="accent1" w:themeFillTint="50"/>
      </w:tcPr>
    </w:tblStylePr>
    <w:tblStylePr w:type="neCell"/>
    <w:tblStylePr w:type="nwCell"/>
    <w:tblStylePr w:type="seCell"/>
    <w:tblStylePr w:type="swCell"/>
  </w:style>
  <w:style w:type="table" w:customStyle="1" w:styleId="194">
    <w:name w:val="Lined - Accent 2"/>
    <w:basedOn w:val="56"/>
    <w:qFormat/>
    <w:uiPriority w:val="99"/>
    <w:pPr>
      <w:spacing w:after="0" w:line="240" w:lineRule="auto"/>
    </w:pPr>
    <w:rPr>
      <w:color w:val="404040"/>
    </w:rPr>
    <w:tblStylePr w:type="firstRow">
      <w:rPr>
        <w:rFonts w:ascii="Arial" w:hAnsi="Arial"/>
        <w:color w:val="F2F2F2"/>
        <w:sz w:val="22"/>
      </w:rPr>
      <w:tcPr>
        <w:shd w:val="clear" w:color="D99795" w:themeColor="accent2" w:themeTint="97" w:fill="D99795" w:themeFill="accent2" w:themeFillTint="97"/>
      </w:tcPr>
    </w:tblStylePr>
    <w:tblStylePr w:type="lastRow">
      <w:rPr>
        <w:rFonts w:ascii="Arial" w:hAnsi="Arial"/>
        <w:color w:val="F2F2F2"/>
        <w:sz w:val="22"/>
      </w:rPr>
      <w:tcPr>
        <w:shd w:val="clear" w:color="D99795" w:themeColor="accent2" w:themeTint="97" w:fill="D99795" w:themeFill="accent2" w:themeFillTint="97"/>
      </w:tcPr>
    </w:tblStylePr>
    <w:tblStylePr w:type="firstCol">
      <w:rPr>
        <w:rFonts w:ascii="Arial" w:hAnsi="Arial"/>
        <w:color w:val="F2F2F2"/>
        <w:sz w:val="22"/>
      </w:rPr>
      <w:tcPr>
        <w:shd w:val="clear" w:color="D99795" w:themeColor="accent2" w:themeTint="97" w:fill="D99795" w:themeFill="accent2" w:themeFillTint="97"/>
      </w:tcPr>
    </w:tblStylePr>
    <w:tblStylePr w:type="lastCol">
      <w:rPr>
        <w:rFonts w:ascii="Arial" w:hAnsi="Arial"/>
        <w:color w:val="F2F2F2"/>
        <w:sz w:val="22"/>
      </w:rPr>
      <w:tcPr>
        <w:shd w:val="clear" w:color="D99795" w:themeColor="accent2" w:themeTint="97" w:fill="D99795" w:themeFill="accent2" w:themeFillTint="97"/>
      </w:tcPr>
    </w:tblStylePr>
    <w:tblStylePr w:type="band1Vert">
      <w:rPr>
        <w:rFonts w:ascii="Arial" w:hAnsi="Arial"/>
        <w:color w:val="404040"/>
        <w:sz w:val="22"/>
      </w:rPr>
    </w:tblStylePr>
    <w:tblStylePr w:type="band2Vert">
      <w:rPr>
        <w:rFonts w:ascii="Arial" w:hAnsi="Arial"/>
        <w:color w:val="404040"/>
        <w:sz w:val="22"/>
      </w:r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cPr>
        <w:shd w:val="clear" w:color="F2DCDC" w:themeColor="accent2" w:themeTint="32" w:fill="F2DCDC" w:themeFill="accent2" w:themeFillTint="32"/>
      </w:tcPr>
    </w:tblStylePr>
    <w:tblStylePr w:type="neCell"/>
    <w:tblStylePr w:type="nwCell"/>
    <w:tblStylePr w:type="seCell"/>
    <w:tblStylePr w:type="swCell"/>
  </w:style>
  <w:style w:type="table" w:customStyle="1" w:styleId="195">
    <w:name w:val="Lined - Accent 3"/>
    <w:basedOn w:val="56"/>
    <w:qFormat/>
    <w:uiPriority w:val="99"/>
    <w:pPr>
      <w:spacing w:after="0" w:line="240" w:lineRule="auto"/>
    </w:pPr>
    <w:rPr>
      <w:color w:val="404040"/>
    </w:rPr>
    <w:tblStylePr w:type="firstRow">
      <w:rPr>
        <w:rFonts w:ascii="Arial" w:hAnsi="Arial"/>
        <w:color w:val="F2F2F2"/>
        <w:sz w:val="22"/>
      </w:rPr>
      <w:tcPr>
        <w:shd w:val="clear" w:color="9BBB59" w:themeColor="accent3" w:themeTint="FE" w:fill="9BBB59" w:themeFill="accent3" w:themeFillTint="FE"/>
      </w:tcPr>
    </w:tblStylePr>
    <w:tblStylePr w:type="lastRow">
      <w:rPr>
        <w:rFonts w:ascii="Arial" w:hAnsi="Arial"/>
        <w:color w:val="F2F2F2"/>
        <w:sz w:val="22"/>
      </w:rPr>
      <w:tcPr>
        <w:shd w:val="clear" w:color="9BBB59" w:themeColor="accent3" w:themeTint="FE" w:fill="9BBB59" w:themeFill="accent3" w:themeFillTint="FE"/>
      </w:tcPr>
    </w:tblStylePr>
    <w:tblStylePr w:type="firstCol">
      <w:rPr>
        <w:rFonts w:ascii="Arial" w:hAnsi="Arial"/>
        <w:color w:val="F2F2F2"/>
        <w:sz w:val="22"/>
      </w:rPr>
      <w:tcPr>
        <w:shd w:val="clear" w:color="9BBB59" w:themeColor="accent3" w:themeTint="FE" w:fill="9BBB59" w:themeFill="accent3" w:themeFillTint="FE"/>
      </w:tcPr>
    </w:tblStylePr>
    <w:tblStylePr w:type="lastCol">
      <w:rPr>
        <w:rFonts w:ascii="Arial" w:hAnsi="Arial"/>
        <w:color w:val="F2F2F2"/>
        <w:sz w:val="22"/>
      </w:rPr>
      <w:tcPr>
        <w:shd w:val="clear" w:color="9BBB59" w:themeColor="accent3" w:themeTint="FE" w:fill="9BBB59" w:themeFill="accent3" w:themeFillTint="FE"/>
      </w:tcPr>
    </w:tblStylePr>
    <w:tblStylePr w:type="band1Vert">
      <w:rPr>
        <w:rFonts w:ascii="Arial" w:hAnsi="Arial"/>
        <w:color w:val="404040"/>
        <w:sz w:val="22"/>
      </w:rPr>
    </w:tblStylePr>
    <w:tblStylePr w:type="band2Vert">
      <w:rPr>
        <w:rFonts w:ascii="Arial" w:hAnsi="Arial"/>
        <w:color w:val="404040"/>
        <w:sz w:val="22"/>
      </w:rPr>
      <w:tcPr>
        <w:shd w:val="clear" w:color="EAF1DD" w:themeColor="accent3" w:themeTint="34" w:fill="EAF1DD" w:themeFill="accent3" w:themeFillTint="34"/>
      </w:tcPr>
    </w:tblStylePr>
    <w:tblStylePr w:type="band1Horz">
      <w:rPr>
        <w:rFonts w:ascii="Arial" w:hAnsi="Arial"/>
        <w:color w:val="404040"/>
        <w:sz w:val="22"/>
      </w:rPr>
    </w:tblStylePr>
    <w:tblStylePr w:type="band2Horz">
      <w:rPr>
        <w:rFonts w:ascii="Arial" w:hAnsi="Arial"/>
        <w:color w:val="404040"/>
        <w:sz w:val="22"/>
      </w:rPr>
      <w:tcPr>
        <w:shd w:val="clear" w:color="EAF1DD" w:themeColor="accent3" w:themeTint="34" w:fill="EAF1DD" w:themeFill="accent3" w:themeFillTint="34"/>
      </w:tcPr>
    </w:tblStylePr>
    <w:tblStylePr w:type="neCell"/>
    <w:tblStylePr w:type="nwCell"/>
    <w:tblStylePr w:type="seCell"/>
    <w:tblStylePr w:type="swCell"/>
  </w:style>
  <w:style w:type="table" w:customStyle="1" w:styleId="196">
    <w:name w:val="Lined - Accent 4"/>
    <w:basedOn w:val="56"/>
    <w:qFormat/>
    <w:uiPriority w:val="99"/>
    <w:pPr>
      <w:spacing w:after="0" w:line="240" w:lineRule="auto"/>
    </w:pPr>
    <w:rPr>
      <w:color w:val="404040"/>
    </w:rPr>
    <w:tblStylePr w:type="firstRow">
      <w:rPr>
        <w:rFonts w:ascii="Arial" w:hAnsi="Arial"/>
        <w:color w:val="F2F2F2"/>
        <w:sz w:val="22"/>
      </w:rPr>
      <w:tcPr>
        <w:shd w:val="clear" w:color="B2A1C6" w:themeColor="accent4" w:themeTint="9A" w:fill="B2A1C6" w:themeFill="accent4" w:themeFillTint="9A"/>
      </w:tcPr>
    </w:tblStylePr>
    <w:tblStylePr w:type="lastRow">
      <w:rPr>
        <w:rFonts w:ascii="Arial" w:hAnsi="Arial"/>
        <w:color w:val="F2F2F2"/>
        <w:sz w:val="22"/>
      </w:rPr>
      <w:tcPr>
        <w:shd w:val="clear" w:color="B2A1C6" w:themeColor="accent4" w:themeTint="9A" w:fill="B2A1C6" w:themeFill="accent4" w:themeFillTint="9A"/>
      </w:tcPr>
    </w:tblStylePr>
    <w:tblStylePr w:type="firstCol">
      <w:rPr>
        <w:rFonts w:ascii="Arial" w:hAnsi="Arial"/>
        <w:color w:val="F2F2F2"/>
        <w:sz w:val="22"/>
      </w:rPr>
      <w:tcPr>
        <w:shd w:val="clear" w:color="B2A1C6" w:themeColor="accent4" w:themeTint="9A" w:fill="B2A1C6" w:themeFill="accent4" w:themeFillTint="9A"/>
      </w:tcPr>
    </w:tblStylePr>
    <w:tblStylePr w:type="lastCol">
      <w:rPr>
        <w:rFonts w:ascii="Arial" w:hAnsi="Arial"/>
        <w:color w:val="F2F2F2"/>
        <w:sz w:val="22"/>
      </w:r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cPr>
        <w:shd w:val="clear" w:color="E5DFEC" w:themeColor="accent4" w:themeTint="34" w:fill="E5DFEC" w:themeFill="accent4" w:themeFillTint="34"/>
      </w:tcPr>
    </w:tblStylePr>
    <w:tblStylePr w:type="neCell"/>
    <w:tblStylePr w:type="nwCell"/>
    <w:tblStylePr w:type="seCell"/>
    <w:tblStylePr w:type="swCell"/>
  </w:style>
  <w:style w:type="table" w:customStyle="1" w:styleId="197">
    <w:name w:val="Lined - Accent 5"/>
    <w:basedOn w:val="56"/>
    <w:qFormat/>
    <w:uiPriority w:val="99"/>
    <w:pPr>
      <w:spacing w:after="0" w:line="240" w:lineRule="auto"/>
    </w:pPr>
    <w:rPr>
      <w:color w:val="404040"/>
    </w:rPr>
    <w:tblStylePr w:type="firstRow">
      <w:rPr>
        <w:rFonts w:ascii="Arial" w:hAnsi="Arial"/>
        <w:color w:val="F2F2F2"/>
        <w:sz w:val="22"/>
      </w:rPr>
      <w:tcPr>
        <w:shd w:val="clear" w:color="4BACC6" w:themeColor="accent5" w:fill="4BACC6" w:themeFill="accent5"/>
      </w:tcPr>
    </w:tblStylePr>
    <w:tblStylePr w:type="lastRow">
      <w:rPr>
        <w:rFonts w:ascii="Arial" w:hAnsi="Arial"/>
        <w:color w:val="F2F2F2"/>
        <w:sz w:val="22"/>
      </w:rPr>
      <w:tcPr>
        <w:shd w:val="clear" w:color="4BACC6" w:themeColor="accent5" w:fill="4BACC6" w:themeFill="accent5"/>
      </w:tcPr>
    </w:tblStylePr>
    <w:tblStylePr w:type="firstCol">
      <w:rPr>
        <w:rFonts w:ascii="Arial" w:hAnsi="Arial"/>
        <w:color w:val="F2F2F2"/>
        <w:sz w:val="22"/>
      </w:rPr>
      <w:tcPr>
        <w:shd w:val="clear" w:color="4BACC6" w:themeColor="accent5" w:fill="4BACC6" w:themeFill="accent5"/>
      </w:tcPr>
    </w:tblStylePr>
    <w:tblStylePr w:type="lastCol">
      <w:rPr>
        <w:rFonts w:ascii="Arial" w:hAnsi="Arial"/>
        <w:color w:val="F2F2F2"/>
        <w:sz w:val="22"/>
      </w:r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cPr>
        <w:shd w:val="clear" w:color="DAEEF3" w:themeColor="accent5" w:themeTint="34" w:fill="DAEEF3" w:themeFill="accent5" w:themeFillTint="34"/>
      </w:tcPr>
    </w:tblStylePr>
    <w:tblStylePr w:type="neCell"/>
    <w:tblStylePr w:type="nwCell"/>
    <w:tblStylePr w:type="seCell"/>
    <w:tblStylePr w:type="swCell"/>
  </w:style>
  <w:style w:type="table" w:customStyle="1" w:styleId="198">
    <w:name w:val="Lined - Accent 6"/>
    <w:basedOn w:val="56"/>
    <w:qFormat/>
    <w:uiPriority w:val="99"/>
    <w:pPr>
      <w:spacing w:after="0" w:line="240" w:lineRule="auto"/>
    </w:pPr>
    <w:rPr>
      <w:color w:val="404040"/>
    </w:rPr>
    <w:tblStylePr w:type="firstRow">
      <w:rPr>
        <w:rFonts w:ascii="Arial" w:hAnsi="Arial"/>
        <w:color w:val="F2F2F2"/>
        <w:sz w:val="22"/>
      </w:rPr>
      <w:tcPr>
        <w:shd w:val="clear" w:color="F79646" w:themeColor="accent6" w:fill="F79646" w:themeFill="accent6"/>
      </w:tcPr>
    </w:tblStylePr>
    <w:tblStylePr w:type="lastRow">
      <w:rPr>
        <w:rFonts w:ascii="Arial" w:hAnsi="Arial"/>
        <w:color w:val="F2F2F2"/>
        <w:sz w:val="22"/>
      </w:rPr>
      <w:tcPr>
        <w:shd w:val="clear" w:color="F79646" w:themeColor="accent6" w:fill="F79646" w:themeFill="accent6"/>
      </w:tcPr>
    </w:tblStylePr>
    <w:tblStylePr w:type="firstCol">
      <w:rPr>
        <w:rFonts w:ascii="Arial" w:hAnsi="Arial"/>
        <w:color w:val="F2F2F2"/>
        <w:sz w:val="22"/>
      </w:rPr>
      <w:tcPr>
        <w:shd w:val="clear" w:color="F79646" w:themeColor="accent6" w:fill="F79646" w:themeFill="accent6"/>
      </w:tcPr>
    </w:tblStylePr>
    <w:tblStylePr w:type="lastCol">
      <w:rPr>
        <w:rFonts w:ascii="Arial" w:hAnsi="Arial"/>
        <w:color w:val="F2F2F2"/>
        <w:sz w:val="22"/>
      </w:r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cPr>
        <w:shd w:val="clear" w:color="FDE9D9" w:themeColor="accent6" w:themeTint="34" w:fill="FDE9D9" w:themeFill="accent6" w:themeFillTint="34"/>
      </w:tcPr>
    </w:tblStylePr>
    <w:tblStylePr w:type="band1Horz">
      <w:rPr>
        <w:rFonts w:ascii="Arial" w:hAnsi="Arial"/>
        <w:color w:val="404040"/>
        <w:sz w:val="22"/>
      </w:rPr>
    </w:tblStylePr>
    <w:tblStylePr w:type="band2Horz">
      <w:rPr>
        <w:rFonts w:ascii="Arial" w:hAnsi="Arial"/>
        <w:color w:val="404040"/>
        <w:sz w:val="22"/>
      </w:rPr>
      <w:tcPr>
        <w:shd w:val="clear" w:color="FDE9D9" w:themeColor="accent6" w:themeTint="34" w:fill="FDE9D9" w:themeFill="accent6" w:themeFillTint="34"/>
      </w:tcPr>
    </w:tblStylePr>
    <w:tblStylePr w:type="neCell"/>
    <w:tblStylePr w:type="nwCell"/>
    <w:tblStylePr w:type="seCell"/>
    <w:tblStylePr w:type="swCell"/>
  </w:style>
  <w:style w:type="table" w:customStyle="1" w:styleId="199">
    <w:name w:val="Bordered &amp; Lined - Accent"/>
    <w:basedOn w:val="56"/>
    <w:qFormat/>
    <w:uiPriority w:val="99"/>
    <w:pPr>
      <w:spacing w:after="0" w:line="240" w:lineRule="auto"/>
    </w:pPr>
    <w:rPr>
      <w:color w:val="404040"/>
    </w:rPr>
    <w:tblPr>
      <w:tblBorders>
        <w:top w:val="single" w:color="585858" w:themeColor="text1" w:themeTint="A6" w:sz="4" w:space="0"/>
        <w:left w:val="single" w:color="585858" w:themeColor="text1" w:themeTint="A6" w:sz="4" w:space="0"/>
        <w:bottom w:val="single" w:color="585858" w:themeColor="text1" w:themeTint="A6" w:sz="4" w:space="0"/>
        <w:right w:val="single" w:color="585858" w:themeColor="text1" w:themeTint="A6" w:sz="4" w:space="0"/>
        <w:insideH w:val="single" w:color="585858" w:themeColor="text1" w:themeTint="A6" w:sz="4" w:space="0"/>
        <w:insideV w:val="single" w:color="585858" w:themeColor="text1" w:themeTint="A6" w:sz="4" w:space="0"/>
      </w:tblBorders>
    </w:tblPr>
    <w:tblStylePr w:type="firstRow">
      <w:rPr>
        <w:rFonts w:ascii="Arial" w:hAnsi="Arial"/>
        <w:color w:val="F2F2F2"/>
        <w:sz w:val="22"/>
      </w:rPr>
      <w:tcPr>
        <w:shd w:val="clear" w:color="7E7E7E" w:themeColor="text1" w:themeTint="80" w:fill="7E7E7E" w:themeFill="text1" w:themeFillTint="80"/>
      </w:tcPr>
    </w:tblStylePr>
    <w:tblStylePr w:type="lastRow">
      <w:rPr>
        <w:rFonts w:ascii="Arial" w:hAnsi="Arial"/>
        <w:color w:val="F2F2F2"/>
        <w:sz w:val="22"/>
      </w:rPr>
      <w:tcPr>
        <w:shd w:val="clear" w:color="7E7E7E" w:themeColor="text1" w:themeTint="80" w:fill="7E7E7E" w:themeFill="text1" w:themeFillTint="80"/>
      </w:tcPr>
    </w:tblStylePr>
    <w:tblStylePr w:type="firstCol">
      <w:rPr>
        <w:rFonts w:ascii="Arial" w:hAnsi="Arial"/>
        <w:color w:val="F2F2F2"/>
        <w:sz w:val="22"/>
      </w:rPr>
      <w:tcPr>
        <w:shd w:val="clear" w:color="7E7E7E" w:themeColor="text1" w:themeTint="80" w:fill="7E7E7E" w:themeFill="text1" w:themeFillTint="80"/>
      </w:tcPr>
    </w:tblStylePr>
    <w:tblStylePr w:type="lastCol">
      <w:rPr>
        <w:rFonts w:ascii="Arial" w:hAnsi="Arial"/>
        <w:color w:val="F2F2F2"/>
        <w:sz w:val="22"/>
      </w:rPr>
      <w:tcPr>
        <w:shd w:val="clear" w:color="7E7E7E" w:themeColor="text1" w:themeTint="80" w:fill="7E7E7E" w:themeFill="text1" w:themeFillTint="80"/>
      </w:tcPr>
    </w:tblStylePr>
    <w:tblStylePr w:type="band1Vert">
      <w:rPr>
        <w:rFonts w:ascii="Arial" w:hAnsi="Arial"/>
        <w:color w:val="404040"/>
        <w:sz w:val="22"/>
      </w:rPr>
    </w:tblStylePr>
    <w:tblStylePr w:type="band2Vert">
      <w:rPr>
        <w:rFonts w:ascii="Arial" w:hAnsi="Arial"/>
        <w:color w:val="404040"/>
        <w:sz w:val="22"/>
      </w:rPr>
      <w:tcPr>
        <w:shd w:val="clear" w:color="F1F1F1" w:themeColor="text1" w:themeTint="0D" w:fill="F1F1F1" w:themeFill="text1" w:themeFillTint="0D"/>
      </w:tcPr>
    </w:tblStylePr>
    <w:tblStylePr w:type="band1Horz">
      <w:rPr>
        <w:rFonts w:ascii="Arial" w:hAnsi="Arial"/>
        <w:color w:val="404040"/>
        <w:sz w:val="22"/>
      </w:rPr>
    </w:tblStylePr>
    <w:tblStylePr w:type="band2Horz">
      <w:rPr>
        <w:rFonts w:ascii="Arial" w:hAnsi="Arial"/>
        <w:color w:val="404040"/>
        <w:sz w:val="22"/>
      </w:rPr>
      <w:tcPr>
        <w:shd w:val="clear" w:color="F1F1F1" w:themeColor="text1" w:themeTint="0D" w:fill="F1F1F1" w:themeFill="text1" w:themeFillTint="0D"/>
      </w:tcPr>
    </w:tblStylePr>
    <w:tblStylePr w:type="neCell"/>
    <w:tblStylePr w:type="nwCell"/>
    <w:tblStylePr w:type="seCell"/>
    <w:tblStylePr w:type="swCell"/>
  </w:style>
  <w:style w:type="table" w:customStyle="1" w:styleId="200">
    <w:name w:val="Bordered &amp; Lined - Accent 1"/>
    <w:basedOn w:val="56"/>
    <w:qFormat/>
    <w:uiPriority w:val="99"/>
    <w:pPr>
      <w:spacing w:after="0" w:line="240" w:lineRule="auto"/>
    </w:pPr>
    <w:rPr>
      <w:color w:val="404040"/>
    </w:rPr>
    <w:tblPr>
      <w:tblBorders>
        <w:top w:val="single" w:color="2A4B71" w:themeColor="accent1" w:themeShade="95" w:sz="4" w:space="0"/>
        <w:left w:val="single" w:color="2A4B71" w:themeColor="accent1" w:themeShade="95" w:sz="4" w:space="0"/>
        <w:bottom w:val="single" w:color="2A4B71" w:themeColor="accent1" w:themeShade="95" w:sz="4" w:space="0"/>
        <w:right w:val="single" w:color="2A4B71" w:themeColor="accent1" w:themeShade="95" w:sz="4" w:space="0"/>
        <w:insideH w:val="single" w:color="2A4B71" w:themeColor="accent1" w:themeShade="95" w:sz="4" w:space="0"/>
        <w:insideV w:val="single" w:color="2A4B71" w:themeColor="accent1" w:themeShade="95" w:sz="4" w:space="0"/>
      </w:tblBorders>
    </w:tblPr>
    <w:tblStylePr w:type="firstRow">
      <w:rPr>
        <w:rFonts w:ascii="Arial" w:hAnsi="Arial"/>
        <w:color w:val="F2F2F2"/>
        <w:sz w:val="22"/>
      </w:rPr>
      <w:tcPr>
        <w:shd w:val="clear" w:color="5D8BC2" w:themeColor="accent1" w:themeTint="EA" w:fill="5D8BC2" w:themeFill="accent1" w:themeFillTint="EA"/>
      </w:tcPr>
    </w:tblStylePr>
    <w:tblStylePr w:type="lastRow">
      <w:rPr>
        <w:rFonts w:ascii="Arial" w:hAnsi="Arial"/>
        <w:color w:val="F2F2F2"/>
        <w:sz w:val="22"/>
      </w:rPr>
      <w:tcPr>
        <w:shd w:val="clear" w:color="5D8BC2" w:themeColor="accent1" w:themeTint="EA" w:fill="5D8BC2" w:themeFill="accent1" w:themeFillTint="EA"/>
      </w:tcPr>
    </w:tblStylePr>
    <w:tblStylePr w:type="firstCol">
      <w:rPr>
        <w:rFonts w:ascii="Arial" w:hAnsi="Arial"/>
        <w:color w:val="F2F2F2"/>
        <w:sz w:val="22"/>
      </w:rPr>
      <w:tcPr>
        <w:shd w:val="clear" w:color="5D8BC2" w:themeColor="accent1" w:themeTint="EA" w:fill="5D8BC2" w:themeFill="accent1" w:themeFillTint="EA"/>
      </w:tcPr>
    </w:tblStylePr>
    <w:tblStylePr w:type="lastCol">
      <w:rPr>
        <w:rFonts w:ascii="Arial" w:hAnsi="Arial"/>
        <w:color w:val="F2F2F2"/>
        <w:sz w:val="22"/>
      </w:rPr>
      <w:tcPr>
        <w:shd w:val="clear" w:color="5D8BC2" w:themeColor="accent1" w:themeTint="EA" w:fill="5D8BC2" w:themeFill="accent1" w:themeFillTint="EA"/>
      </w:tcPr>
    </w:tblStylePr>
    <w:tblStylePr w:type="band1Vert">
      <w:rPr>
        <w:rFonts w:ascii="Arial" w:hAnsi="Arial"/>
        <w:color w:val="404040"/>
        <w:sz w:val="22"/>
      </w:rPr>
    </w:tblStylePr>
    <w:tblStylePr w:type="band2Vert">
      <w:rPr>
        <w:rFonts w:ascii="Arial" w:hAnsi="Arial"/>
        <w:color w:val="404040"/>
        <w:sz w:val="22"/>
      </w:r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cPr>
        <w:shd w:val="clear" w:color="C7D7EA" w:themeColor="accent1" w:themeTint="50" w:fill="C7D7EA" w:themeFill="accent1" w:themeFillTint="50"/>
      </w:tcPr>
    </w:tblStylePr>
    <w:tblStylePr w:type="neCell"/>
    <w:tblStylePr w:type="nwCell"/>
    <w:tblStylePr w:type="seCell"/>
    <w:tblStylePr w:type="swCell"/>
  </w:style>
  <w:style w:type="table" w:customStyle="1" w:styleId="201">
    <w:name w:val="Bordered &amp; Lined - Accent 2"/>
    <w:basedOn w:val="56"/>
    <w:qFormat/>
    <w:uiPriority w:val="99"/>
    <w:pPr>
      <w:spacing w:after="0" w:line="240" w:lineRule="auto"/>
    </w:pPr>
    <w:rPr>
      <w:color w:val="404040"/>
    </w:rPr>
    <w:tblPr>
      <w:tblBorders>
        <w:top w:val="single" w:color="742B29" w:themeColor="accent2" w:themeShade="95" w:sz="4" w:space="0"/>
        <w:left w:val="single" w:color="742B29" w:themeColor="accent2" w:themeShade="95" w:sz="4" w:space="0"/>
        <w:bottom w:val="single" w:color="742B29" w:themeColor="accent2" w:themeShade="95" w:sz="4" w:space="0"/>
        <w:right w:val="single" w:color="742B29" w:themeColor="accent2" w:themeShade="95" w:sz="4" w:space="0"/>
        <w:insideH w:val="single" w:color="742B29" w:themeColor="accent2" w:themeShade="95" w:sz="4" w:space="0"/>
        <w:insideV w:val="single" w:color="742B29" w:themeColor="accent2" w:themeShade="95" w:sz="4" w:space="0"/>
      </w:tblBorders>
    </w:tblPr>
    <w:tblStylePr w:type="firstRow">
      <w:rPr>
        <w:rFonts w:ascii="Arial" w:hAnsi="Arial"/>
        <w:color w:val="F2F2F2"/>
        <w:sz w:val="22"/>
      </w:rPr>
      <w:tcPr>
        <w:shd w:val="clear" w:color="D99795" w:themeColor="accent2" w:themeTint="97" w:fill="D99795" w:themeFill="accent2" w:themeFillTint="97"/>
      </w:tcPr>
    </w:tblStylePr>
    <w:tblStylePr w:type="lastRow">
      <w:rPr>
        <w:rFonts w:ascii="Arial" w:hAnsi="Arial"/>
        <w:color w:val="F2F2F2"/>
        <w:sz w:val="22"/>
      </w:rPr>
      <w:tcPr>
        <w:shd w:val="clear" w:color="D99795" w:themeColor="accent2" w:themeTint="97" w:fill="D99795" w:themeFill="accent2" w:themeFillTint="97"/>
      </w:tcPr>
    </w:tblStylePr>
    <w:tblStylePr w:type="firstCol">
      <w:rPr>
        <w:rFonts w:ascii="Arial" w:hAnsi="Arial"/>
        <w:color w:val="F2F2F2"/>
        <w:sz w:val="22"/>
      </w:rPr>
      <w:tcPr>
        <w:shd w:val="clear" w:color="D99795" w:themeColor="accent2" w:themeTint="97" w:fill="D99795" w:themeFill="accent2" w:themeFillTint="97"/>
      </w:tcPr>
    </w:tblStylePr>
    <w:tblStylePr w:type="lastCol">
      <w:rPr>
        <w:rFonts w:ascii="Arial" w:hAnsi="Arial"/>
        <w:color w:val="F2F2F2"/>
        <w:sz w:val="22"/>
      </w:rPr>
      <w:tcPr>
        <w:shd w:val="clear" w:color="D99795" w:themeColor="accent2" w:themeTint="97" w:fill="D99795" w:themeFill="accent2" w:themeFillTint="97"/>
      </w:tcPr>
    </w:tblStylePr>
    <w:tblStylePr w:type="band1Vert">
      <w:rPr>
        <w:rFonts w:ascii="Arial" w:hAnsi="Arial"/>
        <w:color w:val="404040"/>
        <w:sz w:val="22"/>
      </w:rPr>
    </w:tblStylePr>
    <w:tblStylePr w:type="band2Vert">
      <w:rPr>
        <w:rFonts w:ascii="Arial" w:hAnsi="Arial"/>
        <w:color w:val="404040"/>
        <w:sz w:val="22"/>
      </w:r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cPr>
        <w:shd w:val="clear" w:color="F2DCDC" w:themeColor="accent2" w:themeTint="32" w:fill="F2DCDC" w:themeFill="accent2" w:themeFillTint="32"/>
      </w:tcPr>
    </w:tblStylePr>
    <w:tblStylePr w:type="neCell"/>
    <w:tblStylePr w:type="nwCell"/>
    <w:tblStylePr w:type="seCell"/>
    <w:tblStylePr w:type="swCell"/>
  </w:style>
  <w:style w:type="table" w:customStyle="1" w:styleId="202">
    <w:name w:val="Bordered &amp; Lined - Accent 3"/>
    <w:basedOn w:val="56"/>
    <w:qFormat/>
    <w:uiPriority w:val="99"/>
    <w:pPr>
      <w:spacing w:after="0" w:line="240" w:lineRule="auto"/>
    </w:pPr>
    <w:rPr>
      <w:color w:val="404040"/>
    </w:rPr>
    <w:tblPr>
      <w:tblBorders>
        <w:top w:val="single" w:color="5C722E" w:themeColor="accent3" w:themeShade="95" w:sz="4" w:space="0"/>
        <w:left w:val="single" w:color="5C722E" w:themeColor="accent3" w:themeShade="95" w:sz="4" w:space="0"/>
        <w:bottom w:val="single" w:color="5C722E" w:themeColor="accent3" w:themeShade="95" w:sz="4" w:space="0"/>
        <w:right w:val="single" w:color="5C722E" w:themeColor="accent3" w:themeShade="95" w:sz="4" w:space="0"/>
        <w:insideH w:val="single" w:color="5C722E" w:themeColor="accent3" w:themeShade="95" w:sz="4" w:space="0"/>
        <w:insideV w:val="single" w:color="5C722E" w:themeColor="accent3" w:themeShade="95" w:sz="4" w:space="0"/>
      </w:tblBorders>
    </w:tblPr>
    <w:tblStylePr w:type="firstRow">
      <w:rPr>
        <w:rFonts w:ascii="Arial" w:hAnsi="Arial"/>
        <w:color w:val="F2F2F2"/>
        <w:sz w:val="22"/>
      </w:rPr>
      <w:tcPr>
        <w:shd w:val="clear" w:color="9BBB59" w:themeColor="accent3" w:themeTint="FE" w:fill="9BBB59" w:themeFill="accent3" w:themeFillTint="FE"/>
      </w:tcPr>
    </w:tblStylePr>
    <w:tblStylePr w:type="lastRow">
      <w:rPr>
        <w:rFonts w:ascii="Arial" w:hAnsi="Arial"/>
        <w:color w:val="F2F2F2"/>
        <w:sz w:val="22"/>
      </w:rPr>
      <w:tcPr>
        <w:shd w:val="clear" w:color="9BBB59" w:themeColor="accent3" w:themeTint="FE" w:fill="9BBB59" w:themeFill="accent3" w:themeFillTint="FE"/>
      </w:tcPr>
    </w:tblStylePr>
    <w:tblStylePr w:type="firstCol">
      <w:rPr>
        <w:rFonts w:ascii="Arial" w:hAnsi="Arial"/>
        <w:color w:val="F2F2F2"/>
        <w:sz w:val="22"/>
      </w:rPr>
      <w:tcPr>
        <w:shd w:val="clear" w:color="9BBB59" w:themeColor="accent3" w:themeTint="FE" w:fill="9BBB59" w:themeFill="accent3" w:themeFillTint="FE"/>
      </w:tcPr>
    </w:tblStylePr>
    <w:tblStylePr w:type="lastCol">
      <w:rPr>
        <w:rFonts w:ascii="Arial" w:hAnsi="Arial"/>
        <w:color w:val="F2F2F2"/>
        <w:sz w:val="22"/>
      </w:rPr>
      <w:tcPr>
        <w:shd w:val="clear" w:color="9BBB59" w:themeColor="accent3" w:themeTint="FE" w:fill="9BBB59" w:themeFill="accent3" w:themeFillTint="FE"/>
      </w:tcPr>
    </w:tblStylePr>
    <w:tblStylePr w:type="band1Vert">
      <w:rPr>
        <w:rFonts w:ascii="Arial" w:hAnsi="Arial"/>
        <w:color w:val="404040"/>
        <w:sz w:val="22"/>
      </w:rPr>
    </w:tblStylePr>
    <w:tblStylePr w:type="band2Vert">
      <w:rPr>
        <w:rFonts w:ascii="Arial" w:hAnsi="Arial"/>
        <w:color w:val="404040"/>
        <w:sz w:val="22"/>
      </w:rPr>
      <w:tcPr>
        <w:shd w:val="clear" w:color="EAF1DD" w:themeColor="accent3" w:themeTint="34" w:fill="EAF1DD" w:themeFill="accent3" w:themeFillTint="34"/>
      </w:tcPr>
    </w:tblStylePr>
    <w:tblStylePr w:type="band1Horz">
      <w:rPr>
        <w:rFonts w:ascii="Arial" w:hAnsi="Arial"/>
        <w:color w:val="404040"/>
        <w:sz w:val="22"/>
      </w:rPr>
    </w:tblStylePr>
    <w:tblStylePr w:type="band2Horz">
      <w:rPr>
        <w:rFonts w:ascii="Arial" w:hAnsi="Arial"/>
        <w:color w:val="404040"/>
        <w:sz w:val="22"/>
      </w:rPr>
      <w:tcPr>
        <w:shd w:val="clear" w:color="EAF1DD" w:themeColor="accent3" w:themeTint="34" w:fill="EAF1DD" w:themeFill="accent3" w:themeFillTint="34"/>
      </w:tcPr>
    </w:tblStylePr>
    <w:tblStylePr w:type="neCell"/>
    <w:tblStylePr w:type="nwCell"/>
    <w:tblStylePr w:type="seCell"/>
    <w:tblStylePr w:type="swCell"/>
  </w:style>
  <w:style w:type="table" w:customStyle="1" w:styleId="203">
    <w:name w:val="Bordered &amp; Lined - Accent 4"/>
    <w:basedOn w:val="56"/>
    <w:qFormat/>
    <w:uiPriority w:val="99"/>
    <w:pPr>
      <w:spacing w:after="0" w:line="240" w:lineRule="auto"/>
    </w:pPr>
    <w:rPr>
      <w:color w:val="404040"/>
    </w:rPr>
    <w:tblPr>
      <w:tblBorders>
        <w:top w:val="single" w:color="4A395F" w:themeColor="accent4" w:themeShade="95" w:sz="4" w:space="0"/>
        <w:left w:val="single" w:color="4A395F" w:themeColor="accent4" w:themeShade="95" w:sz="4" w:space="0"/>
        <w:bottom w:val="single" w:color="4A395F" w:themeColor="accent4" w:themeShade="95" w:sz="4" w:space="0"/>
        <w:right w:val="single" w:color="4A395F" w:themeColor="accent4" w:themeShade="95" w:sz="4" w:space="0"/>
        <w:insideH w:val="single" w:color="4A395F" w:themeColor="accent4" w:themeShade="95" w:sz="4" w:space="0"/>
        <w:insideV w:val="single" w:color="4A395F" w:themeColor="accent4" w:themeShade="95" w:sz="4" w:space="0"/>
      </w:tblBorders>
    </w:tblPr>
    <w:tblStylePr w:type="firstRow">
      <w:rPr>
        <w:rFonts w:ascii="Arial" w:hAnsi="Arial"/>
        <w:color w:val="F2F2F2"/>
        <w:sz w:val="22"/>
      </w:rPr>
      <w:tcPr>
        <w:shd w:val="clear" w:color="B2A1C6" w:themeColor="accent4" w:themeTint="9A" w:fill="B2A1C6" w:themeFill="accent4" w:themeFillTint="9A"/>
      </w:tcPr>
    </w:tblStylePr>
    <w:tblStylePr w:type="lastRow">
      <w:rPr>
        <w:rFonts w:ascii="Arial" w:hAnsi="Arial"/>
        <w:color w:val="F2F2F2"/>
        <w:sz w:val="22"/>
      </w:rPr>
      <w:tcPr>
        <w:shd w:val="clear" w:color="B2A1C6" w:themeColor="accent4" w:themeTint="9A" w:fill="B2A1C6" w:themeFill="accent4" w:themeFillTint="9A"/>
      </w:tcPr>
    </w:tblStylePr>
    <w:tblStylePr w:type="firstCol">
      <w:rPr>
        <w:rFonts w:ascii="Arial" w:hAnsi="Arial"/>
        <w:color w:val="F2F2F2"/>
        <w:sz w:val="22"/>
      </w:rPr>
      <w:tcPr>
        <w:shd w:val="clear" w:color="B2A1C6" w:themeColor="accent4" w:themeTint="9A" w:fill="B2A1C6" w:themeFill="accent4" w:themeFillTint="9A"/>
      </w:tcPr>
    </w:tblStylePr>
    <w:tblStylePr w:type="lastCol">
      <w:rPr>
        <w:rFonts w:ascii="Arial" w:hAnsi="Arial"/>
        <w:color w:val="F2F2F2"/>
        <w:sz w:val="22"/>
      </w:r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cPr>
        <w:shd w:val="clear" w:color="E5DFEC" w:themeColor="accent4" w:themeTint="34" w:fill="E5DFEC" w:themeFill="accent4" w:themeFillTint="34"/>
      </w:tcPr>
    </w:tblStylePr>
    <w:tblStylePr w:type="neCell"/>
    <w:tblStylePr w:type="nwCell"/>
    <w:tblStylePr w:type="seCell"/>
    <w:tblStylePr w:type="swCell"/>
  </w:style>
  <w:style w:type="table" w:customStyle="1" w:styleId="204">
    <w:name w:val="Bordered &amp; Lined - Accent 5"/>
    <w:basedOn w:val="56"/>
    <w:qFormat/>
    <w:uiPriority w:val="99"/>
    <w:pPr>
      <w:spacing w:after="0" w:line="240" w:lineRule="auto"/>
    </w:pPr>
    <w:rPr>
      <w:color w:val="404040"/>
    </w:rPr>
    <w:tblPr>
      <w:tblBorders>
        <w:top w:val="single" w:color="266779" w:themeColor="accent5" w:themeShade="95" w:sz="4" w:space="0"/>
        <w:left w:val="single" w:color="266779" w:themeColor="accent5" w:themeShade="95" w:sz="4" w:space="0"/>
        <w:bottom w:val="single" w:color="266779" w:themeColor="accent5" w:themeShade="95" w:sz="4" w:space="0"/>
        <w:right w:val="single" w:color="266779" w:themeColor="accent5" w:themeShade="95" w:sz="4" w:space="0"/>
        <w:insideH w:val="single" w:color="266779" w:themeColor="accent5" w:themeShade="95" w:sz="4" w:space="0"/>
        <w:insideV w:val="single" w:color="266779" w:themeColor="accent5" w:themeShade="95" w:sz="4" w:space="0"/>
      </w:tblBorders>
    </w:tblPr>
    <w:tblStylePr w:type="firstRow">
      <w:rPr>
        <w:rFonts w:ascii="Arial" w:hAnsi="Arial"/>
        <w:color w:val="F2F2F2"/>
        <w:sz w:val="22"/>
      </w:rPr>
      <w:tcPr>
        <w:shd w:val="clear" w:color="4BACC6" w:themeColor="accent5" w:fill="4BACC6" w:themeFill="accent5"/>
      </w:tcPr>
    </w:tblStylePr>
    <w:tblStylePr w:type="lastRow">
      <w:rPr>
        <w:rFonts w:ascii="Arial" w:hAnsi="Arial"/>
        <w:color w:val="F2F2F2"/>
        <w:sz w:val="22"/>
      </w:rPr>
      <w:tcPr>
        <w:shd w:val="clear" w:color="4BACC6" w:themeColor="accent5" w:fill="4BACC6" w:themeFill="accent5"/>
      </w:tcPr>
    </w:tblStylePr>
    <w:tblStylePr w:type="firstCol">
      <w:rPr>
        <w:rFonts w:ascii="Arial" w:hAnsi="Arial"/>
        <w:color w:val="F2F2F2"/>
        <w:sz w:val="22"/>
      </w:rPr>
      <w:tcPr>
        <w:shd w:val="clear" w:color="4BACC6" w:themeColor="accent5" w:fill="4BACC6" w:themeFill="accent5"/>
      </w:tcPr>
    </w:tblStylePr>
    <w:tblStylePr w:type="lastCol">
      <w:rPr>
        <w:rFonts w:ascii="Arial" w:hAnsi="Arial"/>
        <w:color w:val="F2F2F2"/>
        <w:sz w:val="22"/>
      </w:r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cPr>
        <w:shd w:val="clear" w:color="DAEEF3" w:themeColor="accent5" w:themeTint="34" w:fill="DAEEF3" w:themeFill="accent5" w:themeFillTint="34"/>
      </w:tcPr>
    </w:tblStylePr>
    <w:tblStylePr w:type="neCell"/>
    <w:tblStylePr w:type="nwCell"/>
    <w:tblStylePr w:type="seCell"/>
    <w:tblStylePr w:type="swCell"/>
  </w:style>
  <w:style w:type="table" w:customStyle="1" w:styleId="205">
    <w:name w:val="Bordered &amp; Lined - Accent 6"/>
    <w:basedOn w:val="56"/>
    <w:qFormat/>
    <w:uiPriority w:val="99"/>
    <w:pPr>
      <w:spacing w:after="0" w:line="240" w:lineRule="auto"/>
    </w:pPr>
    <w:rPr>
      <w:color w:val="404040"/>
    </w:rPr>
    <w:tblPr>
      <w:tblBorders>
        <w:top w:val="single" w:color="B15407" w:themeColor="accent6" w:themeShade="95" w:sz="4" w:space="0"/>
        <w:left w:val="single" w:color="B15407" w:themeColor="accent6" w:themeShade="95" w:sz="4" w:space="0"/>
        <w:bottom w:val="single" w:color="B15407" w:themeColor="accent6" w:themeShade="95" w:sz="4" w:space="0"/>
        <w:right w:val="single" w:color="B15407" w:themeColor="accent6" w:themeShade="95" w:sz="4" w:space="0"/>
        <w:insideH w:val="single" w:color="B15407" w:themeColor="accent6" w:themeShade="95" w:sz="4" w:space="0"/>
        <w:insideV w:val="single" w:color="B15407" w:themeColor="accent6" w:themeShade="95" w:sz="4" w:space="0"/>
      </w:tblBorders>
    </w:tblPr>
    <w:tblStylePr w:type="firstRow">
      <w:rPr>
        <w:rFonts w:ascii="Arial" w:hAnsi="Arial"/>
        <w:color w:val="F2F2F2"/>
        <w:sz w:val="22"/>
      </w:rPr>
      <w:tcPr>
        <w:shd w:val="clear" w:color="F79646" w:themeColor="accent6" w:fill="F79646" w:themeFill="accent6"/>
      </w:tcPr>
    </w:tblStylePr>
    <w:tblStylePr w:type="lastRow">
      <w:rPr>
        <w:rFonts w:ascii="Arial" w:hAnsi="Arial"/>
        <w:color w:val="F2F2F2"/>
        <w:sz w:val="22"/>
      </w:rPr>
      <w:tcPr>
        <w:shd w:val="clear" w:color="F79646" w:themeColor="accent6" w:fill="F79646" w:themeFill="accent6"/>
      </w:tcPr>
    </w:tblStylePr>
    <w:tblStylePr w:type="firstCol">
      <w:rPr>
        <w:rFonts w:ascii="Arial" w:hAnsi="Arial"/>
        <w:color w:val="F2F2F2"/>
        <w:sz w:val="22"/>
      </w:rPr>
      <w:tcPr>
        <w:shd w:val="clear" w:color="F79646" w:themeColor="accent6" w:fill="F79646" w:themeFill="accent6"/>
      </w:tcPr>
    </w:tblStylePr>
    <w:tblStylePr w:type="lastCol">
      <w:rPr>
        <w:rFonts w:ascii="Arial" w:hAnsi="Arial"/>
        <w:color w:val="F2F2F2"/>
        <w:sz w:val="22"/>
      </w:r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cPr>
        <w:shd w:val="clear" w:color="FDE9D9" w:themeColor="accent6" w:themeTint="34" w:fill="FDE9D9" w:themeFill="accent6" w:themeFillTint="34"/>
      </w:tcPr>
    </w:tblStylePr>
    <w:tblStylePr w:type="band1Horz">
      <w:rPr>
        <w:rFonts w:ascii="Arial" w:hAnsi="Arial"/>
        <w:color w:val="404040"/>
        <w:sz w:val="22"/>
      </w:rPr>
    </w:tblStylePr>
    <w:tblStylePr w:type="band2Horz">
      <w:rPr>
        <w:rFonts w:ascii="Arial" w:hAnsi="Arial"/>
        <w:color w:val="404040"/>
        <w:sz w:val="22"/>
      </w:rPr>
      <w:tcPr>
        <w:shd w:val="clear" w:color="FDE9D9" w:themeColor="accent6" w:themeTint="34" w:fill="FDE9D9" w:themeFill="accent6" w:themeFillTint="34"/>
      </w:tcPr>
    </w:tblStylePr>
    <w:tblStylePr w:type="neCell"/>
    <w:tblStylePr w:type="nwCell"/>
    <w:tblStylePr w:type="seCell"/>
    <w:tblStylePr w:type="swCell"/>
  </w:style>
  <w:style w:type="table" w:customStyle="1" w:styleId="206">
    <w:name w:val="Bordered"/>
    <w:basedOn w:val="56"/>
    <w:qFormat/>
    <w:uiPriority w:val="99"/>
    <w:pPr>
      <w:spacing w:after="0" w:line="240" w:lineRule="auto"/>
    </w:pPr>
    <w:tblPr>
      <w:tblBorders>
        <w:top w:val="single" w:color="D8D8D8" w:themeColor="text1" w:themeTint="26" w:sz="4" w:space="0"/>
        <w:left w:val="single" w:color="D8D8D8" w:themeColor="text1" w:themeTint="26" w:sz="4" w:space="0"/>
        <w:bottom w:val="single" w:color="D8D8D8" w:themeColor="text1" w:themeTint="26" w:sz="4" w:space="0"/>
        <w:right w:val="single" w:color="D8D8D8" w:themeColor="text1" w:themeTint="26" w:sz="4" w:space="0"/>
        <w:insideH w:val="single" w:color="D8D8D8" w:themeColor="text1" w:themeTint="26" w:sz="4" w:space="0"/>
        <w:insideV w:val="single" w:color="D8D8D8" w:themeColor="text1" w:themeTint="26" w:sz="4" w:space="0"/>
      </w:tblBorders>
    </w:tblPr>
    <w:tblStylePr w:type="firstRow">
      <w:rPr>
        <w:rFonts w:ascii="Arial" w:hAnsi="Arial"/>
        <w:color w:val="404040"/>
        <w:sz w:val="22"/>
      </w:rPr>
      <w:tcPr>
        <w:tcBorders>
          <w:bottom w:val="single" w:color="7E7E7E" w:themeColor="text1" w:themeTint="80" w:sz="12" w:space="0"/>
        </w:tcBorders>
      </w:tcPr>
    </w:tblStylePr>
    <w:tblStylePr w:type="lastRow">
      <w:rPr>
        <w:rFonts w:ascii="Arial" w:hAnsi="Arial"/>
        <w:color w:val="404040"/>
        <w:sz w:val="22"/>
      </w:rPr>
      <w:tcPr>
        <w:tcBorders>
          <w:top w:val="single" w:color="7E7E7E" w:themeColor="text1" w:themeTint="80"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7E7E7E" w:themeColor="text1" w:themeTint="80" w:sz="12" w:space="0"/>
        </w:tcBorders>
      </w:tcPr>
    </w:tblStylePr>
    <w:tblStylePr w:type="band1Vert"/>
    <w:tblStylePr w:type="band2Vert"/>
    <w:tblStylePr w:type="band1Horz">
      <w:rPr>
        <w:rFonts w:ascii="Arial" w:hAnsi="Arial"/>
        <w:color w:val="404040"/>
        <w:sz w:val="22"/>
      </w:rPr>
      <w:tcPr>
        <w:tcBorders>
          <w:top w:val="single" w:color="D8D8D8" w:themeColor="text1" w:themeTint="26" w:sz="4" w:space="0"/>
          <w:left w:val="single" w:color="D8D8D8" w:themeColor="text1" w:themeTint="26" w:sz="4" w:space="0"/>
          <w:bottom w:val="single" w:color="D8D8D8" w:themeColor="text1" w:themeTint="26" w:sz="4" w:space="0"/>
          <w:right w:val="single" w:color="D8D8D8" w:themeColor="text1" w:themeTint="26" w:sz="4" w:space="0"/>
        </w:tcBorders>
      </w:tcPr>
    </w:tblStylePr>
    <w:tblStylePr w:type="band2Horz"/>
    <w:tblStylePr w:type="neCell"/>
    <w:tblStylePr w:type="nwCell"/>
    <w:tblStylePr w:type="seCell"/>
    <w:tblStylePr w:type="swCell"/>
  </w:style>
  <w:style w:type="table" w:customStyle="1" w:styleId="207">
    <w:name w:val="Bordered - Accent 1"/>
    <w:basedOn w:val="56"/>
    <w:qFormat/>
    <w:uiPriority w:val="99"/>
    <w:pPr>
      <w:spacing w:after="0" w:line="240" w:lineRule="auto"/>
    </w:pPr>
    <w:tblPr>
      <w:tblBorders>
        <w:top w:val="single" w:color="B7CCE4" w:themeColor="accent1" w:themeTint="67" w:sz="4" w:space="0"/>
        <w:left w:val="single" w:color="B7CCE4" w:themeColor="accent1" w:themeTint="67" w:sz="4" w:space="0"/>
        <w:bottom w:val="single" w:color="B7CCE4" w:themeColor="accent1" w:themeTint="67" w:sz="4" w:space="0"/>
        <w:right w:val="single" w:color="B7CCE4" w:themeColor="accent1" w:themeTint="67" w:sz="4" w:space="0"/>
        <w:insideH w:val="single" w:color="B7CCE4" w:themeColor="accent1" w:themeTint="67" w:sz="4" w:space="0"/>
        <w:insideV w:val="single" w:color="B7CCE4" w:themeColor="accent1" w:themeTint="67" w:sz="4" w:space="0"/>
      </w:tblBorders>
    </w:tblPr>
    <w:tblStylePr w:type="firstRow">
      <w:rPr>
        <w:rFonts w:ascii="Arial" w:hAnsi="Arial"/>
        <w:color w:val="404040"/>
        <w:sz w:val="22"/>
      </w:rPr>
      <w:tcPr>
        <w:tcBorders>
          <w:bottom w:val="single" w:color="4F81BD" w:themeColor="accent1" w:sz="12" w:space="0"/>
        </w:tcBorders>
      </w:tcPr>
    </w:tblStylePr>
    <w:tblStylePr w:type="lastRow">
      <w:rPr>
        <w:rFonts w:ascii="Arial" w:hAnsi="Arial"/>
        <w:color w:val="404040"/>
        <w:sz w:val="22"/>
      </w:rPr>
      <w:tcPr>
        <w:tcBorders>
          <w:top w:val="single" w:color="4F81BD" w:themeColor="accent1"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4F81BD" w:themeColor="accent1" w:sz="12" w:space="0"/>
        </w:tcBorders>
      </w:tcPr>
    </w:tblStylePr>
    <w:tblStylePr w:type="band1Vert"/>
    <w:tblStylePr w:type="band2Vert"/>
    <w:tblStylePr w:type="band1Horz">
      <w:rPr>
        <w:rFonts w:ascii="Arial" w:hAnsi="Arial"/>
        <w:color w:val="404040"/>
        <w:sz w:val="22"/>
      </w:rPr>
      <w:tcPr>
        <w:tcBorders>
          <w:top w:val="single" w:color="B7CCE4" w:themeColor="accent1" w:themeTint="67" w:sz="4" w:space="0"/>
          <w:left w:val="single" w:color="B7CCE4" w:themeColor="accent1" w:themeTint="67" w:sz="4" w:space="0"/>
          <w:bottom w:val="single" w:color="B7CCE4" w:themeColor="accent1" w:themeTint="67" w:sz="4" w:space="0"/>
          <w:right w:val="single" w:color="B7CCE4" w:themeColor="accent1" w:themeTint="67" w:sz="4" w:space="0"/>
        </w:tcBorders>
      </w:tcPr>
    </w:tblStylePr>
    <w:tblStylePr w:type="band2Horz"/>
    <w:tblStylePr w:type="neCell"/>
    <w:tblStylePr w:type="nwCell"/>
    <w:tblStylePr w:type="seCell"/>
    <w:tblStylePr w:type="swCell"/>
  </w:style>
  <w:style w:type="table" w:customStyle="1" w:styleId="208">
    <w:name w:val="Bordered - Accent 2"/>
    <w:basedOn w:val="56"/>
    <w:qFormat/>
    <w:uiPriority w:val="99"/>
    <w:pPr>
      <w:spacing w:after="0" w:line="240" w:lineRule="auto"/>
    </w:pPr>
    <w:tblPr>
      <w:tblBorders>
        <w:top w:val="single" w:color="E5B8B7" w:themeColor="accent2" w:themeTint="67" w:sz="4" w:space="0"/>
        <w:left w:val="single" w:color="E5B8B7" w:themeColor="accent2" w:themeTint="67" w:sz="4" w:space="0"/>
        <w:bottom w:val="single" w:color="E5B8B7" w:themeColor="accent2" w:themeTint="67" w:sz="4" w:space="0"/>
        <w:right w:val="single" w:color="E5B8B7" w:themeColor="accent2" w:themeTint="67" w:sz="4" w:space="0"/>
        <w:insideH w:val="single" w:color="E5B8B7" w:themeColor="accent2" w:themeTint="67" w:sz="4" w:space="0"/>
        <w:insideV w:val="single" w:color="E5B8B7" w:themeColor="accent2" w:themeTint="67" w:sz="4" w:space="0"/>
      </w:tblBorders>
    </w:tblPr>
    <w:tblStylePr w:type="firstRow">
      <w:rPr>
        <w:rFonts w:ascii="Arial" w:hAnsi="Arial"/>
        <w:color w:val="404040"/>
        <w:sz w:val="22"/>
      </w:rPr>
      <w:tcPr>
        <w:tcBorders>
          <w:bottom w:val="single" w:color="D99795" w:themeColor="accent2" w:themeTint="97" w:sz="12" w:space="0"/>
        </w:tcBorders>
      </w:tcPr>
    </w:tblStylePr>
    <w:tblStylePr w:type="lastRow">
      <w:rPr>
        <w:rFonts w:ascii="Arial" w:hAnsi="Arial"/>
        <w:color w:val="404040"/>
        <w:sz w:val="22"/>
      </w:rPr>
      <w:tcPr>
        <w:tcBorders>
          <w:top w:val="single" w:color="D99795" w:themeColor="accent2" w:themeTint="97"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D99795" w:themeColor="accent2" w:themeTint="97" w:sz="12" w:space="0"/>
        </w:tcBorders>
      </w:tcPr>
    </w:tblStylePr>
    <w:tblStylePr w:type="band1Vert"/>
    <w:tblStylePr w:type="band2Vert"/>
    <w:tblStylePr w:type="band1Horz">
      <w:rPr>
        <w:rFonts w:ascii="Arial" w:hAnsi="Arial"/>
        <w:color w:val="404040"/>
        <w:sz w:val="22"/>
      </w:rPr>
      <w:tcPr>
        <w:tcBorders>
          <w:top w:val="single" w:color="E5B8B7" w:themeColor="accent2" w:themeTint="67" w:sz="4" w:space="0"/>
          <w:left w:val="single" w:color="E5B8B7" w:themeColor="accent2" w:themeTint="67" w:sz="4" w:space="0"/>
          <w:bottom w:val="single" w:color="E5B8B7" w:themeColor="accent2" w:themeTint="67" w:sz="4" w:space="0"/>
          <w:right w:val="single" w:color="E5B8B7" w:themeColor="accent2" w:themeTint="67" w:sz="4" w:space="0"/>
        </w:tcBorders>
      </w:tcPr>
    </w:tblStylePr>
    <w:tblStylePr w:type="band2Horz"/>
    <w:tblStylePr w:type="neCell"/>
    <w:tblStylePr w:type="nwCell"/>
    <w:tblStylePr w:type="seCell"/>
    <w:tblStylePr w:type="swCell"/>
  </w:style>
  <w:style w:type="table" w:customStyle="1" w:styleId="209">
    <w:name w:val="Bordered - Accent 3"/>
    <w:basedOn w:val="56"/>
    <w:qFormat/>
    <w:uiPriority w:val="99"/>
    <w:pPr>
      <w:spacing w:after="0" w:line="240" w:lineRule="auto"/>
    </w:pPr>
    <w:tblPr>
      <w:tbl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insideH w:val="single" w:color="D6E3BB" w:themeColor="accent3" w:themeTint="67" w:sz="4" w:space="0"/>
        <w:insideV w:val="single" w:color="D6E3BB" w:themeColor="accent3" w:themeTint="67" w:sz="4" w:space="0"/>
      </w:tblBorders>
    </w:tblPr>
    <w:tblStylePr w:type="firstRow">
      <w:rPr>
        <w:rFonts w:ascii="Arial" w:hAnsi="Arial"/>
        <w:color w:val="404040"/>
        <w:sz w:val="22"/>
      </w:rPr>
      <w:tcPr>
        <w:tcBorders>
          <w:bottom w:val="single" w:color="C3D69C" w:themeColor="accent3" w:themeTint="98" w:sz="12" w:space="0"/>
        </w:tcBorders>
      </w:tcPr>
    </w:tblStylePr>
    <w:tblStylePr w:type="lastRow">
      <w:rPr>
        <w:rFonts w:ascii="Arial" w:hAnsi="Arial"/>
        <w:color w:val="404040"/>
        <w:sz w:val="22"/>
      </w:rPr>
      <w:tcPr>
        <w:tcBorders>
          <w:top w:val="single" w:color="C3D69C" w:themeColor="accent3" w:themeTint="98"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C3D69C" w:themeColor="accent3" w:themeTint="98" w:sz="12" w:space="0"/>
        </w:tcBorders>
      </w:tcPr>
    </w:tblStylePr>
    <w:tblStylePr w:type="band1Vert"/>
    <w:tblStylePr w:type="band2Vert"/>
    <w:tblStylePr w:type="band1Horz">
      <w:rPr>
        <w:rFonts w:ascii="Arial" w:hAnsi="Arial"/>
        <w:color w:val="404040"/>
        <w:sz w:val="22"/>
      </w:rPr>
      <w:tcPr>
        <w:tc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tcBorders>
      </w:tcPr>
    </w:tblStylePr>
    <w:tblStylePr w:type="band2Horz"/>
    <w:tblStylePr w:type="neCell"/>
    <w:tblStylePr w:type="nwCell"/>
    <w:tblStylePr w:type="seCell"/>
    <w:tblStylePr w:type="swCell"/>
  </w:style>
  <w:style w:type="table" w:customStyle="1" w:styleId="210">
    <w:name w:val="Bordered - Accent 4"/>
    <w:basedOn w:val="56"/>
    <w:qFormat/>
    <w:uiPriority w:val="99"/>
    <w:pPr>
      <w:spacing w:after="0" w:line="240" w:lineRule="auto"/>
    </w:pPr>
    <w:tblPr>
      <w:tbl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insideH w:val="single" w:color="CBC0D9" w:themeColor="accent4" w:themeTint="67" w:sz="4" w:space="0"/>
        <w:insideV w:val="single" w:color="CBC0D9" w:themeColor="accent4" w:themeTint="67" w:sz="4" w:space="0"/>
      </w:tblBorders>
    </w:tblPr>
    <w:tblStylePr w:type="firstRow">
      <w:rPr>
        <w:rFonts w:ascii="Arial" w:hAnsi="Arial"/>
        <w:color w:val="404040"/>
        <w:sz w:val="22"/>
      </w:rPr>
      <w:tcPr>
        <w:tcBorders>
          <w:bottom w:val="single" w:color="B2A1C6" w:themeColor="accent4" w:themeTint="9A" w:sz="12" w:space="0"/>
        </w:tcBorders>
      </w:tcPr>
    </w:tblStylePr>
    <w:tblStylePr w:type="lastRow">
      <w:rPr>
        <w:rFonts w:ascii="Arial" w:hAnsi="Arial"/>
        <w:color w:val="404040"/>
        <w:sz w:val="22"/>
      </w:rPr>
      <w:tcPr>
        <w:tcBorders>
          <w:top w:val="single" w:color="B2A1C6" w:themeColor="accent4" w:themeTint="9A"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B2A1C6" w:themeColor="accent4" w:themeTint="9A" w:sz="12" w:space="0"/>
        </w:tcBorders>
      </w:tcPr>
    </w:tblStylePr>
    <w:tblStylePr w:type="band1Vert"/>
    <w:tblStylePr w:type="band2Vert"/>
    <w:tblStylePr w:type="band1Horz">
      <w:rPr>
        <w:rFonts w:ascii="Arial" w:hAnsi="Arial"/>
        <w:color w:val="404040"/>
        <w:sz w:val="22"/>
      </w:rPr>
      <w:tcPr>
        <w:tc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tcBorders>
      </w:tcPr>
    </w:tblStylePr>
    <w:tblStylePr w:type="band2Horz"/>
    <w:tblStylePr w:type="neCell"/>
    <w:tblStylePr w:type="nwCell"/>
    <w:tblStylePr w:type="seCell"/>
    <w:tblStylePr w:type="swCell"/>
  </w:style>
  <w:style w:type="table" w:customStyle="1" w:styleId="211">
    <w:name w:val="Bordered - Accent 5"/>
    <w:basedOn w:val="56"/>
    <w:qFormat/>
    <w:uiPriority w:val="99"/>
    <w:pPr>
      <w:spacing w:after="0" w:line="240" w:lineRule="auto"/>
    </w:pPr>
    <w:tblPr>
      <w:tblBorders>
        <w:top w:val="single" w:color="B6DDE7" w:themeColor="accent5" w:themeTint="67" w:sz="4" w:space="0"/>
        <w:left w:val="single" w:color="B6DDE7" w:themeColor="accent5" w:themeTint="67" w:sz="4" w:space="0"/>
        <w:bottom w:val="single" w:color="B6DDE7" w:themeColor="accent5" w:themeTint="67" w:sz="4" w:space="0"/>
        <w:right w:val="single" w:color="B6DDE7" w:themeColor="accent5" w:themeTint="67" w:sz="4" w:space="0"/>
        <w:insideH w:val="single" w:color="B6DDE7" w:themeColor="accent5" w:themeTint="67" w:sz="4" w:space="0"/>
        <w:insideV w:val="single" w:color="B6DDE7" w:themeColor="accent5" w:themeTint="67" w:sz="4" w:space="0"/>
      </w:tblBorders>
    </w:tblPr>
    <w:tblStylePr w:type="firstRow">
      <w:rPr>
        <w:rFonts w:ascii="Arial" w:hAnsi="Arial"/>
        <w:color w:val="404040"/>
        <w:sz w:val="22"/>
      </w:rPr>
      <w:tcPr>
        <w:tcBorders>
          <w:bottom w:val="single" w:color="92CCDC" w:themeColor="accent5" w:themeTint="9A" w:sz="12" w:space="0"/>
        </w:tcBorders>
      </w:tcPr>
    </w:tblStylePr>
    <w:tblStylePr w:type="lastRow">
      <w:rPr>
        <w:rFonts w:ascii="Arial" w:hAnsi="Arial"/>
        <w:color w:val="404040"/>
        <w:sz w:val="22"/>
      </w:rPr>
      <w:tcPr>
        <w:tcBorders>
          <w:top w:val="single" w:color="92CCDC" w:themeColor="accent5" w:themeTint="9A"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92CCDC" w:themeColor="accent5" w:themeTint="9A" w:sz="12" w:space="0"/>
        </w:tcBorders>
      </w:tcPr>
    </w:tblStylePr>
    <w:tblStylePr w:type="band1Vert"/>
    <w:tblStylePr w:type="band2Vert"/>
    <w:tblStylePr w:type="band1Horz">
      <w:rPr>
        <w:rFonts w:ascii="Arial" w:hAnsi="Arial"/>
        <w:color w:val="404040"/>
        <w:sz w:val="22"/>
      </w:rPr>
      <w:tcPr>
        <w:tcBorders>
          <w:top w:val="single" w:color="B6DDE7" w:themeColor="accent5" w:themeTint="67" w:sz="4" w:space="0"/>
          <w:left w:val="single" w:color="B6DDE7" w:themeColor="accent5" w:themeTint="67" w:sz="4" w:space="0"/>
          <w:bottom w:val="single" w:color="B6DDE7" w:themeColor="accent5" w:themeTint="67" w:sz="4" w:space="0"/>
          <w:right w:val="single" w:color="B6DDE7" w:themeColor="accent5" w:themeTint="67" w:sz="4" w:space="0"/>
        </w:tcBorders>
      </w:tcPr>
    </w:tblStylePr>
    <w:tblStylePr w:type="band2Horz"/>
    <w:tblStylePr w:type="neCell"/>
    <w:tblStylePr w:type="nwCell"/>
    <w:tblStylePr w:type="seCell"/>
    <w:tblStylePr w:type="swCell"/>
  </w:style>
  <w:style w:type="table" w:customStyle="1" w:styleId="212">
    <w:name w:val="Bordered - Accent 6"/>
    <w:basedOn w:val="56"/>
    <w:qFormat/>
    <w:uiPriority w:val="99"/>
    <w:pPr>
      <w:spacing w:after="0" w:line="240" w:lineRule="auto"/>
    </w:pPr>
    <w:tblPr>
      <w:tbl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insideH w:val="single" w:color="FBD4B4" w:themeColor="accent6" w:themeTint="67" w:sz="4" w:space="0"/>
        <w:insideV w:val="single" w:color="FBD4B4" w:themeColor="accent6" w:themeTint="67" w:sz="4" w:space="0"/>
      </w:tblBorders>
    </w:tblPr>
    <w:tblStylePr w:type="firstRow">
      <w:rPr>
        <w:rFonts w:ascii="Arial" w:hAnsi="Arial"/>
        <w:color w:val="404040"/>
        <w:sz w:val="22"/>
      </w:rPr>
      <w:tcPr>
        <w:tcBorders>
          <w:bottom w:val="single" w:color="FAC090" w:themeColor="accent6" w:themeTint="98" w:sz="12" w:space="0"/>
        </w:tcBorders>
      </w:tcPr>
    </w:tblStylePr>
    <w:tblStylePr w:type="lastRow">
      <w:rPr>
        <w:rFonts w:ascii="Arial" w:hAnsi="Arial"/>
        <w:color w:val="404040"/>
        <w:sz w:val="22"/>
      </w:rPr>
      <w:tcPr>
        <w:tcBorders>
          <w:top w:val="single" w:color="FAC090" w:themeColor="accent6" w:themeTint="98"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FAC090" w:themeColor="accent6" w:themeTint="98" w:sz="12" w:space="0"/>
        </w:tcBorders>
      </w:tcPr>
    </w:tblStylePr>
    <w:tblStylePr w:type="band1Vert"/>
    <w:tblStylePr w:type="band2Vert"/>
    <w:tblStylePr w:type="band1Horz">
      <w:rPr>
        <w:rFonts w:ascii="Arial" w:hAnsi="Arial"/>
        <w:color w:val="404040"/>
        <w:sz w:val="22"/>
      </w:rPr>
      <w:tcPr>
        <w:tc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tcBorders>
      </w:tcPr>
    </w:tblStylePr>
    <w:tblStylePr w:type="band2Horz"/>
    <w:tblStylePr w:type="neCell"/>
    <w:tblStylePr w:type="nwCell"/>
    <w:tblStylePr w:type="seCell"/>
    <w:tblStylePr w:type="swCell"/>
  </w:style>
  <w:style w:type="character" w:customStyle="1" w:styleId="213">
    <w:name w:val="Footnote Text Char"/>
    <w:link w:val="45"/>
    <w:qFormat/>
    <w:uiPriority w:val="99"/>
    <w:rPr>
      <w:sz w:val="18"/>
    </w:rPr>
  </w:style>
  <w:style w:type="character" w:customStyle="1" w:styleId="214">
    <w:name w:val="Endnote Text Char"/>
    <w:link w:val="36"/>
    <w:qFormat/>
    <w:uiPriority w:val="99"/>
    <w:rPr>
      <w:sz w:val="20"/>
    </w:rPr>
  </w:style>
  <w:style w:type="paragraph" w:customStyle="1" w:styleId="215">
    <w:name w:val="TOC Heading"/>
    <w:unhideWhenUsed/>
    <w:qFormat/>
    <w:uiPriority w:val="39"/>
    <w:rPr>
      <w:rFonts w:hint="default" w:ascii="Times New Roman" w:hAnsi="Times New Roman" w:eastAsia="宋体" w:cs="Times New Roman"/>
    </w:rPr>
  </w:style>
  <w:style w:type="character" w:customStyle="1" w:styleId="216">
    <w:name w:val="正文文本 Char"/>
    <w:link w:val="21"/>
    <w:qFormat/>
    <w:uiPriority w:val="0"/>
    <w:rPr>
      <w:sz w:val="18"/>
    </w:rPr>
  </w:style>
  <w:style w:type="paragraph" w:customStyle="1" w:styleId="217">
    <w:name w:val="表文"/>
    <w:basedOn w:val="21"/>
    <w:next w:val="5"/>
    <w:qFormat/>
    <w:uiPriority w:val="0"/>
    <w:pPr>
      <w:jc w:val="center"/>
    </w:pPr>
    <w:rPr>
      <w:rFonts w:eastAsia="仿宋_GB2312"/>
      <w:szCs w:val="20"/>
    </w:rPr>
  </w:style>
  <w:style w:type="character" w:customStyle="1" w:styleId="218">
    <w:name w:val="标题 2 Char"/>
    <w:link w:val="3"/>
    <w:qFormat/>
    <w:uiPriority w:val="0"/>
    <w:rPr>
      <w:rFonts w:ascii="Arial" w:hAnsi="Arial" w:eastAsia="黑体"/>
      <w:b/>
      <w:bCs/>
      <w:sz w:val="32"/>
      <w:szCs w:val="32"/>
      <w:lang w:val="en-US" w:eastAsia="zh-CN" w:bidi="ar-SA"/>
    </w:rPr>
  </w:style>
  <w:style w:type="character" w:customStyle="1" w:styleId="219">
    <w:name w:val="标题 3 Char"/>
    <w:link w:val="4"/>
    <w:qFormat/>
    <w:uiPriority w:val="0"/>
    <w:rPr>
      <w:rFonts w:eastAsia="宋体"/>
      <w:b/>
      <w:bCs/>
      <w:sz w:val="32"/>
      <w:szCs w:val="32"/>
      <w:lang w:val="en-US" w:eastAsia="zh-CN" w:bidi="ar-SA"/>
    </w:rPr>
  </w:style>
  <w:style w:type="character" w:customStyle="1" w:styleId="220">
    <w:name w:val="正文缩进 Char"/>
    <w:link w:val="5"/>
    <w:qFormat/>
    <w:uiPriority w:val="0"/>
    <w:rPr>
      <w:rFonts w:eastAsia="宋体"/>
      <w:spacing w:val="20"/>
      <w:sz w:val="24"/>
      <w:lang w:val="en-US" w:eastAsia="zh-CN" w:bidi="ar-SA"/>
    </w:rPr>
  </w:style>
  <w:style w:type="character" w:customStyle="1" w:styleId="221">
    <w:name w:val="批注文字 Char"/>
    <w:link w:val="19"/>
    <w:qFormat/>
    <w:uiPriority w:val="0"/>
    <w:rPr>
      <w:rFonts w:ascii="Times New Roman" w:hAnsi="Times New Roman" w:eastAsia="宋体"/>
      <w:sz w:val="24"/>
    </w:rPr>
  </w:style>
  <w:style w:type="character" w:customStyle="1" w:styleId="222">
    <w:name w:val="正文文本缩进 Char"/>
    <w:link w:val="22"/>
    <w:semiHidden/>
    <w:qFormat/>
    <w:uiPriority w:val="0"/>
    <w:rPr>
      <w:rFonts w:ascii="Times New Roman" w:hAnsi="Times New Roman" w:eastAsia="宋体"/>
      <w:sz w:val="24"/>
    </w:rPr>
  </w:style>
  <w:style w:type="character" w:customStyle="1" w:styleId="223">
    <w:name w:val="纯文本 Char"/>
    <w:link w:val="27"/>
    <w:qFormat/>
    <w:uiPriority w:val="0"/>
    <w:rPr>
      <w:rFonts w:ascii="宋体" w:hAnsi="Courier New" w:eastAsia="宋体"/>
      <w:sz w:val="21"/>
      <w:szCs w:val="21"/>
      <w:lang w:val="en-US" w:eastAsia="zh-CN" w:bidi="ar-SA"/>
    </w:rPr>
  </w:style>
  <w:style w:type="character" w:customStyle="1" w:styleId="224">
    <w:name w:val="日期 Char"/>
    <w:link w:val="30"/>
    <w:qFormat/>
    <w:uiPriority w:val="0"/>
    <w:rPr>
      <w:rFonts w:ascii="Times New Roman" w:hAnsi="Times New Roman" w:eastAsia="宋体"/>
      <w:sz w:val="24"/>
    </w:rPr>
  </w:style>
  <w:style w:type="character" w:customStyle="1" w:styleId="225">
    <w:name w:val="批注框文本 Char"/>
    <w:link w:val="37"/>
    <w:semiHidden/>
    <w:qFormat/>
    <w:uiPriority w:val="0"/>
    <w:rPr>
      <w:rFonts w:ascii="Times New Roman" w:hAnsi="Times New Roman" w:eastAsia="宋体"/>
      <w:sz w:val="18"/>
    </w:rPr>
  </w:style>
  <w:style w:type="character" w:customStyle="1" w:styleId="226">
    <w:name w:val="页脚 Char"/>
    <w:link w:val="38"/>
    <w:qFormat/>
    <w:uiPriority w:val="99"/>
    <w:rPr>
      <w:sz w:val="18"/>
    </w:rPr>
  </w:style>
  <w:style w:type="character" w:customStyle="1" w:styleId="227">
    <w:name w:val="页眉 Char"/>
    <w:link w:val="39"/>
    <w:qFormat/>
    <w:uiPriority w:val="0"/>
    <w:rPr>
      <w:sz w:val="18"/>
    </w:rPr>
  </w:style>
  <w:style w:type="character" w:customStyle="1" w:styleId="228">
    <w:name w:val="普通(网站) Char"/>
    <w:link w:val="53"/>
    <w:qFormat/>
    <w:uiPriority w:val="0"/>
    <w:rPr>
      <w:rFonts w:ascii="宋体" w:hAnsi="宋体" w:eastAsia="宋体"/>
      <w:sz w:val="24"/>
    </w:rPr>
  </w:style>
  <w:style w:type="character" w:customStyle="1" w:styleId="229">
    <w:name w:val="批注主题 Char"/>
    <w:link w:val="55"/>
    <w:semiHidden/>
    <w:qFormat/>
    <w:uiPriority w:val="0"/>
    <w:rPr>
      <w:rFonts w:ascii="Times New Roman" w:hAnsi="Times New Roman" w:eastAsia="宋体"/>
      <w:b/>
      <w:sz w:val="24"/>
    </w:rPr>
  </w:style>
  <w:style w:type="character" w:customStyle="1" w:styleId="230">
    <w:name w:val="正文首行缩进 Char"/>
    <w:basedOn w:val="58"/>
    <w:link w:val="33"/>
    <w:semiHidden/>
    <w:qFormat/>
    <w:uiPriority w:val="0"/>
    <w:rPr>
      <w:rFonts w:eastAsia="宋体"/>
      <w:sz w:val="21"/>
      <w:szCs w:val="24"/>
      <w:lang w:val="en-US" w:eastAsia="zh-CN" w:bidi="ar-SA"/>
    </w:rPr>
  </w:style>
  <w:style w:type="paragraph" w:customStyle="1" w:styleId="231">
    <w:name w:val="A正文"/>
    <w:basedOn w:val="1"/>
    <w:next w:val="21"/>
    <w:link w:val="232"/>
    <w:qFormat/>
    <w:uiPriority w:val="0"/>
    <w:pPr>
      <w:spacing w:line="360" w:lineRule="auto"/>
      <w:ind w:firstLine="480"/>
    </w:pPr>
  </w:style>
  <w:style w:type="character" w:customStyle="1" w:styleId="232">
    <w:name w:val="A正文 Char"/>
    <w:link w:val="231"/>
    <w:qFormat/>
    <w:uiPriority w:val="0"/>
    <w:rPr>
      <w:sz w:val="24"/>
      <w:szCs w:val="24"/>
      <w:lang w:bidi="ar-SA"/>
    </w:rPr>
  </w:style>
  <w:style w:type="character" w:customStyle="1" w:styleId="233">
    <w:name w:val=" Char Char6"/>
    <w:qFormat/>
    <w:uiPriority w:val="0"/>
    <w:rPr>
      <w:rFonts w:eastAsia="宋体"/>
      <w:b/>
      <w:bCs/>
      <w:sz w:val="32"/>
      <w:szCs w:val="32"/>
      <w:lang w:val="en-US" w:eastAsia="zh-CN" w:bidi="ar-SA"/>
    </w:rPr>
  </w:style>
  <w:style w:type="character" w:customStyle="1" w:styleId="234">
    <w:name w:val=" Char Char4"/>
    <w:qFormat/>
    <w:uiPriority w:val="0"/>
    <w:rPr>
      <w:rFonts w:eastAsia="宋体"/>
      <w:sz w:val="28"/>
      <w:szCs w:val="24"/>
      <w:lang w:val="en-US" w:eastAsia="zh-CN" w:bidi="ar-SA"/>
    </w:rPr>
  </w:style>
  <w:style w:type="character" w:customStyle="1" w:styleId="235">
    <w:name w:val=" Char Char5"/>
    <w:qFormat/>
    <w:uiPriority w:val="0"/>
    <w:rPr>
      <w:rFonts w:ascii="宋体" w:hAnsi="宋体" w:eastAsia="宋体" w:cs="宋体"/>
      <w:sz w:val="24"/>
      <w:szCs w:val="24"/>
      <w:lang w:val="en-US" w:eastAsia="zh-CN" w:bidi="ar-SA"/>
    </w:rPr>
  </w:style>
  <w:style w:type="character" w:customStyle="1" w:styleId="236">
    <w:name w:val="text06"/>
    <w:basedOn w:val="58"/>
    <w:qFormat/>
    <w:uiPriority w:val="0"/>
  </w:style>
  <w:style w:type="character" w:customStyle="1" w:styleId="237">
    <w:name w:val="Char Char2"/>
    <w:qFormat/>
    <w:uiPriority w:val="0"/>
    <w:rPr>
      <w:rFonts w:eastAsia="宋体"/>
      <w:sz w:val="28"/>
      <w:szCs w:val="24"/>
      <w:lang w:val="en-US" w:eastAsia="zh-CN" w:bidi="ar-SA"/>
    </w:rPr>
  </w:style>
  <w:style w:type="character" w:customStyle="1" w:styleId="238">
    <w:name w:val="ourfont11"/>
    <w:qFormat/>
    <w:uiPriority w:val="0"/>
    <w:rPr>
      <w:sz w:val="20"/>
      <w:szCs w:val="20"/>
    </w:rPr>
  </w:style>
  <w:style w:type="character" w:customStyle="1" w:styleId="239">
    <w:name w:val="预案正文 Char"/>
    <w:link w:val="240"/>
    <w:qFormat/>
    <w:uiPriority w:val="0"/>
    <w:rPr>
      <w:sz w:val="24"/>
      <w:lang w:bidi="ar-SA"/>
    </w:rPr>
  </w:style>
  <w:style w:type="paragraph" w:customStyle="1" w:styleId="240">
    <w:name w:val="预案正文"/>
    <w:basedOn w:val="1"/>
    <w:link w:val="239"/>
    <w:qFormat/>
    <w:uiPriority w:val="0"/>
    <w:pPr>
      <w:spacing w:line="360" w:lineRule="auto"/>
      <w:ind w:firstLine="200"/>
    </w:pPr>
    <w:rPr>
      <w:szCs w:val="20"/>
    </w:rPr>
  </w:style>
  <w:style w:type="character" w:customStyle="1" w:styleId="241">
    <w:name w:val="正文文本 字符1"/>
    <w:semiHidden/>
    <w:qFormat/>
    <w:uiPriority w:val="0"/>
    <w:rPr>
      <w:rFonts w:ascii="Times New Roman" w:hAnsi="Times New Roman" w:eastAsia="宋体"/>
      <w:sz w:val="24"/>
    </w:rPr>
  </w:style>
  <w:style w:type="character" w:customStyle="1" w:styleId="242">
    <w:name w:val=" Char Char2"/>
    <w:qFormat/>
    <w:uiPriority w:val="0"/>
    <w:rPr>
      <w:rFonts w:eastAsia="宋体"/>
      <w:sz w:val="18"/>
      <w:szCs w:val="18"/>
      <w:lang w:val="en-US" w:eastAsia="zh-CN" w:bidi="ar-SA"/>
    </w:rPr>
  </w:style>
  <w:style w:type="character" w:customStyle="1" w:styleId="243">
    <w:name w:val="图表标注 Char"/>
    <w:link w:val="244"/>
    <w:qFormat/>
    <w:uiPriority w:val="0"/>
    <w:rPr>
      <w:rFonts w:ascii="黑体" w:hAnsi="黑体" w:eastAsia="黑体"/>
      <w:lang w:bidi="ar-SA"/>
    </w:rPr>
  </w:style>
  <w:style w:type="paragraph" w:customStyle="1" w:styleId="244">
    <w:name w:val="图表标注"/>
    <w:basedOn w:val="1"/>
    <w:link w:val="243"/>
    <w:qFormat/>
    <w:uiPriority w:val="0"/>
    <w:pPr>
      <w:spacing w:line="480" w:lineRule="exact"/>
      <w:jc w:val="center"/>
    </w:pPr>
    <w:rPr>
      <w:rFonts w:ascii="黑体" w:hAnsi="黑体" w:eastAsia="黑体"/>
      <w:sz w:val="20"/>
      <w:szCs w:val="20"/>
    </w:rPr>
  </w:style>
  <w:style w:type="character" w:customStyle="1" w:styleId="245">
    <w:name w:val="批注文字 字符1"/>
    <w:semiHidden/>
    <w:qFormat/>
    <w:uiPriority w:val="0"/>
    <w:rPr>
      <w:rFonts w:ascii="Times New Roman" w:hAnsi="Times New Roman" w:eastAsia="宋体"/>
      <w:sz w:val="24"/>
    </w:rPr>
  </w:style>
  <w:style w:type="character" w:customStyle="1" w:styleId="246">
    <w:name w:val="表格 Char Char"/>
    <w:qFormat/>
    <w:uiPriority w:val="0"/>
    <w:rPr>
      <w:rFonts w:eastAsia="宋体"/>
      <w:sz w:val="24"/>
      <w:lang w:val="en-US" w:eastAsia="zh-CN" w:bidi="ar-SA"/>
    </w:rPr>
  </w:style>
  <w:style w:type="character" w:customStyle="1" w:styleId="247">
    <w:name w:val="表体 Char"/>
    <w:link w:val="248"/>
    <w:qFormat/>
    <w:uiPriority w:val="0"/>
    <w:rPr>
      <w:rFonts w:ascii="宋体"/>
      <w:color w:val="000080"/>
      <w:sz w:val="21"/>
      <w:szCs w:val="24"/>
      <w:lang w:val="en-US" w:eastAsia="zh-CN" w:bidi="ar-SA"/>
    </w:rPr>
  </w:style>
  <w:style w:type="paragraph" w:customStyle="1" w:styleId="248">
    <w:name w:val="表体"/>
    <w:link w:val="247"/>
    <w:qFormat/>
    <w:uiPriority w:val="0"/>
    <w:pPr>
      <w:jc w:val="center"/>
    </w:pPr>
    <w:rPr>
      <w:rFonts w:hint="default" w:ascii="宋体" w:hAnsi="Times New Roman" w:eastAsia="宋体" w:cs="Times New Roman"/>
      <w:color w:val="000080"/>
      <w:sz w:val="21"/>
      <w:szCs w:val="24"/>
      <w:lang w:val="en-US" w:eastAsia="zh-CN" w:bidi="ar-SA"/>
    </w:rPr>
  </w:style>
  <w:style w:type="character" w:customStyle="1" w:styleId="249">
    <w:name w:val="5文章(治) Char"/>
    <w:link w:val="250"/>
    <w:qFormat/>
    <w:uiPriority w:val="0"/>
    <w:rPr>
      <w:rFonts w:eastAsia="宋体"/>
      <w:color w:val="000000"/>
      <w:sz w:val="24"/>
      <w:lang w:bidi="ar-SA"/>
    </w:rPr>
  </w:style>
  <w:style w:type="paragraph" w:customStyle="1" w:styleId="250">
    <w:name w:val="5文章(治)"/>
    <w:basedOn w:val="1"/>
    <w:link w:val="249"/>
    <w:qFormat/>
    <w:uiPriority w:val="0"/>
    <w:pPr>
      <w:spacing w:line="360" w:lineRule="auto"/>
      <w:ind w:firstLine="560"/>
    </w:pPr>
    <w:rPr>
      <w:color w:val="000000"/>
      <w:szCs w:val="20"/>
    </w:rPr>
  </w:style>
  <w:style w:type="character" w:customStyle="1" w:styleId="251">
    <w:name w:val="表 Char"/>
    <w:link w:val="252"/>
    <w:qFormat/>
    <w:uiPriority w:val="0"/>
    <w:rPr>
      <w:spacing w:val="2"/>
      <w:sz w:val="21"/>
      <w:lang w:bidi="ar-SA"/>
    </w:rPr>
  </w:style>
  <w:style w:type="paragraph" w:customStyle="1" w:styleId="252">
    <w:name w:val="表"/>
    <w:basedOn w:val="1"/>
    <w:link w:val="251"/>
    <w:qFormat/>
    <w:uiPriority w:val="0"/>
    <w:pPr>
      <w:jc w:val="center"/>
    </w:pPr>
    <w:rPr>
      <w:spacing w:val="2"/>
      <w:sz w:val="21"/>
      <w:szCs w:val="20"/>
    </w:rPr>
  </w:style>
  <w:style w:type="character" w:customStyle="1" w:styleId="253">
    <w:name w:val="apple-style-span"/>
    <w:basedOn w:val="58"/>
    <w:qFormat/>
    <w:uiPriority w:val="0"/>
  </w:style>
  <w:style w:type="character" w:customStyle="1" w:styleId="254">
    <w:name w:val="font21"/>
    <w:qFormat/>
    <w:uiPriority w:val="0"/>
    <w:rPr>
      <w:rFonts w:hint="default" w:ascii="Times New Roman" w:hAnsi="Times New Roman" w:cs="Times New Roman"/>
      <w:color w:val="000000"/>
      <w:sz w:val="21"/>
      <w:szCs w:val="21"/>
      <w:u w:val="none"/>
    </w:rPr>
  </w:style>
  <w:style w:type="character" w:customStyle="1" w:styleId="255">
    <w:name w:val=" Char Char Char"/>
    <w:qFormat/>
    <w:uiPriority w:val="0"/>
    <w:rPr>
      <w:rFonts w:eastAsia="宋体"/>
      <w:sz w:val="28"/>
      <w:szCs w:val="24"/>
      <w:lang w:val="en-US" w:eastAsia="zh-CN" w:bidi="ar-SA"/>
    </w:rPr>
  </w:style>
  <w:style w:type="character" w:customStyle="1" w:styleId="256">
    <w:name w:val="普通文字 Char Char1"/>
    <w:qFormat/>
    <w:uiPriority w:val="0"/>
    <w:rPr>
      <w:rFonts w:ascii="宋体" w:hAnsi="Courier New" w:eastAsia="宋体"/>
      <w:spacing w:val="-2"/>
      <w:sz w:val="21"/>
      <w:lang w:val="en-US" w:eastAsia="zh-CN" w:bidi="ar-SA"/>
    </w:rPr>
  </w:style>
  <w:style w:type="character" w:customStyle="1" w:styleId="257">
    <w:name w:val="正文缩进 Char1"/>
    <w:qFormat/>
    <w:uiPriority w:val="0"/>
    <w:rPr>
      <w:rFonts w:eastAsia="宋体"/>
      <w:spacing w:val="20"/>
      <w:sz w:val="24"/>
    </w:rPr>
  </w:style>
  <w:style w:type="character" w:customStyle="1" w:styleId="258">
    <w:name w:val="标题 3 Char Char Char Char Char3"/>
    <w:qFormat/>
    <w:uiPriority w:val="0"/>
    <w:rPr>
      <w:rFonts w:eastAsia="宋体"/>
      <w:b/>
      <w:bCs/>
      <w:sz w:val="32"/>
      <w:szCs w:val="32"/>
      <w:lang w:val="en-US" w:eastAsia="zh-CN" w:bidi="ar-SA"/>
    </w:rPr>
  </w:style>
  <w:style w:type="character" w:customStyle="1" w:styleId="259">
    <w:name w:val="正文（首行缩进两字） Char Char Char Char Char Char Char Char"/>
    <w:qFormat/>
    <w:uiPriority w:val="0"/>
    <w:rPr>
      <w:rFonts w:eastAsia="华文中宋"/>
      <w:sz w:val="28"/>
      <w:lang w:val="en-US" w:eastAsia="zh-CN" w:bidi="ar-SA"/>
    </w:rPr>
  </w:style>
  <w:style w:type="character" w:customStyle="1" w:styleId="260">
    <w:name w:val=" Char Char12"/>
    <w:qFormat/>
    <w:uiPriority w:val="0"/>
    <w:rPr>
      <w:rFonts w:hint="eastAsia" w:ascii="宋体" w:hAnsi="宋体" w:eastAsia="宋体" w:cs="宋体"/>
      <w:sz w:val="28"/>
      <w:szCs w:val="21"/>
      <w:lang w:val="en-US" w:eastAsia="zh-CN" w:bidi="ar"/>
    </w:rPr>
  </w:style>
  <w:style w:type="character" w:customStyle="1" w:styleId="261">
    <w:name w:val="正文(首行缩进) Char Char"/>
    <w:link w:val="262"/>
    <w:qFormat/>
    <w:uiPriority w:val="0"/>
    <w:rPr>
      <w:rFonts w:eastAsia="宋体"/>
      <w:sz w:val="24"/>
      <w:szCs w:val="24"/>
      <w:lang w:val="en-US" w:eastAsia="zh-CN" w:bidi="ar-SA"/>
    </w:rPr>
  </w:style>
  <w:style w:type="paragraph" w:customStyle="1" w:styleId="262">
    <w:name w:val="正文(首行缩进)"/>
    <w:basedOn w:val="1"/>
    <w:link w:val="261"/>
    <w:qFormat/>
    <w:uiPriority w:val="0"/>
    <w:pPr>
      <w:spacing w:line="360" w:lineRule="auto"/>
      <w:ind w:firstLine="200"/>
    </w:pPr>
  </w:style>
  <w:style w:type="character" w:customStyle="1" w:styleId="263">
    <w:name w:val="111正文格式111 Char"/>
    <w:link w:val="264"/>
    <w:qFormat/>
    <w:uiPriority w:val="0"/>
    <w:rPr>
      <w:bCs/>
      <w:sz w:val="24"/>
      <w:szCs w:val="24"/>
      <w:lang w:bidi="ar-SA"/>
    </w:rPr>
  </w:style>
  <w:style w:type="paragraph" w:customStyle="1" w:styleId="264">
    <w:name w:val="111正文格式111"/>
    <w:basedOn w:val="1"/>
    <w:link w:val="263"/>
    <w:qFormat/>
    <w:uiPriority w:val="0"/>
    <w:pPr>
      <w:spacing w:line="360" w:lineRule="auto"/>
      <w:ind w:firstLine="200"/>
    </w:pPr>
    <w:rPr>
      <w:bCs/>
    </w:rPr>
  </w:style>
  <w:style w:type="character" w:customStyle="1" w:styleId="265">
    <w:name w:val="书籍标题1"/>
    <w:qFormat/>
    <w:uiPriority w:val="0"/>
    <w:rPr>
      <w:b/>
    </w:rPr>
  </w:style>
  <w:style w:type="character" w:customStyle="1" w:styleId="266">
    <w:name w:val="表格文字 Char"/>
    <w:link w:val="267"/>
    <w:qFormat/>
    <w:uiPriority w:val="0"/>
    <w:rPr>
      <w:rFonts w:eastAsia="仿宋_GB2312"/>
      <w:sz w:val="24"/>
      <w:lang w:val="en-US" w:eastAsia="zh-CN" w:bidi="ar-SA"/>
    </w:rPr>
  </w:style>
  <w:style w:type="paragraph" w:customStyle="1" w:styleId="267">
    <w:name w:val="表格文字"/>
    <w:basedOn w:val="1"/>
    <w:next w:val="1"/>
    <w:link w:val="266"/>
    <w:qFormat/>
    <w:uiPriority w:val="0"/>
    <w:pPr>
      <w:spacing w:before="60" w:after="60"/>
      <w:jc w:val="center"/>
    </w:pPr>
    <w:rPr>
      <w:rFonts w:eastAsia="仿宋_GB2312"/>
      <w:szCs w:val="20"/>
    </w:rPr>
  </w:style>
  <w:style w:type="character" w:customStyle="1" w:styleId="268">
    <w:name w:val="description"/>
    <w:basedOn w:val="58"/>
    <w:qFormat/>
    <w:uiPriority w:val="0"/>
  </w:style>
  <w:style w:type="character" w:customStyle="1" w:styleId="269">
    <w:name w:val="font11"/>
    <w:basedOn w:val="58"/>
    <w:qFormat/>
    <w:uiPriority w:val="0"/>
    <w:rPr>
      <w:rFonts w:hint="default" w:ascii="Times New Roman" w:hAnsi="Times New Roman" w:cs="Times New Roman"/>
      <w:color w:val="000000"/>
      <w:sz w:val="24"/>
      <w:szCs w:val="24"/>
      <w:u w:val="none"/>
    </w:rPr>
  </w:style>
  <w:style w:type="character" w:customStyle="1" w:styleId="270">
    <w:name w:val=" Char Char3"/>
    <w:qFormat/>
    <w:uiPriority w:val="0"/>
    <w:rPr>
      <w:sz w:val="28"/>
      <w:szCs w:val="24"/>
    </w:rPr>
  </w:style>
  <w:style w:type="character" w:customStyle="1" w:styleId="271">
    <w:name w:val="15"/>
    <w:basedOn w:val="58"/>
    <w:qFormat/>
    <w:uiPriority w:val="0"/>
    <w:rPr>
      <w:rFonts w:hint="default" w:ascii="Tahoma" w:hAnsi="Tahoma" w:cs="Tahoma"/>
      <w:sz w:val="21"/>
      <w:szCs w:val="21"/>
    </w:rPr>
  </w:style>
  <w:style w:type="character" w:customStyle="1" w:styleId="272">
    <w:name w:val="正文（海红） Char"/>
    <w:basedOn w:val="58"/>
    <w:link w:val="273"/>
    <w:qFormat/>
    <w:uiPriority w:val="0"/>
    <w:rPr>
      <w:rFonts w:eastAsia="宋体"/>
      <w:sz w:val="24"/>
      <w:szCs w:val="24"/>
      <w:lang w:val="en-US" w:eastAsia="zh-CN" w:bidi="ar-SA"/>
    </w:rPr>
  </w:style>
  <w:style w:type="paragraph" w:customStyle="1" w:styleId="273">
    <w:name w:val="正文（海红）"/>
    <w:basedOn w:val="1"/>
    <w:link w:val="272"/>
    <w:qFormat/>
    <w:uiPriority w:val="0"/>
    <w:pPr>
      <w:spacing w:line="500" w:lineRule="exact"/>
      <w:ind w:firstLine="200"/>
    </w:pPr>
    <w:rPr>
      <w:sz w:val="24"/>
    </w:rPr>
  </w:style>
  <w:style w:type="character" w:customStyle="1" w:styleId="274">
    <w:name w:val="表内文字 Char Char"/>
    <w:link w:val="275"/>
    <w:qFormat/>
    <w:uiPriority w:val="0"/>
    <w:rPr>
      <w:rFonts w:eastAsia="宋体"/>
      <w:sz w:val="24"/>
      <w:lang w:val="en-US" w:eastAsia="zh-CN" w:bidi="ar-SA"/>
    </w:rPr>
  </w:style>
  <w:style w:type="paragraph" w:customStyle="1" w:styleId="275">
    <w:name w:val="表内文字"/>
    <w:basedOn w:val="1"/>
    <w:link w:val="274"/>
    <w:qFormat/>
    <w:uiPriority w:val="0"/>
    <w:pPr>
      <w:spacing w:line="600" w:lineRule="exact"/>
      <w:jc w:val="center"/>
    </w:pPr>
    <w:rPr>
      <w:szCs w:val="20"/>
    </w:rPr>
  </w:style>
  <w:style w:type="character" w:customStyle="1" w:styleId="276">
    <w:name w:val=" Char Char"/>
    <w:qFormat/>
    <w:uiPriority w:val="0"/>
    <w:rPr>
      <w:rFonts w:eastAsia="宋体"/>
      <w:sz w:val="18"/>
      <w:szCs w:val="18"/>
      <w:lang w:val="en-US" w:eastAsia="zh-CN" w:bidi="ar-SA"/>
    </w:rPr>
  </w:style>
  <w:style w:type="character" w:customStyle="1" w:styleId="277">
    <w:name w:val="表格居中 Char"/>
    <w:link w:val="278"/>
    <w:qFormat/>
    <w:uiPriority w:val="0"/>
    <w:rPr>
      <w:rFonts w:eastAsia="Times New Roman"/>
      <w:sz w:val="24"/>
      <w:szCs w:val="24"/>
      <w:lang w:val="en-US" w:eastAsia="zh-CN" w:bidi="ar-SA"/>
    </w:rPr>
  </w:style>
  <w:style w:type="paragraph" w:customStyle="1" w:styleId="278">
    <w:name w:val="表格居中"/>
    <w:link w:val="277"/>
    <w:qFormat/>
    <w:uiPriority w:val="0"/>
    <w:pPr>
      <w:spacing w:line="440" w:lineRule="exact"/>
      <w:jc w:val="center"/>
    </w:pPr>
    <w:rPr>
      <w:rFonts w:hint="default" w:ascii="Times New Roman" w:hAnsi="Times New Roman" w:eastAsia="Times New Roman" w:cs="Times New Roman"/>
      <w:sz w:val="24"/>
      <w:szCs w:val="24"/>
      <w:lang w:val="en-US" w:eastAsia="zh-CN" w:bidi="ar-SA"/>
    </w:rPr>
  </w:style>
  <w:style w:type="character" w:customStyle="1" w:styleId="279">
    <w:name w:val="Char Char4"/>
    <w:qFormat/>
    <w:uiPriority w:val="0"/>
    <w:rPr>
      <w:rFonts w:ascii="宋体" w:hAnsi="Courier New" w:eastAsia="宋体"/>
      <w:sz w:val="21"/>
      <w:szCs w:val="21"/>
      <w:lang w:val="en-US" w:eastAsia="zh-CN" w:bidi="ar-SA"/>
    </w:rPr>
  </w:style>
  <w:style w:type="character" w:customStyle="1" w:styleId="280">
    <w:name w:val="A标准格式 Char Char"/>
    <w:link w:val="281"/>
    <w:qFormat/>
    <w:uiPriority w:val="0"/>
    <w:rPr>
      <w:rFonts w:eastAsia="宋体"/>
      <w:sz w:val="24"/>
      <w:szCs w:val="24"/>
      <w:lang w:val="en-US" w:eastAsia="zh-CN" w:bidi="ar-SA"/>
    </w:rPr>
  </w:style>
  <w:style w:type="paragraph" w:customStyle="1" w:styleId="281">
    <w:name w:val="A标准格式"/>
    <w:basedOn w:val="1"/>
    <w:link w:val="280"/>
    <w:qFormat/>
    <w:uiPriority w:val="0"/>
    <w:pPr>
      <w:spacing w:line="440" w:lineRule="exact"/>
      <w:ind w:firstLine="480"/>
    </w:pPr>
  </w:style>
  <w:style w:type="character" w:customStyle="1" w:styleId="282">
    <w:name w:val="特点 Char1"/>
    <w:qFormat/>
    <w:uiPriority w:val="0"/>
    <w:rPr>
      <w:rFonts w:eastAsia="宋体"/>
      <w:spacing w:val="20"/>
      <w:sz w:val="24"/>
      <w:lang w:val="en-US" w:eastAsia="zh-CN" w:bidi="ar-SA"/>
    </w:rPr>
  </w:style>
  <w:style w:type="character" w:customStyle="1" w:styleId="283">
    <w:name w:val="t_tag"/>
    <w:basedOn w:val="58"/>
    <w:qFormat/>
    <w:uiPriority w:val="0"/>
  </w:style>
  <w:style w:type="character" w:customStyle="1" w:styleId="284">
    <w:name w:val="标题 3 Char Char Char Char Char"/>
    <w:qFormat/>
    <w:uiPriority w:val="0"/>
    <w:rPr>
      <w:rFonts w:eastAsia="宋体"/>
      <w:b/>
      <w:bCs/>
      <w:sz w:val="32"/>
      <w:szCs w:val="32"/>
      <w:lang w:val="en-US" w:eastAsia="zh-CN" w:bidi="ar-SA"/>
    </w:rPr>
  </w:style>
  <w:style w:type="character" w:customStyle="1" w:styleId="285">
    <w:name w:val="页脚 字符"/>
    <w:basedOn w:val="58"/>
    <w:qFormat/>
    <w:uiPriority w:val="99"/>
  </w:style>
  <w:style w:type="character" w:customStyle="1" w:styleId="286">
    <w:name w:val="表格 Char"/>
    <w:link w:val="287"/>
    <w:qFormat/>
    <w:uiPriority w:val="0"/>
    <w:rPr>
      <w:rFonts w:ascii="宋体"/>
      <w:sz w:val="21"/>
    </w:rPr>
  </w:style>
  <w:style w:type="paragraph" w:customStyle="1" w:styleId="287">
    <w:name w:val="表格"/>
    <w:basedOn w:val="288"/>
    <w:next w:val="1"/>
    <w:link w:val="286"/>
    <w:qFormat/>
    <w:uiPriority w:val="0"/>
    <w:pPr>
      <w:spacing w:line="259" w:lineRule="auto"/>
      <w:jc w:val="center"/>
    </w:pPr>
  </w:style>
  <w:style w:type="paragraph" w:customStyle="1" w:styleId="288">
    <w:name w:val="表格式"/>
    <w:basedOn w:val="44"/>
    <w:qFormat/>
    <w:uiPriority w:val="0"/>
    <w:pPr>
      <w:spacing w:line="400" w:lineRule="exact"/>
    </w:pPr>
    <w:rPr>
      <w:rFonts w:ascii="宋体" w:eastAsia="宋体"/>
      <w:sz w:val="21"/>
    </w:rPr>
  </w:style>
  <w:style w:type="character" w:customStyle="1" w:styleId="289">
    <w:name w:val="日期 字符"/>
    <w:semiHidden/>
    <w:qFormat/>
    <w:uiPriority w:val="0"/>
    <w:rPr>
      <w:rFonts w:ascii="Times New Roman" w:hAnsi="Times New Roman" w:eastAsia="宋体"/>
      <w:sz w:val="24"/>
    </w:rPr>
  </w:style>
  <w:style w:type="character" w:customStyle="1" w:styleId="290">
    <w:name w:val="11正文格式 Char"/>
    <w:link w:val="291"/>
    <w:qFormat/>
    <w:uiPriority w:val="0"/>
    <w:rPr>
      <w:color w:val="C00000"/>
      <w:sz w:val="24"/>
      <w:szCs w:val="24"/>
      <w:lang w:bidi="ar-SA"/>
    </w:rPr>
  </w:style>
  <w:style w:type="paragraph" w:customStyle="1" w:styleId="291">
    <w:name w:val="11正文格式"/>
    <w:basedOn w:val="1"/>
    <w:link w:val="290"/>
    <w:qFormat/>
    <w:uiPriority w:val="0"/>
    <w:pPr>
      <w:spacing w:line="360" w:lineRule="auto"/>
      <w:ind w:firstLine="200"/>
    </w:pPr>
    <w:rPr>
      <w:color w:val="C00000"/>
    </w:rPr>
  </w:style>
  <w:style w:type="character" w:customStyle="1" w:styleId="292">
    <w:name w:val="font51"/>
    <w:basedOn w:val="58"/>
    <w:qFormat/>
    <w:uiPriority w:val="0"/>
    <w:rPr>
      <w:rFonts w:hint="default" w:ascii="Times New Roman" w:hAnsi="Times New Roman" w:cs="Times New Roman"/>
      <w:b/>
      <w:bCs/>
      <w:color w:val="000000"/>
      <w:sz w:val="24"/>
      <w:szCs w:val="24"/>
      <w:u w:val="none"/>
    </w:rPr>
  </w:style>
  <w:style w:type="character" w:customStyle="1" w:styleId="293">
    <w:name w:val="标题 3 Char Char Char Char Char2"/>
    <w:qFormat/>
    <w:uiPriority w:val="0"/>
    <w:rPr>
      <w:rFonts w:ascii="Times New Roman" w:hAnsi="Times New Roman" w:eastAsia="宋体" w:cs="Times New Roman"/>
      <w:b/>
      <w:bCs/>
      <w:sz w:val="32"/>
      <w:szCs w:val="32"/>
    </w:rPr>
  </w:style>
  <w:style w:type="character" w:customStyle="1" w:styleId="294">
    <w:name w:val="apple-converted-space"/>
    <w:basedOn w:val="58"/>
    <w:qFormat/>
    <w:uiPriority w:val="0"/>
  </w:style>
  <w:style w:type="character" w:customStyle="1" w:styleId="295">
    <w:name w:val="正文（首行缩进两字） Char Char9"/>
    <w:qFormat/>
    <w:uiPriority w:val="0"/>
    <w:rPr>
      <w:rFonts w:eastAsia="宋体"/>
      <w:spacing w:val="20"/>
      <w:sz w:val="24"/>
      <w:lang w:val="en-US" w:eastAsia="zh-CN" w:bidi="ar-SA"/>
    </w:rPr>
  </w:style>
  <w:style w:type="character" w:customStyle="1" w:styleId="296">
    <w:name w:val="111表格 Char"/>
    <w:link w:val="297"/>
    <w:qFormat/>
    <w:uiPriority w:val="0"/>
    <w:rPr>
      <w:color w:val="C00000"/>
      <w:sz w:val="21"/>
      <w:szCs w:val="21"/>
      <w:lang w:bidi="ar-SA"/>
    </w:rPr>
  </w:style>
  <w:style w:type="paragraph" w:customStyle="1" w:styleId="297">
    <w:name w:val="111表格"/>
    <w:basedOn w:val="1"/>
    <w:link w:val="296"/>
    <w:qFormat/>
    <w:uiPriority w:val="0"/>
    <w:pPr>
      <w:jc w:val="center"/>
    </w:pPr>
    <w:rPr>
      <w:color w:val="C00000"/>
      <w:sz w:val="21"/>
      <w:szCs w:val="21"/>
    </w:rPr>
  </w:style>
  <w:style w:type="character" w:customStyle="1" w:styleId="298">
    <w:name w:val="孙普文字 Char"/>
    <w:qFormat/>
    <w:uiPriority w:val="0"/>
    <w:rPr>
      <w:rFonts w:ascii="宋体" w:hAnsi="Courier New" w:eastAsia="宋体"/>
      <w:sz w:val="21"/>
      <w:szCs w:val="21"/>
      <w:lang w:val="en-US" w:eastAsia="zh-CN" w:bidi="ar-SA"/>
    </w:rPr>
  </w:style>
  <w:style w:type="character" w:customStyle="1" w:styleId="299">
    <w:name w:val="批注文字 Char1"/>
    <w:qFormat/>
    <w:uiPriority w:val="0"/>
    <w:rPr>
      <w:rFonts w:eastAsia="宋体"/>
      <w:sz w:val="28"/>
      <w:szCs w:val="24"/>
      <w:lang w:val="en-US" w:eastAsia="zh-CN" w:bidi="ar-SA"/>
    </w:rPr>
  </w:style>
  <w:style w:type="character" w:customStyle="1" w:styleId="300">
    <w:name w:val="标题 3 Char Char Char"/>
    <w:qFormat/>
    <w:uiPriority w:val="0"/>
    <w:rPr>
      <w:rFonts w:eastAsia="宋体"/>
      <w:b/>
      <w:bCs/>
      <w:sz w:val="30"/>
      <w:szCs w:val="32"/>
      <w:lang w:val="en-US" w:eastAsia="zh-CN" w:bidi="ar-SA"/>
    </w:rPr>
  </w:style>
  <w:style w:type="character" w:customStyle="1" w:styleId="301">
    <w:name w:val="11表头 Char"/>
    <w:link w:val="302"/>
    <w:qFormat/>
    <w:uiPriority w:val="0"/>
    <w:rPr>
      <w:rFonts w:eastAsia="黑体"/>
      <w:color w:val="C00000"/>
      <w:sz w:val="24"/>
      <w:szCs w:val="24"/>
      <w:lang w:bidi="ar-SA"/>
    </w:rPr>
  </w:style>
  <w:style w:type="paragraph" w:customStyle="1" w:styleId="302">
    <w:name w:val="11表头"/>
    <w:basedOn w:val="1"/>
    <w:link w:val="301"/>
    <w:qFormat/>
    <w:uiPriority w:val="0"/>
    <w:pPr>
      <w:jc w:val="center"/>
    </w:pPr>
    <w:rPr>
      <w:rFonts w:eastAsia="黑体"/>
      <w:color w:val="C00000"/>
    </w:rPr>
  </w:style>
  <w:style w:type="character" w:customStyle="1" w:styleId="303">
    <w:name w:val="报告 Char"/>
    <w:link w:val="304"/>
    <w:qFormat/>
    <w:uiPriority w:val="0"/>
    <w:rPr>
      <w:rFonts w:ascii="Times New Roman" w:hAnsi="Times New Roman" w:eastAsia="宋体"/>
      <w:sz w:val="24"/>
      <w:lang w:val="en-US" w:eastAsia="zh-CN" w:bidi="ar-SA"/>
    </w:rPr>
  </w:style>
  <w:style w:type="paragraph" w:customStyle="1" w:styleId="304">
    <w:name w:val="报告"/>
    <w:basedOn w:val="1"/>
    <w:link w:val="303"/>
    <w:qFormat/>
    <w:uiPriority w:val="0"/>
    <w:pPr>
      <w:spacing w:line="360" w:lineRule="auto"/>
      <w:ind w:firstLine="505"/>
    </w:pPr>
    <w:rPr>
      <w:rFonts w:ascii="Times New Roman" w:hAnsi="Times New Roman"/>
      <w:szCs w:val="20"/>
    </w:rPr>
  </w:style>
  <w:style w:type="character" w:customStyle="1" w:styleId="305">
    <w:name w:val="表格正文 Char"/>
    <w:link w:val="306"/>
    <w:qFormat/>
    <w:uiPriority w:val="0"/>
    <w:rPr>
      <w:rFonts w:ascii="仿宋_GB2312" w:eastAsia="仿宋_GB2312"/>
      <w:sz w:val="21"/>
      <w:szCs w:val="24"/>
      <w:lang w:val="en-US" w:eastAsia="zh-CN" w:bidi="ar-SA"/>
    </w:rPr>
  </w:style>
  <w:style w:type="paragraph" w:customStyle="1" w:styleId="306">
    <w:name w:val="表格正文"/>
    <w:basedOn w:val="307"/>
    <w:next w:val="1"/>
    <w:link w:val="305"/>
    <w:qFormat/>
    <w:uiPriority w:val="0"/>
    <w:pPr>
      <w:jc w:val="center"/>
    </w:pPr>
    <w:rPr>
      <w:rFonts w:ascii="仿宋_GB2312" w:eastAsia="仿宋_GB2312"/>
      <w:sz w:val="21"/>
    </w:rPr>
  </w:style>
  <w:style w:type="paragraph" w:customStyle="1" w:styleId="307">
    <w:name w:val="正文缩进1"/>
    <w:basedOn w:val="1"/>
    <w:qFormat/>
    <w:uiPriority w:val="0"/>
    <w:pPr>
      <w:spacing w:line="460" w:lineRule="exact"/>
      <w:ind w:firstLine="420"/>
    </w:pPr>
    <w:rPr>
      <w:sz w:val="24"/>
      <w:szCs w:val="20"/>
    </w:rPr>
  </w:style>
  <w:style w:type="character" w:customStyle="1" w:styleId="308">
    <w:name w:val="1正文段落 Char"/>
    <w:link w:val="309"/>
    <w:qFormat/>
    <w:uiPriority w:val="0"/>
    <w:rPr>
      <w:rFonts w:ascii="宋体" w:hAnsi="宋体" w:eastAsia="宋体"/>
      <w:sz w:val="24"/>
      <w:lang w:val="en-US" w:eastAsia="zh-CN" w:bidi="ar-SA"/>
    </w:rPr>
  </w:style>
  <w:style w:type="paragraph" w:customStyle="1" w:styleId="309">
    <w:name w:val="1正文段落"/>
    <w:basedOn w:val="1"/>
    <w:link w:val="308"/>
    <w:qFormat/>
    <w:uiPriority w:val="0"/>
    <w:pPr>
      <w:spacing w:line="360" w:lineRule="auto"/>
      <w:ind w:firstLine="480"/>
      <w:jc w:val="left"/>
    </w:pPr>
    <w:rPr>
      <w:rFonts w:ascii="宋体" w:hAnsi="宋体"/>
      <w:szCs w:val="20"/>
    </w:rPr>
  </w:style>
  <w:style w:type="character" w:customStyle="1" w:styleId="310">
    <w:name w:val="表头 Char Char"/>
    <w:link w:val="311"/>
    <w:qFormat/>
    <w:uiPriority w:val="0"/>
    <w:rPr>
      <w:rFonts w:hAnsi="宋体" w:eastAsia="宋体"/>
      <w:b/>
      <w:color w:val="000000"/>
      <w:position w:val="2"/>
      <w:sz w:val="24"/>
      <w:szCs w:val="24"/>
      <w:lang w:val="en-US" w:eastAsia="zh-CN" w:bidi="ar-SA"/>
    </w:rPr>
  </w:style>
  <w:style w:type="paragraph" w:customStyle="1" w:styleId="311">
    <w:name w:val="表头"/>
    <w:basedOn w:val="5"/>
    <w:link w:val="310"/>
    <w:qFormat/>
    <w:uiPriority w:val="0"/>
    <w:pPr>
      <w:spacing w:line="420" w:lineRule="exact"/>
      <w:jc w:val="center"/>
    </w:pPr>
    <w:rPr>
      <w:rFonts w:hAnsi="宋体"/>
      <w:b/>
      <w:color w:val="000000"/>
      <w:position w:val="2"/>
    </w:rPr>
  </w:style>
  <w:style w:type="character" w:customStyle="1" w:styleId="312">
    <w:name w:val="正文（首行缩进） Char Char Char"/>
    <w:link w:val="313"/>
    <w:qFormat/>
    <w:uiPriority w:val="0"/>
    <w:rPr>
      <w:sz w:val="24"/>
      <w:lang w:bidi="ar-SA"/>
    </w:rPr>
  </w:style>
  <w:style w:type="paragraph" w:customStyle="1" w:styleId="313">
    <w:name w:val="正文（首行缩进） Char"/>
    <w:basedOn w:val="1"/>
    <w:link w:val="312"/>
    <w:qFormat/>
    <w:uiPriority w:val="0"/>
    <w:pPr>
      <w:widowControl/>
      <w:spacing w:line="360" w:lineRule="auto"/>
      <w:ind w:firstLine="480"/>
    </w:pPr>
    <w:rPr>
      <w:szCs w:val="20"/>
    </w:rPr>
  </w:style>
  <w:style w:type="character" w:customStyle="1" w:styleId="314">
    <w:name w:val="普通 (Web) Char1"/>
    <w:qFormat/>
    <w:uiPriority w:val="0"/>
    <w:rPr>
      <w:rFonts w:ascii="宋体" w:hAnsi="宋体" w:eastAsia="宋体" w:cs="宋体"/>
      <w:sz w:val="24"/>
      <w:szCs w:val="24"/>
      <w:lang w:val="en-US" w:eastAsia="zh-CN" w:bidi="ar-SA"/>
    </w:rPr>
  </w:style>
  <w:style w:type="paragraph" w:customStyle="1" w:styleId="315">
    <w:name w:val="默认段落字体 Para Char Char Char Char Char Char Char Char Char Char Char Char Char1 Char"/>
    <w:basedOn w:val="18"/>
    <w:qFormat/>
    <w:uiPriority w:val="0"/>
    <w:pPr>
      <w:shd w:val="clear" w:color="auto" w:fill="000080"/>
    </w:pPr>
    <w:rPr>
      <w:rFonts w:ascii="Tahoma" w:hAnsi="Tahoma"/>
      <w:sz w:val="24"/>
      <w:szCs w:val="24"/>
    </w:rPr>
  </w:style>
  <w:style w:type="paragraph" w:customStyle="1" w:styleId="316">
    <w:name w:val="报告表正文"/>
    <w:basedOn w:val="1"/>
    <w:qFormat/>
    <w:uiPriority w:val="0"/>
    <w:pPr>
      <w:spacing w:line="312" w:lineRule="auto"/>
      <w:ind w:left="113" w:right="113" w:firstLine="482"/>
      <w:jc w:val="left"/>
    </w:pPr>
    <w:rPr>
      <w:sz w:val="24"/>
      <w:szCs w:val="20"/>
    </w:rPr>
  </w:style>
  <w:style w:type="paragraph" w:customStyle="1" w:styleId="317">
    <w:name w:val="WPS Plain"/>
    <w:qFormat/>
    <w:uiPriority w:val="0"/>
    <w:rPr>
      <w:rFonts w:hint="default" w:ascii="Times New Roman" w:hAnsi="Times New Roman" w:eastAsia="宋体" w:cs="Times New Roman"/>
      <w:sz w:val="24"/>
      <w:szCs w:val="24"/>
      <w:lang w:val="en-US" w:eastAsia="zh-CN" w:bidi="ar-SA"/>
    </w:rPr>
  </w:style>
  <w:style w:type="paragraph" w:customStyle="1" w:styleId="318">
    <w:name w:val="1"/>
    <w:basedOn w:val="1"/>
    <w:qFormat/>
    <w:uiPriority w:val="0"/>
    <w:rPr>
      <w:sz w:val="24"/>
    </w:rPr>
  </w:style>
  <w:style w:type="paragraph" w:customStyle="1" w:styleId="319">
    <w:name w:val="样式13"/>
    <w:basedOn w:val="1"/>
    <w:qFormat/>
    <w:uiPriority w:val="0"/>
    <w:pPr>
      <w:spacing w:line="360" w:lineRule="auto"/>
      <w:ind w:firstLine="480"/>
    </w:pPr>
    <w:rPr>
      <w:rFonts w:ascii="Times New Roman" w:hAnsi="Times New Roman"/>
      <w:color w:val="000000"/>
      <w:sz w:val="24"/>
      <w:szCs w:val="24"/>
    </w:rPr>
  </w:style>
  <w:style w:type="paragraph" w:customStyle="1" w:styleId="320">
    <w:name w:val="表样式1"/>
    <w:basedOn w:val="1"/>
    <w:qFormat/>
    <w:uiPriority w:val="0"/>
    <w:pPr>
      <w:jc w:val="center"/>
    </w:pPr>
    <w:rPr>
      <w:color w:val="000000"/>
      <w:szCs w:val="21"/>
    </w:rPr>
  </w:style>
  <w:style w:type="paragraph" w:customStyle="1" w:styleId="321">
    <w:name w:val="正文01"/>
    <w:basedOn w:val="1"/>
    <w:qFormat/>
    <w:uiPriority w:val="0"/>
    <w:pPr>
      <w:spacing w:before="60" w:line="460" w:lineRule="exact"/>
      <w:ind w:firstLine="200"/>
    </w:pPr>
    <w:rPr>
      <w:sz w:val="24"/>
      <w:szCs w:val="20"/>
    </w:rPr>
  </w:style>
  <w:style w:type="paragraph" w:customStyle="1" w:styleId="322">
    <w:name w:val=" Char Char Char Char Char Char Char Char Char Char Char Char Char Char Char Char Char"/>
    <w:basedOn w:val="1"/>
    <w:qFormat/>
    <w:uiPriority w:val="0"/>
    <w:rPr>
      <w:sz w:val="24"/>
      <w:szCs w:val="24"/>
    </w:rPr>
  </w:style>
  <w:style w:type="paragraph" w:customStyle="1" w:styleId="323">
    <w:name w:val="表中文字"/>
    <w:basedOn w:val="1"/>
    <w:qFormat/>
    <w:uiPriority w:val="0"/>
    <w:pPr>
      <w:spacing w:line="240" w:lineRule="atLeast"/>
      <w:ind w:firstLine="200"/>
      <w:jc w:val="center"/>
    </w:pPr>
    <w:rPr>
      <w:sz w:val="24"/>
      <w:szCs w:val="22"/>
    </w:rPr>
  </w:style>
  <w:style w:type="paragraph" w:customStyle="1" w:styleId="324">
    <w:name w:val="reader-word-layer reader-word-s6-7"/>
    <w:basedOn w:val="1"/>
    <w:qFormat/>
    <w:uiPriority w:val="0"/>
    <w:pPr>
      <w:widowControl/>
      <w:spacing w:before="100" w:beforeAutospacing="1" w:after="100" w:afterAutospacing="1"/>
      <w:jc w:val="left"/>
    </w:pPr>
    <w:rPr>
      <w:rFonts w:ascii="宋体" w:hAnsi="宋体" w:cs="宋体"/>
      <w:sz w:val="24"/>
    </w:rPr>
  </w:style>
  <w:style w:type="paragraph" w:customStyle="1" w:styleId="325">
    <w:name w:val=" Char Char Char Char Char Char Char Char Char Char1 Char Char Char Char Char"/>
    <w:basedOn w:val="1"/>
    <w:next w:val="1"/>
    <w:qFormat/>
    <w:uiPriority w:val="0"/>
    <w:pPr>
      <w:keepNext/>
      <w:keepLines/>
      <w:widowControl/>
      <w:spacing w:before="40" w:after="40" w:line="360" w:lineRule="auto"/>
      <w:ind w:firstLine="200"/>
    </w:pPr>
    <w:rPr>
      <w:rFonts w:cs="宋体"/>
      <w:sz w:val="24"/>
      <w:szCs w:val="28"/>
    </w:rPr>
  </w:style>
  <w:style w:type="paragraph" w:customStyle="1" w:styleId="326">
    <w:name w:val="CM11"/>
    <w:basedOn w:val="327"/>
    <w:next w:val="327"/>
    <w:unhideWhenUsed/>
    <w:qFormat/>
    <w:uiPriority w:val="0"/>
    <w:pPr>
      <w:spacing w:line="460" w:lineRule="atLeast"/>
    </w:pPr>
    <w:rPr>
      <w:rFonts w:hint="eastAsia" w:ascii="黑体" w:eastAsia="黑体" w:cs="Times New Roman"/>
      <w:sz w:val="20"/>
      <w:szCs w:val="20"/>
    </w:rPr>
  </w:style>
  <w:style w:type="paragraph" w:customStyle="1" w:styleId="327">
    <w:name w:val="Default"/>
    <w:basedOn w:val="328"/>
    <w:next w:val="329"/>
    <w:qFormat/>
    <w:uiPriority w:val="0"/>
    <w:pPr>
      <w:widowControl w:val="0"/>
    </w:pPr>
    <w:rPr>
      <w:rFonts w:ascii="宋体" w:cs="宋体"/>
      <w:color w:val="000000"/>
      <w:sz w:val="24"/>
      <w:szCs w:val="24"/>
      <w:lang w:val="en-US" w:eastAsia="zh-CN" w:bidi="ar-SA"/>
    </w:rPr>
  </w:style>
  <w:style w:type="paragraph" w:customStyle="1" w:styleId="328">
    <w:name w:val="标题2"/>
    <w:basedOn w:val="1"/>
    <w:qFormat/>
    <w:uiPriority w:val="99"/>
    <w:pPr>
      <w:ind w:firstLine="0"/>
    </w:pPr>
    <w:rPr>
      <w:b/>
      <w:sz w:val="28"/>
    </w:rPr>
  </w:style>
  <w:style w:type="paragraph" w:customStyle="1" w:styleId="329">
    <w:name w:val="样式35"/>
    <w:basedOn w:val="1"/>
    <w:qFormat/>
    <w:uiPriority w:val="0"/>
    <w:pPr>
      <w:spacing w:line="312" w:lineRule="auto"/>
      <w:ind w:firstLine="567"/>
    </w:pPr>
    <w:rPr>
      <w:rFonts w:ascii="宋体"/>
      <w:sz w:val="28"/>
      <w:szCs w:val="20"/>
    </w:rPr>
  </w:style>
  <w:style w:type="paragraph" w:customStyle="1" w:styleId="330">
    <w:name w:val="标题 段落4级"/>
    <w:basedOn w:val="311"/>
    <w:next w:val="19"/>
    <w:qFormat/>
    <w:uiPriority w:val="0"/>
    <w:pPr>
      <w:spacing w:line="500" w:lineRule="exact"/>
      <w:outlineLvl w:val="3"/>
    </w:pPr>
    <w:rPr>
      <w:rFonts w:eastAsia="仿宋_GB2312" w:cs="Calibri"/>
      <w:sz w:val="28"/>
      <w:szCs w:val="24"/>
      <w:lang w:val="en-US" w:eastAsia="zh-CN" w:bidi="ar-SA"/>
    </w:rPr>
  </w:style>
  <w:style w:type="paragraph" w:customStyle="1" w:styleId="331">
    <w:name w:val="纯文本1"/>
    <w:basedOn w:val="1"/>
    <w:next w:val="1"/>
    <w:qFormat/>
    <w:uiPriority w:val="0"/>
    <w:rPr>
      <w:rFonts w:ascii="宋体" w:hAnsi="Courier New"/>
    </w:rPr>
  </w:style>
  <w:style w:type="paragraph" w:customStyle="1" w:styleId="332">
    <w:name w:val="文本"/>
    <w:basedOn w:val="1"/>
    <w:next w:val="1"/>
    <w:qFormat/>
    <w:uiPriority w:val="0"/>
    <w:pPr>
      <w:ind w:firstLine="480"/>
    </w:pPr>
    <w:rPr>
      <w:rFonts w:cs="Times New Roman"/>
      <w:szCs w:val="24"/>
      <w:lang w:val="zh-CN"/>
    </w:rPr>
  </w:style>
  <w:style w:type="paragraph" w:customStyle="1" w:styleId="333">
    <w:name w:val="Char2"/>
    <w:basedOn w:val="1"/>
    <w:semiHidden/>
    <w:qFormat/>
    <w:uiPriority w:val="0"/>
    <w:pPr>
      <w:ind w:firstLine="200"/>
    </w:pPr>
    <w:rPr>
      <w:rFonts w:ascii="宋体" w:hAnsi="宋体" w:cs="宋体"/>
    </w:rPr>
  </w:style>
  <w:style w:type="paragraph" w:customStyle="1" w:styleId="334">
    <w:name w:val=" Char Char1 Char"/>
    <w:basedOn w:val="1"/>
    <w:qFormat/>
    <w:uiPriority w:val="0"/>
    <w:pPr>
      <w:spacing w:line="360" w:lineRule="auto"/>
    </w:pPr>
    <w:rPr>
      <w:sz w:val="24"/>
      <w:szCs w:val="20"/>
    </w:rPr>
  </w:style>
  <w:style w:type="paragraph" w:customStyle="1" w:styleId="335">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336">
    <w:name w:val=" 字元 字元"/>
    <w:basedOn w:val="1"/>
    <w:qFormat/>
    <w:uiPriority w:val="0"/>
  </w:style>
  <w:style w:type="paragraph" w:customStyle="1" w:styleId="337">
    <w:name w:val="Plain Text"/>
    <w:basedOn w:val="1"/>
    <w:qFormat/>
    <w:uiPriority w:val="0"/>
    <w:rPr>
      <w:rFonts w:hint="eastAsia" w:ascii="宋体" w:hAnsi="Courier New"/>
    </w:rPr>
  </w:style>
  <w:style w:type="paragraph" w:customStyle="1" w:styleId="338">
    <w:name w:val="Heading 2"/>
    <w:basedOn w:val="1"/>
    <w:qFormat/>
    <w:uiPriority w:val="0"/>
    <w:pPr>
      <w:spacing w:before="26"/>
      <w:ind w:left="721"/>
      <w:jc w:val="left"/>
      <w:outlineLvl w:val="2"/>
    </w:pPr>
    <w:rPr>
      <w:rFonts w:ascii="宋体" w:hAnsi="宋体"/>
      <w:b/>
      <w:bCs/>
      <w:sz w:val="24"/>
      <w:lang w:eastAsia="en-US"/>
    </w:rPr>
  </w:style>
  <w:style w:type="paragraph" w:customStyle="1" w:styleId="339">
    <w:name w:val=" Char Char Char Char Char Char Char"/>
    <w:basedOn w:val="1"/>
    <w:qFormat/>
    <w:uiPriority w:val="0"/>
    <w:pPr>
      <w:spacing w:line="360" w:lineRule="auto"/>
    </w:pPr>
    <w:rPr>
      <w:szCs w:val="20"/>
    </w:rPr>
  </w:style>
  <w:style w:type="paragraph" w:customStyle="1" w:styleId="340">
    <w:name w:val="正文_10"/>
    <w:qFormat/>
    <w:uiPriority w:val="0"/>
    <w:pPr>
      <w:widowControl w:val="0"/>
      <w:jc w:val="both"/>
    </w:pPr>
    <w:rPr>
      <w:rFonts w:hint="default" w:ascii="Times New Roman" w:hAnsi="Times New Roman" w:eastAsia="宋体" w:cs="Times New Roman"/>
      <w:sz w:val="21"/>
      <w:szCs w:val="22"/>
      <w:lang w:val="en-US" w:eastAsia="zh-CN" w:bidi="ar-SA"/>
    </w:rPr>
  </w:style>
  <w:style w:type="paragraph" w:customStyle="1" w:styleId="341">
    <w:name w:val="xl36"/>
    <w:basedOn w:val="1"/>
    <w:qFormat/>
    <w:uiPriority w:val="0"/>
    <w:pPr>
      <w:widowControl/>
      <w:spacing w:before="100" w:beforeAutospacing="1" w:after="100" w:afterAutospacing="1"/>
      <w:jc w:val="center"/>
    </w:pPr>
    <w:rPr>
      <w:rFonts w:ascii="楷体_GB2312" w:hAnsi="Arial Unicode MS" w:eastAsia="楷体_GB2312"/>
      <w:b/>
      <w:bCs/>
      <w:sz w:val="28"/>
      <w:szCs w:val="28"/>
    </w:rPr>
  </w:style>
  <w:style w:type="paragraph" w:customStyle="1" w:styleId="342">
    <w:name w:val="样式1"/>
    <w:basedOn w:val="41"/>
    <w:next w:val="24"/>
    <w:qFormat/>
    <w:uiPriority w:val="0"/>
    <w:pPr>
      <w:jc w:val="center"/>
    </w:pPr>
    <w:rPr>
      <w:rFonts w:ascii="宋体"/>
      <w:szCs w:val="20"/>
    </w:rPr>
  </w:style>
  <w:style w:type="paragraph" w:customStyle="1" w:styleId="343">
    <w:name w:val="pic-info"/>
    <w:basedOn w:val="1"/>
    <w:qFormat/>
    <w:uiPriority w:val="0"/>
    <w:pPr>
      <w:widowControl/>
      <w:spacing w:before="100" w:beforeAutospacing="1" w:after="100" w:afterAutospacing="1"/>
      <w:jc w:val="left"/>
    </w:pPr>
    <w:rPr>
      <w:rFonts w:ascii="宋体" w:hAnsi="宋体" w:cs="宋体"/>
      <w:sz w:val="24"/>
    </w:rPr>
  </w:style>
  <w:style w:type="paragraph" w:customStyle="1" w:styleId="344">
    <w:name w:val="样式 列表 2 + 华文仿宋 居中"/>
    <w:basedOn w:val="23"/>
    <w:qFormat/>
    <w:uiPriority w:val="0"/>
    <w:pPr>
      <w:spacing w:line="240" w:lineRule="exact"/>
      <w:ind w:left="0" w:firstLine="0"/>
      <w:jc w:val="center"/>
    </w:pPr>
    <w:rPr>
      <w:sz w:val="21"/>
      <w:szCs w:val="21"/>
    </w:rPr>
  </w:style>
  <w:style w:type="paragraph" w:customStyle="1" w:styleId="345">
    <w:name w:val="1表格"/>
    <w:basedOn w:val="1"/>
    <w:qFormat/>
    <w:uiPriority w:val="0"/>
    <w:pPr>
      <w:spacing w:line="160" w:lineRule="atLeast"/>
      <w:jc w:val="center"/>
    </w:pPr>
    <w:rPr>
      <w:rFonts w:eastAsia="仿宋_GB2312"/>
      <w:szCs w:val="20"/>
    </w:rPr>
  </w:style>
  <w:style w:type="paragraph" w:customStyle="1" w:styleId="346">
    <w:name w:val="2 Char"/>
    <w:basedOn w:val="1"/>
    <w:qFormat/>
    <w:uiPriority w:val="0"/>
    <w:pPr>
      <w:spacing w:line="360" w:lineRule="auto"/>
      <w:ind w:firstLine="200"/>
    </w:pPr>
    <w:rPr>
      <w:rFonts w:ascii="宋体" w:hAnsi="宋体" w:cs="宋体"/>
      <w:sz w:val="24"/>
    </w:rPr>
  </w:style>
  <w:style w:type="paragraph" w:customStyle="1" w:styleId="347">
    <w:name w:val="xl34"/>
    <w:basedOn w:val="1"/>
    <w:qFormat/>
    <w:uiPriority w:val="0"/>
    <w:pPr>
      <w:widowControl/>
      <w:spacing w:before="100" w:beforeAutospacing="1" w:after="100" w:afterAutospacing="1"/>
      <w:jc w:val="center"/>
    </w:pPr>
    <w:rPr>
      <w:rFonts w:ascii="Arial Unicode MS" w:hAnsi="Arial Unicode MS" w:eastAsia="Arial Unicode MS"/>
      <w:sz w:val="24"/>
    </w:rPr>
  </w:style>
  <w:style w:type="paragraph" w:customStyle="1" w:styleId="348">
    <w:name w:val=" Char Char Char Char1"/>
    <w:basedOn w:val="1"/>
    <w:qFormat/>
    <w:uiPriority w:val="0"/>
    <w:rPr>
      <w:sz w:val="24"/>
    </w:rPr>
  </w:style>
  <w:style w:type="paragraph" w:customStyle="1" w:styleId="349">
    <w:name w:val="新正文"/>
    <w:basedOn w:val="1"/>
    <w:qFormat/>
    <w:uiPriority w:val="0"/>
    <w:pPr>
      <w:spacing w:line="480" w:lineRule="exact"/>
      <w:ind w:firstLine="567"/>
    </w:pPr>
    <w:rPr>
      <w:rFonts w:ascii="仿宋_GB2312" w:eastAsia="仿宋_GB2312"/>
      <w:bCs/>
      <w:sz w:val="28"/>
      <w:szCs w:val="20"/>
    </w:rPr>
  </w:style>
  <w:style w:type="paragraph" w:customStyle="1" w:styleId="350">
    <w:name w:val="font5"/>
    <w:basedOn w:val="1"/>
    <w:qFormat/>
    <w:uiPriority w:val="0"/>
    <w:pPr>
      <w:widowControl/>
      <w:spacing w:before="100" w:beforeAutospacing="1" w:after="100" w:afterAutospacing="1"/>
      <w:jc w:val="left"/>
    </w:pPr>
    <w:rPr>
      <w:rFonts w:hint="eastAsia" w:ascii="宋体" w:hAnsi="宋体"/>
      <w:sz w:val="18"/>
      <w:szCs w:val="18"/>
    </w:rPr>
  </w:style>
  <w:style w:type="paragraph" w:customStyle="1" w:styleId="351">
    <w:name w:val=" Char Char Char Char Char Char Char Char Char Char Char Char Char Char Char Char Char Char Char Char Char Char Char Char Char"/>
    <w:basedOn w:val="1"/>
    <w:qFormat/>
    <w:uiPriority w:val="0"/>
  </w:style>
  <w:style w:type="paragraph" w:customStyle="1" w:styleId="352">
    <w:name w:val="默认段落字体 Para Char Char Char Char"/>
    <w:basedOn w:val="1"/>
    <w:qFormat/>
    <w:uiPriority w:val="0"/>
    <w:pPr>
      <w:widowControl/>
      <w:jc w:val="left"/>
    </w:pPr>
    <w:rPr>
      <w:rFonts w:cs="宋体"/>
    </w:rPr>
  </w:style>
  <w:style w:type="paragraph" w:customStyle="1" w:styleId="353">
    <w:name w:val="表格 32"/>
    <w:basedOn w:val="1"/>
    <w:qFormat/>
    <w:uiPriority w:val="0"/>
    <w:pPr>
      <w:spacing w:line="240" w:lineRule="atLeast"/>
      <w:jc w:val="center"/>
    </w:pPr>
    <w:rPr>
      <w:sz w:val="24"/>
    </w:rPr>
  </w:style>
  <w:style w:type="paragraph" w:customStyle="1" w:styleId="354">
    <w:name w:val="正文 03"/>
    <w:basedOn w:val="1"/>
    <w:qFormat/>
    <w:uiPriority w:val="0"/>
    <w:rPr>
      <w:rFonts w:eastAsia="楷体_GB2312"/>
      <w:sz w:val="24"/>
      <w:szCs w:val="20"/>
    </w:rPr>
  </w:style>
  <w:style w:type="paragraph" w:customStyle="1" w:styleId="355">
    <w:name w:val="List Paragraph"/>
    <w:basedOn w:val="1"/>
    <w:qFormat/>
    <w:uiPriority w:val="0"/>
    <w:pPr>
      <w:ind w:left="1383" w:hanging="841"/>
      <w:jc w:val="left"/>
    </w:pPr>
    <w:rPr>
      <w:rFonts w:ascii="宋体" w:hAnsi="宋体" w:cs="宋体"/>
      <w:sz w:val="22"/>
      <w:szCs w:val="22"/>
    </w:rPr>
  </w:style>
  <w:style w:type="paragraph" w:customStyle="1" w:styleId="356">
    <w:name w:val="p0"/>
    <w:basedOn w:val="1"/>
    <w:qFormat/>
    <w:uiPriority w:val="0"/>
    <w:pPr>
      <w:widowControl/>
      <w:spacing w:line="312" w:lineRule="atLeast"/>
    </w:pPr>
    <w:rPr>
      <w:szCs w:val="21"/>
    </w:rPr>
  </w:style>
  <w:style w:type="paragraph" w:customStyle="1" w:styleId="357">
    <w:name w:val="zxz5"/>
    <w:next w:val="1"/>
    <w:qFormat/>
    <w:uiPriority w:val="0"/>
    <w:pPr>
      <w:tabs>
        <w:tab w:val="left" w:pos="0"/>
      </w:tabs>
      <w:jc w:val="center"/>
    </w:pPr>
    <w:rPr>
      <w:rFonts w:hint="default" w:ascii="Times New Roman" w:hAnsi="Times New Roman" w:eastAsia="宋体" w:cs="Times New Roman"/>
      <w:lang w:val="en-US" w:eastAsia="zh-CN" w:bidi="ar-SA"/>
    </w:rPr>
  </w:style>
  <w:style w:type="paragraph" w:customStyle="1" w:styleId="358">
    <w:name w:val="中文报告书样式"/>
    <w:basedOn w:val="1"/>
    <w:qFormat/>
    <w:uiPriority w:val="0"/>
    <w:pPr>
      <w:spacing w:line="480" w:lineRule="atLeast"/>
      <w:ind w:firstLine="482"/>
    </w:pPr>
    <w:rPr>
      <w:sz w:val="24"/>
      <w:szCs w:val="20"/>
    </w:rPr>
  </w:style>
  <w:style w:type="paragraph" w:customStyle="1" w:styleId="359">
    <w:name w:val="标题 31"/>
    <w:basedOn w:val="1"/>
    <w:next w:val="1"/>
    <w:qFormat/>
    <w:uiPriority w:val="0"/>
    <w:pPr>
      <w:keepNext/>
      <w:keepLines/>
      <w:tabs>
        <w:tab w:val="left" w:pos="1620"/>
      </w:tabs>
      <w:spacing w:before="156" w:line="460" w:lineRule="exact"/>
      <w:ind w:firstLine="573"/>
      <w:outlineLvl w:val="2"/>
    </w:pPr>
    <w:rPr>
      <w:rFonts w:ascii="ºÚÌå" w:hAnsi="宋体" w:cs="ºÚÌå"/>
      <w:b/>
      <w:bCs/>
      <w:spacing w:val="-8"/>
      <w:sz w:val="30"/>
    </w:rPr>
  </w:style>
  <w:style w:type="paragraph" w:customStyle="1" w:styleId="360">
    <w:name w:val="正文2"/>
    <w:qFormat/>
    <w:uiPriority w:val="0"/>
    <w:rPr>
      <w:rFonts w:hint="default" w:ascii="Times New Roman" w:hAnsi="Times New Roman" w:eastAsia="宋体" w:cs="宋体"/>
      <w:sz w:val="28"/>
      <w:lang w:val="en-US" w:eastAsia="zh-CN" w:bidi="ar-SA"/>
    </w:rPr>
  </w:style>
  <w:style w:type="paragraph" w:customStyle="1" w:styleId="361">
    <w:name w:val="默认段落字体 Para Char Char Char Char Char Char Char Char Char Char Char Char Char"/>
    <w:basedOn w:val="1"/>
    <w:qFormat/>
    <w:uiPriority w:val="0"/>
    <w:pPr>
      <w:spacing w:line="360" w:lineRule="auto"/>
      <w:ind w:firstLine="200"/>
    </w:pPr>
    <w:rPr>
      <w:spacing w:val="10"/>
      <w:sz w:val="24"/>
    </w:rPr>
  </w:style>
  <w:style w:type="paragraph" w:customStyle="1" w:styleId="362">
    <w:name w:val="表内容"/>
    <w:basedOn w:val="1"/>
    <w:next w:val="1"/>
    <w:qFormat/>
    <w:uiPriority w:val="0"/>
    <w:pPr>
      <w:spacing w:line="320" w:lineRule="exact"/>
      <w:jc w:val="center"/>
    </w:pPr>
    <w:rPr>
      <w:szCs w:val="20"/>
    </w:rPr>
  </w:style>
  <w:style w:type="paragraph" w:customStyle="1" w:styleId="363">
    <w:name w:val="Char1"/>
    <w:basedOn w:val="1"/>
    <w:qFormat/>
    <w:uiPriority w:val="0"/>
    <w:rPr>
      <w:rFonts w:ascii="宋体" w:hAnsi="宋体" w:eastAsia="Times New Roman" w:cs="宋体"/>
      <w:bCs/>
      <w:sz w:val="18"/>
      <w:szCs w:val="18"/>
    </w:rPr>
  </w:style>
  <w:style w:type="paragraph" w:customStyle="1" w:styleId="364">
    <w:name w:val="表格文字2"/>
    <w:basedOn w:val="27"/>
    <w:qFormat/>
    <w:uiPriority w:val="0"/>
    <w:pPr>
      <w:spacing w:before="60"/>
      <w:jc w:val="center"/>
    </w:pPr>
    <w:rPr>
      <w:rFonts w:hAnsi="Times New Roman"/>
      <w:sz w:val="24"/>
      <w:szCs w:val="20"/>
    </w:rPr>
  </w:style>
  <w:style w:type="paragraph" w:customStyle="1" w:styleId="365">
    <w:name w:val="Table Paragraph"/>
    <w:basedOn w:val="1"/>
    <w:qFormat/>
    <w:uiPriority w:val="0"/>
    <w:pPr>
      <w:jc w:val="left"/>
    </w:pPr>
    <w:rPr>
      <w:rFonts w:ascii="Calibri" w:hAnsi="Calibri"/>
      <w:sz w:val="22"/>
      <w:szCs w:val="22"/>
      <w:lang w:eastAsia="en-US"/>
    </w:rPr>
  </w:style>
  <w:style w:type="paragraph" w:customStyle="1" w:styleId="366">
    <w:name w:val="1正文"/>
    <w:basedOn w:val="1"/>
    <w:qFormat/>
    <w:uiPriority w:val="0"/>
    <w:pPr>
      <w:widowControl/>
      <w:spacing w:line="360" w:lineRule="auto"/>
      <w:ind w:firstLine="200"/>
    </w:pPr>
    <w:rPr>
      <w:sz w:val="24"/>
      <w:szCs w:val="20"/>
      <w:lang w:val="en-GB"/>
    </w:rPr>
  </w:style>
  <w:style w:type="paragraph" w:customStyle="1" w:styleId="367">
    <w:name w:val="我的表格"/>
    <w:next w:val="1"/>
    <w:qFormat/>
    <w:uiPriority w:val="0"/>
    <w:pPr>
      <w:spacing w:line="300" w:lineRule="exact"/>
      <w:jc w:val="center"/>
    </w:pPr>
    <w:rPr>
      <w:rFonts w:hint="default" w:ascii="Times New Roman" w:hAnsi="Times New Roman" w:eastAsia="宋体" w:cs="Times New Roman"/>
      <w:spacing w:val="4"/>
      <w:sz w:val="21"/>
      <w:szCs w:val="24"/>
      <w:lang w:val="en-US" w:eastAsia="zh-CN" w:bidi="ar-SA"/>
    </w:rPr>
  </w:style>
  <w:style w:type="paragraph" w:customStyle="1" w:styleId="368">
    <w:name w:val="表格内容"/>
    <w:basedOn w:val="369"/>
    <w:next w:val="1"/>
    <w:qFormat/>
    <w:uiPriority w:val="0"/>
    <w:pPr>
      <w:jc w:val="center"/>
    </w:pPr>
    <w:rPr>
      <w:sz w:val="21"/>
      <w:szCs w:val="22"/>
      <w:lang w:val="en-US" w:eastAsia="zh-CN" w:bidi="ar-SA"/>
    </w:rPr>
  </w:style>
  <w:style w:type="paragraph" w:customStyle="1" w:styleId="369">
    <w:name w:val="表格标题"/>
    <w:basedOn w:val="17"/>
    <w:qFormat/>
    <w:uiPriority w:val="0"/>
    <w:pPr>
      <w:keepNext/>
      <w:spacing w:line="440" w:lineRule="exact"/>
      <w:jc w:val="center"/>
    </w:pPr>
    <w:rPr>
      <w:rFonts w:ascii="Times New Roman" w:hAnsi="宋体" w:eastAsia="Times New Roman" w:cs="Times New Roman"/>
      <w:sz w:val="24"/>
      <w:szCs w:val="21"/>
    </w:rPr>
  </w:style>
  <w:style w:type="paragraph" w:customStyle="1" w:styleId="370">
    <w:name w:val="æ­￡æ–‡ç¼©è¿›"/>
    <w:basedOn w:val="1"/>
    <w:unhideWhenUsed/>
    <w:qFormat/>
    <w:uiPriority w:val="0"/>
    <w:pPr>
      <w:spacing w:line="440" w:lineRule="exact"/>
      <w:ind w:firstLine="420"/>
    </w:pPr>
    <w:rPr>
      <w:rFonts w:hint="eastAsia"/>
      <w:sz w:val="24"/>
    </w:rPr>
  </w:style>
  <w:style w:type="paragraph" w:customStyle="1" w:styleId="371">
    <w:name w:val="正文首行缩进＋湿地"/>
    <w:basedOn w:val="1"/>
    <w:qFormat/>
    <w:uiPriority w:val="0"/>
    <w:pPr>
      <w:spacing w:line="440" w:lineRule="exact"/>
      <w:ind w:firstLine="540"/>
    </w:pPr>
    <w:rPr>
      <w:rFonts w:ascii="仿宋_GB2312" w:hAnsi="宋体" w:eastAsia="仿宋_GB2312"/>
      <w:sz w:val="28"/>
      <w:szCs w:val="20"/>
    </w:rPr>
  </w:style>
  <w:style w:type="paragraph" w:customStyle="1" w:styleId="372">
    <w:name w:val=" Char Char1 Char Char Char Char Char Char Char Char Char Char Char Char Char Char Char Char Char Char"/>
    <w:basedOn w:val="1"/>
    <w:qFormat/>
    <w:uiPriority w:val="0"/>
    <w:pPr>
      <w:spacing w:line="360" w:lineRule="auto"/>
      <w:ind w:firstLine="200"/>
    </w:pPr>
    <w:rPr>
      <w:rFonts w:ascii="宋体" w:hAnsi="宋体" w:cs="宋体"/>
      <w:sz w:val="24"/>
    </w:rPr>
  </w:style>
  <w:style w:type="paragraph" w:customStyle="1" w:styleId="373">
    <w:name w:val="表文字"/>
    <w:basedOn w:val="1"/>
    <w:qFormat/>
    <w:uiPriority w:val="0"/>
    <w:pPr>
      <w:spacing w:line="240" w:lineRule="atLeast"/>
      <w:jc w:val="center"/>
    </w:pPr>
    <w:rPr>
      <w:sz w:val="24"/>
      <w:szCs w:val="20"/>
    </w:rPr>
  </w:style>
  <w:style w:type="paragraph" w:customStyle="1" w:styleId="374">
    <w:name w:val="表格内容自定"/>
    <w:basedOn w:val="1"/>
    <w:qFormat/>
    <w:uiPriority w:val="0"/>
    <w:pPr>
      <w:spacing w:line="280" w:lineRule="exact"/>
      <w:jc w:val="center"/>
    </w:pPr>
    <w:rPr>
      <w:sz w:val="18"/>
      <w:szCs w:val="21"/>
    </w:rPr>
  </w:style>
  <w:style w:type="paragraph" w:customStyle="1" w:styleId="375">
    <w:name w:val="报告正文"/>
    <w:basedOn w:val="1"/>
    <w:qFormat/>
    <w:uiPriority w:val="0"/>
    <w:pPr>
      <w:spacing w:line="360" w:lineRule="auto"/>
      <w:ind w:firstLine="200"/>
      <w:jc w:val="left"/>
    </w:pPr>
    <w:rPr>
      <w:sz w:val="24"/>
    </w:rPr>
  </w:style>
  <w:style w:type="paragraph" w:customStyle="1" w:styleId="376">
    <w:name w:val="表格内文字"/>
    <w:basedOn w:val="1"/>
    <w:qFormat/>
    <w:uiPriority w:val="0"/>
    <w:pPr>
      <w:jc w:val="center"/>
    </w:pPr>
    <w:rPr>
      <w:rFonts w:eastAsia="仿宋_GB2312"/>
      <w:sz w:val="24"/>
    </w:rPr>
  </w:style>
  <w:style w:type="paragraph" w:customStyle="1" w:styleId="377">
    <w:name w:val="+正文"/>
    <w:basedOn w:val="1"/>
    <w:qFormat/>
    <w:uiPriority w:val="0"/>
    <w:pPr>
      <w:spacing w:line="360" w:lineRule="auto"/>
      <w:ind w:firstLine="200"/>
      <w:jc w:val="left"/>
    </w:pPr>
    <w:rPr>
      <w:sz w:val="24"/>
      <w:szCs w:val="28"/>
    </w:rPr>
  </w:style>
  <w:style w:type="paragraph" w:customStyle="1" w:styleId="378">
    <w:name w:val="标号正文"/>
    <w:basedOn w:val="1"/>
    <w:next w:val="1"/>
    <w:qFormat/>
    <w:uiPriority w:val="0"/>
    <w:pPr>
      <w:tabs>
        <w:tab w:val="left" w:pos="1540"/>
      </w:tabs>
      <w:spacing w:line="360" w:lineRule="auto"/>
      <w:ind w:firstLine="1040"/>
      <w:jc w:val="left"/>
    </w:pPr>
    <w:rPr>
      <w:rFonts w:ascii="Arial" w:hAnsi="Arial" w:cs="黑体"/>
      <w:sz w:val="24"/>
      <w:szCs w:val="20"/>
    </w:rPr>
  </w:style>
  <w:style w:type="paragraph" w:customStyle="1" w:styleId="379">
    <w:name w:val="报告表表格标题"/>
    <w:basedOn w:val="1"/>
    <w:qFormat/>
    <w:uiPriority w:val="99"/>
    <w:pPr>
      <w:spacing w:line="360" w:lineRule="exact"/>
      <w:ind w:firstLine="200"/>
    </w:pPr>
  </w:style>
  <w:style w:type="paragraph" w:customStyle="1" w:styleId="380">
    <w:name w:val="样式4"/>
    <w:basedOn w:val="381"/>
    <w:next w:val="1"/>
    <w:qFormat/>
    <w:uiPriority w:val="99"/>
    <w:pPr>
      <w:jc w:val="center"/>
    </w:pPr>
    <w:rPr>
      <w:rFonts w:ascii="仿宋_GB2312" w:hAnsi="Arial" w:eastAsia="仿宋_GB2312" w:cs="Arial"/>
      <w:sz w:val="24"/>
    </w:rPr>
  </w:style>
  <w:style w:type="paragraph" w:customStyle="1" w:styleId="381">
    <w:name w:val="正 文"/>
    <w:qFormat/>
    <w:uiPriority w:val="0"/>
    <w:pPr>
      <w:widowControl w:val="0"/>
      <w:spacing w:line="480" w:lineRule="exact"/>
      <w:ind w:firstLine="471"/>
      <w:jc w:val="both"/>
    </w:pPr>
    <w:rPr>
      <w:rFonts w:hint="default" w:ascii="Arial" w:hAnsi="Arial" w:eastAsia="宋体" w:cs="Times New Roman"/>
      <w:sz w:val="24"/>
      <w:lang w:val="en-US" w:eastAsia="zh-CN" w:bidi="ar-SA"/>
    </w:rPr>
  </w:style>
  <w:style w:type="paragraph" w:customStyle="1" w:styleId="382">
    <w:name w:val="Default1"/>
    <w:next w:val="1"/>
    <w:qFormat/>
    <w:uiPriority w:val="0"/>
    <w:pPr>
      <w:widowControl w:val="0"/>
    </w:pPr>
    <w:rPr>
      <w:rFonts w:hint="default" w:ascii="宋体" w:hAnsi="Times New Roman" w:eastAsia="宋体" w:cs="宋体"/>
      <w:color w:val="000000"/>
      <w:sz w:val="24"/>
      <w:szCs w:val="24"/>
      <w:lang w:val="en-US" w:eastAsia="zh-CN" w:bidi="ar-SA"/>
    </w:rPr>
  </w:style>
  <w:style w:type="paragraph" w:customStyle="1" w:styleId="383">
    <w:name w:val="报告表-表格内文字"/>
    <w:basedOn w:val="1"/>
    <w:qFormat/>
    <w:uiPriority w:val="99"/>
    <w:pPr>
      <w:spacing w:line="240" w:lineRule="auto"/>
      <w:ind w:firstLine="0"/>
      <w:jc w:val="center"/>
    </w:pPr>
    <w:rPr>
      <w:sz w:val="18"/>
      <w:szCs w:val="18"/>
    </w:rPr>
  </w:style>
  <w:style w:type="table" w:customStyle="1" w:styleId="384">
    <w:name w:val="Table Normal"/>
    <w:basedOn w:val="56"/>
    <w:qFormat/>
    <w:uiPriority w:val="0"/>
    <w:tblPr>
      <w:tblCellMar>
        <w:left w:w="0" w:type="dxa"/>
        <w:right w:w="0" w:type="dxa"/>
      </w:tblCellMar>
    </w:tbl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paragraph" w:customStyle="1" w:styleId="385">
    <w:name w:val="Table Text"/>
    <w:basedOn w:val="1"/>
    <w:semiHidden/>
    <w:qFormat/>
    <w:uiPriority w:val="0"/>
    <w:rPr>
      <w:rFonts w:ascii="宋体" w:hAnsi="宋体" w:eastAsia="宋体" w:cs="宋体"/>
      <w:sz w:val="24"/>
      <w:szCs w:val="24"/>
      <w:lang w:val="en-US" w:eastAsia="en-US" w:bidi="ar-SA"/>
    </w:rPr>
  </w:style>
  <w:style w:type="character" w:customStyle="1" w:styleId="386">
    <w:name w:val="font41"/>
    <w:basedOn w:val="58"/>
    <w:qFormat/>
    <w:uiPriority w:val="0"/>
    <w:rPr>
      <w:rFonts w:ascii="Arial" w:hAnsi="Arial" w:cs="Arial"/>
      <w:color w:val="000000"/>
      <w:sz w:val="20"/>
      <w:szCs w:val="20"/>
      <w:u w:val="none"/>
    </w:rPr>
  </w:style>
  <w:style w:type="paragraph" w:customStyle="1" w:styleId="387">
    <w:name w:val="表头22"/>
    <w:basedOn w:val="1"/>
    <w:qFormat/>
    <w:uiPriority w:val="0"/>
    <w:pPr>
      <w:widowControl/>
      <w:jc w:val="center"/>
    </w:pPr>
    <w:rPr>
      <w:b/>
      <w:sz w:val="24"/>
    </w:rPr>
  </w:style>
  <w:style w:type="paragraph" w:customStyle="1" w:styleId="388">
    <w:name w:val="正文首行缩进  2字符"/>
    <w:basedOn w:val="1"/>
    <w:qFormat/>
    <w:uiPriority w:val="0"/>
    <w:pPr>
      <w:widowControl/>
      <w:ind w:firstLine="480"/>
    </w:pPr>
  </w:style>
  <w:style w:type="paragraph" w:customStyle="1" w:styleId="389">
    <w:name w:val="正文修改"/>
    <w:basedOn w:val="1"/>
    <w:qFormat/>
    <w:uiPriority w:val="0"/>
    <w:pPr>
      <w:spacing w:line="360" w:lineRule="auto"/>
      <w:ind w:firstLine="480"/>
    </w:pPr>
    <w:rPr>
      <w:rFonts w:cs="宋体"/>
      <w:sz w:val="24"/>
    </w:rPr>
  </w:style>
  <w:style w:type="paragraph" w:customStyle="1" w:styleId="390">
    <w:name w:val="仿宋正文"/>
    <w:qFormat/>
    <w:uiPriority w:val="99"/>
    <w:pPr>
      <w:widowControl w:val="0"/>
      <w:spacing w:line="600" w:lineRule="exact"/>
      <w:ind w:firstLine="420" w:firstLineChars="200"/>
      <w:jc w:val="both"/>
    </w:pPr>
    <w:rPr>
      <w:rFonts w:hint="eastAsia" w:ascii="Times New Roman" w:hAnsi="Times New Roman" w:eastAsia="方正仿宋简体" w:cs="Times New Roman"/>
      <w:kern w:val="0"/>
      <w:sz w:val="32"/>
      <w:szCs w:val="32"/>
      <w:lang w:val="en-US" w:eastAsia="zh-CN"/>
    </w:rPr>
  </w:style>
  <w:style w:type="paragraph" w:customStyle="1" w:styleId="391">
    <w:name w:val="表字体"/>
    <w:basedOn w:val="1"/>
    <w:next w:val="1"/>
    <w:qFormat/>
    <w:uiPriority w:val="0"/>
    <w:pPr>
      <w:keepNext w:val="0"/>
      <w:keepLines w:val="0"/>
      <w:widowControl w:val="0"/>
      <w:suppressLineNumbers w:val="0"/>
      <w:spacing w:before="0" w:beforeAutospacing="0" w:after="0" w:afterAutospacing="0"/>
      <w:ind w:left="0" w:right="0" w:firstLine="0" w:firstLineChars="0"/>
      <w:jc w:val="center"/>
    </w:pPr>
    <w:rPr>
      <w:rFonts w:hint="default" w:ascii="Times New Roman" w:hAnsi="Times New Roman" w:eastAsia="宋体" w:cs="Times New Roman"/>
      <w:kern w:val="0"/>
      <w:sz w:val="21"/>
      <w:szCs w:val="21"/>
      <w:lang w:val="en-US" w:eastAsia="zh-CN" w:bidi="ar"/>
    </w:rPr>
  </w:style>
  <w:style w:type="paragraph" w:customStyle="1" w:styleId="392">
    <w:name w:val="【表头】"/>
    <w:basedOn w:val="1"/>
    <w:qFormat/>
    <w:uiPriority w:val="0"/>
    <w:pPr>
      <w:keepNext w:val="0"/>
      <w:keepLines w:val="0"/>
      <w:widowControl w:val="0"/>
      <w:suppressLineNumbers w:val="0"/>
      <w:spacing w:before="0" w:beforeAutospacing="0" w:after="0" w:afterAutospacing="0" w:line="460" w:lineRule="exact"/>
      <w:ind w:left="0" w:right="0" w:firstLine="0" w:firstLineChars="0"/>
      <w:jc w:val="center"/>
    </w:pPr>
    <w:rPr>
      <w:rFonts w:hint="default" w:ascii="Times New Roman" w:hAnsi="Times New Roman" w:eastAsia="黑体" w:cs="Times New Roman"/>
      <w:kern w:val="2"/>
      <w:sz w:val="24"/>
      <w:szCs w:val="24"/>
      <w:lang w:val="en-US" w:eastAsia="zh-CN" w:bidi="ar"/>
    </w:rPr>
  </w:style>
  <w:style w:type="paragraph" w:customStyle="1" w:styleId="393">
    <w:name w:val="我的正文"/>
    <w:basedOn w:val="1"/>
    <w:qFormat/>
    <w:uiPriority w:val="0"/>
    <w:pPr>
      <w:adjustRightInd w:val="0"/>
      <w:snapToGrid w:val="0"/>
      <w:spacing w:line="480" w:lineRule="exact"/>
      <w:ind w:firstLine="720" w:firstLineChars="200"/>
      <w:jc w:val="left"/>
    </w:pPr>
    <w:rPr>
      <w:rFonts w:ascii="Times New Roman" w:hAnsi="Times New Roman" w:cs="宋体"/>
      <w:kern w:val="0"/>
      <w:szCs w:val="21"/>
    </w:rPr>
  </w:style>
  <w:style w:type="character" w:customStyle="1" w:styleId="394">
    <w:name w:val="10"/>
    <w:basedOn w:val="58"/>
    <w:qFormat/>
    <w:uiPriority w:val="0"/>
    <w:rPr>
      <w:rFonts w:hint="default" w:ascii="Times New Roman" w:hAnsi="Times New Roman" w:cs="Times New Roman"/>
    </w:rPr>
  </w:style>
  <w:style w:type="paragraph" w:customStyle="1" w:styleId="395">
    <w:name w:val="正文文本1"/>
    <w:basedOn w:val="1"/>
    <w:qFormat/>
    <w:uiPriority w:val="0"/>
    <w:pPr>
      <w:keepNext w:val="0"/>
      <w:keepLines w:val="0"/>
      <w:widowControl w:val="0"/>
      <w:suppressLineNumbers w:val="0"/>
      <w:adjustRightInd w:val="0"/>
      <w:snapToGrid w:val="0"/>
      <w:spacing w:before="0" w:beforeAutospacing="0" w:after="0" w:afterAutospacing="0" w:line="360" w:lineRule="auto"/>
      <w:ind w:left="0" w:right="0" w:firstLine="720" w:firstLineChars="200"/>
      <w:jc w:val="both"/>
    </w:pPr>
    <w:rPr>
      <w:rFonts w:hint="eastAsia" w:ascii="宋体" w:hAnsi="宋体" w:eastAsia="宋体" w:cs="宋体"/>
      <w:bCs/>
      <w:kern w:val="2"/>
      <w:sz w:val="24"/>
      <w:szCs w:val="24"/>
      <w:lang w:val="en-US" w:eastAsia="zh-CN" w:bidi="ar"/>
    </w:rPr>
  </w:style>
  <w:style w:type="paragraph" w:customStyle="1" w:styleId="396">
    <w:name w:val="Char Char Char Char Char Char Char Char Char Char Char Char Char 字元 字元"/>
    <w:basedOn w:val="1"/>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kern w:val="2"/>
      <w:sz w:val="24"/>
      <w:szCs w:val="24"/>
      <w:lang w:val="en-US" w:eastAsia="zh-CN" w:bidi="ar"/>
    </w:rPr>
  </w:style>
  <w:style w:type="paragraph" w:customStyle="1" w:styleId="397">
    <w:name w:val="应急预案表格样式"/>
    <w:basedOn w:val="1"/>
    <w:qFormat/>
    <w:uiPriority w:val="0"/>
    <w:pPr>
      <w:keepNext w:val="0"/>
      <w:keepLines w:val="0"/>
      <w:widowControl w:val="0"/>
      <w:suppressLineNumbers w:val="0"/>
      <w:tabs>
        <w:tab w:val="left" w:pos="1021"/>
      </w:tabs>
      <w:spacing w:before="0" w:beforeAutospacing="0" w:after="0" w:afterAutospacing="0"/>
      <w:ind w:left="0" w:right="0" w:firstLine="0" w:firstLineChars="0"/>
      <w:jc w:val="center"/>
    </w:pPr>
    <w:rPr>
      <w:rFonts w:hint="default" w:ascii="Times New Roman" w:hAnsi="Times New Roman" w:cs="Times New Roman"/>
      <w:kern w:val="2"/>
      <w:sz w:val="21"/>
      <w:szCs w:val="21"/>
      <w:lang w:val="en-US" w:eastAsia="zh-CN" w:bidi="ar"/>
    </w:rPr>
  </w:style>
  <w:style w:type="paragraph" w:customStyle="1" w:styleId="398">
    <w:name w:val="A正文1"/>
    <w:qFormat/>
    <w:uiPriority w:val="0"/>
    <w:pPr>
      <w:widowControl w:val="0"/>
      <w:spacing w:line="360" w:lineRule="auto"/>
      <w:ind w:firstLine="200" w:firstLineChars="200"/>
      <w:jc w:val="both"/>
    </w:pPr>
    <w:rPr>
      <w:rFonts w:ascii="Times New Roman" w:hAnsi="Times New Roman" w:eastAsia="宋体" w:cs="Times New Roman"/>
      <w:kern w:val="2"/>
      <w:sz w:val="24"/>
      <w:szCs w:val="28"/>
      <w:lang w:val="en-US" w:eastAsia="zh-CN" w:bidi="ar-SA"/>
    </w:rPr>
  </w:style>
  <w:style w:type="paragraph" w:customStyle="1" w:styleId="399">
    <w:name w:val="Normal_14_0"/>
    <w:qFormat/>
    <w:uiPriority w:val="0"/>
    <w:pPr>
      <w:spacing w:before="120" w:after="240"/>
      <w:jc w:val="both"/>
    </w:pPr>
    <w:rPr>
      <w:rFonts w:ascii="Calibri" w:hAnsi="Calibri" w:eastAsia="Calibri" w:cs="Times New Roman"/>
      <w:sz w:val="22"/>
      <w:szCs w:val="22"/>
      <w:lang w:val="ru-RU" w:eastAsia="en-US" w:bidi="ar-SA"/>
    </w:rPr>
  </w:style>
  <w:style w:type="character" w:customStyle="1" w:styleId="400">
    <w:name w:val="font71"/>
    <w:qFormat/>
    <w:uiPriority w:val="0"/>
    <w:rPr>
      <w:rFonts w:hint="default" w:ascii="Times New Roman" w:hAnsi="Times New Roman" w:cs="Times New Roman"/>
      <w:b/>
      <w:bCs/>
      <w:color w:val="000000"/>
      <w:sz w:val="21"/>
      <w:szCs w:val="21"/>
      <w:u w:val="none"/>
      <w:vertAlign w:val="subscript"/>
    </w:rPr>
  </w:style>
  <w:style w:type="character" w:customStyle="1" w:styleId="401">
    <w:name w:val="font31"/>
    <w:qFormat/>
    <w:uiPriority w:val="0"/>
    <w:rPr>
      <w:rFonts w:hint="eastAsia" w:ascii="宋体" w:hAnsi="宋体" w:eastAsia="宋体" w:cs="宋体"/>
      <w:color w:val="000000"/>
      <w:sz w:val="21"/>
      <w:szCs w:val="21"/>
      <w:u w:val="none"/>
    </w:rPr>
  </w:style>
  <w:style w:type="character" w:customStyle="1" w:styleId="402">
    <w:name w:val="font61"/>
    <w:qFormat/>
    <w:uiPriority w:val="0"/>
    <w:rPr>
      <w:rFonts w:hint="eastAsia" w:ascii="宋体" w:hAnsi="宋体" w:eastAsia="宋体" w:cs="宋体"/>
      <w:color w:val="000000"/>
      <w:sz w:val="21"/>
      <w:szCs w:val="21"/>
      <w:u w:val="none"/>
    </w:rPr>
  </w:style>
  <w:style w:type="paragraph" w:customStyle="1" w:styleId="403">
    <w:name w:val="报告书正文"/>
    <w:qFormat/>
    <w:uiPriority w:val="0"/>
    <w:pPr>
      <w:widowControl w:val="0"/>
      <w:spacing w:line="300" w:lineRule="auto"/>
      <w:ind w:firstLine="200" w:firstLineChars="200"/>
      <w:jc w:val="both"/>
    </w:pPr>
    <w:rPr>
      <w:rFonts w:ascii="Times New Roman" w:hAnsi="Times New Roman" w:eastAsia="宋体" w:cs="Times New Roman"/>
      <w:kern w:val="2"/>
      <w:sz w:val="24"/>
      <w:szCs w:val="20"/>
      <w:lang w:val="en-US" w:eastAsia="zh-CN" w:bidi="ar-SA"/>
    </w:rPr>
  </w:style>
  <w:style w:type="paragraph" w:customStyle="1" w:styleId="404">
    <w:name w:val="S报告正文"/>
    <w:qFormat/>
    <w:uiPriority w:val="0"/>
    <w:pPr>
      <w:widowControl w:val="0"/>
      <w:adjustRightInd w:val="0"/>
      <w:snapToGrid w:val="0"/>
      <w:spacing w:line="480" w:lineRule="exact"/>
      <w:ind w:firstLine="510"/>
      <w:jc w:val="left"/>
    </w:pPr>
    <w:rPr>
      <w:rFonts w:ascii="Times New Roman" w:hAnsi="Times New Roman" w:eastAsia="宋体" w:cs="Times New Roman"/>
      <w:kern w:val="2"/>
      <w:sz w:val="24"/>
      <w:szCs w:val="24"/>
      <w:lang w:val="en-US" w:eastAsia="zh-CN" w:bidi="ar-SA"/>
    </w:rPr>
  </w:style>
  <w:style w:type="paragraph" w:customStyle="1" w:styleId="405">
    <w:name w:val="正文内容"/>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406">
    <w:name w:val="表标题"/>
    <w:basedOn w:val="16"/>
    <w:next w:val="1"/>
    <w:qFormat/>
    <w:uiPriority w:val="0"/>
    <w:pPr>
      <w:tabs>
        <w:tab w:val="left" w:pos="0"/>
        <w:tab w:val="clear" w:pos="360"/>
      </w:tabs>
      <w:jc w:val="center"/>
    </w:pPr>
    <w:rPr>
      <w:rFonts w:ascii="Times New Roman" w:hAnsi="Times New Roman" w:eastAsia="宋体" w:cs="Times New Roman"/>
      <w:b/>
      <w:sz w:val="24"/>
      <w:lang w:val="en-US" w:eastAsia="zh-CN" w:bidi="ar-SA"/>
    </w:rPr>
  </w:style>
  <w:style w:type="paragraph" w:customStyle="1" w:styleId="407">
    <w:name w:val="正文00"/>
    <w:basedOn w:val="1"/>
    <w:qFormat/>
    <w:uiPriority w:val="0"/>
    <w:pPr>
      <w:spacing w:line="500" w:lineRule="exact"/>
      <w:ind w:firstLine="200" w:firstLineChars="200"/>
    </w:pPr>
    <w:rPr>
      <w:rFonts w:eastAsia="华文中宋"/>
      <w:kern w:val="2"/>
      <w:sz w:val="28"/>
      <w:szCs w:val="28"/>
    </w:rPr>
  </w:style>
  <w:style w:type="paragraph" w:customStyle="1" w:styleId="408">
    <w:name w:val="WW-纯文本"/>
    <w:basedOn w:val="1"/>
    <w:qFormat/>
    <w:uiPriority w:val="0"/>
    <w:pPr>
      <w:suppressAutoHyphens/>
      <w:spacing w:line="312" w:lineRule="atLeast"/>
      <w:textAlignment w:val="baseline"/>
    </w:pPr>
    <w:rPr>
      <w:rFonts w:ascii="宋体" w:hAnsi="宋体" w:eastAsia="楷体_GB2312" w:cs="Courier New"/>
      <w:szCs w:val="21"/>
    </w:rPr>
  </w:style>
  <w:style w:type="paragraph" w:customStyle="1" w:styleId="409">
    <w:name w:val="【表中文字】"/>
    <w:basedOn w:val="1"/>
    <w:qFormat/>
    <w:uiPriority w:val="0"/>
    <w:pPr>
      <w:jc w:val="center"/>
    </w:pPr>
    <w:rPr>
      <w:rFonts w:ascii="Times New Roman" w:hAnsi="Times New Roman" w:cs="Times New Roman"/>
      <w:sz w:val="20"/>
      <w:szCs w:val="20"/>
    </w:rPr>
  </w:style>
  <w:style w:type="character" w:customStyle="1" w:styleId="410">
    <w:name w:val="font81"/>
    <w:basedOn w:val="58"/>
    <w:qFormat/>
    <w:uiPriority w:val="0"/>
    <w:rPr>
      <w:rFonts w:ascii="宋体" w:hAnsi="宋体" w:eastAsia="宋体" w:cs="宋体"/>
      <w:color w:val="000000"/>
      <w:sz w:val="6"/>
      <w:szCs w:val="6"/>
      <w:u w:val="none"/>
    </w:rPr>
  </w:style>
  <w:style w:type="paragraph" w:customStyle="1" w:styleId="411">
    <w:name w:val="【正文】"/>
    <w:basedOn w:val="1"/>
    <w:next w:val="52"/>
    <w:unhideWhenUsed/>
    <w:qFormat/>
    <w:uiPriority w:val="0"/>
    <w:pPr>
      <w:spacing w:beforeLines="0" w:afterLines="0"/>
      <w:ind w:firstLine="480"/>
    </w:pPr>
    <w:rPr>
      <w:rFonts w:hint="default"/>
      <w:sz w:val="24"/>
      <w:szCs w:val="24"/>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4" Type="http://schemas.openxmlformats.org/officeDocument/2006/relationships/fontTable" Target="fontTable.xml"/><Relationship Id="rId73" Type="http://schemas.openxmlformats.org/officeDocument/2006/relationships/customXml" Target="../customXml/item2.xml"/><Relationship Id="rId72" Type="http://schemas.openxmlformats.org/officeDocument/2006/relationships/numbering" Target="numbering.xml"/><Relationship Id="rId71" Type="http://schemas.openxmlformats.org/officeDocument/2006/relationships/customXml" Target="../customXml/item1.xml"/><Relationship Id="rId70" Type="http://schemas.openxmlformats.org/officeDocument/2006/relationships/image" Target="media/image51.png"/><Relationship Id="rId7" Type="http://schemas.openxmlformats.org/officeDocument/2006/relationships/footer" Target="footer1.xml"/><Relationship Id="rId69" Type="http://schemas.openxmlformats.org/officeDocument/2006/relationships/image" Target="media/image50.png"/><Relationship Id="rId68" Type="http://schemas.openxmlformats.org/officeDocument/2006/relationships/image" Target="media/image49.png"/><Relationship Id="rId67" Type="http://schemas.openxmlformats.org/officeDocument/2006/relationships/image" Target="media/image48.png"/><Relationship Id="rId66" Type="http://schemas.openxmlformats.org/officeDocument/2006/relationships/image" Target="media/image47.png"/><Relationship Id="rId65" Type="http://schemas.openxmlformats.org/officeDocument/2006/relationships/image" Target="media/image46.png"/><Relationship Id="rId64" Type="http://schemas.openxmlformats.org/officeDocument/2006/relationships/image" Target="media/image45.png"/><Relationship Id="rId63" Type="http://schemas.openxmlformats.org/officeDocument/2006/relationships/image" Target="media/image44.png"/><Relationship Id="rId62" Type="http://schemas.openxmlformats.org/officeDocument/2006/relationships/image" Target="media/image43.png"/><Relationship Id="rId61" Type="http://schemas.openxmlformats.org/officeDocument/2006/relationships/image" Target="media/image42.png"/><Relationship Id="rId60" Type="http://schemas.openxmlformats.org/officeDocument/2006/relationships/image" Target="media/image41.png"/><Relationship Id="rId6" Type="http://schemas.openxmlformats.org/officeDocument/2006/relationships/header" Target="header2.xml"/><Relationship Id="rId59" Type="http://schemas.openxmlformats.org/officeDocument/2006/relationships/image" Target="media/image40.png"/><Relationship Id="rId58" Type="http://schemas.openxmlformats.org/officeDocument/2006/relationships/image" Target="media/image39.png"/><Relationship Id="rId57" Type="http://schemas.openxmlformats.org/officeDocument/2006/relationships/image" Target="media/image38.png"/><Relationship Id="rId56" Type="http://schemas.openxmlformats.org/officeDocument/2006/relationships/image" Target="../NULL"/><Relationship Id="rId55" Type="http://schemas.openxmlformats.org/officeDocument/2006/relationships/image" Target="media/image36.png"/><Relationship Id="rId54" Type="http://schemas.openxmlformats.org/officeDocument/2006/relationships/image" Target="media/image35.png"/><Relationship Id="rId53" Type="http://schemas.openxmlformats.org/officeDocument/2006/relationships/image" Target="media/image34.png"/><Relationship Id="rId52" Type="http://schemas.openxmlformats.org/officeDocument/2006/relationships/image" Target="media/image33.png"/><Relationship Id="rId51" Type="http://schemas.openxmlformats.org/officeDocument/2006/relationships/image" Target="media/image32.png"/><Relationship Id="rId50" Type="http://schemas.openxmlformats.org/officeDocument/2006/relationships/image" Target="media/image31.png"/><Relationship Id="rId5" Type="http://schemas.openxmlformats.org/officeDocument/2006/relationships/header" Target="header1.xml"/><Relationship Id="rId49" Type="http://schemas.openxmlformats.org/officeDocument/2006/relationships/image" Target="media/image30.jpeg"/><Relationship Id="rId48" Type="http://schemas.openxmlformats.org/officeDocument/2006/relationships/image" Target="media/image29.jpeg"/><Relationship Id="rId47" Type="http://schemas.openxmlformats.org/officeDocument/2006/relationships/image" Target="media/image28.jpeg"/><Relationship Id="rId46" Type="http://schemas.openxmlformats.org/officeDocument/2006/relationships/image" Target="media/image27.jpeg"/><Relationship Id="rId45" Type="http://schemas.openxmlformats.org/officeDocument/2006/relationships/image" Target="media/image26.jpeg"/><Relationship Id="rId44" Type="http://schemas.openxmlformats.org/officeDocument/2006/relationships/image" Target="media/image25.jpeg"/><Relationship Id="rId43" Type="http://schemas.openxmlformats.org/officeDocument/2006/relationships/image" Target="media/image24.jpeg"/><Relationship Id="rId42" Type="http://schemas.openxmlformats.org/officeDocument/2006/relationships/image" Target="media/image23.jpeg"/><Relationship Id="rId41" Type="http://schemas.openxmlformats.org/officeDocument/2006/relationships/image" Target="media/image22.jpeg"/><Relationship Id="rId40" Type="http://schemas.openxmlformats.org/officeDocument/2006/relationships/image" Target="media/image21.png"/><Relationship Id="rId4" Type="http://schemas.openxmlformats.org/officeDocument/2006/relationships/endnotes" Target="endnotes.xml"/><Relationship Id="rId39" Type="http://schemas.openxmlformats.org/officeDocument/2006/relationships/image" Target="media/image20.jpeg"/><Relationship Id="rId38" Type="http://schemas.openxmlformats.org/officeDocument/2006/relationships/image" Target="media/image19.jpeg"/><Relationship Id="rId37" Type="http://schemas.openxmlformats.org/officeDocument/2006/relationships/image" Target="media/image18.jpeg"/><Relationship Id="rId36" Type="http://schemas.openxmlformats.org/officeDocument/2006/relationships/image" Target="media/image17.png"/><Relationship Id="rId35" Type="http://schemas.openxmlformats.org/officeDocument/2006/relationships/image" Target="media/image16.png"/><Relationship Id="rId34" Type="http://schemas.openxmlformats.org/officeDocument/2006/relationships/image" Target="media/image15.png"/><Relationship Id="rId33" Type="http://schemas.openxmlformats.org/officeDocument/2006/relationships/image" Target="media/image14.png"/><Relationship Id="rId32" Type="http://schemas.openxmlformats.org/officeDocument/2006/relationships/image" Target="media/image13.png"/><Relationship Id="rId31" Type="http://schemas.openxmlformats.org/officeDocument/2006/relationships/image" Target="media/image12.png"/><Relationship Id="rId30" Type="http://schemas.openxmlformats.org/officeDocument/2006/relationships/image" Target="media/image11.png"/><Relationship Id="rId3" Type="http://schemas.openxmlformats.org/officeDocument/2006/relationships/footnotes" Target="footnotes.xml"/><Relationship Id="rId29" Type="http://schemas.openxmlformats.org/officeDocument/2006/relationships/image" Target="media/image10.png"/><Relationship Id="rId28" Type="http://schemas.openxmlformats.org/officeDocument/2006/relationships/image" Target="media/image9.png"/><Relationship Id="rId27" Type="http://schemas.openxmlformats.org/officeDocument/2006/relationships/image" Target="media/image8.emf"/><Relationship Id="rId26" Type="http://schemas.openxmlformats.org/officeDocument/2006/relationships/oleObject" Target="embeddings/oleObject3.bin"/><Relationship Id="rId25" Type="http://schemas.openxmlformats.org/officeDocument/2006/relationships/image" Target="media/image7.png"/><Relationship Id="rId24" Type="http://schemas.openxmlformats.org/officeDocument/2006/relationships/image" Target="media/image6.emf"/><Relationship Id="rId23" Type="http://schemas.openxmlformats.org/officeDocument/2006/relationships/oleObject" Target="embeddings/oleObject2.bin"/><Relationship Id="rId22" Type="http://schemas.openxmlformats.org/officeDocument/2006/relationships/image" Target="media/image5.emf"/><Relationship Id="rId21" Type="http://schemas.openxmlformats.org/officeDocument/2006/relationships/oleObject" Target="embeddings/oleObject1.bin"/><Relationship Id="rId20" Type="http://schemas.openxmlformats.org/officeDocument/2006/relationships/image" Target="media/image4.png"/><Relationship Id="rId2" Type="http://schemas.openxmlformats.org/officeDocument/2006/relationships/settings" Target="settings.xml"/><Relationship Id="rId19" Type="http://schemas.openxmlformats.org/officeDocument/2006/relationships/image" Target="media/image3.png"/><Relationship Id="rId18" Type="http://schemas.openxmlformats.org/officeDocument/2006/relationships/image" Target="media/image2.png"/><Relationship Id="rId17" Type="http://schemas.openxmlformats.org/officeDocument/2006/relationships/image" Target="media/image1.png"/><Relationship Id="rId16" Type="http://schemas.openxmlformats.org/officeDocument/2006/relationships/theme" Target="theme/theme1.xml"/><Relationship Id="rId15" Type="http://schemas.openxmlformats.org/officeDocument/2006/relationships/footer" Target="footer4.xml"/><Relationship Id="rId14" Type="http://schemas.openxmlformats.org/officeDocument/2006/relationships/header" Target="header7.xml"/><Relationship Id="rId13" Type="http://schemas.openxmlformats.org/officeDocument/2006/relationships/header" Target="header6.xml"/><Relationship Id="rId12" Type="http://schemas.openxmlformats.org/officeDocument/2006/relationships/footer" Target="footer3.xml"/><Relationship Id="rId11" Type="http://schemas.openxmlformats.org/officeDocument/2006/relationships/footer" Target="footer2.xml"/><Relationship Id="rId10" Type="http://schemas.openxmlformats.org/officeDocument/2006/relationships/header" Target="head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Cambria"/>
        <a:cs typeface="Arial"/>
      </a:majorFont>
      <a:minorFont>
        <a:latin typeface="等线"/>
        <a:ea typeface="等线"/>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7057c782-dd72-468a-90eb-2ab8473852aa</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65F7F689</paraID>
      <start>11</start>
      <end>12</end>
      <status>ignored</status>
      <modifiedWord/>
      <trackRevisions>false</trackRevisions>
    </reviewItem>
    <reviewItem>
      <errorID>f5705dd0-0a9a-4698-aa71-7da36a1b4136</errorID>
      <errorWord>）</errorWord>
      <group>L1_Word</group>
      <groupName>字词问题</groupName>
      <ability>L2_Typo</ability>
      <abilityName>字词错误</abilityName>
      <candidateList>
        <item>月）</item>
      </candidateList>
      <explain/>
      <paraID>65F7F689</paraID>
      <start>18</start>
      <end>20</end>
      <status>modified</status>
      <modifiedWord>月）</modifiedWord>
      <trackRevisions>false</trackRevisions>
    </reviewItem>
    <reviewItem>
      <errorID>a8ca6a39-c4c9-4089-a3d6-87bb82639b9a</errorID>
      <errorWord>环</errorWord>
      <group>L1_Word</group>
      <groupName>字词问题</groupName>
      <ability>L2_Typo</ability>
      <abilityName>字词错误</abilityName>
      <candidateList>
        <item>环境</item>
      </candidateList>
      <explain/>
      <paraID>36B09864</paraID>
      <start>0</start>
      <end>2</end>
      <status>modified</status>
      <modifiedWord>环境</modifiedWord>
      <trackRevisions>false</trackRevisions>
    </reviewItem>
    <reviewItem>
      <errorID>ac31454c-1fbf-42f2-8662-ea637b513e7c</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2DADF5E4</paraID>
      <start>25</start>
      <end>26</end>
      <status>ignored</status>
      <modifiedWord/>
      <trackRevisions>false</trackRevisions>
    </reviewItem>
    <reviewItem>
      <errorID>717b8465-1ae4-4cc3-8fbd-1e016a195327</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3794F09D</paraID>
      <start>20</start>
      <end>21</end>
      <status>ignored</status>
      <modifiedWord/>
      <trackRevisions>false</trackRevisions>
    </reviewItem>
    <reviewItem>
      <errorID>43e63139-a946-4da4-b7be-ec9dc8bd9321</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56B9BB9E</paraID>
      <start>22</start>
      <end>23</end>
      <status>ignored</status>
      <modifiedWord/>
      <trackRevisions>false</trackRevisions>
    </reviewItem>
    <reviewItem>
      <errorID>b08318a1-7dac-4ae6-88e6-d821ba516c85</errorID>
      <errorWord>是为</errorWord>
      <group>L1_Word</group>
      <groupName>字词问题</groupName>
      <ability>L2_Typo</ability>
      <abilityName>字词错误</abilityName>
      <candidateList>
        <item>是</item>
      </candidateList>
      <explain>〈动〉❶联系两种事物，表明两者同一或后者说明前者的种类、属性：《阿Q正传》的作者～鲁迅｜节约～不浪费的意思。❷与“的”字配合使用，有分类的作用：这张桌子～石头的｜那瓶墨水～红的｜我～来看他的。❸联系两种事物，表示陈述的对象属于“是”后面所说的情况：他～一片好心｜咱们～好汉一言，快马一鞭｜院子里～冬天，屋子里～春天。</explain>
      <paraID>56B9BB9E</paraID>
      <start>47</start>
      <end>48</end>
      <status>modified</status>
      <modifiedWord>是</modifiedWord>
      <trackRevisions>false</trackRevisions>
    </reviewItem>
    <reviewItem>
      <errorID>762183d1-d8d0-4fbe-89c1-ebe11954f8d1</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4C47B528</paraID>
      <start>22</start>
      <end>23</end>
      <status>ignored</status>
      <modifiedWord/>
      <trackRevisions>false</trackRevisions>
    </reviewItem>
    <reviewItem>
      <errorID>519fccb4-81cc-404d-b0d8-3d98e4eb49a7</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E5F7109</paraID>
      <start>20</start>
      <end>21</end>
      <status>ignored</status>
      <modifiedWord/>
      <trackRevisions>false</trackRevisions>
    </reviewItem>
    <reviewItem>
      <errorID>32d99320-b757-46fa-8eda-8e480dec5f78</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72C79D9A</paraID>
      <start>28</start>
      <end>29</end>
      <status>ignored</status>
      <modifiedWord/>
      <trackRevisions>false</trackRevisions>
    </reviewItem>
    <reviewItem>
      <errorID>511d7c68-74e9-466b-af93-b034a39c811e</errorID>
      <errorWord>水</errorWord>
      <group>L1_Word</group>
      <groupName>字词问题</groupName>
      <ability>L2_Typo</ability>
      <abilityName>字词错误</abilityName>
      <candidateList>
        <item>水在</item>
      </candidateList>
      <explain/>
      <paraID>56BC0B55</paraID>
      <start>135</start>
      <end>136</end>
      <status>unmodified</status>
      <modifiedWord/>
      <trackRevisions>false</trackRevisions>
    </reviewItem>
    <reviewItem>
      <errorID>75f30456-75c8-4545-af56-0a1d6bde2f2e</errorID>
      <errorWord>重造</errorWord>
      <group>L1_Word</group>
      <groupName>字词问题</groupName>
      <ability>L2_Typo</ability>
      <abilityName>字词错误</abilityName>
      <candidateList>
        <item>再造</item>
      </candidateList>
      <explain/>
      <paraID>38DE3798</paraID>
      <start>72</start>
      <end>74</end>
      <status>unmodified</status>
      <modifiedWord/>
      <trackRevisions>false</trackRevisions>
    </reviewItem>
    <reviewItem>
      <errorID>27203584-2f84-48e9-a552-99375a447158</errorID>
      <errorWord>项目</errorWord>
      <group>L1_Word</group>
      <groupName>字词问题</groupName>
      <ability>L2_Typo</ability>
      <abilityName>字词错误</abilityName>
      <candidateList>
        <item>的情况</item>
      </candidateList>
      <explain/>
      <paraID>4DD3E552</paraID>
      <start>15</start>
      <end>18</end>
      <status>modified</status>
      <modifiedWord>的情况</modifiedWord>
      <trackRevisions>false</trackRevisions>
    </reviewItem>
    <reviewItem>
      <errorID>443d8fac-1213-4a10-83da-252acd39586b</errorID>
      <errorWord>粘结剂</errorWord>
      <group>L1_Word</group>
      <groupName>字词问题</groupName>
      <ability>L2_Typo</ability>
      <abilityName>字词错误</abilityName>
      <candidateList>
        <item>黏结剂</item>
      </candidateList>
      <explain/>
      <paraID>2EFC0F79</paraID>
      <start>87</start>
      <end>90</end>
      <status>unmodified</status>
      <modifiedWord/>
      <trackRevisions>false</trackRevisions>
    </reviewItem>
    <reviewItem>
      <errorID>4672e711-bbea-44fd-a9b1-ee45e159cb85</errorID>
      <errorWord>粘结剂</errorWord>
      <group>L1_Word</group>
      <groupName>字词问题</groupName>
      <ability>L2_Typo</ability>
      <abilityName>字词错误</abilityName>
      <candidateList>
        <item>黏结剂</item>
      </candidateList>
      <explain/>
      <paraID> 6728FE2</paraID>
      <start>271</start>
      <end>274</end>
      <status>unmodified</status>
      <modifiedWord/>
      <trackRevisions>false</trackRevisions>
    </reviewItem>
    <reviewItem>
      <errorID>95932696-f9d2-426b-aca8-47c90015c522</errorID>
      <errorWord>粘结剂</errorWord>
      <group>L1_Word</group>
      <groupName>字词问题</groupName>
      <ability>L2_Typo</ability>
      <abilityName>字词错误</abilityName>
      <candidateList>
        <item>黏结剂</item>
      </candidateList>
      <explain/>
      <paraID>59561AC0</paraID>
      <start>44</start>
      <end>47</end>
      <status>unmodified</status>
      <modifiedWord/>
      <trackRevisions>false</trackRevisions>
    </reviewItem>
    <reviewItem>
      <errorID>c4c37af6-ffdb-42cb-9a17-04f3b205424a</errorID>
      <errorWord>粘结剂</errorWord>
      <group>L1_Word</group>
      <groupName>字词问题</groupName>
      <ability>L2_Typo</ability>
      <abilityName>字词错误</abilityName>
      <candidateList>
        <item>黏结剂</item>
      </candidateList>
      <explain/>
      <paraID>59561AC0</paraID>
      <start>76</start>
      <end>79</end>
      <status>unmodified</status>
      <modifiedWord/>
      <trackRevisions>false</trackRevisions>
    </reviewItem>
    <reviewItem>
      <errorID>af4c5e8e-6bc6-425a-8e91-674cc575abd4</errorID>
      <errorWord>)</errorWord>
      <group>L1_Format</group>
      <groupName>格式问题</groupName>
      <ability>L2_HalfPunc_CN</ability>
      <abilityName>全半角检查</abilityName>
      <candidateList>
        <item>）</item>
      </candidateList>
      <explain>文本全半角错误。</explain>
      <paraID>  852359</paraID>
      <start>118</start>
      <end>119</end>
      <status>modified</status>
      <modifiedWord>）</modifiedWord>
      <trackRevisions>false</trackRevisions>
    </reviewItem>
    <reviewItem>
      <errorID>db996071-88ce-41b7-a5a3-f33ee58901c4</errorID>
      <errorWord>上线</errorWord>
      <group>L1_Word</group>
      <groupName>字词问题</groupName>
      <ability>L2_Typo</ability>
      <abilityName>字词错误</abilityName>
      <candidateList>
        <item>上限</item>
      </candidateList>
      <explain/>
      <paraID>3FDF9C08</paraID>
      <start>12</start>
      <end>14</end>
      <status>ignored</status>
      <modifiedWord/>
      <trackRevisions>false</trackRevisions>
    </reviewItem>
    <reviewItem>
      <errorID>20691b5c-8563-4421-9d03-e38f454478ca</errorID>
      <errorWord>电源</errorWord>
      <group>L1_Word</group>
      <groupName>字词问题</groupName>
      <ability>L2_Typo</ability>
      <abilityName>字词错误</abilityName>
      <candidateList>
        <item>电力</item>
      </candidateList>
      <explain/>
      <paraID>1312AE28</paraID>
      <start>54</start>
      <end>56</end>
      <status>modified</status>
      <modifiedWord>电力</modifiedWord>
      <trackRevisions>false</trackRevisions>
    </reviewItem>
    <reviewItem>
      <errorID>ead1b44d-4f41-46fb-b6ff-9dc63b1b7351</errorID>
      <errorWord>,</errorWord>
      <group>L1_Format</group>
      <groupName>格式问题</groupName>
      <ability>L2_HalfPunc_CN</ability>
      <abilityName>全半角检查</abilityName>
      <candidateList>
        <item>，</item>
      </candidateList>
      <explain>文本全半角错误。</explain>
      <paraID>1BAF5AC9</paraID>
      <start>24</start>
      <end>25</end>
      <status>modified</status>
      <modifiedWord>，</modifiedWord>
      <trackRevisions>false</trackRevisions>
    </reviewItem>
    <reviewItem>
      <errorID>6748fe3d-bfc8-4365-83b6-7beb8a83deae</errorID>
      <errorWord>上线</errorWord>
      <group>L1_Word</group>
      <groupName>字词问题</groupName>
      <ability>L2_Typo</ability>
      <abilityName>字词错误</abilityName>
      <candidateList>
        <item>上限</item>
      </candidateList>
      <explain/>
      <paraID>69304022</paraID>
      <start>53</start>
      <end>55</end>
      <status>ignored</status>
      <modifiedWord/>
      <trackRevisions>false</trackRevisions>
    </reviewItem>
    <reviewItem>
      <errorID>89beb46c-0738-4e27-9fc5-5976a5f71690</errorID>
      <errorWord>）一</errorWord>
      <group>L1_Word</group>
      <groupName>字词问题</groupName>
      <ability>L2_Typo</ability>
      <abilityName>字词错误</abilityName>
      <candidateList>
        <item>）</item>
      </candidateList>
      <explain/>
      <paraID> CA84273</paraID>
      <start>2</start>
      <end>4</end>
      <status>ignored</status>
      <modifiedWord/>
      <trackRevisions>false</trackRevisions>
    </reviewItem>
    <reviewItem>
      <errorID>81744e4f-7de0-4de0-a365-bed589baaae5</errorID>
      <errorWord>七0</errorWord>
      <group>L1_Knowledge</group>
      <groupName>知识性问题</groupName>
      <ability>L2_Knowledge</ability>
      <abilityName>其他知识</abilityName>
      <candidateList>
        <item>七〇</item>
      </candidateList>
      <explain>中文数字应使用“〇”，而非形似的字符，如“0”。该字符在不同字体下外观可能相似，但含义和编码不同，请注意区分。</explain>
      <paraID>78731E17</paraID>
      <start>37</start>
      <end>39</end>
      <status>unmodified</status>
      <modifiedWord/>
      <trackRevisions>false</trackRevisions>
    </reviewItem>
    <reviewItem>
      <errorID>f860c9ce-7833-419d-a949-5fec2db861a2</errorID>
      <errorWord>粘结剂</errorWord>
      <group>L1_Word</group>
      <groupName>字词问题</groupName>
      <ability>L2_Typo</ability>
      <abilityName>字词错误</abilityName>
      <candidateList>
        <item>黏结剂</item>
      </candidateList>
      <explain/>
      <paraID>6A8471FB</paraID>
      <start>10</start>
      <end>13</end>
      <status>unmodified</status>
      <modifiedWord/>
      <trackRevisions>false</trackRevisions>
    </reviewItem>
    <reviewItem>
      <errorID>f19daf7f-6473-4e75-8005-18ae146b44b4</errorID>
      <errorWord>粘结剂</errorWord>
      <group>L1_Word</group>
      <groupName>字词问题</groupName>
      <ability>L2_Typo</ability>
      <abilityName>字词错误</abilityName>
      <candidateList>
        <item>黏结剂</item>
      </candidateList>
      <explain/>
      <paraID>6A8471FB</paraID>
      <start>53</start>
      <end>56</end>
      <status>unmodified</status>
      <modifiedWord/>
      <trackRevisions>false</trackRevisions>
    </reviewItem>
    <reviewItem>
      <errorID>60652ebb-3f31-43af-905c-f3a3ac2fb275</errorID>
      <errorWord>粘结剂</errorWord>
      <group>L1_Word</group>
      <groupName>字词问题</groupName>
      <ability>L2_Typo</ability>
      <abilityName>字词错误</abilityName>
      <candidateList>
        <item>黏结剂</item>
      </candidateList>
      <explain/>
      <paraID>6A8471FB</paraID>
      <start>110</start>
      <end>113</end>
      <status>unmodified</status>
      <modifiedWord/>
      <trackRevisions>false</trackRevisions>
    </reviewItem>
    <reviewItem>
      <errorID>8a8ae310-c40c-4216-9284-4af2262471cc</errorID>
      <errorWord>%以上</errorWord>
      <group>L1_Grammar</group>
      <groupName>语法问题</groupName>
      <ability>L2_Grammar</ability>
      <abilityName>语法错误</abilityName>
      <candidateList>
        <item>%</item>
      </candidateList>
      <explain/>
      <paraID>64AD2566</paraID>
      <start>70</start>
      <end>73</end>
      <status>unmodified</status>
      <modifiedWord/>
      <trackRevisions>false</trackRevisions>
    </reviewItem>
    <reviewItem>
      <errorID>9c6ed8cd-2837-4f9a-8780-5de6882a1558</errorID>
      <errorWord>粘结剂</errorWord>
      <group>L1_Word</group>
      <groupName>字词问题</groupName>
      <ability>L2_Typo</ability>
      <abilityName>字词错误</abilityName>
      <candidateList>
        <item>黏结剂</item>
      </candidateList>
      <explain/>
      <paraID>1441AED6</paraID>
      <start>8</start>
      <end>11</end>
      <status>unmodified</status>
      <modifiedWord/>
      <trackRevisions>false</trackRevisions>
    </reviewItem>
    <reviewItem>
      <errorID>c5649f1b-d17f-47b2-8317-7c2e6a84b7b1</errorID>
      <errorWord>制配</errorWord>
      <group>L1_Word</group>
      <groupName>字词问题</groupName>
      <ability>L2_Typo</ability>
      <abilityName>字词错误</abilityName>
      <candidateList>
        <item>制备</item>
      </candidateList>
      <explain/>
      <paraID>1441AED6</paraID>
      <start>34</start>
      <end>36</end>
      <status>modified</status>
      <modifiedWord>制备</modifiedWord>
      <trackRevisions>false</trackRevisions>
    </reviewItem>
    <reviewItem>
      <errorID>e3204f8c-0e3b-458d-b69e-d80d941a7f84</errorID>
      <errorWord>粘结剂</errorWord>
      <group>L1_Word</group>
      <groupName>字词问题</groupName>
      <ability>L2_Typo</ability>
      <abilityName>字词错误</abilityName>
      <candidateList>
        <item>黏结剂</item>
      </candidateList>
      <explain/>
      <paraID>1441AED6</paraID>
      <start>42</start>
      <end>45</end>
      <status>unmodified</status>
      <modifiedWord/>
      <trackRevisions>false</trackRevisions>
    </reviewItem>
    <reviewItem>
      <errorID>659b4536-5a81-426a-886f-a0bdc28cc428</errorID>
      <errorWord>粘结剂</errorWord>
      <group>L1_Word</group>
      <groupName>字词问题</groupName>
      <ability>L2_Typo</ability>
      <abilityName>字词错误</abilityName>
      <candidateList>
        <item>黏结剂</item>
      </candidateList>
      <explain/>
      <paraID>1441AED6</paraID>
      <start>74</start>
      <end>77</end>
      <status>unmodified</status>
      <modifiedWord/>
      <trackRevisions>false</trackRevisions>
    </reviewItem>
    <reviewItem>
      <errorID>42a3c7f9-9e06-4133-a946-06baf46169ac</errorID>
      <errorWord>粘结剂</errorWord>
      <group>L1_Word</group>
      <groupName>字词问题</groupName>
      <ability>L2_Typo</ability>
      <abilityName>字词错误</abilityName>
      <candidateList>
        <item>黏结剂</item>
      </candidateList>
      <explain/>
      <paraID>1441AED6</paraID>
      <start>84</start>
      <end>87</end>
      <status>unmodified</status>
      <modifiedWord/>
      <trackRevisions>false</trackRevisions>
    </reviewItem>
    <reviewItem>
      <errorID>bbc9da04-b1ed-4c12-aa88-816bc3ca0960</errorID>
      <errorWord>NOX的产生量，适用于铸造生产中采用天然气作为燃料的工业炉窑，一般可使烟气中NOX</errorWord>
      <group>L1_Word</group>
      <groupName>字词问题</groupName>
      <ability>L2_Typo</ability>
      <abilityName>字词错误</abilityName>
      <candidateList>
        <item>NOₓ的产生量，适用于铸造生产中采用天然气作为燃料的工业炉窑，一般可使烟气中NOₓ</item>
      </candidateList>
      <explain/>
      <paraID>5D823EFD</paraID>
      <start>40</start>
      <end>81</end>
      <status>unmodified</status>
      <modifiedWord/>
      <trackRevisions>false</trackRevisions>
    </reviewItem>
    <reviewItem>
      <errorID>d7468b7d-4d68-42fb-ae12-60f1d49545f4</errorID>
      <errorWord>应</errorWord>
      <group>L1_Word</group>
      <groupName>字词问题</groupName>
      <ability>L2_Typo</ability>
      <abilityName>字词错误</abilityName>
      <candidateList>
        <item>应用</item>
      </candidateList>
      <explain/>
      <paraID>64E313DA</paraID>
      <start>15</start>
      <end>16</end>
      <status>unmodified</status>
      <modifiedWord/>
      <trackRevisions>false</trackRevisions>
    </reviewItem>
    <reviewItem>
      <errorID>cbc11d92-04b1-4641-b486-26d80c4f2bcc</errorID>
      <errorWord>，综</errorWord>
      <group>L1_Word</group>
      <groupName>字词问题</groupName>
      <ability>L2_Typo</ability>
      <abilityName>字词错误</abilityName>
      <candidateList>
        <item>，</item>
      </candidateList>
      <explain/>
      <paraID> 67ACE90</paraID>
      <start>67</start>
      <end>69</end>
      <status>unmodified</status>
      <modifiedWord/>
      <trackRevisions>false</trackRevisions>
    </reviewItem>
    <reviewItem>
      <errorID>2f53f196-b291-4650-b5fc-aea31f73ebc8</errorID>
      <errorWord>3VOCS</errorWord>
      <group>L1_Word</group>
      <groupName>字词问题</groupName>
      <ability>L2_Typo</ability>
      <abilityName>字词错误</abilityName>
      <candidateList>
        <item>3 VOCs</item>
      </candidateList>
      <explain/>
      <paraID>4A988A7F</paraID>
      <start>2</start>
      <end>7</end>
      <status>unmodified</status>
      <modifiedWord/>
      <trackRevisions>false</trackRevisions>
    </reviewItem>
    <reviewItem>
      <errorID>2b1c5706-f0e3-400c-a350-daac04e4dc9d</errorID>
      <errorWord>VOCs</errorWord>
      <group>L1_Word</group>
      <groupName>字词问题</groupName>
      <ability>L2_Typo</ability>
      <abilityName>字词错误</abilityName>
      <candidateList>
        <item>的VOCs</item>
      </candidateList>
      <explain/>
      <paraID>5BCFDF75</paraID>
      <start>17</start>
      <end>21</end>
      <status>unmodified</status>
      <modifiedWord/>
      <trackRevisions>false</trackRevisions>
    </reviewItem>
    <reviewItem>
      <errorID>66779eb9-af46-4726-afe0-5e2a5ce82abf</errorID>
      <errorWord>HJ1093</errorWord>
      <group>L1_Word</group>
      <groupName>字词问题</groupName>
      <ability>L2_Typo</ability>
      <abilityName>字词错误</abilityName>
      <candidateList>
        <item>HJ 1093</item>
      </candidateList>
      <explain/>
      <paraID>5BCFDF75</paraID>
      <start>132</start>
      <end>139</end>
      <status>modified</status>
      <modifiedWord>HJ 1093</modifiedWord>
      <trackRevisions>false</trackRevisions>
    </reviewItem>
    <reviewItem>
      <errorID>16508ff8-df35-4c98-bd15-1f05a40b7d78</errorID>
      <errorWord>GB37822</errorWord>
      <group>L1_Word</group>
      <groupName>字词问题</groupName>
      <ability>L2_Typo</ability>
      <abilityName>字词错误</abilityName>
      <candidateList>
        <item>GB 37822</item>
      </candidateList>
      <explain/>
      <paraID>79F8BBDC</paraID>
      <start>149</start>
      <end>157</end>
      <status>modified</status>
      <modifiedWord>GB 37822</modifiedWord>
      <trackRevisions>false</trackRevisions>
    </reviewItem>
    <reviewItem>
      <errorID>844d7e73-9ee4-4d3b-8dae-fbaee0adbaf2</errorID>
      <errorWord>。</errorWord>
      <group>L1_Grammar</group>
      <groupName>语法问题</groupName>
      <ability>L2_Grammar</ability>
      <abilityName>语法错误</abilityName>
      <candidateList>
        <item>的措施。</item>
      </candidateList>
      <explain/>
      <paraID>16584867</paraID>
      <start>48</start>
      <end>49</end>
      <status>unmodified</status>
      <modifiedWord/>
      <trackRevisions>false</trackRevisions>
    </reviewItem>
    <reviewItem>
      <errorID>db181004-42b5-4844-af1f-ad0e2e9522c4</errorID>
      <errorWord>不用</errorWord>
      <group>L1_Word</group>
      <groupName>字词问题</groupName>
      <ability>L2_Typo</ability>
      <abilityName>字词错误</abilityName>
      <candidateList>
        <item>不</item>
      </candidateList>
      <explain/>
      <paraID>14DEBA16</paraID>
      <start>12</start>
      <end>13</end>
      <status>modified</status>
      <modifiedWord>不</modifiedWord>
      <trackRevisions>false</trackRevisions>
    </reviewItem>
    <reviewItem>
      <errorID>928b17a6-58c0-4f81-bc08-1affe2c18b8a</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24C2E0BE</paraID>
      <start>20</start>
      <end>21</end>
      <status>modified</status>
      <modifiedWord>—</modifiedWord>
      <trackRevisions>false</trackRevisions>
    </reviewItem>
    <reviewItem>
      <errorID>04e54ced-6c0a-410e-9bca-531727c18998</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45775C8B</paraID>
      <start>17</start>
      <end>18</end>
      <status>modified</status>
      <modifiedWord>—</modifiedWord>
      <trackRevisions>false</trackRevisions>
    </reviewItem>
    <reviewItem>
      <errorID>ca8b7384-3cf6-44f1-bab9-9f42ebb16f23</errorID>
      <errorWord>现代商贸物流体系</errorWord>
      <group>L1_Political</group>
      <groupName>政治性问题</groupName>
      <ability>L2_Keyword</ability>
      <abilityName>固定表述</abilityName>
      <candidateList>
        <item>现代商贸流通体系</item>
      </candidateList>
      <explain>词汇“现代商贸流通体系”在特定场景下为固定表述形式，请确认此处的“现代商贸物流体系”是否存在不当。</explain>
      <paraID>44FFED71</paraID>
      <start>77</start>
      <end>85</end>
      <status>unmodified</status>
      <modifiedWord/>
      <trackRevisions>false</trackRevisions>
    </reviewItem>
    <reviewItem>
      <errorID>1fde1b8d-2351-4e38-bc62-57d4e737e880</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39FBE234</paraID>
      <start>83</start>
      <end>84</end>
      <status>modified</status>
      <modifiedWord>—</modifiedWord>
      <trackRevisions>false</trackRevisions>
    </reviewItem>
    <reviewItem>
      <errorID>fc7e046a-f09d-4e91-b1cb-f20834e078b9</errorID>
      <errorWord>(</errorWord>
      <group>L1_Format</group>
      <groupName>格式问题</groupName>
      <ability>L2_HalfPunc_CN</ability>
      <abilityName>全半角检查</abilityName>
      <candidateList>
        <item>（</item>
      </candidateList>
      <explain>文本全半角错误。</explain>
      <paraID>52EFA5F3</paraID>
      <start>160</start>
      <end>161</end>
      <status>modified</status>
      <modifiedWord>（</modifiedWord>
      <trackRevisions>false</trackRevisions>
    </reviewItem>
    <reviewItem>
      <errorID>aec72f65-797d-488a-b7bf-65af5c7f1bf6</errorID>
      <errorWord>)</errorWord>
      <group>L1_Format</group>
      <groupName>格式问题</groupName>
      <ability>L2_HalfPunc_CN</ability>
      <abilityName>全半角检查</abilityName>
      <candidateList>
        <item>）</item>
      </candidateList>
      <explain>文本全半角错误。</explain>
      <paraID>52EFA5F3</paraID>
      <start>162</start>
      <end>163</end>
      <status>modified</status>
      <modifiedWord>）</modifiedWord>
      <trackRevisions>false</trackRevisions>
    </reviewItem>
    <reviewItem>
      <errorID>795aca52-7994-4816-adb5-e0315f536fe5</errorID>
      <errorWord>(</errorWord>
      <group>L1_Format</group>
      <groupName>格式问题</groupName>
      <ability>L2_HalfPunc_CN</ability>
      <abilityName>全半角检查</abilityName>
      <candidateList>
        <item>（</item>
      </candidateList>
      <explain>文本全半角错误。</explain>
      <paraID>52EFA5F3</paraID>
      <start>170</start>
      <end>171</end>
      <status>modified</status>
      <modifiedWord>（</modifiedWord>
      <trackRevisions>false</trackRevisions>
    </reviewItem>
    <reviewItem>
      <errorID>f82d7534-44f2-451e-8a37-a00e2d57b97d</errorID>
      <errorWord>)</errorWord>
      <group>L1_Format</group>
      <groupName>格式问题</groupName>
      <ability>L2_HalfPunc_CN</ability>
      <abilityName>全半角检查</abilityName>
      <candidateList>
        <item>）</item>
      </candidateList>
      <explain>文本全半角错误。</explain>
      <paraID>52EFA5F3</paraID>
      <start>180</start>
      <end>181</end>
      <status>modified</status>
      <modifiedWord>）</modifiedWord>
      <trackRevisions>false</trackRevisions>
    </reviewItem>
    <reviewItem>
      <errorID>4d16f3e2-2c9e-4352-b91b-af0d1a4016c9</errorID>
      <errorWord>(</errorWord>
      <group>L1_Format</group>
      <groupName>格式问题</groupName>
      <ability>L2_HalfPunc_CN</ability>
      <abilityName>全半角检查</abilityName>
      <candidateList>
        <item>（</item>
      </candidateList>
      <explain>文本全半角错误。</explain>
      <paraID>69184A9E</paraID>
      <start>52</start>
      <end>53</end>
      <status>modified</status>
      <modifiedWord>（</modifiedWord>
      <trackRevisions>false</trackRevisions>
    </reviewItem>
    <reviewItem>
      <errorID>1020cc16-68d5-46cd-af5e-4cae2277aafe</errorID>
      <errorWord>)</errorWord>
      <group>L1_Format</group>
      <groupName>格式问题</groupName>
      <ability>L2_HalfPunc_CN</ability>
      <abilityName>全半角检查</abilityName>
      <candidateList>
        <item>）</item>
      </candidateList>
      <explain>文本全半角错误。</explain>
      <paraID>69184A9E</paraID>
      <start>82</start>
      <end>83</end>
      <status>modified</status>
      <modifiedWord>）</modifiedWord>
      <trackRevisions>false</trackRevisions>
    </reviewItem>
    <reviewItem>
      <errorID>709d44fc-da86-4145-886c-0fe406162354</errorID>
      <errorWord>环保治理</errorWord>
      <group>L1_Word</group>
      <groupName>字词问题</groupName>
      <ability>L2_Typo</ability>
      <abilityName>字词错误</abilityName>
      <candidateList>
        <item>环境治理</item>
      </candidateList>
      <explain/>
      <paraID>69184A9E</paraID>
      <start>171</start>
      <end>175</end>
      <status>ignored</status>
      <modifiedWord/>
      <trackRevisions>false</trackRevisions>
    </reviewItem>
    <reviewItem>
      <errorID>dbb66636-83c7-48a0-9afc-931b39869ed6</errorID>
      <errorWord>;</errorWord>
      <group>L1_Format</group>
      <groupName>格式问题</groupName>
      <ability>L2_HalfPunc_CN</ability>
      <abilityName>全半角检查</abilityName>
      <candidateList>
        <item>；</item>
      </candidateList>
      <explain>文本全半角错误。</explain>
      <paraID>69184A9E</paraID>
      <start>177</start>
      <end>178</end>
      <status>modified</status>
      <modifiedWord>；</modifiedWord>
      <trackRevisions>false</trackRevisions>
    </reviewItem>
    <reviewItem>
      <errorID>43fe7a07-0863-4c2f-9d8d-72f4f183a50c</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FE21297</paraID>
      <start>22</start>
      <end>23</end>
      <status>ignored</status>
      <modifiedWord/>
      <trackRevisions>false</trackRevisions>
    </reviewItem>
    <reviewItem>
      <errorID>7dcb5399-17a1-4051-8658-bd7a109c548d</errorID>
      <errorWord>3000t/a</errorWord>
      <group>L1_Grammar</group>
      <groupName>语法问题</groupName>
      <ability>L2_Grammar</ability>
      <abilityName>语法错误</abilityName>
      <candidateList>
        <item>3000t</item>
      </candidateList>
      <explain/>
      <paraID>7EE22B00</paraID>
      <start>219</start>
      <end>226</end>
      <status>unmodified</status>
      <modifiedWord/>
      <trackRevisions>false</trackRevisions>
    </reviewItem>
    <reviewItem>
      <errorID>5035ef0b-6b8c-48e3-ae01-9c34fe7e33e8</errorID>
      <errorWord>2000t/a</errorWord>
      <group>L1_Grammar</group>
      <groupName>语法问题</groupName>
      <ability>L2_Grammar</ability>
      <abilityName>语法错误</abilityName>
      <candidateList>
        <item>2000t</item>
      </candidateList>
      <explain/>
      <paraID>7EE22B00</paraID>
      <start>237</start>
      <end>244</end>
      <status>unmodified</status>
      <modifiedWord/>
      <trackRevisions>false</trackRevisions>
    </reviewItem>
    <reviewItem>
      <errorID>1d071f1f-599e-44b9-9d7e-6039b43bc704</errorID>
      <errorWord>生产线项目</errorWord>
      <group>L1_Grammar</group>
      <groupName>语法问题</groupName>
      <ability>L2_Grammar</ability>
      <abilityName>语法错误</abilityName>
      <candidateList>
        <item>生产线</item>
      </candidateList>
      <explain/>
      <paraID>4862D2F6</paraID>
      <start>27</start>
      <end>30</end>
      <status>modified</status>
      <modifiedWord>生产线</modifiedWord>
      <trackRevisions>false</trackRevisions>
    </reviewItem>
    <reviewItem>
      <errorID>b0e8b431-cefe-4985-9825-c2a22cb965c8</errorID>
      <errorWord>暂存间</errorWord>
      <group>L1_Word</group>
      <groupName>字词问题</groupName>
      <ability>L2_Typo</ability>
      <abilityName>字词错误</abilityName>
      <candidateList>
        <item>暂存</item>
      </candidateList>
      <explain/>
      <paraID>24922C07</paraID>
      <start>22</start>
      <end>24</end>
      <status>modified</status>
      <modifiedWord>暂存</modifiedWord>
      <trackRevisions>false</trackRevisions>
    </reviewItem>
    <reviewItem>
      <errorID>4b203a12-2edb-4d73-9a18-28526206c692</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E282558</paraID>
      <start>75</start>
      <end>76</end>
      <status>ignored</status>
      <modifiedWord/>
      <trackRevisions>false</trackRevisions>
    </reviewItem>
    <reviewItem>
      <errorID>bb559b01-22bf-49a9-ab1f-53ceaad0bb2f</errorID>
      <errorWord>满足</errorWord>
      <group>L1_Word</group>
      <groupName>字词问题</groupName>
      <ability>L2_Typo</ability>
      <abilityName>字词错误</abilityName>
      <candidateList>
        <item>，达到</item>
      </candidateList>
      <explain/>
      <paraID>7266A3AB</paraID>
      <start>79</start>
      <end>82</end>
      <status>modified</status>
      <modifiedWord>，达到</modifiedWord>
      <trackRevisions>false</trackRevisions>
    </reviewItem>
    <reviewItem>
      <errorID>5b6f84f8-ffcb-449a-b250-33a6895e47f2</errorID>
      <errorWord>满足</errorWord>
      <group>L1_Word</group>
      <groupName>字词问题</groupName>
      <ability>L2_Typo</ability>
      <abilityName>字词错误</abilityName>
      <candidateList>
        <item>达到</item>
      </candidateList>
      <explain/>
      <paraID>7266A3AB</paraID>
      <start>162</start>
      <end>164</end>
      <status>modified</status>
      <modifiedWord>达到</modifiedWord>
      <trackRevisions>false</trackRevisions>
    </reviewItem>
    <reviewItem>
      <errorID>fb789979-cc54-4b65-86d3-a3f97c397e9f</errorID>
      <errorWord>重造</errorWord>
      <group>L1_Word</group>
      <groupName>字词问题</groupName>
      <ability>L2_Typo</ability>
      <abilityName>字词错误</abilityName>
      <candidateList>
        <item>再造</item>
      </candidateList>
      <explain/>
      <paraID> 5324996</paraID>
      <start>72</start>
      <end>74</end>
      <status>unmodified</status>
      <modifiedWord/>
      <trackRevisions>false</trackRevisions>
    </reviewItem>
    <reviewItem>
      <errorID>2db05c4f-ff03-4130-9ce4-fc6c692f5298</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767F9C0C</paraID>
      <start>44</start>
      <end>45</end>
      <status>ignored</status>
      <modifiedWord/>
      <trackRevisions>false</trackRevisions>
    </reviewItem>
    <reviewItem>
      <errorID>b630062e-25e0-4e05-aa35-39cd96834725</errorID>
      <errorWord>kw</errorWord>
      <group>L1_Word</group>
      <groupName>字词问题</groupName>
      <ability>L2_Typo</ability>
      <abilityName>字词错误</abilityName>
      <candidateList>
        <item>kW</item>
      </candidateList>
      <explain/>
      <paraID>2103D127</paraID>
      <start>6</start>
      <end>8</end>
      <status>modified</status>
      <modifiedWord>kW</modifiedWord>
      <trackRevisions>false</trackRevisions>
    </reviewItem>
    <reviewItem>
      <errorID>4021be3a-f4fd-4cff-9476-25574cf85607</errorID>
      <errorWord>粘结剂</errorWord>
      <group>L1_Word</group>
      <groupName>字词问题</groupName>
      <ability>L2_Typo</ability>
      <abilityName>字词错误</abilityName>
      <candidateList>
        <item>黏结剂</item>
      </candidateList>
      <explain/>
      <paraID>722832F0</paraID>
      <start>2</start>
      <end>5</end>
      <status>unmodified</status>
      <modifiedWord/>
      <trackRevisions>false</trackRevisions>
    </reviewItem>
    <reviewItem>
      <errorID>5a64035c-25ba-4768-83c0-d22e3a1589f2</errorID>
      <errorWord>粘结剂</errorWord>
      <group>L1_Word</group>
      <groupName>字词问题</groupName>
      <ability>L2_Typo</ability>
      <abilityName>字词错误</abilityName>
      <candidateList>
        <item>黏结剂</item>
      </candidateList>
      <explain/>
      <paraID>6CA6C488</paraID>
      <start>2</start>
      <end>5</end>
      <status>unmodified</status>
      <modifiedWord/>
      <trackRevisions>false</trackRevisions>
    </reviewItem>
    <reviewItem>
      <errorID>7ad61f4d-0b0f-4c80-9224-b3bb55d37f7e</errorID>
      <errorWord>粘结</errorWord>
      <group>L1_Word</group>
      <groupName>字词问题</groupName>
      <ability>L2_Typo</ability>
      <abilityName>字词错误</abilityName>
      <candidateList>
        <item>黏结</item>
      </candidateList>
      <explain>存在发音相同字词的误用。</explain>
      <paraID>7DE30829</paraID>
      <start>9</start>
      <end>11</end>
      <status>unmodified</status>
      <modifiedWord/>
      <trackRevisions>false</trackRevisions>
    </reviewItem>
    <reviewItem>
      <errorID>7dd21442-326d-4350-8857-e37a99db6b41</errorID>
      <errorWord>(</errorWord>
      <group>L1_Format</group>
      <groupName>格式问题</groupName>
      <ability>L2_HalfPunc_CN</ability>
      <abilityName>全半角检查</abilityName>
      <candidateList>
        <item>（</item>
      </candidateList>
      <explain>文本全半角错误。</explain>
      <paraID>7A772B80</paraID>
      <start>32</start>
      <end>33</end>
      <status>modified</status>
      <modifiedWord>（</modifiedWord>
      <trackRevisions>false</trackRevisions>
    </reviewItem>
    <reviewItem>
      <errorID>76cb270b-4883-4f11-92d4-a8267348f035</errorID>
      <errorWord>）</errorWord>
      <group>L1_Format</group>
      <groupName>格式问题</groupName>
      <ability>L2_HalfPunc_CN</ability>
      <abilityName>全半角检查</abilityName>
      <candidateList>
        <item>)</item>
      </candidateList>
      <explain>文本全半角错误。</explain>
      <paraID>6A1B56CC</paraID>
      <start>46</start>
      <end>47</end>
      <status>modified</status>
      <modifiedWord>)</modifiedWord>
      <trackRevisions>false</trackRevisions>
    </reviewItem>
    <reviewItem>
      <errorID>20b094ff-3359-46d6-9381-776d223fb8cc</errorID>
      <errorWord>，</errorWord>
      <group>L1_Word</group>
      <groupName>字词问题</groupName>
      <ability>L2_Typo</ability>
      <abilityName>字词错误</abilityName>
      <candidateList>
        <item>，一</item>
      </candidateList>
      <explain/>
      <paraID>1B17F628</paraID>
      <start>14</start>
      <end>16</end>
      <status>modified</status>
      <modifiedWord>，一</modifiedWord>
      <trackRevisions>false</trackRevisions>
    </reviewItem>
    <reviewItem>
      <errorID>ce22d207-7529-4247-9fac-557a27c5989b</errorID>
      <errorWord>噪音</errorWord>
      <group>L1_Word</group>
      <groupName>字词问题</groupName>
      <ability>L2_Alias</ability>
      <abilityName>也作/曾用词</abilityName>
      <candidateList>
        <item>噪声</item>
      </candidateList>
      <explain>词汇[噪音]为不规范表述或旧称，其规范书面表述为[噪声]。</explain>
      <paraID> D7783AB</paraID>
      <start>55</start>
      <end>57</end>
      <status>unmodified</status>
      <modifiedWord/>
      <trackRevisions>false</trackRevisions>
    </reviewItem>
    <reviewItem>
      <errorID>baaeb1d3-46dc-4c40-ad18-8a85ac8b56de</errorID>
      <errorWord>进</errorWord>
      <group>L1_Word</group>
      <groupName>字词问题</groupName>
      <ability>L2_Typo</ability>
      <abilityName>字词错误</abilityName>
      <candidateList>
        <item>进行</item>
      </candidateList>
      <explain>〈动〉❶从事（某种活动）：～讨论｜～工作｜～教育和批评｜会议正在～。注意“进行”总是用在持续性的和正式、严肃的行为，短暂性的和日常生活中的行为不用“进行”，例如不说“进行午睡”，“进行叫喊”。❷前进：～曲。</explain>
      <paraID>281B71B2</paraID>
      <start>25</start>
      <end>27</end>
      <status>modified</status>
      <modifiedWord>进行</modifiedWord>
      <trackRevisions>false</trackRevisions>
    </reviewItem>
    <reviewItem>
      <errorID>d04703a4-1b09-4133-86df-1614086cac5c</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58D1F3A1</paraID>
      <start>29</start>
      <end>30</end>
      <status>ignored</status>
      <modifiedWord/>
      <trackRevisions>false</trackRevisions>
    </reviewItem>
    <reviewItem>
      <errorID>ac8ed0a6-768a-4427-a410-df85405489a0</errorID>
      <errorWord>噪音</errorWord>
      <group>L1_Word</group>
      <groupName>字词问题</groupName>
      <ability>L2_Alias</ability>
      <abilityName>也作/曾用词</abilityName>
      <candidateList>
        <item>噪声</item>
      </candidateList>
      <explain>词汇[噪音]为不规范表述或旧称，其规范书面表述为[噪声]。</explain>
      <paraID>475728CD</paraID>
      <start>0</start>
      <end>2</end>
      <status>unmodified</status>
      <modifiedWord/>
      <trackRevisions>false</trackRevisions>
    </reviewItem>
    <reviewItem>
      <errorID>f01322a6-c236-4346-9dc7-cc9587d1d791</errorID>
      <errorWord>区</errorWord>
      <group>L1_Word</group>
      <groupName>字词问题</groupName>
      <ability>L2_Typo</ability>
      <abilityName>字词错误</abilityName>
      <candidateList>
        <item>区域</item>
      </candidateList>
      <explain/>
      <paraID>469D9F24</paraID>
      <start>169</start>
      <end>171</end>
      <status>modified</status>
      <modifiedWord>区域</modifiedWord>
      <trackRevisions>false</trackRevisions>
    </reviewItem>
    <reviewItem>
      <errorID>e3a85598-10cb-468d-9da6-2a735235a996</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22A2606</paraID>
      <start>47</start>
      <end>48</end>
      <status>modified</status>
      <modifiedWord>—</modifiedWord>
      <trackRevisions>false</trackRevisions>
    </reviewItem>
    <reviewItem>
      <errorID>f7077b33-c2b6-46c5-a357-7e83256268b7</errorID>
      <errorWord>）</errorWord>
      <group>L1_Format</group>
      <groupName>格式问题</groupName>
      <ability>L2_HalfPunc_CN</ability>
      <abilityName>全半角检查</abilityName>
      <candidateList>
        <item>)</item>
      </candidateList>
      <explain>文本全半角错误。</explain>
      <paraID>4CD19C30</paraID>
      <start>121</start>
      <end>122</end>
      <status>modified</status>
      <modifiedWord>)</modifiedWord>
      <trackRevisions>false</trackRevisions>
    </reviewItem>
    <reviewItem>
      <errorID>abefe467-6c34-4f0d-b9c5-2ce9b85b1538</errorID>
      <errorWord>）</errorWord>
      <group>L1_Format</group>
      <groupName>格式问题</groupName>
      <ability>L2_HalfPunc_CN</ability>
      <abilityName>全半角检查</abilityName>
      <candidateList>
        <item>)</item>
      </candidateList>
      <explain>文本全半角错误。</explain>
      <paraID>4CD19C30</paraID>
      <start>150</start>
      <end>151</end>
      <status>modified</status>
      <modifiedWord>)</modifiedWord>
      <trackRevisions>false</trackRevisions>
    </reviewItem>
    <reviewItem>
      <errorID>93458b25-7c04-43fe-93c8-99b5ec551bc2</errorID>
      <errorWord>：</errorWord>
      <group>L1_Format</group>
      <groupName>格式问题</groupName>
      <ability>L2_HalfPunc_CN</ability>
      <abilityName>全半角检查</abilityName>
      <candidateList>
        <item>:</item>
      </candidateList>
      <explain>文本全半角错误。</explain>
      <paraID>3E0BC60B</paraID>
      <start>4</start>
      <end>5</end>
      <status>modified</status>
      <modifiedWord>:</modifiedWord>
      <trackRevisions>false</trackRevisions>
    </reviewItem>
    <reviewItem>
      <errorID>aedf111b-d983-4267-869b-678165daeed8</errorID>
      <errorWord>粘结剂</errorWord>
      <group>L1_Word</group>
      <groupName>字词问题</groupName>
      <ability>L2_Typo</ability>
      <abilityName>字词错误</abilityName>
      <candidateList>
        <item>黏结剂</item>
      </candidateList>
      <explain/>
      <paraID>227438E0</paraID>
      <start>24</start>
      <end>27</end>
      <status>unmodified</status>
      <modifiedWord/>
      <trackRevisions>false</trackRevisions>
    </reviewItem>
    <reviewItem>
      <errorID>a3c9a530-6d3a-4908-95e5-e3386ba71c56</errorID>
      <errorWord>粘结剂</errorWord>
      <group>L1_Word</group>
      <groupName>字词问题</groupName>
      <ability>L2_Typo</ability>
      <abilityName>字词错误</abilityName>
      <candidateList>
        <item>黏结剂</item>
      </candidateList>
      <explain/>
      <paraID>7F4D7AA7</paraID>
      <start>23</start>
      <end>26</end>
      <status>unmodified</status>
      <modifiedWord/>
      <trackRevisions>false</trackRevisions>
    </reviewItem>
    <reviewItem>
      <errorID>0e740454-3662-48a5-b777-9bb5206d131f</errorID>
      <errorWord>粘结剂</errorWord>
      <group>L1_Word</group>
      <groupName>字词问题</groupName>
      <ability>L2_Typo</ability>
      <abilityName>字词错误</abilityName>
      <candidateList>
        <item>黏结剂</item>
      </candidateList>
      <explain/>
      <paraID>7F4D7AA7</paraID>
      <start>46</start>
      <end>49</end>
      <status>unmodified</status>
      <modifiedWord/>
      <trackRevisions>false</trackRevisions>
    </reviewItem>
    <reviewItem>
      <errorID>ff1bab57-2a73-423e-b9f3-5044d1cb4a70</errorID>
      <errorWord>气简</errorWord>
      <group>L1_Word</group>
      <groupName>字词问题</groupName>
      <ability>L2_Typo</ability>
      <abilityName>字词错误</abilityName>
      <candidateList>
        <item>气筒</item>
      </candidateList>
      <explain>存在字形相近字词的误用。</explain>
      <paraID>6F7258C7</paraID>
      <start>216</start>
      <end>218</end>
      <status>modified</status>
      <modifiedWord>气筒</modifiedWord>
      <trackRevisions>false</trackRevisions>
    </reviewItem>
    <reviewItem>
      <errorID>cfb4696f-a803-4a71-bce5-630cb349c5d1</errorID>
      <errorWord>酒水</errorWord>
      <group>L1_Word</group>
      <groupName>字词问题</groupName>
      <ability>L2_Typo</ability>
      <abilityName>字词错误</abilityName>
      <candidateList>
        <item>洒水</item>
      </candidateList>
      <explain/>
      <paraID>5F1F76E6</paraID>
      <start>18</start>
      <end>20</end>
      <status>modified</status>
      <modifiedWord>洒水</modifiedWord>
      <trackRevisions>false</trackRevisions>
    </reviewItem>
    <reviewItem>
      <errorID>b9f769eb-58b7-4aeb-baa1-eb8cc967047e</errorID>
      <errorWord>外逸</errorWord>
      <group>L1_Word</group>
      <groupName>字词问题</groupName>
      <ability>L2_Typo</ability>
      <abilityName>字词错误</abilityName>
      <candidateList>
        <item>外溢</item>
      </candidateList>
      <explain/>
      <paraID>288177CD</paraID>
      <start>13</start>
      <end>15</end>
      <status>modified</status>
      <modifiedWord>外溢</modifiedWord>
      <trackRevisions>false</trackRevisions>
    </reviewItem>
    <reviewItem>
      <errorID>3f0dd849-c29a-4d1d-9445-a0ea5801a1dc</errorID>
      <errorWord>(</errorWord>
      <group>L1_Format</group>
      <groupName>格式问题</groupName>
      <ability>L2_HalfPunc_CN</ability>
      <abilityName>全半角检查</abilityName>
      <candidateList>
        <item>（</item>
      </candidateList>
      <explain>文本全半角错误。</explain>
      <paraID>70399E2B</paraID>
      <start>20</start>
      <end>21</end>
      <status>modified</status>
      <modifiedWord>（</modifiedWord>
      <trackRevisions>false</trackRevisions>
    </reviewItem>
    <reviewItem>
      <errorID>f56d2269-568f-4fcb-9d89-fbea44f86307</errorID>
      <errorWord>)</errorWord>
      <group>L1_Format</group>
      <groupName>格式问题</groupName>
      <ability>L2_HalfPunc_CN</ability>
      <abilityName>全半角检查</abilityName>
      <candidateList>
        <item>）</item>
      </candidateList>
      <explain>文本全半角错误。</explain>
      <paraID>70399E2B</paraID>
      <start>24</start>
      <end>25</end>
      <status>modified</status>
      <modifiedWord>）</modifiedWord>
      <trackRevisions>false</trackRevisions>
    </reviewItem>
    <reviewItem>
      <errorID>5dae0638-ef26-475c-86ef-1c0851852ba8</errorID>
      <errorWord>:</errorWord>
      <group>L1_Format</group>
      <groupName>格式问题</groupName>
      <ability>L2_HalfPunc_CN</ability>
      <abilityName>全半角检查</abilityName>
      <candidateList>
        <item>：</item>
      </candidateList>
      <explain>文本全半角错误。</explain>
      <paraID>70399E2B</paraID>
      <start>184</start>
      <end>185</end>
      <status>modified</status>
      <modifiedWord>：</modifiedWord>
      <trackRevisions>false</trackRevisions>
    </reviewItem>
    <reviewItem>
      <errorID>065278c3-9f54-4d4c-b643-b414d2c56b19</errorID>
      <errorWord>(</errorWord>
      <group>L1_Format</group>
      <groupName>格式问题</groupName>
      <ability>L2_HalfPunc_CN</ability>
      <abilityName>全半角检查</abilityName>
      <candidateList>
        <item>（</item>
      </candidateList>
      <explain>文本全半角错误。</explain>
      <paraID>39372304</paraID>
      <start>14</start>
      <end>15</end>
      <status>modified</status>
      <modifiedWord>（</modifiedWord>
      <trackRevisions>false</trackRevisions>
    </reviewItem>
    <reviewItem>
      <errorID>81b29f81-8860-467d-beed-ff15f598c0dc</errorID>
      <errorWord>)</errorWord>
      <group>L1_Format</group>
      <groupName>格式问题</groupName>
      <ability>L2_HalfPunc_CN</ability>
      <abilityName>全半角检查</abilityName>
      <candidateList>
        <item>）</item>
      </candidateList>
      <explain>文本全半角错误。</explain>
      <paraID>39372304</paraID>
      <start>28</start>
      <end>29</end>
      <status>modified</status>
      <modifiedWord>）</modifiedWord>
      <trackRevisions>false</trackRevisions>
    </reviewItem>
    <reviewItem>
      <errorID>1c096cc1-2c63-4612-a565-1ac0a8c17e6f</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59E17650</paraID>
      <start>51</start>
      <end>52</end>
      <status>ignored</status>
      <modifiedWord/>
      <trackRevisions>false</trackRevisions>
    </reviewItem>
    <reviewItem>
      <errorID>b286f14e-4211-4d31-8e9e-c5631a2aa3d1</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59E17650</paraID>
      <start>111</start>
      <end>112</end>
      <status>ignored</status>
      <modifiedWord/>
      <trackRevisions>false</trackRevisions>
    </reviewItem>
    <reviewItem>
      <errorID>e4108594-3b02-42e0-ab88-642a91f77ecd</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59E17650</paraID>
      <start>171</start>
      <end>172</end>
      <status>ignored</status>
      <modifiedWord/>
      <trackRevisions>false</trackRevisions>
    </reviewItem>
    <reviewItem>
      <errorID>aa069991-dcf5-401e-a1b6-128f2a850691</errorID>
      <errorWord>：</errorWord>
      <group>L1_Format</group>
      <groupName>格式问题</groupName>
      <ability>L2_HalfPunc_CN</ability>
      <abilityName>全半角检查</abilityName>
      <candidateList>
        <item>:</item>
      </candidateList>
      <explain>文本全半角错误。</explain>
      <paraID> 499557A</paraID>
      <start>68</start>
      <end>69</end>
      <status>modified</status>
      <modifiedWord>:</modifiedWord>
      <trackRevisions>false</trackRevisions>
    </reviewItem>
    <reviewItem>
      <errorID>6bde1db0-cc57-4523-ab91-704b1cf4db20</errorID>
      <errorWord>kw</errorWord>
      <group>L1_Word</group>
      <groupName>字词问题</groupName>
      <ability>L2_Typo</ability>
      <abilityName>字词错误</abilityName>
      <candidateList>
        <item>kW</item>
      </candidateList>
      <explain/>
      <paraID>478551DE</paraID>
      <start>6</start>
      <end>8</end>
      <status>modified</status>
      <modifiedWord>kW</modifiedWord>
      <trackRevisions>false</trackRevisions>
    </reviewItem>
    <reviewItem>
      <errorID>3cdf507f-38ac-4ac4-86e5-b2c00516b108</errorID>
      <errorWord>kw</errorWord>
      <group>L1_Word</group>
      <groupName>字词问题</groupName>
      <ability>L2_Typo</ability>
      <abilityName>字词错误</abilityName>
      <candidateList>
        <item>kW</item>
      </candidateList>
      <explain/>
      <paraID>28CAF198</paraID>
      <start>6</start>
      <end>8</end>
      <status>modified</status>
      <modifiedWord>kW</modifiedWord>
      <trackRevisions>false</trackRevisions>
    </reviewItem>
    <reviewItem>
      <errorID>5e686a31-cd38-4875-84b2-014da17beb7c</errorID>
      <errorWord>（</errorWord>
      <group>L1_Format</group>
      <groupName>格式问题</groupName>
      <ability>L2_HalfPunc_CN</ability>
      <abilityName>全半角检查</abilityName>
      <candidateList>
        <item>(</item>
      </candidateList>
      <explain>文本全半角错误。</explain>
      <paraID> 4497A94</paraID>
      <start>3</start>
      <end>4</end>
      <status>modified</status>
      <modifiedWord>(</modifiedWord>
      <trackRevisions>false</trackRevisions>
    </reviewItem>
    <reviewItem>
      <errorID>e312128d-cc43-44f5-a7cd-a1968907ac0e</errorID>
      <errorWord>））</errorWord>
      <group>L1_Format</group>
      <groupName>格式问题</groupName>
      <ability>L2_HalfPunc_CN</ability>
      <abilityName>全半角检查</abilityName>
      <candidateList>
        <item>))</item>
      </candidateList>
      <explain>文本全半角错误。</explain>
      <paraID> 4497A94</paraID>
      <start>5</start>
      <end>7</end>
      <status>modified</status>
      <modifiedWord>))</modifiedWord>
      <trackRevisions>false</trackRevisions>
    </reviewItem>
    <reviewItem>
      <errorID>3c1d2800-3fb9-425e-a4a4-9700a3bf3411</errorID>
      <errorWord>根据根据</errorWord>
      <group>L1_Word</group>
      <groupName>字词问题</groupName>
      <ability>L2_Typo</ability>
      <abilityName>字词错误</abilityName>
      <candidateList>
        <item>根据</item>
      </candidateList>
      <explain>❶〈介〉把某种事物作为结论的前提或语言行动的基础：～气象台的预报，明天要下雨｜～大家的意见，把计划修改一下。❷〈名〉作为根据的事物：说话要有～。❸〈动〉以某种事物为依据：财政支出必须～节约的原则。</explain>
      <paraID>63D07E6D</paraID>
      <start>28</start>
      <end>30</end>
      <status>modified</status>
      <modifiedWord>根据</modifiedWord>
      <trackRevisions>false</trackRevisions>
    </reviewItem>
    <reviewItem>
      <errorID>d2307c32-c968-461e-8c6c-5a2774f2267e</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14A62E30</paraID>
      <start>75</start>
      <end>76</end>
      <status>ignored</status>
      <modifiedWord/>
      <trackRevisions>false</trackRevisions>
    </reviewItem>
    <reviewItem>
      <errorID>6c376baf-c728-4cd4-a323-c15425a8692f</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79EAD84C</paraID>
      <start>47</start>
      <end>48</end>
      <status>ignored</status>
      <modifiedWord/>
      <trackRevisions>false</trackRevisions>
    </reviewItem>
    <reviewItem>
      <errorID>aa350078-0787-412b-8348-8ad968fb543d</errorID>
      <errorWord>作出</errorWord>
      <group>L1_Word</group>
      <groupName>字词问题</groupName>
      <ability>L2_Typo</ability>
      <abilityName>字词错误</abilityName>
      <candidateList>
        <item>做出</item>
      </candidateList>
      <explain/>
      <paraID>79EAD84C</paraID>
      <start>407</start>
      <end>409</end>
      <status>modified</status>
      <modifiedWord>做出</modifiedWord>
      <trackRevisions>false</trackRevisions>
    </reviewItem>
    <reviewItem>
      <errorID>23c12516-ce15-4cfa-b266-b220d131c21e</errorID>
      <errorWord>噪音</errorWord>
      <group>L1_Word</group>
      <groupName>字词问题</groupName>
      <ability>L2_Alias</ability>
      <abilityName>也作/曾用词</abilityName>
      <candidateList>
        <item>噪声</item>
      </candidateList>
      <explain>词汇[噪音]为不规范表述或旧称，其规范书面表述为[噪声]。</explain>
      <paraID>4BF0471D</paraID>
      <start>233</start>
      <end>235</end>
      <status>unmodified</status>
      <modifiedWord/>
      <trackRevisions>false</trackRevisions>
    </reviewItem>
    <reviewItem>
      <errorID>cdd26a5e-2f86-4c4d-8f6b-0d60a0e18e2c</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4478D9F8</paraID>
      <start>44</start>
      <end>45</end>
      <status>ignored</status>
      <modifiedWord/>
      <trackRevisions>false</trackRevisions>
    </reviewItem>
    <reviewItem>
      <errorID>29313471-6e86-4f39-aa63-9d29612fcd37</errorID>
      <errorWord>：</errorWord>
      <group>L1_Format</group>
      <groupName>格式问题</groupName>
      <ability>L2_HalfPunc_CN</ability>
      <abilityName>全半角检查</abilityName>
      <candidateList>
        <item>:</item>
      </candidateList>
      <explain>文本全半角错误。</explain>
      <paraID>727D2F87</paraID>
      <start>68</start>
      <end>69</end>
      <status>modified</status>
      <modifiedWord>:</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2a3867d-d836-4a10-8887-27097b008eec}">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130</Pages>
  <Words>23155</Words>
  <Characters>24514</Characters>
  <Lines>1</Lines>
  <Paragraphs>1</Paragraphs>
  <TotalTime>8</TotalTime>
  <ScaleCrop>false</ScaleCrop>
  <LinksUpToDate>false</LinksUpToDate>
  <CharactersWithSpaces>24593</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chh</dc:creator>
  <cp:lastModifiedBy>wps</cp:lastModifiedBy>
  <dcterms:modified xsi:type="dcterms:W3CDTF">2026-05-29T06:03:18Z</dcterms:modified>
  <dc:title>附件2</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A5789B701165459CB2A4268EFDF45D1E_13</vt:lpwstr>
  </property>
  <property fmtid="{D5CDD505-2E9C-101B-9397-08002B2CF9AE}" pid="4" name="KSOTemplateDocerSaveRecord">
    <vt:lpwstr>eyJoZGlkIjoiNjljMmJmNmE2MjNkZGQyZDljYmVhYTQ2MzQ5YjlkNTgiLCJ1c2VySWQiOiI0NTUxNzkzMTMifQ==</vt:lpwstr>
  </property>
</Properties>
</file>