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78CB75">
      <w:pPr>
        <w:adjustRightInd w:val="0"/>
        <w:snapToGrid w:val="0"/>
        <w:spacing w:line="288" w:lineRule="auto"/>
        <w:rPr>
          <w:rFonts w:hint="default" w:ascii="Times New Roman" w:hAnsi="Times New Roman" w:eastAsia="仿宋_GB2312" w:cs="Times New Roman"/>
          <w:color w:val="auto"/>
          <w:sz w:val="36"/>
          <w:szCs w:val="36"/>
          <w:highlight w:val="none"/>
        </w:rPr>
      </w:pPr>
      <w:bookmarkStart w:id="0" w:name="_Hlk57884087"/>
      <w:r>
        <w:rPr>
          <w:rFonts w:hint="default" w:ascii="Times New Roman" w:hAnsi="Times New Roman" w:eastAsia="仿宋_GB2312" w:cs="Times New Roman"/>
          <w:color w:val="auto"/>
          <w:sz w:val="36"/>
          <w:szCs w:val="36"/>
          <w:highlight w:val="none"/>
        </w:rPr>
        <w:drawing>
          <wp:inline distT="0" distB="0" distL="114300" distR="114300">
            <wp:extent cx="5951855" cy="8416925"/>
            <wp:effectExtent l="0" t="0" r="10795" b="3175"/>
            <wp:docPr id="31" name="图片 31" descr="封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封皮"/>
                    <pic:cNvPicPr>
                      <a:picLocks noChangeAspect="1"/>
                    </pic:cNvPicPr>
                  </pic:nvPicPr>
                  <pic:blipFill>
                    <a:blip r:embed="rId7"/>
                    <a:stretch>
                      <a:fillRect/>
                    </a:stretch>
                  </pic:blipFill>
                  <pic:spPr>
                    <a:xfrm>
                      <a:off x="0" y="0"/>
                      <a:ext cx="5951855" cy="8416925"/>
                    </a:xfrm>
                    <a:prstGeom prst="rect">
                      <a:avLst/>
                    </a:prstGeom>
                  </pic:spPr>
                </pic:pic>
              </a:graphicData>
            </a:graphic>
          </wp:inline>
        </w:drawing>
      </w:r>
    </w:p>
    <w:bookmarkEnd w:id="0"/>
    <w:p w14:paraId="282A389C">
      <w:pPr>
        <w:adjustRightInd w:val="0"/>
        <w:snapToGrid w:val="0"/>
        <w:spacing w:line="288" w:lineRule="auto"/>
        <w:jc w:val="center"/>
        <w:rPr>
          <w:rFonts w:hint="default" w:ascii="Times New Roman" w:hAnsi="Times New Roman" w:cs="Times New Roman"/>
          <w:color w:val="auto"/>
          <w:highlight w:val="none"/>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46E065BA">
      <w:pPr>
        <w:pStyle w:val="13"/>
        <w:ind w:left="0" w:leftChars="0" w:firstLine="0" w:firstLineChars="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7938135" cy="5610860"/>
            <wp:effectExtent l="0" t="0" r="8890" b="5715"/>
            <wp:docPr id="59" name="图片 59" descr="编制人员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编制人员表"/>
                    <pic:cNvPicPr>
                      <a:picLocks noChangeAspect="1"/>
                    </pic:cNvPicPr>
                  </pic:nvPicPr>
                  <pic:blipFill>
                    <a:blip r:embed="rId8"/>
                    <a:stretch>
                      <a:fillRect/>
                    </a:stretch>
                  </pic:blipFill>
                  <pic:spPr>
                    <a:xfrm rot="16200000">
                      <a:off x="0" y="0"/>
                      <a:ext cx="7938135" cy="5610860"/>
                    </a:xfrm>
                    <a:prstGeom prst="rect">
                      <a:avLst/>
                    </a:prstGeom>
                  </pic:spPr>
                </pic:pic>
              </a:graphicData>
            </a:graphic>
          </wp:inline>
        </w:drawing>
      </w:r>
    </w:p>
    <w:p w14:paraId="2B467476">
      <w:pPr>
        <w:pStyle w:val="13"/>
        <w:ind w:left="5250"/>
        <w:rPr>
          <w:rFonts w:hint="default" w:ascii="Times New Roman" w:hAnsi="Times New Roman" w:cs="Times New Roman"/>
          <w:color w:val="auto"/>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19A706C3">
      <w:pPr>
        <w:rPr>
          <w:rFonts w:hint="default"/>
          <w:color w:val="auto"/>
          <w:highlight w:val="none"/>
        </w:rPr>
      </w:pPr>
    </w:p>
    <w:p w14:paraId="561A3DF9">
      <w:pPr>
        <w:pStyle w:val="22"/>
        <w:jc w:val="center"/>
        <w:rPr>
          <w:rFonts w:hint="default" w:ascii="Times New Roman" w:hAnsi="Times New Roman" w:cs="Times New Roman"/>
          <w:snapToGrid w:val="0"/>
          <w:color w:val="auto"/>
          <w:sz w:val="52"/>
          <w:szCs w:val="52"/>
          <w:highlight w:val="none"/>
        </w:rPr>
      </w:pPr>
      <w:r>
        <w:rPr>
          <w:rFonts w:hint="default" w:ascii="Times New Roman" w:hAnsi="Times New Roman" w:cs="Times New Roman"/>
          <w:snapToGrid w:val="0"/>
          <w:color w:val="auto"/>
          <w:sz w:val="52"/>
          <w:szCs w:val="52"/>
          <w:highlight w:val="none"/>
        </w:rPr>
        <w:t>目  录</w:t>
      </w:r>
    </w:p>
    <w:p w14:paraId="2CCB59A2">
      <w:pPr>
        <w:rPr>
          <w:rFonts w:hint="default" w:ascii="Times New Roman" w:hAnsi="Times New Roman" w:cs="Times New Roman"/>
          <w:color w:val="auto"/>
          <w:highlight w:val="none"/>
        </w:rPr>
      </w:pPr>
    </w:p>
    <w:p w14:paraId="60F0AF4E">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cs="Times New Roman"/>
          <w:snapToGrid w:val="0"/>
          <w:color w:val="auto"/>
          <w:sz w:val="24"/>
          <w:szCs w:val="24"/>
          <w:highlight w:val="none"/>
        </w:rPr>
        <w:fldChar w:fldCharType="begin"/>
      </w:r>
      <w:r>
        <w:rPr>
          <w:rFonts w:hint="default" w:ascii="Times New Roman" w:hAnsi="Times New Roman" w:cs="Times New Roman"/>
          <w:snapToGrid w:val="0"/>
          <w:color w:val="auto"/>
          <w:sz w:val="24"/>
          <w:szCs w:val="24"/>
          <w:highlight w:val="none"/>
        </w:rPr>
        <w:instrText xml:space="preserve"> TOC \o "1-3" \h \z \u </w:instrText>
      </w:r>
      <w:r>
        <w:rPr>
          <w:rFonts w:hint="default" w:ascii="Times New Roman" w:hAnsi="Times New Roman" w:cs="Times New Roman"/>
          <w:snapToGrid w:val="0"/>
          <w:color w:val="auto"/>
          <w:sz w:val="24"/>
          <w:szCs w:val="24"/>
          <w:highlight w:val="none"/>
        </w:rPr>
        <w:fldChar w:fldCharType="separate"/>
      </w:r>
      <w:r>
        <w:rPr>
          <w:rFonts w:hint="default" w:ascii="Times New Roman" w:hAnsi="Times New Roman" w:cs="Times New Roman"/>
          <w:snapToGrid w:val="0"/>
          <w:color w:val="auto"/>
          <w:sz w:val="24"/>
          <w:szCs w:val="24"/>
          <w:highlight w:val="none"/>
        </w:rPr>
        <w:fldChar w:fldCharType="begin"/>
      </w:r>
      <w:r>
        <w:rPr>
          <w:rFonts w:hint="default" w:ascii="Times New Roman" w:hAnsi="Times New Roman" w:cs="Times New Roman"/>
          <w:snapToGrid w:val="0"/>
          <w:color w:val="auto"/>
          <w:sz w:val="24"/>
          <w:szCs w:val="24"/>
          <w:highlight w:val="none"/>
        </w:rPr>
        <w:instrText xml:space="preserve"> HYPERLINK \l _Toc30439 </w:instrText>
      </w:r>
      <w:r>
        <w:rPr>
          <w:rFonts w:hint="default" w:ascii="Times New Roman" w:hAnsi="Times New Roman" w:cs="Times New Roman"/>
          <w:snapToGrid w:val="0"/>
          <w:color w:val="auto"/>
          <w:sz w:val="24"/>
          <w:szCs w:val="24"/>
          <w:highlight w:val="none"/>
        </w:rPr>
        <w:fldChar w:fldCharType="separate"/>
      </w:r>
      <w:r>
        <w:rPr>
          <w:rFonts w:hint="default" w:ascii="Times New Roman" w:hAnsi="Times New Roman" w:cs="Times New Roman"/>
          <w:color w:val="auto"/>
          <w:sz w:val="24"/>
          <w:szCs w:val="24"/>
          <w:highlight w:val="none"/>
        </w:rPr>
        <w:t>一、建设项目基本情况</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_Toc30439 \h </w:instrText>
      </w:r>
      <w:r>
        <w:rPr>
          <w:color w:val="auto"/>
          <w:sz w:val="24"/>
          <w:szCs w:val="24"/>
          <w:highlight w:val="none"/>
        </w:rPr>
        <w:fldChar w:fldCharType="separate"/>
      </w:r>
      <w:r>
        <w:rPr>
          <w:color w:val="auto"/>
          <w:sz w:val="24"/>
          <w:szCs w:val="24"/>
          <w:highlight w:val="none"/>
        </w:rPr>
        <w:t>1</w:t>
      </w:r>
      <w:r>
        <w:rPr>
          <w:color w:val="auto"/>
          <w:sz w:val="24"/>
          <w:szCs w:val="24"/>
          <w:highlight w:val="none"/>
        </w:rPr>
        <w:fldChar w:fldCharType="end"/>
      </w:r>
      <w:r>
        <w:rPr>
          <w:rFonts w:hint="default" w:ascii="Times New Roman" w:hAnsi="Times New Roman" w:cs="Times New Roman"/>
          <w:snapToGrid w:val="0"/>
          <w:color w:val="auto"/>
          <w:sz w:val="24"/>
          <w:szCs w:val="24"/>
          <w:highlight w:val="none"/>
        </w:rPr>
        <w:fldChar w:fldCharType="end"/>
      </w:r>
    </w:p>
    <w:p w14:paraId="71B75222">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_Toc2044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cs="Times New Roman"/>
          <w:color w:val="auto"/>
          <w:sz w:val="24"/>
          <w:szCs w:val="24"/>
          <w:highlight w:val="none"/>
        </w:rPr>
        <w:t>二、建设项目工程分析</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_Toc2044 \h </w:instrText>
      </w:r>
      <w:r>
        <w:rPr>
          <w:color w:val="auto"/>
          <w:sz w:val="24"/>
          <w:szCs w:val="24"/>
          <w:highlight w:val="none"/>
        </w:rPr>
        <w:fldChar w:fldCharType="separate"/>
      </w:r>
      <w:r>
        <w:rPr>
          <w:color w:val="auto"/>
          <w:sz w:val="24"/>
          <w:szCs w:val="24"/>
          <w:highlight w:val="none"/>
        </w:rPr>
        <w:t>26</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57110F8E">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_Toc6892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cs="Times New Roman"/>
          <w:color w:val="auto"/>
          <w:sz w:val="24"/>
          <w:szCs w:val="24"/>
          <w:highlight w:val="none"/>
        </w:rPr>
        <w:t>三、区域环境质量现状、环境保护目标及评价标准</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_Toc6892 \h </w:instrText>
      </w:r>
      <w:r>
        <w:rPr>
          <w:color w:val="auto"/>
          <w:sz w:val="24"/>
          <w:szCs w:val="24"/>
          <w:highlight w:val="none"/>
        </w:rPr>
        <w:fldChar w:fldCharType="separate"/>
      </w:r>
      <w:r>
        <w:rPr>
          <w:color w:val="auto"/>
          <w:sz w:val="24"/>
          <w:szCs w:val="24"/>
          <w:highlight w:val="none"/>
        </w:rPr>
        <w:t>45</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7A6DDB87">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_Toc20994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cs="Times New Roman"/>
          <w:color w:val="auto"/>
          <w:sz w:val="24"/>
          <w:szCs w:val="24"/>
          <w:highlight w:val="none"/>
        </w:rPr>
        <w:t>四、主要环境影响和保护措施</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_Toc20994 \h </w:instrText>
      </w:r>
      <w:r>
        <w:rPr>
          <w:color w:val="auto"/>
          <w:sz w:val="24"/>
          <w:szCs w:val="24"/>
          <w:highlight w:val="none"/>
        </w:rPr>
        <w:fldChar w:fldCharType="separate"/>
      </w:r>
      <w:r>
        <w:rPr>
          <w:color w:val="auto"/>
          <w:sz w:val="24"/>
          <w:szCs w:val="24"/>
          <w:highlight w:val="none"/>
        </w:rPr>
        <w:t>50</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4511523E">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_Toc21948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cs="Times New Roman"/>
          <w:color w:val="auto"/>
          <w:sz w:val="24"/>
          <w:szCs w:val="24"/>
          <w:highlight w:val="none"/>
        </w:rPr>
        <w:t>五、环境保护措施监督检查清单</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_Toc21948 \h </w:instrText>
      </w:r>
      <w:r>
        <w:rPr>
          <w:color w:val="auto"/>
          <w:sz w:val="24"/>
          <w:szCs w:val="24"/>
          <w:highlight w:val="none"/>
        </w:rPr>
        <w:fldChar w:fldCharType="separate"/>
      </w:r>
      <w:r>
        <w:rPr>
          <w:color w:val="auto"/>
          <w:sz w:val="24"/>
          <w:szCs w:val="24"/>
          <w:highlight w:val="none"/>
        </w:rPr>
        <w:t>74</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1D84286C">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_Toc9608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cs="Times New Roman"/>
          <w:color w:val="auto"/>
          <w:sz w:val="24"/>
          <w:szCs w:val="24"/>
          <w:highlight w:val="none"/>
        </w:rPr>
        <w:t>六、结论</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_Toc9608 \h </w:instrText>
      </w:r>
      <w:r>
        <w:rPr>
          <w:color w:val="auto"/>
          <w:sz w:val="24"/>
          <w:szCs w:val="24"/>
          <w:highlight w:val="none"/>
        </w:rPr>
        <w:fldChar w:fldCharType="separate"/>
      </w:r>
      <w:r>
        <w:rPr>
          <w:color w:val="auto"/>
          <w:sz w:val="24"/>
          <w:szCs w:val="24"/>
          <w:highlight w:val="none"/>
        </w:rPr>
        <w:t>76</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05D40BD6">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_Toc25447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cs="Times New Roman"/>
          <w:color w:val="auto"/>
          <w:sz w:val="24"/>
          <w:szCs w:val="24"/>
          <w:highlight w:val="none"/>
        </w:rPr>
        <w:t>附表1</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_Toc25447 \h </w:instrText>
      </w:r>
      <w:r>
        <w:rPr>
          <w:color w:val="auto"/>
          <w:sz w:val="24"/>
          <w:szCs w:val="24"/>
          <w:highlight w:val="none"/>
        </w:rPr>
        <w:fldChar w:fldCharType="separate"/>
      </w:r>
      <w:r>
        <w:rPr>
          <w:color w:val="auto"/>
          <w:sz w:val="24"/>
          <w:szCs w:val="24"/>
          <w:highlight w:val="none"/>
        </w:rPr>
        <w:t>77</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51A6A5DD">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_Toc10098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cs="Times New Roman"/>
          <w:color w:val="auto"/>
          <w:sz w:val="24"/>
          <w:szCs w:val="24"/>
          <w:highlight w:val="none"/>
        </w:rPr>
        <w:t>建设项目污染物排放量汇总表</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_Toc10098 \h </w:instrText>
      </w:r>
      <w:r>
        <w:rPr>
          <w:color w:val="auto"/>
          <w:sz w:val="24"/>
          <w:szCs w:val="24"/>
          <w:highlight w:val="none"/>
        </w:rPr>
        <w:fldChar w:fldCharType="separate"/>
      </w:r>
      <w:r>
        <w:rPr>
          <w:color w:val="auto"/>
          <w:sz w:val="24"/>
          <w:szCs w:val="24"/>
          <w:highlight w:val="none"/>
        </w:rPr>
        <w:t>77</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7D346B89">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_Toc4617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lang w:eastAsia="zh-CN"/>
        </w:rPr>
        <w:t>附</w:t>
      </w:r>
      <w:r>
        <w:rPr>
          <w:rFonts w:hint="default" w:ascii="Times New Roman" w:hAnsi="Times New Roman" w:eastAsia="宋体" w:cs="Times New Roman"/>
          <w:bCs/>
          <w:color w:val="auto"/>
          <w:sz w:val="24"/>
          <w:szCs w:val="24"/>
          <w:highlight w:val="none"/>
        </w:rPr>
        <w:t>图1项目地理位置图</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_Toc4617 \h </w:instrText>
      </w:r>
      <w:r>
        <w:rPr>
          <w:color w:val="auto"/>
          <w:sz w:val="24"/>
          <w:szCs w:val="24"/>
          <w:highlight w:val="none"/>
        </w:rPr>
        <w:fldChar w:fldCharType="separate"/>
      </w:r>
      <w:r>
        <w:rPr>
          <w:color w:val="auto"/>
          <w:sz w:val="24"/>
          <w:szCs w:val="24"/>
          <w:highlight w:val="none"/>
        </w:rPr>
        <w:t>78</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1C16790A">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_Toc24334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rPr>
        <w:t>附图</w:t>
      </w:r>
      <w:r>
        <w:rPr>
          <w:rFonts w:hint="default" w:ascii="Times New Roman" w:hAnsi="Times New Roman" w:eastAsia="宋体" w:cs="Times New Roman"/>
          <w:bCs/>
          <w:color w:val="auto"/>
          <w:sz w:val="24"/>
          <w:szCs w:val="24"/>
          <w:highlight w:val="none"/>
          <w:lang w:val="en-US" w:eastAsia="zh-CN"/>
        </w:rPr>
        <w:t>2</w:t>
      </w:r>
      <w:r>
        <w:rPr>
          <w:rFonts w:hint="default" w:ascii="Times New Roman" w:hAnsi="Times New Roman" w:eastAsia="宋体" w:cs="Times New Roman"/>
          <w:bCs/>
          <w:color w:val="auto"/>
          <w:sz w:val="24"/>
          <w:szCs w:val="24"/>
          <w:highlight w:val="none"/>
        </w:rPr>
        <w:t>本项目周边情况照片</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_Toc24334 \h </w:instrText>
      </w:r>
      <w:r>
        <w:rPr>
          <w:color w:val="auto"/>
          <w:sz w:val="24"/>
          <w:szCs w:val="24"/>
          <w:highlight w:val="none"/>
        </w:rPr>
        <w:fldChar w:fldCharType="separate"/>
      </w:r>
      <w:r>
        <w:rPr>
          <w:color w:val="auto"/>
          <w:sz w:val="24"/>
          <w:szCs w:val="24"/>
          <w:highlight w:val="none"/>
        </w:rPr>
        <w:t>79</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7030AD3F">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_Toc32465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rPr>
        <w:t>附图</w:t>
      </w:r>
      <w:r>
        <w:rPr>
          <w:rFonts w:hint="default" w:ascii="Times New Roman" w:hAnsi="Times New Roman" w:eastAsia="宋体"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rPr>
        <w:t>本项目厂区总平面布置图</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_Toc32465 \h </w:instrText>
      </w:r>
      <w:r>
        <w:rPr>
          <w:color w:val="auto"/>
          <w:sz w:val="24"/>
          <w:szCs w:val="24"/>
          <w:highlight w:val="none"/>
        </w:rPr>
        <w:fldChar w:fldCharType="separate"/>
      </w:r>
      <w:r>
        <w:rPr>
          <w:color w:val="auto"/>
          <w:sz w:val="24"/>
          <w:szCs w:val="24"/>
          <w:highlight w:val="none"/>
        </w:rPr>
        <w:t>80</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41905F2F">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_Toc17279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rPr>
        <w:t>附图</w:t>
      </w:r>
      <w:r>
        <w:rPr>
          <w:rFonts w:hint="default" w:ascii="Times New Roman" w:hAnsi="Times New Roman" w:eastAsia="宋体" w:cs="Times New Roman"/>
          <w:bCs/>
          <w:color w:val="auto"/>
          <w:sz w:val="24"/>
          <w:szCs w:val="24"/>
          <w:highlight w:val="none"/>
          <w:lang w:val="en-US" w:eastAsia="zh-CN"/>
        </w:rPr>
        <w:t>4声环境功能区划</w:t>
      </w:r>
      <w:r>
        <w:rPr>
          <w:rFonts w:hint="default" w:ascii="Times New Roman" w:hAnsi="Times New Roman" w:eastAsia="宋体" w:cs="Times New Roman"/>
          <w:bCs/>
          <w:color w:val="auto"/>
          <w:sz w:val="24"/>
          <w:szCs w:val="24"/>
          <w:highlight w:val="none"/>
        </w:rPr>
        <w:t>图</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_Toc17279 \h </w:instrText>
      </w:r>
      <w:r>
        <w:rPr>
          <w:color w:val="auto"/>
          <w:sz w:val="24"/>
          <w:szCs w:val="24"/>
          <w:highlight w:val="none"/>
        </w:rPr>
        <w:fldChar w:fldCharType="separate"/>
      </w:r>
      <w:r>
        <w:rPr>
          <w:color w:val="auto"/>
          <w:sz w:val="24"/>
          <w:szCs w:val="24"/>
          <w:highlight w:val="none"/>
        </w:rPr>
        <w:t>81</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2E4B8149">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_Toc8260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rPr>
        <w:t>附图</w:t>
      </w:r>
      <w:r>
        <w:rPr>
          <w:rFonts w:hint="eastAsia" w:eastAsia="宋体" w:cs="Times New Roman"/>
          <w:bCs/>
          <w:color w:val="auto"/>
          <w:sz w:val="24"/>
          <w:szCs w:val="24"/>
          <w:highlight w:val="none"/>
          <w:lang w:val="en-US" w:eastAsia="zh-CN"/>
        </w:rPr>
        <w:t>5公示截</w:t>
      </w:r>
      <w:r>
        <w:rPr>
          <w:rFonts w:hint="default" w:ascii="Times New Roman" w:hAnsi="Times New Roman" w:eastAsia="宋体" w:cs="Times New Roman"/>
          <w:bCs/>
          <w:color w:val="auto"/>
          <w:sz w:val="24"/>
          <w:szCs w:val="24"/>
          <w:highlight w:val="none"/>
        </w:rPr>
        <w:t>图</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_Toc8260 \h </w:instrText>
      </w:r>
      <w:r>
        <w:rPr>
          <w:color w:val="auto"/>
          <w:sz w:val="24"/>
          <w:szCs w:val="24"/>
          <w:highlight w:val="none"/>
        </w:rPr>
        <w:fldChar w:fldCharType="separate"/>
      </w:r>
      <w:r>
        <w:rPr>
          <w:color w:val="auto"/>
          <w:sz w:val="24"/>
          <w:szCs w:val="24"/>
          <w:highlight w:val="none"/>
        </w:rPr>
        <w:t>82</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648A3023">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_Toc1401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rPr>
        <w:t>附件1营业执照</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_Toc1401 \h </w:instrText>
      </w:r>
      <w:r>
        <w:rPr>
          <w:color w:val="auto"/>
          <w:sz w:val="24"/>
          <w:szCs w:val="24"/>
          <w:highlight w:val="none"/>
        </w:rPr>
        <w:fldChar w:fldCharType="separate"/>
      </w:r>
      <w:r>
        <w:rPr>
          <w:color w:val="auto"/>
          <w:sz w:val="24"/>
          <w:szCs w:val="24"/>
          <w:highlight w:val="none"/>
        </w:rPr>
        <w:t>83</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78A8719F">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_Toc12156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rPr>
        <w:t>附件</w:t>
      </w:r>
      <w:r>
        <w:rPr>
          <w:rFonts w:hint="eastAsia" w:eastAsia="宋体" w:cs="Times New Roman"/>
          <w:bCs/>
          <w:color w:val="auto"/>
          <w:sz w:val="24"/>
          <w:szCs w:val="24"/>
          <w:highlight w:val="none"/>
          <w:lang w:val="en-US" w:eastAsia="zh-CN"/>
        </w:rPr>
        <w:t>2</w:t>
      </w:r>
      <w:r>
        <w:rPr>
          <w:rFonts w:hint="default" w:ascii="Times New Roman" w:hAnsi="Times New Roman" w:eastAsia="宋体" w:cs="Times New Roman"/>
          <w:bCs/>
          <w:color w:val="auto"/>
          <w:sz w:val="24"/>
          <w:szCs w:val="24"/>
          <w:highlight w:val="none"/>
          <w:lang w:val="en-US" w:eastAsia="zh-CN"/>
        </w:rPr>
        <w:t>引用项目</w:t>
      </w:r>
      <w:r>
        <w:rPr>
          <w:rFonts w:hint="default" w:ascii="Times New Roman" w:hAnsi="Times New Roman" w:eastAsia="宋体" w:cs="Times New Roman"/>
          <w:bCs/>
          <w:color w:val="auto"/>
          <w:sz w:val="24"/>
          <w:szCs w:val="24"/>
          <w:highlight w:val="none"/>
        </w:rPr>
        <w:t>现状监测报告</w:t>
      </w:r>
      <w:bookmarkStart w:id="33" w:name="_GoBack"/>
      <w:bookmarkEnd w:id="33"/>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_Toc12156 \h </w:instrText>
      </w:r>
      <w:r>
        <w:rPr>
          <w:color w:val="auto"/>
          <w:sz w:val="24"/>
          <w:szCs w:val="24"/>
          <w:highlight w:val="none"/>
        </w:rPr>
        <w:fldChar w:fldCharType="separate"/>
      </w:r>
      <w:r>
        <w:rPr>
          <w:color w:val="auto"/>
          <w:sz w:val="24"/>
          <w:szCs w:val="24"/>
          <w:highlight w:val="none"/>
        </w:rPr>
        <w:t>84</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2A971D03">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_Toc2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rPr>
        <w:t>附件</w:t>
      </w:r>
      <w:r>
        <w:rPr>
          <w:rFonts w:hint="eastAsia" w:eastAsia="宋体"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lang w:val="en-US" w:eastAsia="zh-CN"/>
        </w:rPr>
        <w:t>土地证</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 \h </w:instrText>
      </w:r>
      <w:r>
        <w:rPr>
          <w:color w:val="auto"/>
          <w:sz w:val="24"/>
          <w:szCs w:val="24"/>
          <w:highlight w:val="none"/>
        </w:rPr>
        <w:fldChar w:fldCharType="separate"/>
      </w:r>
      <w:r>
        <w:rPr>
          <w:color w:val="auto"/>
          <w:sz w:val="24"/>
          <w:szCs w:val="24"/>
          <w:highlight w:val="none"/>
        </w:rPr>
        <w:t>91</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275CE96B">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_Toc20592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rPr>
        <w:t>附件</w:t>
      </w:r>
      <w:r>
        <w:rPr>
          <w:rFonts w:hint="eastAsia" w:eastAsia="宋体" w:cs="Times New Roman"/>
          <w:bCs/>
          <w:color w:val="auto"/>
          <w:sz w:val="24"/>
          <w:szCs w:val="24"/>
          <w:highlight w:val="none"/>
          <w:lang w:val="en-US" w:eastAsia="zh-CN"/>
        </w:rPr>
        <w:t>4</w:t>
      </w:r>
      <w:r>
        <w:rPr>
          <w:rFonts w:hint="default" w:ascii="Times New Roman" w:hAnsi="Times New Roman" w:eastAsia="宋体" w:cs="Times New Roman"/>
          <w:bCs/>
          <w:color w:val="auto"/>
          <w:sz w:val="24"/>
          <w:szCs w:val="24"/>
          <w:highlight w:val="none"/>
          <w:lang w:val="en-US" w:eastAsia="zh-CN"/>
        </w:rPr>
        <w:t>生物质成分分析报告</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_Toc20592 \h </w:instrText>
      </w:r>
      <w:r>
        <w:rPr>
          <w:color w:val="auto"/>
          <w:sz w:val="24"/>
          <w:szCs w:val="24"/>
          <w:highlight w:val="none"/>
        </w:rPr>
        <w:fldChar w:fldCharType="separate"/>
      </w:r>
      <w:r>
        <w:rPr>
          <w:color w:val="auto"/>
          <w:sz w:val="24"/>
          <w:szCs w:val="24"/>
          <w:highlight w:val="none"/>
        </w:rPr>
        <w:t>92</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229132EF">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_Toc6549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rPr>
        <w:t>附件</w:t>
      </w:r>
      <w:r>
        <w:rPr>
          <w:rFonts w:hint="eastAsia" w:eastAsia="宋体" w:cs="Times New Roman"/>
          <w:bCs/>
          <w:color w:val="auto"/>
          <w:sz w:val="24"/>
          <w:szCs w:val="24"/>
          <w:highlight w:val="none"/>
          <w:lang w:val="en-US" w:eastAsia="zh-CN"/>
        </w:rPr>
        <w:t>5</w:t>
      </w:r>
      <w:r>
        <w:rPr>
          <w:rFonts w:hint="default" w:ascii="Times New Roman" w:hAnsi="Times New Roman" w:eastAsia="宋体" w:cs="Times New Roman"/>
          <w:bCs/>
          <w:color w:val="auto"/>
          <w:sz w:val="24"/>
          <w:szCs w:val="24"/>
          <w:highlight w:val="none"/>
        </w:rPr>
        <w:t>防腐剂成分报告</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_Toc6549 \h </w:instrText>
      </w:r>
      <w:r>
        <w:rPr>
          <w:color w:val="auto"/>
          <w:sz w:val="24"/>
          <w:szCs w:val="24"/>
          <w:highlight w:val="none"/>
        </w:rPr>
        <w:fldChar w:fldCharType="separate"/>
      </w:r>
      <w:r>
        <w:rPr>
          <w:color w:val="auto"/>
          <w:sz w:val="24"/>
          <w:szCs w:val="24"/>
          <w:highlight w:val="none"/>
        </w:rPr>
        <w:t>93</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7E6323FF">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_Toc21058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rPr>
        <w:t>附件</w:t>
      </w:r>
      <w:r>
        <w:rPr>
          <w:rFonts w:hint="eastAsia" w:eastAsia="宋体" w:cs="Times New Roman"/>
          <w:bCs/>
          <w:color w:val="auto"/>
          <w:sz w:val="24"/>
          <w:szCs w:val="24"/>
          <w:highlight w:val="none"/>
          <w:lang w:val="en-US" w:eastAsia="zh-CN"/>
        </w:rPr>
        <w:t>6</w:t>
      </w:r>
      <w:r>
        <w:rPr>
          <w:rFonts w:hint="eastAsia" w:eastAsia="宋体" w:cs="Times New Roman"/>
          <w:bCs/>
          <w:color w:val="auto"/>
          <w:sz w:val="24"/>
          <w:szCs w:val="24"/>
          <w:highlight w:val="none"/>
          <w:lang w:eastAsia="zh-CN"/>
        </w:rPr>
        <w:t>租赁协议</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_Toc21058 \h </w:instrText>
      </w:r>
      <w:r>
        <w:rPr>
          <w:color w:val="auto"/>
          <w:sz w:val="24"/>
          <w:szCs w:val="24"/>
          <w:highlight w:val="none"/>
        </w:rPr>
        <w:fldChar w:fldCharType="separate"/>
      </w:r>
      <w:r>
        <w:rPr>
          <w:color w:val="auto"/>
          <w:sz w:val="24"/>
          <w:szCs w:val="24"/>
          <w:highlight w:val="none"/>
        </w:rPr>
        <w:t>99</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2009E2ED">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_Toc23885 </w:instrText>
      </w:r>
      <w:r>
        <w:rPr>
          <w:rFonts w:hint="default" w:ascii="Times New Roman" w:hAnsi="Times New Roman" w:eastAsia="宋体" w:cs="Times New Roman"/>
          <w:snapToGrid w:val="0"/>
          <w:color w:val="auto"/>
          <w:kern w:val="2"/>
          <w:sz w:val="24"/>
          <w:szCs w:val="24"/>
          <w:highlight w:val="none"/>
        </w:rPr>
        <w:fldChar w:fldCharType="separate"/>
      </w:r>
      <w:r>
        <w:rPr>
          <w:rFonts w:hint="eastAsia" w:ascii="Times New Roman" w:hAnsi="Times New Roman" w:eastAsia="宋体" w:cs="Times New Roman"/>
          <w:bCs/>
          <w:color w:val="auto"/>
          <w:sz w:val="24"/>
          <w:szCs w:val="24"/>
          <w:highlight w:val="none"/>
          <w:lang w:val="en-US" w:eastAsia="zh-CN"/>
        </w:rPr>
        <w:t>附件7园区规划环评批文</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_Toc23885 \h </w:instrText>
      </w:r>
      <w:r>
        <w:rPr>
          <w:color w:val="auto"/>
          <w:sz w:val="24"/>
          <w:szCs w:val="24"/>
          <w:highlight w:val="none"/>
        </w:rPr>
        <w:fldChar w:fldCharType="separate"/>
      </w:r>
      <w:r>
        <w:rPr>
          <w:color w:val="auto"/>
          <w:sz w:val="24"/>
          <w:szCs w:val="24"/>
          <w:highlight w:val="none"/>
        </w:rPr>
        <w:t>100</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3ECC4D68">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_Toc32492 </w:instrText>
      </w:r>
      <w:r>
        <w:rPr>
          <w:rFonts w:hint="default" w:ascii="Times New Roman" w:hAnsi="Times New Roman" w:eastAsia="宋体" w:cs="Times New Roman"/>
          <w:snapToGrid w:val="0"/>
          <w:color w:val="auto"/>
          <w:kern w:val="2"/>
          <w:sz w:val="24"/>
          <w:szCs w:val="24"/>
          <w:highlight w:val="none"/>
        </w:rPr>
        <w:fldChar w:fldCharType="separate"/>
      </w:r>
      <w:r>
        <w:rPr>
          <w:rFonts w:hint="eastAsia" w:ascii="Times New Roman" w:hAnsi="Times New Roman" w:eastAsia="宋体" w:cs="Times New Roman"/>
          <w:bCs/>
          <w:color w:val="auto"/>
          <w:sz w:val="24"/>
          <w:szCs w:val="24"/>
          <w:highlight w:val="none"/>
          <w:lang w:val="en-US" w:eastAsia="zh-CN"/>
        </w:rPr>
        <w:t>附件</w:t>
      </w:r>
      <w:r>
        <w:rPr>
          <w:rFonts w:hint="eastAsia" w:eastAsia="宋体" w:cs="Times New Roman"/>
          <w:bCs/>
          <w:color w:val="auto"/>
          <w:sz w:val="24"/>
          <w:szCs w:val="24"/>
          <w:highlight w:val="none"/>
          <w:lang w:val="en-US" w:eastAsia="zh-CN"/>
        </w:rPr>
        <w:t>8生态环境分区管控报告</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_Toc32492 \h </w:instrText>
      </w:r>
      <w:r>
        <w:rPr>
          <w:color w:val="auto"/>
          <w:sz w:val="24"/>
          <w:szCs w:val="24"/>
          <w:highlight w:val="none"/>
        </w:rPr>
        <w:fldChar w:fldCharType="separate"/>
      </w:r>
      <w:r>
        <w:rPr>
          <w:color w:val="auto"/>
          <w:sz w:val="24"/>
          <w:szCs w:val="24"/>
          <w:highlight w:val="none"/>
        </w:rPr>
        <w:t>106</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7928492C">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sz w:val="24"/>
          <w:szCs w:val="24"/>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_Toc27644 </w:instrText>
      </w:r>
      <w:r>
        <w:rPr>
          <w:rFonts w:hint="default" w:ascii="Times New Roman" w:hAnsi="Times New Roman" w:eastAsia="宋体" w:cs="Times New Roman"/>
          <w:snapToGrid w:val="0"/>
          <w:color w:val="auto"/>
          <w:kern w:val="2"/>
          <w:sz w:val="24"/>
          <w:szCs w:val="24"/>
          <w:highlight w:val="none"/>
        </w:rPr>
        <w:fldChar w:fldCharType="separate"/>
      </w:r>
      <w:r>
        <w:rPr>
          <w:rFonts w:hint="default" w:ascii="Times New Roman" w:hAnsi="Times New Roman" w:eastAsia="宋体" w:cs="Times New Roman"/>
          <w:bCs/>
          <w:color w:val="auto"/>
          <w:sz w:val="24"/>
          <w:szCs w:val="24"/>
          <w:highlight w:val="none"/>
        </w:rPr>
        <w:t>附件</w:t>
      </w:r>
      <w:r>
        <w:rPr>
          <w:rFonts w:hint="eastAsia" w:eastAsia="宋体" w:cs="Times New Roman"/>
          <w:bCs/>
          <w:color w:val="auto"/>
          <w:sz w:val="24"/>
          <w:szCs w:val="24"/>
          <w:highlight w:val="none"/>
          <w:lang w:val="en-US" w:eastAsia="zh-CN"/>
        </w:rPr>
        <w:t>9</w:t>
      </w:r>
      <w:r>
        <w:rPr>
          <w:rFonts w:hint="default" w:ascii="Times New Roman" w:hAnsi="Times New Roman" w:eastAsia="宋体" w:cs="Times New Roman"/>
          <w:bCs/>
          <w:color w:val="auto"/>
          <w:sz w:val="24"/>
          <w:szCs w:val="24"/>
          <w:highlight w:val="none"/>
        </w:rPr>
        <w:t>总量计算文件</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_Toc27644 \h </w:instrText>
      </w:r>
      <w:r>
        <w:rPr>
          <w:color w:val="auto"/>
          <w:sz w:val="24"/>
          <w:szCs w:val="24"/>
          <w:highlight w:val="none"/>
        </w:rPr>
        <w:fldChar w:fldCharType="separate"/>
      </w:r>
      <w:r>
        <w:rPr>
          <w:color w:val="auto"/>
          <w:sz w:val="24"/>
          <w:szCs w:val="24"/>
          <w:highlight w:val="none"/>
        </w:rPr>
        <w:t>112</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1848F61E">
      <w:pPr>
        <w:pStyle w:val="22"/>
        <w:keepNext w:val="0"/>
        <w:keepLines w:val="0"/>
        <w:pageBreakBefore w:val="0"/>
        <w:widowControl w:val="0"/>
        <w:tabs>
          <w:tab w:val="right" w:leader="dot" w:pos="8844"/>
        </w:tabs>
        <w:kinsoku/>
        <w:wordWrap/>
        <w:overflowPunct/>
        <w:topLinePunct w:val="0"/>
        <w:autoSpaceDE/>
        <w:autoSpaceDN/>
        <w:bidi w:val="0"/>
        <w:adjustRightInd/>
        <w:snapToGrid/>
        <w:spacing w:line="360" w:lineRule="auto"/>
        <w:textAlignment w:val="auto"/>
        <w:rPr>
          <w:color w:val="auto"/>
          <w:highlight w:val="none"/>
        </w:rPr>
      </w:pPr>
      <w:r>
        <w:rPr>
          <w:rFonts w:hint="default" w:ascii="Times New Roman" w:hAnsi="Times New Roman" w:eastAsia="宋体" w:cs="Times New Roman"/>
          <w:snapToGrid w:val="0"/>
          <w:color w:val="auto"/>
          <w:kern w:val="2"/>
          <w:sz w:val="24"/>
          <w:szCs w:val="24"/>
          <w:highlight w:val="none"/>
        </w:rPr>
        <w:fldChar w:fldCharType="begin"/>
      </w:r>
      <w:r>
        <w:rPr>
          <w:rFonts w:hint="default" w:ascii="Times New Roman" w:hAnsi="Times New Roman" w:eastAsia="宋体" w:cs="Times New Roman"/>
          <w:snapToGrid w:val="0"/>
          <w:color w:val="auto"/>
          <w:kern w:val="2"/>
          <w:sz w:val="24"/>
          <w:szCs w:val="24"/>
          <w:highlight w:val="none"/>
        </w:rPr>
        <w:instrText xml:space="preserve"> HYPERLINK \l _Toc8306 </w:instrText>
      </w:r>
      <w:r>
        <w:rPr>
          <w:rFonts w:hint="default" w:ascii="Times New Roman" w:hAnsi="Times New Roman" w:eastAsia="宋体" w:cs="Times New Roman"/>
          <w:snapToGrid w:val="0"/>
          <w:color w:val="auto"/>
          <w:kern w:val="2"/>
          <w:sz w:val="24"/>
          <w:szCs w:val="24"/>
          <w:highlight w:val="none"/>
        </w:rPr>
        <w:fldChar w:fldCharType="separate"/>
      </w:r>
      <w:r>
        <w:rPr>
          <w:rFonts w:hint="eastAsia" w:ascii="Times New Roman" w:hAnsi="Times New Roman" w:eastAsia="宋体" w:cs="Times New Roman"/>
          <w:bCs/>
          <w:color w:val="auto"/>
          <w:kern w:val="44"/>
          <w:sz w:val="24"/>
          <w:szCs w:val="24"/>
          <w:highlight w:val="none"/>
          <w:lang w:val="en-US" w:eastAsia="zh-CN" w:bidi="ar-SA"/>
        </w:rPr>
        <w:t>附件10</w:t>
      </w:r>
      <w:r>
        <w:rPr>
          <w:rFonts w:hint="default" w:ascii="Times New Roman" w:hAnsi="Times New Roman" w:eastAsia="宋体" w:cs="Times New Roman"/>
          <w:bCs/>
          <w:color w:val="auto"/>
          <w:kern w:val="44"/>
          <w:sz w:val="24"/>
          <w:szCs w:val="24"/>
          <w:highlight w:val="none"/>
          <w:lang w:val="en-US" w:eastAsia="zh-CN" w:bidi="ar-SA"/>
        </w:rPr>
        <w:t>关于《黑龙江省伊春市城乡固体废物分类治理专项规划（2019—2035年）(2024年修订版）环境影响报告书》审查意见的函</w:t>
      </w:r>
      <w:r>
        <w:rPr>
          <w:color w:val="auto"/>
          <w:sz w:val="24"/>
          <w:szCs w:val="24"/>
          <w:highlight w:val="none"/>
        </w:rPr>
        <w:tab/>
      </w:r>
      <w:r>
        <w:rPr>
          <w:color w:val="auto"/>
          <w:sz w:val="24"/>
          <w:szCs w:val="24"/>
          <w:highlight w:val="none"/>
        </w:rPr>
        <w:fldChar w:fldCharType="begin"/>
      </w:r>
      <w:r>
        <w:rPr>
          <w:color w:val="auto"/>
          <w:sz w:val="24"/>
          <w:szCs w:val="24"/>
          <w:highlight w:val="none"/>
        </w:rPr>
        <w:instrText xml:space="preserve"> PAGEREF _Toc8306 \h </w:instrText>
      </w:r>
      <w:r>
        <w:rPr>
          <w:color w:val="auto"/>
          <w:sz w:val="24"/>
          <w:szCs w:val="24"/>
          <w:highlight w:val="none"/>
        </w:rPr>
        <w:fldChar w:fldCharType="separate"/>
      </w:r>
      <w:r>
        <w:rPr>
          <w:color w:val="auto"/>
          <w:sz w:val="24"/>
          <w:szCs w:val="24"/>
          <w:highlight w:val="none"/>
        </w:rPr>
        <w:t>114</w:t>
      </w:r>
      <w:r>
        <w:rPr>
          <w:color w:val="auto"/>
          <w:sz w:val="24"/>
          <w:szCs w:val="24"/>
          <w:highlight w:val="none"/>
        </w:rPr>
        <w:fldChar w:fldCharType="end"/>
      </w:r>
      <w:r>
        <w:rPr>
          <w:rFonts w:hint="default" w:ascii="Times New Roman" w:hAnsi="Times New Roman" w:eastAsia="宋体" w:cs="Times New Roman"/>
          <w:snapToGrid w:val="0"/>
          <w:color w:val="auto"/>
          <w:kern w:val="2"/>
          <w:sz w:val="24"/>
          <w:szCs w:val="24"/>
          <w:highlight w:val="none"/>
        </w:rPr>
        <w:fldChar w:fldCharType="end"/>
      </w:r>
    </w:p>
    <w:p w14:paraId="3920EB95">
      <w:pPr>
        <w:pStyle w:val="87"/>
        <w:keepNext w:val="0"/>
        <w:keepLines w:val="0"/>
        <w:pageBreakBefore w:val="0"/>
        <w:kinsoku/>
        <w:wordWrap/>
        <w:overflowPunct/>
        <w:topLinePunct w:val="0"/>
        <w:autoSpaceDE/>
        <w:autoSpaceDN/>
        <w:bidi w:val="0"/>
        <w:spacing w:line="360" w:lineRule="auto"/>
        <w:textAlignment w:val="auto"/>
        <w:rPr>
          <w:rFonts w:hint="default" w:ascii="Times New Roman" w:hAnsi="Times New Roman" w:eastAsia="宋体" w:cs="Times New Roman"/>
          <w:snapToGrid w:val="0"/>
          <w:color w:val="auto"/>
          <w:kern w:val="2"/>
          <w:szCs w:val="21"/>
          <w:highlight w:val="none"/>
        </w:rPr>
      </w:pPr>
      <w:r>
        <w:rPr>
          <w:rFonts w:hint="default" w:ascii="Times New Roman" w:hAnsi="Times New Roman" w:eastAsia="宋体" w:cs="Times New Roman"/>
          <w:snapToGrid w:val="0"/>
          <w:color w:val="auto"/>
          <w:kern w:val="2"/>
          <w:szCs w:val="24"/>
          <w:highlight w:val="none"/>
        </w:rPr>
        <w:fldChar w:fldCharType="end"/>
      </w:r>
    </w:p>
    <w:p w14:paraId="35C12B4D">
      <w:pPr>
        <w:rPr>
          <w:rFonts w:hint="default" w:ascii="Times New Roman" w:hAnsi="Times New Roman" w:cs="Times New Roman"/>
          <w:color w:val="auto"/>
          <w:highlight w:val="none"/>
        </w:rPr>
      </w:pPr>
    </w:p>
    <w:p w14:paraId="362368D2">
      <w:pPr>
        <w:adjustRightInd w:val="0"/>
        <w:snapToGrid w:val="0"/>
        <w:spacing w:line="288" w:lineRule="auto"/>
        <w:ind w:firstLine="1040"/>
        <w:rPr>
          <w:rFonts w:hint="default" w:ascii="Times New Roman" w:hAnsi="Times New Roman" w:eastAsia="仿宋_GB2312" w:cs="Times New Roman"/>
          <w:color w:val="auto"/>
          <w:sz w:val="36"/>
          <w:szCs w:val="36"/>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23226910">
      <w:pPr>
        <w:pStyle w:val="3"/>
        <w:bidi w:val="0"/>
        <w:ind w:left="0" w:leftChars="0" w:right="0" w:rightChars="0" w:firstLine="0" w:firstLineChars="0"/>
        <w:jc w:val="center"/>
        <w:rPr>
          <w:rFonts w:hint="default" w:ascii="Times New Roman" w:hAnsi="Times New Roman" w:cs="Times New Roman"/>
          <w:color w:val="auto"/>
          <w:highlight w:val="none"/>
        </w:rPr>
      </w:pPr>
      <w:bookmarkStart w:id="1" w:name="_Toc30439"/>
      <w:r>
        <w:rPr>
          <w:rFonts w:hint="default" w:ascii="Times New Roman" w:hAnsi="Times New Roman" w:cs="Times New Roman"/>
          <w:color w:val="auto"/>
          <w:highlight w:val="none"/>
        </w:rPr>
        <w:t>一、建设项目基本情况</w:t>
      </w:r>
      <w:bookmarkEnd w:id="1"/>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900"/>
        <w:gridCol w:w="1482"/>
        <w:gridCol w:w="1637"/>
        <w:gridCol w:w="1798"/>
        <w:gridCol w:w="3053"/>
      </w:tblGrid>
      <w:tr w14:paraId="30EC32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2382" w:type="dxa"/>
            <w:gridSpan w:val="2"/>
            <w:tcMar>
              <w:top w:w="16" w:type="dxa"/>
              <w:left w:w="16" w:type="dxa"/>
              <w:right w:w="16" w:type="dxa"/>
            </w:tcMar>
            <w:vAlign w:val="center"/>
          </w:tcPr>
          <w:p w14:paraId="2C0936C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建设项目名称</w:t>
            </w:r>
          </w:p>
        </w:tc>
        <w:tc>
          <w:tcPr>
            <w:tcW w:w="6488" w:type="dxa"/>
            <w:gridSpan w:val="3"/>
            <w:vAlign w:val="center"/>
          </w:tcPr>
          <w:p w14:paraId="560A88AE">
            <w:pPr>
              <w:widowControl/>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30万吨粉煤灰综合利用年产60万立方米蒸压加气混凝土砌块与蒸压加气混凝土板材（ALC板）建设项目</w:t>
            </w:r>
          </w:p>
        </w:tc>
      </w:tr>
      <w:tr w14:paraId="012CCA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4" w:hRule="atLeast"/>
          <w:jc w:val="center"/>
        </w:trPr>
        <w:tc>
          <w:tcPr>
            <w:tcW w:w="2382" w:type="dxa"/>
            <w:gridSpan w:val="2"/>
            <w:tcMar>
              <w:top w:w="16" w:type="dxa"/>
              <w:left w:w="16" w:type="dxa"/>
              <w:right w:w="16" w:type="dxa"/>
            </w:tcMar>
            <w:vAlign w:val="center"/>
          </w:tcPr>
          <w:p w14:paraId="6426CAD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项目代码</w:t>
            </w:r>
          </w:p>
        </w:tc>
        <w:tc>
          <w:tcPr>
            <w:tcW w:w="6488" w:type="dxa"/>
            <w:gridSpan w:val="3"/>
            <w:vAlign w:val="center"/>
          </w:tcPr>
          <w:p w14:paraId="094661F3">
            <w:pPr>
              <w:adjustRightInd w:val="0"/>
              <w:snapToGrid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r>
      <w:tr w14:paraId="50E980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gridSpan w:val="2"/>
            <w:tcMar>
              <w:top w:w="16" w:type="dxa"/>
              <w:left w:w="16" w:type="dxa"/>
              <w:right w:w="16" w:type="dxa"/>
            </w:tcMar>
            <w:vAlign w:val="center"/>
          </w:tcPr>
          <w:p w14:paraId="69D6B7CF">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建设单位联系人</w:t>
            </w:r>
          </w:p>
        </w:tc>
        <w:tc>
          <w:tcPr>
            <w:tcW w:w="1637" w:type="dxa"/>
            <w:vAlign w:val="center"/>
          </w:tcPr>
          <w:p w14:paraId="645396F3">
            <w:pPr>
              <w:widowControl/>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邸金良</w:t>
            </w:r>
          </w:p>
        </w:tc>
        <w:tc>
          <w:tcPr>
            <w:tcW w:w="1798" w:type="dxa"/>
            <w:vAlign w:val="center"/>
          </w:tcPr>
          <w:p w14:paraId="58751A03">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联系方式</w:t>
            </w:r>
          </w:p>
        </w:tc>
        <w:tc>
          <w:tcPr>
            <w:tcW w:w="3053" w:type="dxa"/>
            <w:vAlign w:val="center"/>
          </w:tcPr>
          <w:p w14:paraId="64177C25">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18545481533</w:t>
            </w:r>
          </w:p>
        </w:tc>
      </w:tr>
      <w:tr w14:paraId="5D9BD7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gridSpan w:val="2"/>
            <w:tcMar>
              <w:top w:w="16" w:type="dxa"/>
              <w:left w:w="16" w:type="dxa"/>
              <w:right w:w="16" w:type="dxa"/>
            </w:tcMar>
            <w:vAlign w:val="center"/>
          </w:tcPr>
          <w:p w14:paraId="5A5FD6BA">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建设地点</w:t>
            </w:r>
          </w:p>
        </w:tc>
        <w:tc>
          <w:tcPr>
            <w:tcW w:w="6488" w:type="dxa"/>
            <w:gridSpan w:val="3"/>
            <w:vAlign w:val="center"/>
          </w:tcPr>
          <w:p w14:paraId="0195BE6E">
            <w:pPr>
              <w:widowControl/>
              <w:jc w:val="center"/>
              <w:rPr>
                <w:rFonts w:hint="default" w:ascii="Times New Roman" w:hAnsi="Times New Roman" w:cs="Times New Roman"/>
                <w:color w:val="auto"/>
                <w:kern w:val="0"/>
                <w:sz w:val="20"/>
                <w:szCs w:val="20"/>
                <w:highlight w:val="none"/>
                <w:lang w:val="en-US" w:eastAsia="zh-CN" w:bidi="ar"/>
              </w:rPr>
            </w:pPr>
            <w:r>
              <w:rPr>
                <w:rFonts w:hint="default" w:ascii="Times New Roman" w:hAnsi="Times New Roman" w:cs="Times New Roman"/>
                <w:color w:val="auto"/>
                <w:szCs w:val="28"/>
                <w:highlight w:val="none"/>
                <w:lang w:bidi="ar"/>
              </w:rPr>
              <w:t>黑龙江省伊春市铁力市工业园区内</w:t>
            </w:r>
          </w:p>
        </w:tc>
      </w:tr>
      <w:tr w14:paraId="613EF3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3" w:hRule="atLeast"/>
          <w:jc w:val="center"/>
        </w:trPr>
        <w:tc>
          <w:tcPr>
            <w:tcW w:w="2382" w:type="dxa"/>
            <w:gridSpan w:val="2"/>
            <w:tcMar>
              <w:top w:w="16" w:type="dxa"/>
              <w:left w:w="16" w:type="dxa"/>
              <w:right w:w="16" w:type="dxa"/>
            </w:tcMar>
            <w:vAlign w:val="center"/>
          </w:tcPr>
          <w:p w14:paraId="455F4D56">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地理坐标</w:t>
            </w:r>
          </w:p>
        </w:tc>
        <w:tc>
          <w:tcPr>
            <w:tcW w:w="6488" w:type="dxa"/>
            <w:gridSpan w:val="3"/>
            <w:vAlign w:val="center"/>
          </w:tcPr>
          <w:p w14:paraId="1FC9F448">
            <w:pPr>
              <w:widowControl/>
              <w:jc w:val="center"/>
              <w:rPr>
                <w:rFonts w:hint="default" w:ascii="Times New Roman" w:hAnsi="Times New Roman" w:cs="Times New Roman"/>
                <w:color w:val="auto"/>
                <w:kern w:val="0"/>
                <w:sz w:val="20"/>
                <w:szCs w:val="20"/>
                <w:highlight w:val="none"/>
                <w:lang w:eastAsia="zh-CN" w:bidi="ar"/>
              </w:rPr>
            </w:pPr>
            <w:r>
              <w:rPr>
                <w:rFonts w:hint="default" w:ascii="Times New Roman" w:hAnsi="Times New Roman" w:cs="Times New Roman"/>
                <w:color w:val="auto"/>
                <w:kern w:val="0"/>
                <w:sz w:val="20"/>
                <w:szCs w:val="20"/>
                <w:highlight w:val="none"/>
                <w:lang w:eastAsia="zh-CN" w:bidi="ar"/>
              </w:rPr>
              <w:t>（12</w:t>
            </w:r>
            <w:r>
              <w:rPr>
                <w:rFonts w:hint="default" w:ascii="Times New Roman" w:hAnsi="Times New Roman" w:cs="Times New Roman"/>
                <w:color w:val="auto"/>
                <w:kern w:val="0"/>
                <w:sz w:val="20"/>
                <w:szCs w:val="20"/>
                <w:highlight w:val="none"/>
                <w:lang w:val="en-US" w:eastAsia="zh-CN" w:bidi="ar"/>
              </w:rPr>
              <w:t>8</w:t>
            </w:r>
            <w:r>
              <w:rPr>
                <w:rFonts w:hint="default" w:ascii="Times New Roman" w:hAnsi="Times New Roman" w:cs="Times New Roman"/>
                <w:color w:val="auto"/>
                <w:kern w:val="0"/>
                <w:sz w:val="20"/>
                <w:szCs w:val="20"/>
                <w:highlight w:val="none"/>
                <w:lang w:eastAsia="zh-CN" w:bidi="ar"/>
              </w:rPr>
              <w:t>度</w:t>
            </w:r>
            <w:r>
              <w:rPr>
                <w:rFonts w:hint="default" w:ascii="Times New Roman" w:hAnsi="Times New Roman" w:cs="Times New Roman"/>
                <w:color w:val="auto"/>
                <w:kern w:val="0"/>
                <w:sz w:val="20"/>
                <w:szCs w:val="20"/>
                <w:highlight w:val="none"/>
                <w:lang w:val="en-US" w:eastAsia="zh-CN" w:bidi="ar"/>
              </w:rPr>
              <w:t>06</w:t>
            </w:r>
            <w:r>
              <w:rPr>
                <w:rFonts w:hint="default" w:ascii="Times New Roman" w:hAnsi="Times New Roman" w:cs="Times New Roman"/>
                <w:color w:val="auto"/>
                <w:kern w:val="0"/>
                <w:sz w:val="20"/>
                <w:szCs w:val="20"/>
                <w:highlight w:val="none"/>
                <w:lang w:eastAsia="zh-CN" w:bidi="ar"/>
              </w:rPr>
              <w:t>分</w:t>
            </w:r>
            <w:r>
              <w:rPr>
                <w:rFonts w:hint="default" w:ascii="Times New Roman" w:hAnsi="Times New Roman" w:cs="Times New Roman"/>
                <w:color w:val="auto"/>
                <w:kern w:val="0"/>
                <w:sz w:val="20"/>
                <w:szCs w:val="20"/>
                <w:highlight w:val="none"/>
                <w:lang w:val="en-US" w:eastAsia="zh-CN" w:bidi="ar"/>
              </w:rPr>
              <w:t>44.318</w:t>
            </w:r>
            <w:r>
              <w:rPr>
                <w:rFonts w:hint="default" w:ascii="Times New Roman" w:hAnsi="Times New Roman" w:cs="Times New Roman"/>
                <w:color w:val="auto"/>
                <w:kern w:val="0"/>
                <w:sz w:val="20"/>
                <w:szCs w:val="20"/>
                <w:highlight w:val="none"/>
                <w:lang w:eastAsia="zh-CN" w:bidi="ar"/>
              </w:rPr>
              <w:t>秒，4</w:t>
            </w:r>
            <w:r>
              <w:rPr>
                <w:rFonts w:hint="default" w:ascii="Times New Roman" w:hAnsi="Times New Roman" w:cs="Times New Roman"/>
                <w:color w:val="auto"/>
                <w:kern w:val="0"/>
                <w:sz w:val="20"/>
                <w:szCs w:val="20"/>
                <w:highlight w:val="none"/>
                <w:lang w:val="en-US" w:eastAsia="zh-CN" w:bidi="ar"/>
              </w:rPr>
              <w:t>6</w:t>
            </w:r>
            <w:r>
              <w:rPr>
                <w:rFonts w:hint="default" w:ascii="Times New Roman" w:hAnsi="Times New Roman" w:cs="Times New Roman"/>
                <w:color w:val="auto"/>
                <w:kern w:val="0"/>
                <w:sz w:val="20"/>
                <w:szCs w:val="20"/>
                <w:highlight w:val="none"/>
                <w:lang w:eastAsia="zh-CN" w:bidi="ar"/>
              </w:rPr>
              <w:t>度</w:t>
            </w:r>
            <w:r>
              <w:rPr>
                <w:rFonts w:hint="default" w:ascii="Times New Roman" w:hAnsi="Times New Roman" w:cs="Times New Roman"/>
                <w:color w:val="auto"/>
                <w:kern w:val="0"/>
                <w:sz w:val="20"/>
                <w:szCs w:val="20"/>
                <w:highlight w:val="none"/>
                <w:lang w:val="en-US" w:eastAsia="zh-CN" w:bidi="ar"/>
              </w:rPr>
              <w:t>58</w:t>
            </w:r>
            <w:r>
              <w:rPr>
                <w:rFonts w:hint="default" w:ascii="Times New Roman" w:hAnsi="Times New Roman" w:cs="Times New Roman"/>
                <w:color w:val="auto"/>
                <w:kern w:val="0"/>
                <w:sz w:val="20"/>
                <w:szCs w:val="20"/>
                <w:highlight w:val="none"/>
                <w:lang w:eastAsia="zh-CN" w:bidi="ar"/>
              </w:rPr>
              <w:t>分</w:t>
            </w:r>
            <w:r>
              <w:rPr>
                <w:rFonts w:hint="default" w:ascii="Times New Roman" w:hAnsi="Times New Roman" w:cs="Times New Roman"/>
                <w:color w:val="auto"/>
                <w:kern w:val="0"/>
                <w:sz w:val="20"/>
                <w:szCs w:val="20"/>
                <w:highlight w:val="none"/>
                <w:lang w:val="en-US" w:eastAsia="zh-CN" w:bidi="ar"/>
              </w:rPr>
              <w:t>40.723</w:t>
            </w:r>
            <w:r>
              <w:rPr>
                <w:rFonts w:hint="default" w:ascii="Times New Roman" w:hAnsi="Times New Roman" w:cs="Times New Roman"/>
                <w:color w:val="auto"/>
                <w:kern w:val="0"/>
                <w:sz w:val="20"/>
                <w:szCs w:val="20"/>
                <w:highlight w:val="none"/>
                <w:lang w:eastAsia="zh-CN" w:bidi="ar"/>
              </w:rPr>
              <w:t>秒）</w:t>
            </w:r>
          </w:p>
        </w:tc>
      </w:tr>
      <w:tr w14:paraId="4ACBFC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382" w:type="dxa"/>
            <w:gridSpan w:val="2"/>
            <w:tcMar>
              <w:top w:w="16" w:type="dxa"/>
              <w:left w:w="16" w:type="dxa"/>
              <w:right w:w="16" w:type="dxa"/>
            </w:tcMar>
            <w:vAlign w:val="center"/>
          </w:tcPr>
          <w:p w14:paraId="5A5AB593">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国民经济</w:t>
            </w:r>
          </w:p>
          <w:p w14:paraId="1790A5E8">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行业类别</w:t>
            </w:r>
          </w:p>
        </w:tc>
        <w:tc>
          <w:tcPr>
            <w:tcW w:w="1637" w:type="dxa"/>
            <w:vAlign w:val="center"/>
          </w:tcPr>
          <w:p w14:paraId="1CF1B76E">
            <w:pPr>
              <w:widowControl/>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C3031粘土砖瓦及建筑砌块制造</w:t>
            </w:r>
            <w:r>
              <w:rPr>
                <w:rFonts w:hint="eastAsia" w:cs="Times New Roman"/>
                <w:color w:val="auto"/>
                <w:kern w:val="0"/>
                <w:sz w:val="21"/>
                <w:szCs w:val="21"/>
                <w:highlight w:val="none"/>
                <w:lang w:val="en-US" w:eastAsia="zh-CN" w:bidi="ar"/>
              </w:rPr>
              <w:t>；</w:t>
            </w:r>
            <w:r>
              <w:rPr>
                <w:rFonts w:hint="default" w:ascii="Times New Roman" w:hAnsi="Times New Roman" w:cs="Times New Roman"/>
                <w:color w:val="auto"/>
                <w:kern w:val="0"/>
                <w:sz w:val="21"/>
                <w:szCs w:val="21"/>
                <w:highlight w:val="none"/>
                <w:lang w:val="en-US" w:eastAsia="zh-CN" w:bidi="ar"/>
              </w:rPr>
              <w:t>C3024轻质建筑材料制造</w:t>
            </w:r>
          </w:p>
        </w:tc>
        <w:tc>
          <w:tcPr>
            <w:tcW w:w="1798" w:type="dxa"/>
            <w:vAlign w:val="center"/>
          </w:tcPr>
          <w:p w14:paraId="2D4A0EA7">
            <w:pPr>
              <w:adjustRightInd w:val="0"/>
              <w:snapToGrid w:val="0"/>
              <w:jc w:val="center"/>
              <w:rPr>
                <w:rFonts w:hint="default" w:ascii="Times New Roman" w:hAnsi="Times New Roman" w:cs="Times New Roman"/>
                <w:color w:val="auto"/>
                <w:sz w:val="21"/>
                <w:szCs w:val="21"/>
                <w:highlight w:val="none"/>
              </w:rPr>
            </w:pPr>
            <w:bookmarkStart w:id="2" w:name="_Hlk49843745"/>
            <w:r>
              <w:rPr>
                <w:rFonts w:hint="default" w:ascii="Times New Roman" w:hAnsi="Times New Roman" w:cs="Times New Roman"/>
                <w:color w:val="auto"/>
                <w:sz w:val="21"/>
                <w:szCs w:val="21"/>
                <w:highlight w:val="none"/>
              </w:rPr>
              <w:t>建设项目</w:t>
            </w:r>
          </w:p>
          <w:p w14:paraId="27B93043">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行业类别</w:t>
            </w:r>
            <w:bookmarkEnd w:id="2"/>
          </w:p>
        </w:tc>
        <w:tc>
          <w:tcPr>
            <w:tcW w:w="3053" w:type="dxa"/>
            <w:vAlign w:val="center"/>
          </w:tcPr>
          <w:p w14:paraId="258A58BC">
            <w:pPr>
              <w:widowControl/>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二十七、非金属矿物制品：</w:t>
            </w:r>
          </w:p>
          <w:p w14:paraId="59CB1897">
            <w:pPr>
              <w:widowControl/>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bidi="ar"/>
              </w:rPr>
              <w:t>56.砖瓦、石材等建筑材料制造</w:t>
            </w:r>
            <w:r>
              <w:rPr>
                <w:rFonts w:hint="default" w:ascii="Times New Roman" w:hAnsi="Times New Roman" w:cs="Times New Roman"/>
                <w:color w:val="auto"/>
                <w:kern w:val="0"/>
                <w:sz w:val="21"/>
                <w:szCs w:val="21"/>
                <w:highlight w:val="none"/>
                <w:lang w:bidi="ar"/>
              </w:rPr>
              <w:t>30</w:t>
            </w:r>
            <w:r>
              <w:rPr>
                <w:rFonts w:hint="default" w:ascii="Times New Roman" w:hAnsi="Times New Roman" w:cs="Times New Roman"/>
                <w:color w:val="auto"/>
                <w:kern w:val="0"/>
                <w:sz w:val="21"/>
                <w:szCs w:val="21"/>
                <w:highlight w:val="none"/>
                <w:lang w:val="en-US" w:eastAsia="zh-CN" w:bidi="ar"/>
              </w:rPr>
              <w:t>3</w:t>
            </w:r>
            <w:r>
              <w:rPr>
                <w:rFonts w:hint="default" w:ascii="Times New Roman" w:hAnsi="Times New Roman" w:cs="Times New Roman"/>
                <w:color w:val="auto"/>
                <w:kern w:val="0"/>
                <w:sz w:val="21"/>
                <w:szCs w:val="21"/>
                <w:highlight w:val="none"/>
                <w:lang w:eastAsia="zh-CN" w:bidi="ar"/>
              </w:rPr>
              <w:t>：</w:t>
            </w:r>
            <w:r>
              <w:rPr>
                <w:rFonts w:hint="default" w:ascii="Times New Roman" w:hAnsi="Times New Roman" w:cs="Times New Roman"/>
                <w:color w:val="auto"/>
                <w:kern w:val="0"/>
                <w:sz w:val="21"/>
                <w:szCs w:val="21"/>
                <w:highlight w:val="none"/>
                <w:lang w:val="en-US" w:eastAsia="zh-CN" w:bidi="ar"/>
              </w:rPr>
              <w:t>粘土砖瓦及建筑砌块</w:t>
            </w:r>
            <w:r>
              <w:rPr>
                <w:rFonts w:hint="default" w:ascii="Times New Roman" w:hAnsi="Times New Roman" w:cs="Times New Roman"/>
                <w:color w:val="auto"/>
                <w:kern w:val="0"/>
                <w:sz w:val="21"/>
                <w:szCs w:val="21"/>
                <w:highlight w:val="none"/>
                <w:lang w:eastAsia="zh-CN" w:bidi="ar"/>
              </w:rPr>
              <w:t>制造</w:t>
            </w:r>
            <w:r>
              <w:rPr>
                <w:rFonts w:hint="eastAsia" w:cs="Times New Roman"/>
                <w:color w:val="auto"/>
                <w:kern w:val="0"/>
                <w:sz w:val="21"/>
                <w:szCs w:val="21"/>
                <w:highlight w:val="none"/>
                <w:lang w:eastAsia="zh-CN" w:bidi="ar"/>
              </w:rPr>
              <w:t>；</w:t>
            </w:r>
            <w:r>
              <w:rPr>
                <w:rFonts w:hint="eastAsia" w:cs="Times New Roman"/>
                <w:color w:val="auto"/>
                <w:kern w:val="0"/>
                <w:sz w:val="21"/>
                <w:szCs w:val="21"/>
                <w:highlight w:val="none"/>
                <w:lang w:val="en-US" w:eastAsia="zh-CN" w:bidi="ar"/>
              </w:rPr>
              <w:t>55.石膏、水泥制品及类似制品制造302</w:t>
            </w:r>
          </w:p>
        </w:tc>
      </w:tr>
      <w:tr w14:paraId="65FF1B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gridSpan w:val="2"/>
            <w:tcMar>
              <w:top w:w="16" w:type="dxa"/>
              <w:left w:w="16" w:type="dxa"/>
              <w:right w:w="16" w:type="dxa"/>
            </w:tcMar>
            <w:vAlign w:val="center"/>
          </w:tcPr>
          <w:p w14:paraId="7A1F33F9">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建设性质</w:t>
            </w:r>
          </w:p>
        </w:tc>
        <w:tc>
          <w:tcPr>
            <w:tcW w:w="1637" w:type="dxa"/>
            <w:vAlign w:val="center"/>
          </w:tcPr>
          <w:p w14:paraId="2EDE5771">
            <w:pPr>
              <w:widowControl/>
              <w:jc w:val="left"/>
              <w:rPr>
                <w:rFonts w:hint="default" w:ascii="Times New Roman" w:hAnsi="Times New Roman"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eastAsia="zh-CN" w:bidi="ar"/>
              </w:rPr>
              <w:sym w:font="Wingdings" w:char="00FE"/>
            </w:r>
            <w:r>
              <w:rPr>
                <w:rFonts w:hint="default" w:ascii="Times New Roman" w:hAnsi="Times New Roman" w:cs="Times New Roman"/>
                <w:color w:val="auto"/>
                <w:kern w:val="0"/>
                <w:sz w:val="21"/>
                <w:szCs w:val="21"/>
                <w:highlight w:val="none"/>
                <w:lang w:eastAsia="zh-CN" w:bidi="ar"/>
              </w:rPr>
              <w:t>新建（迁建）</w:t>
            </w:r>
          </w:p>
          <w:p w14:paraId="164E9FDA">
            <w:pPr>
              <w:widowControl/>
              <w:jc w:val="left"/>
              <w:rPr>
                <w:rFonts w:hint="default" w:ascii="Times New Roman" w:hAnsi="Times New Roman"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eastAsia="zh-CN" w:bidi="ar"/>
              </w:rPr>
              <w:sym w:font="Wingdings" w:char="00A8"/>
            </w:r>
            <w:r>
              <w:rPr>
                <w:rFonts w:hint="default" w:ascii="Times New Roman" w:hAnsi="Times New Roman" w:cs="Times New Roman"/>
                <w:color w:val="auto"/>
                <w:kern w:val="0"/>
                <w:sz w:val="21"/>
                <w:szCs w:val="21"/>
                <w:highlight w:val="none"/>
                <w:lang w:eastAsia="zh-CN" w:bidi="ar"/>
              </w:rPr>
              <w:t>改建</w:t>
            </w:r>
          </w:p>
          <w:p w14:paraId="009354F0">
            <w:pPr>
              <w:widowControl/>
              <w:jc w:val="left"/>
              <w:rPr>
                <w:rFonts w:hint="default" w:ascii="Times New Roman" w:hAnsi="Times New Roman"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eastAsia="zh-CN" w:bidi="ar"/>
              </w:rPr>
              <w:sym w:font="Wingdings" w:char="00A8"/>
            </w:r>
            <w:r>
              <w:rPr>
                <w:rFonts w:hint="default" w:ascii="Times New Roman" w:hAnsi="Times New Roman" w:cs="Times New Roman"/>
                <w:color w:val="auto"/>
                <w:kern w:val="0"/>
                <w:sz w:val="21"/>
                <w:szCs w:val="21"/>
                <w:highlight w:val="none"/>
                <w:lang w:eastAsia="zh-CN" w:bidi="ar"/>
              </w:rPr>
              <w:t>扩建</w:t>
            </w:r>
          </w:p>
          <w:p w14:paraId="69042B19">
            <w:pPr>
              <w:widowControl/>
              <w:jc w:val="left"/>
              <w:rPr>
                <w:rFonts w:hint="default" w:ascii="Times New Roman" w:hAnsi="Times New Roman"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eastAsia="zh-CN" w:bidi="ar"/>
              </w:rPr>
              <w:sym w:font="Wingdings" w:char="00A8"/>
            </w:r>
            <w:r>
              <w:rPr>
                <w:rFonts w:hint="default" w:ascii="Times New Roman" w:hAnsi="Times New Roman" w:cs="Times New Roman"/>
                <w:color w:val="auto"/>
                <w:kern w:val="0"/>
                <w:sz w:val="21"/>
                <w:szCs w:val="21"/>
                <w:highlight w:val="none"/>
                <w:lang w:eastAsia="zh-CN" w:bidi="ar"/>
              </w:rPr>
              <w:t>技术改造</w:t>
            </w:r>
          </w:p>
        </w:tc>
        <w:tc>
          <w:tcPr>
            <w:tcW w:w="1798" w:type="dxa"/>
            <w:vAlign w:val="center"/>
          </w:tcPr>
          <w:p w14:paraId="19932262">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建设项目</w:t>
            </w:r>
          </w:p>
          <w:p w14:paraId="6CBEB137">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申报情形</w:t>
            </w:r>
          </w:p>
        </w:tc>
        <w:tc>
          <w:tcPr>
            <w:tcW w:w="3053" w:type="dxa"/>
            <w:vAlign w:val="center"/>
          </w:tcPr>
          <w:p w14:paraId="5750FA9A">
            <w:pPr>
              <w:widowControl/>
              <w:jc w:val="left"/>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sym w:font="Wingdings" w:char="00FE"/>
            </w:r>
            <w:r>
              <w:rPr>
                <w:rFonts w:hint="default" w:ascii="Times New Roman" w:hAnsi="Times New Roman" w:cs="Times New Roman"/>
                <w:color w:val="auto"/>
                <w:kern w:val="0"/>
                <w:sz w:val="21"/>
                <w:szCs w:val="21"/>
                <w:highlight w:val="none"/>
                <w:lang w:bidi="ar"/>
              </w:rPr>
              <w:t>首次申报项目</w:t>
            </w:r>
          </w:p>
          <w:p w14:paraId="4E5933AF">
            <w:pPr>
              <w:widowControl/>
              <w:jc w:val="left"/>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sym w:font="Wingdings" w:char="00A8"/>
            </w:r>
            <w:r>
              <w:rPr>
                <w:rFonts w:hint="default" w:ascii="Times New Roman" w:hAnsi="Times New Roman" w:cs="Times New Roman"/>
                <w:color w:val="auto"/>
                <w:kern w:val="0"/>
                <w:sz w:val="21"/>
                <w:szCs w:val="21"/>
                <w:highlight w:val="none"/>
                <w:lang w:bidi="ar"/>
              </w:rPr>
              <w:t>不予批准后再次申报项目</w:t>
            </w:r>
          </w:p>
          <w:p w14:paraId="7961C2A4">
            <w:pPr>
              <w:widowControl/>
              <w:jc w:val="left"/>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sym w:font="Wingdings" w:char="00A8"/>
            </w:r>
            <w:r>
              <w:rPr>
                <w:rFonts w:hint="default" w:ascii="Times New Roman" w:hAnsi="Times New Roman" w:cs="Times New Roman"/>
                <w:color w:val="auto"/>
                <w:kern w:val="0"/>
                <w:sz w:val="21"/>
                <w:szCs w:val="21"/>
                <w:highlight w:val="none"/>
                <w:lang w:bidi="ar"/>
              </w:rPr>
              <w:t>超五年重新审核项目</w:t>
            </w:r>
          </w:p>
          <w:p w14:paraId="55A30179">
            <w:pPr>
              <w:widowControl/>
              <w:jc w:val="left"/>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sym w:font="Wingdings" w:char="00A8"/>
            </w:r>
            <w:r>
              <w:rPr>
                <w:rFonts w:hint="default" w:ascii="Times New Roman" w:hAnsi="Times New Roman" w:cs="Times New Roman"/>
                <w:color w:val="auto"/>
                <w:kern w:val="0"/>
                <w:sz w:val="21"/>
                <w:szCs w:val="21"/>
                <w:highlight w:val="none"/>
                <w:lang w:bidi="ar"/>
              </w:rPr>
              <w:t>重大变动重新报批项目</w:t>
            </w:r>
          </w:p>
        </w:tc>
      </w:tr>
      <w:tr w14:paraId="2792B5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gridSpan w:val="2"/>
            <w:tcMar>
              <w:top w:w="16" w:type="dxa"/>
              <w:left w:w="16" w:type="dxa"/>
              <w:right w:w="16" w:type="dxa"/>
            </w:tcMar>
            <w:vAlign w:val="center"/>
          </w:tcPr>
          <w:p w14:paraId="76B59A5B">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项目审批（核准/</w:t>
            </w:r>
          </w:p>
          <w:p w14:paraId="62A357F5">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备案）部门（选填）</w:t>
            </w:r>
          </w:p>
        </w:tc>
        <w:tc>
          <w:tcPr>
            <w:tcW w:w="1637" w:type="dxa"/>
            <w:vAlign w:val="center"/>
          </w:tcPr>
          <w:p w14:paraId="3D30A504">
            <w:pPr>
              <w:widowControl/>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无</w:t>
            </w:r>
          </w:p>
        </w:tc>
        <w:tc>
          <w:tcPr>
            <w:tcW w:w="1798" w:type="dxa"/>
            <w:vAlign w:val="center"/>
          </w:tcPr>
          <w:p w14:paraId="6B1B1A2D">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项目审批（核准/</w:t>
            </w:r>
          </w:p>
          <w:p w14:paraId="36E0EA9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备案）文号（选填）</w:t>
            </w:r>
          </w:p>
        </w:tc>
        <w:tc>
          <w:tcPr>
            <w:tcW w:w="3053" w:type="dxa"/>
            <w:vAlign w:val="center"/>
          </w:tcPr>
          <w:p w14:paraId="598EF76B">
            <w:pPr>
              <w:widowControl/>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无</w:t>
            </w:r>
          </w:p>
        </w:tc>
      </w:tr>
      <w:tr w14:paraId="01DF5E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gridSpan w:val="2"/>
            <w:tcMar>
              <w:top w:w="16" w:type="dxa"/>
              <w:left w:w="16" w:type="dxa"/>
              <w:right w:w="16" w:type="dxa"/>
            </w:tcMar>
            <w:vAlign w:val="center"/>
          </w:tcPr>
          <w:p w14:paraId="3A06DE2D">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总投资（万元）</w:t>
            </w:r>
          </w:p>
        </w:tc>
        <w:tc>
          <w:tcPr>
            <w:tcW w:w="1637" w:type="dxa"/>
            <w:vAlign w:val="center"/>
          </w:tcPr>
          <w:p w14:paraId="2103DA06">
            <w:pPr>
              <w:widowControl/>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15493.23</w:t>
            </w:r>
          </w:p>
        </w:tc>
        <w:tc>
          <w:tcPr>
            <w:tcW w:w="1798" w:type="dxa"/>
            <w:tcMar>
              <w:top w:w="16" w:type="dxa"/>
              <w:left w:w="16" w:type="dxa"/>
              <w:right w:w="16" w:type="dxa"/>
            </w:tcMar>
            <w:vAlign w:val="center"/>
          </w:tcPr>
          <w:p w14:paraId="3F3C3025">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环保投资（万元）</w:t>
            </w:r>
          </w:p>
        </w:tc>
        <w:tc>
          <w:tcPr>
            <w:tcW w:w="3053" w:type="dxa"/>
            <w:vAlign w:val="center"/>
          </w:tcPr>
          <w:p w14:paraId="708077C2">
            <w:pPr>
              <w:widowControl/>
              <w:jc w:val="center"/>
              <w:rPr>
                <w:rFonts w:hint="default" w:ascii="Times New Roman" w:hAnsi="Times New Roman"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75</w:t>
            </w:r>
          </w:p>
        </w:tc>
      </w:tr>
      <w:tr w14:paraId="2F4464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gridSpan w:val="2"/>
            <w:tcMar>
              <w:top w:w="16" w:type="dxa"/>
              <w:left w:w="16" w:type="dxa"/>
              <w:right w:w="16" w:type="dxa"/>
            </w:tcMar>
            <w:vAlign w:val="center"/>
          </w:tcPr>
          <w:p w14:paraId="16A77CAC">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环保投资占比（%）</w:t>
            </w:r>
          </w:p>
        </w:tc>
        <w:tc>
          <w:tcPr>
            <w:tcW w:w="1637" w:type="dxa"/>
            <w:vAlign w:val="center"/>
          </w:tcPr>
          <w:p w14:paraId="487602E5">
            <w:pPr>
              <w:widowControl/>
              <w:jc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w:t>
            </w:r>
            <w:r>
              <w:rPr>
                <w:rFonts w:hint="eastAsia" w:cs="Times New Roman"/>
                <w:color w:val="auto"/>
                <w:kern w:val="0"/>
                <w:sz w:val="21"/>
                <w:szCs w:val="21"/>
                <w:highlight w:val="none"/>
                <w:lang w:val="en-US" w:eastAsia="zh-CN" w:bidi="ar"/>
              </w:rPr>
              <w:t>48</w:t>
            </w:r>
          </w:p>
        </w:tc>
        <w:tc>
          <w:tcPr>
            <w:tcW w:w="1798" w:type="dxa"/>
            <w:tcMar>
              <w:top w:w="16" w:type="dxa"/>
              <w:left w:w="16" w:type="dxa"/>
              <w:right w:w="16" w:type="dxa"/>
            </w:tcMar>
            <w:vAlign w:val="center"/>
          </w:tcPr>
          <w:p w14:paraId="0D7FB67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施工工期</w:t>
            </w:r>
          </w:p>
        </w:tc>
        <w:tc>
          <w:tcPr>
            <w:tcW w:w="3053" w:type="dxa"/>
            <w:vAlign w:val="center"/>
          </w:tcPr>
          <w:p w14:paraId="6B2B14DC">
            <w:pPr>
              <w:widowControl/>
              <w:jc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202</w:t>
            </w:r>
            <w:r>
              <w:rPr>
                <w:rFonts w:hint="default" w:ascii="Times New Roman" w:hAnsi="Times New Roman" w:cs="Times New Roman"/>
                <w:color w:val="auto"/>
                <w:kern w:val="0"/>
                <w:sz w:val="21"/>
                <w:szCs w:val="21"/>
                <w:highlight w:val="none"/>
                <w:lang w:val="en-US" w:eastAsia="zh-CN" w:bidi="ar"/>
              </w:rPr>
              <w:t>6</w:t>
            </w:r>
            <w:r>
              <w:rPr>
                <w:rFonts w:hint="default" w:ascii="Times New Roman" w:hAnsi="Times New Roman" w:cs="Times New Roman"/>
                <w:color w:val="auto"/>
                <w:kern w:val="0"/>
                <w:sz w:val="21"/>
                <w:szCs w:val="21"/>
                <w:highlight w:val="none"/>
                <w:lang w:bidi="ar"/>
              </w:rPr>
              <w:t>年</w:t>
            </w:r>
            <w:r>
              <w:rPr>
                <w:rFonts w:hint="eastAsia" w:cs="Times New Roman"/>
                <w:color w:val="auto"/>
                <w:kern w:val="0"/>
                <w:sz w:val="21"/>
                <w:szCs w:val="21"/>
                <w:highlight w:val="none"/>
                <w:lang w:val="en-US" w:eastAsia="zh-CN" w:bidi="ar"/>
              </w:rPr>
              <w:t>7</w:t>
            </w:r>
            <w:r>
              <w:rPr>
                <w:rFonts w:hint="default" w:ascii="Times New Roman" w:hAnsi="Times New Roman" w:cs="Times New Roman"/>
                <w:color w:val="auto"/>
                <w:kern w:val="0"/>
                <w:sz w:val="21"/>
                <w:szCs w:val="21"/>
                <w:highlight w:val="none"/>
                <w:lang w:bidi="ar"/>
              </w:rPr>
              <w:t>月~202</w:t>
            </w:r>
            <w:r>
              <w:rPr>
                <w:rFonts w:hint="default" w:ascii="Times New Roman" w:hAnsi="Times New Roman" w:cs="Times New Roman"/>
                <w:color w:val="auto"/>
                <w:kern w:val="0"/>
                <w:sz w:val="21"/>
                <w:szCs w:val="21"/>
                <w:highlight w:val="none"/>
                <w:lang w:val="en-US" w:eastAsia="zh-CN" w:bidi="ar"/>
              </w:rPr>
              <w:t>6</w:t>
            </w:r>
            <w:r>
              <w:rPr>
                <w:rFonts w:hint="default" w:ascii="Times New Roman" w:hAnsi="Times New Roman" w:cs="Times New Roman"/>
                <w:color w:val="auto"/>
                <w:kern w:val="0"/>
                <w:sz w:val="21"/>
                <w:szCs w:val="21"/>
                <w:highlight w:val="none"/>
                <w:lang w:bidi="ar"/>
              </w:rPr>
              <w:t>年</w:t>
            </w:r>
            <w:r>
              <w:rPr>
                <w:rFonts w:hint="default" w:ascii="Times New Roman" w:hAnsi="Times New Roman" w:cs="Times New Roman"/>
                <w:color w:val="auto"/>
                <w:kern w:val="0"/>
                <w:sz w:val="21"/>
                <w:szCs w:val="21"/>
                <w:highlight w:val="none"/>
                <w:lang w:val="en-US" w:eastAsia="zh-CN" w:bidi="ar"/>
              </w:rPr>
              <w:t>12</w:t>
            </w:r>
            <w:r>
              <w:rPr>
                <w:rFonts w:hint="default" w:ascii="Times New Roman" w:hAnsi="Times New Roman" w:cs="Times New Roman"/>
                <w:color w:val="auto"/>
                <w:kern w:val="0"/>
                <w:sz w:val="21"/>
                <w:szCs w:val="21"/>
                <w:highlight w:val="none"/>
                <w:lang w:bidi="ar"/>
              </w:rPr>
              <w:t>月</w:t>
            </w:r>
          </w:p>
        </w:tc>
      </w:tr>
      <w:tr w14:paraId="0553BA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gridSpan w:val="2"/>
            <w:tcMar>
              <w:top w:w="16" w:type="dxa"/>
              <w:left w:w="16" w:type="dxa"/>
              <w:right w:w="16" w:type="dxa"/>
            </w:tcMar>
            <w:vAlign w:val="center"/>
          </w:tcPr>
          <w:p w14:paraId="750727D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是否开工建设</w:t>
            </w:r>
          </w:p>
        </w:tc>
        <w:tc>
          <w:tcPr>
            <w:tcW w:w="1637" w:type="dxa"/>
            <w:vAlign w:val="center"/>
          </w:tcPr>
          <w:p w14:paraId="4F58D169">
            <w:pPr>
              <w:widowControl/>
              <w:jc w:val="left"/>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sym w:font="Wingdings" w:char="00FE"/>
            </w:r>
            <w:r>
              <w:rPr>
                <w:rFonts w:hint="default" w:ascii="Times New Roman" w:hAnsi="Times New Roman" w:cs="Times New Roman"/>
                <w:color w:val="auto"/>
                <w:kern w:val="0"/>
                <w:sz w:val="21"/>
                <w:szCs w:val="21"/>
                <w:highlight w:val="none"/>
                <w:lang w:val="en-US" w:eastAsia="zh-CN" w:bidi="ar"/>
              </w:rPr>
              <w:t>否</w:t>
            </w:r>
          </w:p>
          <w:p w14:paraId="52D17D1F">
            <w:pPr>
              <w:widowControl/>
              <w:jc w:val="left"/>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sym w:font="Wingdings" w:char="00A8"/>
            </w:r>
            <w:r>
              <w:rPr>
                <w:rFonts w:hint="default" w:ascii="Times New Roman" w:hAnsi="Times New Roman" w:cs="Times New Roman"/>
                <w:color w:val="auto"/>
                <w:kern w:val="0"/>
                <w:sz w:val="21"/>
                <w:szCs w:val="21"/>
                <w:highlight w:val="none"/>
                <w:lang w:val="en-US" w:eastAsia="zh-CN" w:bidi="ar"/>
              </w:rPr>
              <w:t>是：</w:t>
            </w:r>
          </w:p>
        </w:tc>
        <w:tc>
          <w:tcPr>
            <w:tcW w:w="1798" w:type="dxa"/>
            <w:tcMar>
              <w:top w:w="16" w:type="dxa"/>
              <w:left w:w="16" w:type="dxa"/>
              <w:right w:w="16" w:type="dxa"/>
            </w:tcMar>
            <w:vAlign w:val="center"/>
          </w:tcPr>
          <w:p w14:paraId="48DB8D29">
            <w:pPr>
              <w:adjustRightInd w:val="0"/>
              <w:snapToGrid w:val="0"/>
              <w:jc w:val="center"/>
              <w:rPr>
                <w:rFonts w:hint="default" w:ascii="Times New Roman" w:hAnsi="Times New Roman" w:cs="Times New Roman"/>
                <w:color w:val="auto"/>
                <w:spacing w:val="-6"/>
                <w:sz w:val="21"/>
                <w:szCs w:val="21"/>
                <w:highlight w:val="none"/>
              </w:rPr>
            </w:pPr>
            <w:r>
              <w:rPr>
                <w:rFonts w:hint="default" w:ascii="Times New Roman" w:hAnsi="Times New Roman" w:cs="Times New Roman"/>
                <w:color w:val="auto"/>
                <w:spacing w:val="-6"/>
                <w:sz w:val="21"/>
                <w:szCs w:val="21"/>
                <w:highlight w:val="none"/>
              </w:rPr>
              <w:t>用地（用海）</w:t>
            </w:r>
          </w:p>
          <w:p w14:paraId="4CC98651">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面积（m</w:t>
            </w:r>
            <w:r>
              <w:rPr>
                <w:rFonts w:hint="default" w:ascii="Times New Roman" w:hAnsi="Times New Roman" w:cs="Times New Roman"/>
                <w:color w:val="auto"/>
                <w:spacing w:val="-6"/>
                <w:sz w:val="21"/>
                <w:szCs w:val="21"/>
                <w:highlight w:val="none"/>
                <w:vertAlign w:val="superscript"/>
              </w:rPr>
              <w:t>2</w:t>
            </w:r>
            <w:r>
              <w:rPr>
                <w:rFonts w:hint="default" w:ascii="Times New Roman" w:hAnsi="Times New Roman" w:cs="Times New Roman"/>
                <w:color w:val="auto"/>
                <w:spacing w:val="-6"/>
                <w:sz w:val="21"/>
                <w:szCs w:val="21"/>
                <w:highlight w:val="none"/>
              </w:rPr>
              <w:t>）</w:t>
            </w:r>
          </w:p>
        </w:tc>
        <w:tc>
          <w:tcPr>
            <w:tcW w:w="3053" w:type="dxa"/>
            <w:vAlign w:val="center"/>
          </w:tcPr>
          <w:p w14:paraId="08B46256">
            <w:pPr>
              <w:widowControl/>
              <w:jc w:val="center"/>
              <w:rPr>
                <w:rFonts w:hint="eastAsia" w:ascii="Times New Roman" w:hAnsi="Times New Roman" w:eastAsia="宋体" w:cs="Times New Roman"/>
                <w:color w:val="auto"/>
                <w:kern w:val="0"/>
                <w:sz w:val="21"/>
                <w:szCs w:val="21"/>
                <w:highlight w:val="none"/>
                <w:lang w:eastAsia="zh-CN" w:bidi="ar"/>
              </w:rPr>
            </w:pPr>
            <w:r>
              <w:rPr>
                <w:rFonts w:hint="eastAsia" w:cs="Times New Roman"/>
                <w:color w:val="auto"/>
                <w:kern w:val="0"/>
                <w:sz w:val="21"/>
                <w:szCs w:val="21"/>
                <w:highlight w:val="none"/>
                <w:lang w:eastAsia="zh-CN" w:bidi="ar"/>
              </w:rPr>
              <w:t>50000</w:t>
            </w:r>
          </w:p>
        </w:tc>
      </w:tr>
      <w:tr w14:paraId="384E09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2382" w:type="dxa"/>
            <w:gridSpan w:val="2"/>
            <w:vAlign w:val="center"/>
          </w:tcPr>
          <w:p w14:paraId="4B61EF78">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专项评价设置情况</w:t>
            </w:r>
          </w:p>
        </w:tc>
        <w:tc>
          <w:tcPr>
            <w:tcW w:w="6488" w:type="dxa"/>
            <w:gridSpan w:val="3"/>
            <w:vAlign w:val="center"/>
          </w:tcPr>
          <w:p w14:paraId="0DC55717">
            <w:pPr>
              <w:autoSpaceDE w:val="0"/>
              <w:autoSpaceDN w:val="0"/>
              <w:adjustRightInd w:val="0"/>
              <w:snapToGrid w:val="0"/>
              <w:spacing w:line="480" w:lineRule="exact"/>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表1-1 专项评价设置情况一览表</w:t>
            </w:r>
          </w:p>
          <w:tbl>
            <w:tblPr>
              <w:tblStyle w:val="32"/>
              <w:tblW w:w="635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28" w:type="dxa"/>
                <w:left w:w="28" w:type="dxa"/>
                <w:bottom w:w="28" w:type="dxa"/>
                <w:right w:w="28" w:type="dxa"/>
              </w:tblCellMar>
            </w:tblPr>
            <w:tblGrid>
              <w:gridCol w:w="736"/>
              <w:gridCol w:w="2059"/>
              <w:gridCol w:w="2782"/>
              <w:gridCol w:w="782"/>
            </w:tblGrid>
            <w:tr w14:paraId="6212DB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90" w:hRule="atLeast"/>
                <w:jc w:val="center"/>
              </w:trPr>
              <w:tc>
                <w:tcPr>
                  <w:tcW w:w="578" w:type="pct"/>
                  <w:tcMar>
                    <w:left w:w="57" w:type="dxa"/>
                    <w:right w:w="57" w:type="dxa"/>
                  </w:tcMar>
                  <w:vAlign w:val="center"/>
                </w:tcPr>
                <w:p w14:paraId="650CA42E">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专项评价类别</w:t>
                  </w:r>
                </w:p>
              </w:tc>
              <w:tc>
                <w:tcPr>
                  <w:tcW w:w="1618" w:type="pct"/>
                  <w:tcMar>
                    <w:left w:w="57" w:type="dxa"/>
                    <w:right w:w="57" w:type="dxa"/>
                  </w:tcMar>
                  <w:vAlign w:val="center"/>
                </w:tcPr>
                <w:p w14:paraId="3962C776">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设置原则</w:t>
                  </w:r>
                </w:p>
              </w:tc>
              <w:tc>
                <w:tcPr>
                  <w:tcW w:w="2187" w:type="pct"/>
                  <w:tcMar>
                    <w:left w:w="57" w:type="dxa"/>
                    <w:right w:w="57" w:type="dxa"/>
                  </w:tcMar>
                  <w:vAlign w:val="center"/>
                </w:tcPr>
                <w:p w14:paraId="160749EB">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本项目情况</w:t>
                  </w:r>
                </w:p>
              </w:tc>
              <w:tc>
                <w:tcPr>
                  <w:tcW w:w="614" w:type="pct"/>
                  <w:vAlign w:val="center"/>
                </w:tcPr>
                <w:p w14:paraId="0E13FD45">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是否设置专项</w:t>
                  </w:r>
                </w:p>
              </w:tc>
            </w:tr>
            <w:tr w14:paraId="507DAC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1130" w:hRule="atLeast"/>
                <w:jc w:val="center"/>
              </w:trPr>
              <w:tc>
                <w:tcPr>
                  <w:tcW w:w="578" w:type="pct"/>
                  <w:tcMar>
                    <w:left w:w="57" w:type="dxa"/>
                    <w:right w:w="57" w:type="dxa"/>
                  </w:tcMar>
                  <w:vAlign w:val="center"/>
                </w:tcPr>
                <w:p w14:paraId="65FA1C1C">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大气</w:t>
                  </w:r>
                </w:p>
              </w:tc>
              <w:tc>
                <w:tcPr>
                  <w:tcW w:w="1618" w:type="pct"/>
                  <w:tcMar>
                    <w:left w:w="57" w:type="dxa"/>
                    <w:right w:w="57" w:type="dxa"/>
                  </w:tcMar>
                  <w:vAlign w:val="center"/>
                </w:tcPr>
                <w:p w14:paraId="1FA80C60">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sz w:val="18"/>
                      <w:szCs w:val="18"/>
                      <w:highlight w:val="none"/>
                    </w:rPr>
                    <w:t>排放废气含有毒有害污染物</w:t>
                  </w:r>
                  <w:r>
                    <w:rPr>
                      <w:rFonts w:hint="default" w:ascii="Times New Roman" w:hAnsi="Times New Roman" w:cs="Times New Roman"/>
                      <w:color w:val="auto"/>
                      <w:sz w:val="18"/>
                      <w:szCs w:val="18"/>
                      <w:highlight w:val="none"/>
                      <w:vertAlign w:val="superscript"/>
                    </w:rPr>
                    <w:t>①</w:t>
                  </w:r>
                  <w:r>
                    <w:rPr>
                      <w:rFonts w:hint="default" w:ascii="Times New Roman" w:hAnsi="Times New Roman" w:cs="Times New Roman"/>
                      <w:color w:val="auto"/>
                      <w:sz w:val="18"/>
                      <w:szCs w:val="18"/>
                      <w:highlight w:val="none"/>
                    </w:rPr>
                    <w:t>、二噁英、苯并[a]芘、氰化物、氯气且厂界外500米范围内有环境空气保护目标</w:t>
                  </w:r>
                  <w:r>
                    <w:rPr>
                      <w:rFonts w:hint="default" w:ascii="Times New Roman" w:hAnsi="Times New Roman" w:cs="Times New Roman"/>
                      <w:color w:val="auto"/>
                      <w:sz w:val="18"/>
                      <w:szCs w:val="18"/>
                      <w:highlight w:val="none"/>
                      <w:vertAlign w:val="superscript"/>
                    </w:rPr>
                    <w:t>②</w:t>
                  </w:r>
                  <w:r>
                    <w:rPr>
                      <w:rFonts w:hint="default" w:ascii="Times New Roman" w:hAnsi="Times New Roman" w:cs="Times New Roman"/>
                      <w:color w:val="auto"/>
                      <w:sz w:val="18"/>
                      <w:szCs w:val="18"/>
                      <w:highlight w:val="none"/>
                    </w:rPr>
                    <w:t>的建设项目。</w:t>
                  </w:r>
                </w:p>
              </w:tc>
              <w:tc>
                <w:tcPr>
                  <w:tcW w:w="2187" w:type="pct"/>
                  <w:tcMar>
                    <w:left w:w="57" w:type="dxa"/>
                    <w:right w:w="57" w:type="dxa"/>
                  </w:tcMar>
                  <w:vAlign w:val="center"/>
                </w:tcPr>
                <w:p w14:paraId="5B4C53A2">
                  <w:pPr>
                    <w:autoSpaceDE w:val="0"/>
                    <w:autoSpaceDN w:val="0"/>
                    <w:adjustRightInd w:val="0"/>
                    <w:snapToGrid w:val="0"/>
                    <w:jc w:val="center"/>
                    <w:rPr>
                      <w:rFonts w:hint="eastAsia" w:ascii="Times New Roman" w:hAnsi="Times New Roman" w:eastAsia="宋体" w:cs="Times New Roman"/>
                      <w:color w:val="auto"/>
                      <w:kern w:val="0"/>
                      <w:sz w:val="18"/>
                      <w:szCs w:val="18"/>
                      <w:highlight w:val="none"/>
                      <w:lang w:eastAsia="zh-CN"/>
                    </w:rPr>
                  </w:pPr>
                  <w:r>
                    <w:rPr>
                      <w:rFonts w:hint="eastAsia" w:cs="Times New Roman"/>
                      <w:color w:val="auto"/>
                      <w:sz w:val="18"/>
                      <w:szCs w:val="18"/>
                      <w:highlight w:val="none"/>
                      <w:lang w:eastAsia="zh-CN"/>
                    </w:rPr>
                    <w:t>根据《直接法测定固体生物质燃料中汞的试验研究》（煤质技术，2020年）可知，生物质汞含量为15.47ng/g，由于生物质成型燃料汞含量低的特点，本项目不考虑汞的排放。且</w:t>
                  </w:r>
                  <w:r>
                    <w:rPr>
                      <w:rFonts w:hint="default" w:ascii="Times New Roman" w:hAnsi="Times New Roman" w:cs="Times New Roman"/>
                      <w:color w:val="auto"/>
                      <w:sz w:val="18"/>
                      <w:szCs w:val="18"/>
                      <w:highlight w:val="none"/>
                    </w:rPr>
                    <w:t>本项目厂界外500m范围内</w:t>
                  </w:r>
                  <w:r>
                    <w:rPr>
                      <w:rFonts w:hint="default" w:ascii="Times New Roman" w:hAnsi="Times New Roman" w:cs="Times New Roman"/>
                      <w:color w:val="auto"/>
                      <w:sz w:val="18"/>
                      <w:szCs w:val="18"/>
                      <w:highlight w:val="none"/>
                      <w:lang w:val="en-US" w:eastAsia="zh-CN"/>
                    </w:rPr>
                    <w:t>无</w:t>
                  </w:r>
                  <w:r>
                    <w:rPr>
                      <w:rFonts w:hint="default" w:ascii="Times New Roman" w:hAnsi="Times New Roman" w:cs="Times New Roman"/>
                      <w:color w:val="auto"/>
                      <w:sz w:val="18"/>
                      <w:szCs w:val="18"/>
                      <w:highlight w:val="none"/>
                    </w:rPr>
                    <w:t>环境空气保护目标，</w:t>
                  </w:r>
                  <w:r>
                    <w:rPr>
                      <w:rFonts w:hint="eastAsia" w:cs="Times New Roman"/>
                      <w:color w:val="auto"/>
                      <w:sz w:val="18"/>
                      <w:szCs w:val="18"/>
                      <w:highlight w:val="none"/>
                      <w:lang w:eastAsia="zh-CN"/>
                    </w:rPr>
                    <w:t>因此不设置大气专项。</w:t>
                  </w:r>
                </w:p>
              </w:tc>
              <w:tc>
                <w:tcPr>
                  <w:tcW w:w="614" w:type="pct"/>
                  <w:vAlign w:val="center"/>
                </w:tcPr>
                <w:p w14:paraId="6D982E5C">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否</w:t>
                  </w:r>
                </w:p>
              </w:tc>
            </w:tr>
            <w:tr w14:paraId="166E9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609" w:hRule="atLeast"/>
                <w:jc w:val="center"/>
              </w:trPr>
              <w:tc>
                <w:tcPr>
                  <w:tcW w:w="578" w:type="pct"/>
                  <w:tcMar>
                    <w:left w:w="57" w:type="dxa"/>
                    <w:right w:w="57" w:type="dxa"/>
                  </w:tcMar>
                  <w:vAlign w:val="center"/>
                </w:tcPr>
                <w:p w14:paraId="2AC2DFCA">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地表水</w:t>
                  </w:r>
                </w:p>
              </w:tc>
              <w:tc>
                <w:tcPr>
                  <w:tcW w:w="1618" w:type="pct"/>
                  <w:tcMar>
                    <w:left w:w="57" w:type="dxa"/>
                    <w:right w:w="57" w:type="dxa"/>
                  </w:tcMar>
                  <w:vAlign w:val="center"/>
                </w:tcPr>
                <w:p w14:paraId="4ECA2F80">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sz w:val="18"/>
                      <w:szCs w:val="18"/>
                      <w:highlight w:val="none"/>
                    </w:rPr>
                    <w:t>新增工业废水直排建设项目（槽罐车外送污水处理厂的除外）；新增废水直排的污水集中处理厂。</w:t>
                  </w:r>
                </w:p>
              </w:tc>
              <w:tc>
                <w:tcPr>
                  <w:tcW w:w="2187" w:type="pct"/>
                  <w:tcMar>
                    <w:left w:w="57" w:type="dxa"/>
                    <w:right w:w="57" w:type="dxa"/>
                  </w:tcMar>
                  <w:vAlign w:val="center"/>
                </w:tcPr>
                <w:p w14:paraId="62C231E0">
                  <w:pPr>
                    <w:autoSpaceDE w:val="0"/>
                    <w:autoSpaceDN w:val="0"/>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本项目不属于工业废水直排建设项目以及废水直排的污水集中处理厂。</w:t>
                  </w:r>
                </w:p>
              </w:tc>
              <w:tc>
                <w:tcPr>
                  <w:tcW w:w="614" w:type="pct"/>
                  <w:vAlign w:val="center"/>
                </w:tcPr>
                <w:p w14:paraId="7308F4E8">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否</w:t>
                  </w:r>
                </w:p>
              </w:tc>
            </w:tr>
            <w:tr w14:paraId="38BA0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59" w:hRule="atLeast"/>
                <w:jc w:val="center"/>
              </w:trPr>
              <w:tc>
                <w:tcPr>
                  <w:tcW w:w="578" w:type="pct"/>
                  <w:tcMar>
                    <w:left w:w="57" w:type="dxa"/>
                    <w:right w:w="57" w:type="dxa"/>
                  </w:tcMar>
                  <w:vAlign w:val="center"/>
                </w:tcPr>
                <w:p w14:paraId="7D793F50">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环境风险</w:t>
                  </w:r>
                </w:p>
              </w:tc>
              <w:tc>
                <w:tcPr>
                  <w:tcW w:w="1618" w:type="pct"/>
                  <w:tcMar>
                    <w:left w:w="57" w:type="dxa"/>
                    <w:right w:w="57" w:type="dxa"/>
                  </w:tcMar>
                  <w:vAlign w:val="center"/>
                </w:tcPr>
                <w:p w14:paraId="22C5254A">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sz w:val="18"/>
                      <w:szCs w:val="18"/>
                      <w:highlight w:val="none"/>
                    </w:rPr>
                    <w:t>有毒有害和易燃易爆危险物质存储量超过临界量</w:t>
                  </w:r>
                  <w:r>
                    <w:rPr>
                      <w:rFonts w:hint="default" w:ascii="Times New Roman" w:hAnsi="Times New Roman" w:cs="Times New Roman"/>
                      <w:color w:val="auto"/>
                      <w:sz w:val="18"/>
                      <w:szCs w:val="18"/>
                      <w:highlight w:val="none"/>
                      <w:vertAlign w:val="superscript"/>
                    </w:rPr>
                    <w:t>③</w:t>
                  </w:r>
                  <w:r>
                    <w:rPr>
                      <w:rFonts w:hint="default" w:ascii="Times New Roman" w:hAnsi="Times New Roman" w:cs="Times New Roman"/>
                      <w:color w:val="auto"/>
                      <w:sz w:val="18"/>
                      <w:szCs w:val="18"/>
                      <w:highlight w:val="none"/>
                    </w:rPr>
                    <w:t>的建设项目。</w:t>
                  </w:r>
                </w:p>
              </w:tc>
              <w:tc>
                <w:tcPr>
                  <w:tcW w:w="2187" w:type="pct"/>
                  <w:tcMar>
                    <w:left w:w="57" w:type="dxa"/>
                    <w:right w:w="57" w:type="dxa"/>
                  </w:tcMar>
                  <w:vAlign w:val="center"/>
                </w:tcPr>
                <w:p w14:paraId="174FFBC4">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sz w:val="18"/>
                      <w:szCs w:val="18"/>
                      <w:highlight w:val="none"/>
                    </w:rPr>
                    <w:t>本项目有毒有害和易燃易爆危险物质未超过临界量。</w:t>
                  </w:r>
                </w:p>
              </w:tc>
              <w:tc>
                <w:tcPr>
                  <w:tcW w:w="614" w:type="pct"/>
                  <w:vAlign w:val="center"/>
                </w:tcPr>
                <w:p w14:paraId="3486408B">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否</w:t>
                  </w:r>
                </w:p>
              </w:tc>
            </w:tr>
            <w:tr w14:paraId="057E4B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520" w:hRule="atLeast"/>
                <w:jc w:val="center"/>
              </w:trPr>
              <w:tc>
                <w:tcPr>
                  <w:tcW w:w="578" w:type="pct"/>
                  <w:tcMar>
                    <w:left w:w="57" w:type="dxa"/>
                    <w:right w:w="57" w:type="dxa"/>
                  </w:tcMar>
                  <w:vAlign w:val="center"/>
                </w:tcPr>
                <w:p w14:paraId="1C24EC1E">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生态</w:t>
                  </w:r>
                </w:p>
              </w:tc>
              <w:tc>
                <w:tcPr>
                  <w:tcW w:w="1618" w:type="pct"/>
                  <w:tcMar>
                    <w:left w:w="57" w:type="dxa"/>
                    <w:right w:w="57" w:type="dxa"/>
                  </w:tcMar>
                  <w:vAlign w:val="center"/>
                </w:tcPr>
                <w:p w14:paraId="55A3D508">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sz w:val="18"/>
                      <w:szCs w:val="18"/>
                      <w:highlight w:val="none"/>
                    </w:rPr>
                    <w:t>取水口下游500米范围内有重要水生生物的自然产卵场、索饵场、越冬场和洄游通道的新增河道取水的污染类建设项目。</w:t>
                  </w:r>
                </w:p>
              </w:tc>
              <w:tc>
                <w:tcPr>
                  <w:tcW w:w="2187" w:type="pct"/>
                  <w:tcMar>
                    <w:left w:w="57" w:type="dxa"/>
                    <w:right w:w="57" w:type="dxa"/>
                  </w:tcMar>
                  <w:vAlign w:val="center"/>
                </w:tcPr>
                <w:p w14:paraId="16CFA37D">
                  <w:pPr>
                    <w:pStyle w:val="98"/>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sz w:val="18"/>
                      <w:szCs w:val="18"/>
                      <w:highlight w:val="none"/>
                    </w:rPr>
                    <w:t>本项目不涉及取水口。</w:t>
                  </w:r>
                </w:p>
              </w:tc>
              <w:tc>
                <w:tcPr>
                  <w:tcW w:w="614" w:type="pct"/>
                  <w:vAlign w:val="center"/>
                </w:tcPr>
                <w:p w14:paraId="03BF83A0">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否</w:t>
                  </w:r>
                </w:p>
              </w:tc>
            </w:tr>
            <w:tr w14:paraId="7ED0B9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381" w:hRule="atLeast"/>
                <w:jc w:val="center"/>
              </w:trPr>
              <w:tc>
                <w:tcPr>
                  <w:tcW w:w="578" w:type="pct"/>
                  <w:tcMar>
                    <w:left w:w="57" w:type="dxa"/>
                    <w:right w:w="57" w:type="dxa"/>
                  </w:tcMar>
                  <w:vAlign w:val="center"/>
                </w:tcPr>
                <w:p w14:paraId="2F13203C">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海洋</w:t>
                  </w:r>
                </w:p>
              </w:tc>
              <w:tc>
                <w:tcPr>
                  <w:tcW w:w="1618" w:type="pct"/>
                  <w:tcMar>
                    <w:left w:w="57" w:type="dxa"/>
                    <w:right w:w="57" w:type="dxa"/>
                  </w:tcMar>
                  <w:vAlign w:val="center"/>
                </w:tcPr>
                <w:p w14:paraId="3C24F781">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sz w:val="18"/>
                      <w:szCs w:val="18"/>
                      <w:highlight w:val="none"/>
                    </w:rPr>
                    <w:t>直接向海排放污染物的海洋工程建设项目。</w:t>
                  </w:r>
                </w:p>
              </w:tc>
              <w:tc>
                <w:tcPr>
                  <w:tcW w:w="2187" w:type="pct"/>
                  <w:tcMar>
                    <w:left w:w="57" w:type="dxa"/>
                    <w:right w:w="57" w:type="dxa"/>
                  </w:tcMar>
                  <w:vAlign w:val="center"/>
                </w:tcPr>
                <w:p w14:paraId="681CC6F4">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sz w:val="18"/>
                      <w:szCs w:val="18"/>
                      <w:highlight w:val="none"/>
                    </w:rPr>
                    <w:t>本项目不属于向海洋排放污染物的海洋工程建设项目。</w:t>
                  </w:r>
                </w:p>
              </w:tc>
              <w:tc>
                <w:tcPr>
                  <w:tcW w:w="614" w:type="pct"/>
                  <w:vAlign w:val="center"/>
                </w:tcPr>
                <w:p w14:paraId="67FFB74C">
                  <w:pPr>
                    <w:autoSpaceDE w:val="0"/>
                    <w:autoSpaceDN w:val="0"/>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否</w:t>
                  </w:r>
                </w:p>
              </w:tc>
            </w:tr>
            <w:tr w14:paraId="1AF5D5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1193" w:hRule="atLeast"/>
                <w:jc w:val="center"/>
              </w:trPr>
              <w:tc>
                <w:tcPr>
                  <w:tcW w:w="578" w:type="pct"/>
                  <w:vAlign w:val="center"/>
                </w:tcPr>
                <w:p w14:paraId="1A3E7DB8">
                  <w:pPr>
                    <w:autoSpaceDE w:val="0"/>
                    <w:autoSpaceDN w:val="0"/>
                    <w:adjustRightInd w:val="0"/>
                    <w:snapToGrid w:val="0"/>
                    <w:jc w:val="left"/>
                    <w:rPr>
                      <w:rFonts w:hint="default" w:ascii="Times New Roman" w:hAnsi="Times New Roman" w:cs="Times New Roman"/>
                      <w:color w:val="auto"/>
                      <w:sz w:val="18"/>
                      <w:szCs w:val="18"/>
                      <w:highlight w:val="none"/>
                    </w:rPr>
                  </w:pPr>
                </w:p>
              </w:tc>
              <w:tc>
                <w:tcPr>
                  <w:tcW w:w="4421" w:type="pct"/>
                  <w:gridSpan w:val="3"/>
                  <w:tcMar>
                    <w:left w:w="57" w:type="dxa"/>
                    <w:right w:w="57" w:type="dxa"/>
                  </w:tcMar>
                  <w:vAlign w:val="center"/>
                </w:tcPr>
                <w:p w14:paraId="359DCDDF">
                  <w:pPr>
                    <w:autoSpaceDE w:val="0"/>
                    <w:autoSpaceDN w:val="0"/>
                    <w:adjustRightInd w:val="0"/>
                    <w:snapToGrid w:val="0"/>
                    <w:jc w:val="left"/>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注：①废气中有毒有害污染物指纳入《有毒有害大气污染物名录》的污染物（不包括无排放标准的污染物）。</w:t>
                  </w:r>
                </w:p>
                <w:p w14:paraId="4EAE5B8D">
                  <w:pPr>
                    <w:autoSpaceDE w:val="0"/>
                    <w:autoSpaceDN w:val="0"/>
                    <w:adjustRightInd w:val="0"/>
                    <w:snapToGrid w:val="0"/>
                    <w:jc w:val="left"/>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②环境空气保护目标指自然保护区、风景名胜区、居住区、文化区和农村地区中人群较集中的区域。</w:t>
                  </w:r>
                </w:p>
                <w:p w14:paraId="553625E8">
                  <w:pPr>
                    <w:autoSpaceDE w:val="0"/>
                    <w:autoSpaceDN w:val="0"/>
                    <w:adjustRightInd w:val="0"/>
                    <w:snapToGrid w:val="0"/>
                    <w:jc w:val="left"/>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sz w:val="18"/>
                      <w:szCs w:val="18"/>
                      <w:highlight w:val="none"/>
                    </w:rPr>
                    <w:t>③临界量及其计算方法参考《建设项目环境风险评价技术导则》（HJ 169）附录B、附录C。</w:t>
                  </w:r>
                </w:p>
              </w:tc>
            </w:tr>
          </w:tbl>
          <w:p w14:paraId="053E7E95">
            <w:pPr>
              <w:adjustRightInd w:val="0"/>
              <w:snapToGrid w:val="0"/>
              <w:jc w:val="center"/>
              <w:rPr>
                <w:rFonts w:hint="default" w:ascii="Times New Roman" w:hAnsi="Times New Roman" w:cs="Times New Roman"/>
                <w:color w:val="auto"/>
                <w:szCs w:val="21"/>
                <w:highlight w:val="none"/>
              </w:rPr>
            </w:pPr>
          </w:p>
        </w:tc>
      </w:tr>
      <w:tr w14:paraId="6E3257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2382" w:type="dxa"/>
            <w:gridSpan w:val="2"/>
            <w:vAlign w:val="center"/>
          </w:tcPr>
          <w:p w14:paraId="0B723627">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规划情况</w:t>
            </w:r>
          </w:p>
        </w:tc>
        <w:tc>
          <w:tcPr>
            <w:tcW w:w="6488" w:type="dxa"/>
            <w:gridSpan w:val="3"/>
            <w:vAlign w:val="center"/>
          </w:tcPr>
          <w:p w14:paraId="72F93EEE">
            <w:pPr>
              <w:autoSpaceDE w:val="0"/>
              <w:autoSpaceDN w:val="0"/>
              <w:adjustRightInd w:val="0"/>
              <w:snapToGrid w:val="0"/>
              <w:jc w:val="center"/>
              <w:rPr>
                <w:rFonts w:hint="eastAsia"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rPr>
              <w:t>《黑龙江铁力经济开发区总体规划（2021-2030年）》</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编制中</w:t>
            </w:r>
            <w:r>
              <w:rPr>
                <w:rFonts w:hint="eastAsia" w:cs="Times New Roman"/>
                <w:color w:val="auto"/>
                <w:kern w:val="0"/>
                <w:szCs w:val="21"/>
                <w:highlight w:val="none"/>
                <w:lang w:eastAsia="zh-CN"/>
              </w:rPr>
              <w:t>）</w:t>
            </w:r>
          </w:p>
        </w:tc>
      </w:tr>
      <w:tr w14:paraId="383F1F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82" w:type="dxa"/>
            <w:gridSpan w:val="2"/>
            <w:vAlign w:val="center"/>
          </w:tcPr>
          <w:p w14:paraId="3045B871">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规划环境影响</w:t>
            </w:r>
          </w:p>
          <w:p w14:paraId="0D4CA8D2">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评价情况</w:t>
            </w:r>
          </w:p>
        </w:tc>
        <w:tc>
          <w:tcPr>
            <w:tcW w:w="6488" w:type="dxa"/>
            <w:gridSpan w:val="3"/>
            <w:vAlign w:val="center"/>
          </w:tcPr>
          <w:p w14:paraId="460959BA">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规划环境影响评价文件名称：《黑龙江铁力经济开发区总体规划（2021</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2030年）环境影响报告书》</w:t>
            </w:r>
          </w:p>
          <w:p w14:paraId="0676326D">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环评审查机关：黑龙江省生态环境厅</w:t>
            </w:r>
          </w:p>
          <w:p w14:paraId="21853AF5">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审查文件名称及文号：《关于〈黑龙江铁力经济开发区总体规划（2021</w:t>
            </w:r>
            <w:r>
              <w:rPr>
                <w:rFonts w:hint="default" w:ascii="Times New Roman" w:hAnsi="Times New Roman"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2030年）环境影响报告书〉的审查意见》（黑环函〔2025〕32号）</w:t>
            </w:r>
          </w:p>
        </w:tc>
      </w:tr>
      <w:tr w14:paraId="51B372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82" w:type="dxa"/>
            <w:gridSpan w:val="2"/>
            <w:vAlign w:val="center"/>
          </w:tcPr>
          <w:p w14:paraId="4D8AAA30">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规划及规划环境</w:t>
            </w:r>
          </w:p>
          <w:p w14:paraId="498A8AE5">
            <w:pPr>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影响评价符合性分析</w:t>
            </w:r>
          </w:p>
        </w:tc>
        <w:tc>
          <w:tcPr>
            <w:tcW w:w="6488" w:type="dxa"/>
            <w:gridSpan w:val="3"/>
            <w:vAlign w:val="center"/>
          </w:tcPr>
          <w:p w14:paraId="4B0A89FA">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0"/>
                <w:szCs w:val="21"/>
                <w:highlight w:val="none"/>
                <w:lang w:val="en-US" w:eastAsia="zh-CN"/>
              </w:rPr>
            </w:pPr>
            <w:r>
              <w:rPr>
                <w:rFonts w:hint="eastAsia" w:cs="Times New Roman"/>
                <w:color w:val="auto"/>
                <w:kern w:val="0"/>
                <w:szCs w:val="21"/>
                <w:highlight w:val="none"/>
                <w:lang w:val="en-US" w:eastAsia="zh-CN"/>
              </w:rPr>
              <w:t>1.与</w:t>
            </w:r>
            <w:r>
              <w:rPr>
                <w:rFonts w:hint="default" w:ascii="Times New Roman" w:hAnsi="Times New Roman" w:cs="Times New Roman"/>
                <w:color w:val="auto"/>
                <w:kern w:val="0"/>
                <w:szCs w:val="21"/>
                <w:highlight w:val="none"/>
              </w:rPr>
              <w:t>《黑龙江铁力经济开发区总体规划（2021-2030年）》</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编制中</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符合性分析</w:t>
            </w:r>
          </w:p>
          <w:p w14:paraId="2275FA5F">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（1）总体定位</w:t>
            </w:r>
          </w:p>
          <w:p w14:paraId="7E252676">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紧跟国家及区域产业布局导向，立足本地产业基础和资源优势，以绿色食品、医药制造、装备制造及矿产精深加工为主导产业，与生产性服务业进行协作，新材料产业在其中寻找机会。形成以铁力当地自然资源优势为核心的区域产业链，通过产品供需而形成的互相关联、互补的内在联系构成了产业关联度。较高的产业关联度是企业能够共融共生、形成产业集群的必要条件。</w:t>
            </w:r>
          </w:p>
          <w:p w14:paraId="7957933B">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（2）产业定位</w:t>
            </w:r>
          </w:p>
          <w:p w14:paraId="19966603">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规划以打造主导产业、支柱产业、特色产业，着力发展新兴产业为目标。全力发展仓储物流区、绿色食品及医药制造产业区、装备制造及矿产精深加工区，同时配以配套服务区，满足当地人口的生活需求。</w:t>
            </w:r>
          </w:p>
          <w:p w14:paraId="53EE349F">
            <w:pPr>
              <w:keepNext w:val="0"/>
              <w:keepLines w:val="0"/>
              <w:pageBreakBefore w:val="0"/>
              <w:widowControl w:val="0"/>
              <w:numPr>
                <w:ilvl w:val="0"/>
                <w:numId w:val="2"/>
              </w:numPr>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空间布局规划</w:t>
            </w:r>
          </w:p>
          <w:p w14:paraId="49D64D4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1）仓储物流区规划占地面积：102.71hm</w:t>
            </w:r>
            <w:r>
              <w:rPr>
                <w:rFonts w:hint="default" w:ascii="Times New Roman" w:hAnsi="Times New Roman" w:cs="Times New Roman"/>
                <w:color w:val="auto"/>
                <w:kern w:val="0"/>
                <w:szCs w:val="21"/>
                <w:highlight w:val="none"/>
                <w:vertAlign w:val="superscript"/>
              </w:rPr>
              <w:t>2</w:t>
            </w:r>
            <w:r>
              <w:rPr>
                <w:rFonts w:hint="default" w:ascii="Times New Roman" w:hAnsi="Times New Roman" w:cs="Times New Roman"/>
                <w:color w:val="auto"/>
                <w:kern w:val="0"/>
                <w:szCs w:val="21"/>
                <w:highlight w:val="none"/>
              </w:rPr>
              <w:t>。</w:t>
            </w:r>
          </w:p>
          <w:p w14:paraId="7EFAA261">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规划范围：位于经济开发区西部，城南街以南，工厂路以东。</w:t>
            </w:r>
          </w:p>
          <w:p w14:paraId="40BBBA4F">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产业定位：充分发挥当地丰富的产品资源和森林资源的储备优势，依托本地区域位置的通达性和交通的便捷性，形成集中、集约的管理模式，为园区及周边地区的产品提供坚实的后盾。主要发展仓储物流等。</w:t>
            </w:r>
          </w:p>
          <w:p w14:paraId="1CE4E2D5">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2）配套服务区</w:t>
            </w:r>
          </w:p>
          <w:p w14:paraId="0C9AF43E">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规划占地面积：25.89hm</w:t>
            </w:r>
            <w:r>
              <w:rPr>
                <w:rFonts w:hint="default" w:ascii="Times New Roman" w:hAnsi="Times New Roman" w:cs="Times New Roman"/>
                <w:color w:val="auto"/>
                <w:kern w:val="0"/>
                <w:szCs w:val="21"/>
                <w:highlight w:val="none"/>
                <w:vertAlign w:val="superscript"/>
              </w:rPr>
              <w:t>2</w:t>
            </w:r>
            <w:r>
              <w:rPr>
                <w:rFonts w:hint="default" w:ascii="Times New Roman" w:hAnsi="Times New Roman" w:cs="Times New Roman"/>
                <w:color w:val="auto"/>
                <w:kern w:val="0"/>
                <w:szCs w:val="21"/>
                <w:highlight w:val="none"/>
              </w:rPr>
              <w:t>。</w:t>
            </w:r>
          </w:p>
          <w:p w14:paraId="08E4B4C7">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规划范围：位于经济开发区的西北部，铁甲河两侧，建设大街与创业路交口。</w:t>
            </w:r>
          </w:p>
          <w:p w14:paraId="0048E68B">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区域内以公共绿地、居住用地、公共配套用地为主，包含松柏街两侧的滨水公园，为园区西部提供良好的配套景观，满足人们生产生活的需求。</w:t>
            </w:r>
          </w:p>
          <w:p w14:paraId="1C3F9680">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3）绿色食品及医药制造产业区</w:t>
            </w:r>
          </w:p>
          <w:p w14:paraId="28F18E0E">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规划占地面积：248.47hm</w:t>
            </w:r>
            <w:r>
              <w:rPr>
                <w:rFonts w:hint="default" w:ascii="Times New Roman" w:hAnsi="Times New Roman" w:cs="Times New Roman"/>
                <w:color w:val="auto"/>
                <w:kern w:val="0"/>
                <w:szCs w:val="21"/>
                <w:highlight w:val="none"/>
                <w:vertAlign w:val="superscript"/>
              </w:rPr>
              <w:t>2</w:t>
            </w:r>
            <w:r>
              <w:rPr>
                <w:rFonts w:hint="default" w:ascii="Times New Roman" w:hAnsi="Times New Roman" w:cs="Times New Roman"/>
                <w:color w:val="auto"/>
                <w:kern w:val="0"/>
                <w:szCs w:val="21"/>
                <w:highlight w:val="none"/>
              </w:rPr>
              <w:t>。</w:t>
            </w:r>
          </w:p>
          <w:p w14:paraId="4E2643D0">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规划范围：位于建设东大街以南、铁东路以东、志远路以西。</w:t>
            </w:r>
          </w:p>
          <w:p w14:paraId="0FFACAF1">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产业定位：依托当地特色且丰富的物产资源，完善经开区绿色食品链条，形成具有竞争力的主导产业；打造现代工艺屠宰加工厂，进行农副食品加工，实现数字化、生态化、智能化、科技化的先进屠宰加工流程，形成具有行业竞争力的屠宰加工产业区；依托现有的葵花药业等项目的良好基础，继续加大对医药产业的投入，在提高中药饮片的加工和中成药生产产量的同时，发展兽用中药及饲料。重点发展绿色食品和药品，主要包括农业、农副食品加工业、食品制造业、酒、饮料和精制茶制造业、医药制造业（不包括原料药）等。</w:t>
            </w:r>
          </w:p>
          <w:p w14:paraId="372BAF2B">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4）装备制造及矿产精深加工区</w:t>
            </w:r>
          </w:p>
          <w:p w14:paraId="216C7C33">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规划占地面积：101.03hm</w:t>
            </w:r>
            <w:r>
              <w:rPr>
                <w:rFonts w:hint="default" w:ascii="Times New Roman" w:hAnsi="Times New Roman" w:cs="Times New Roman"/>
                <w:color w:val="auto"/>
                <w:kern w:val="0"/>
                <w:szCs w:val="21"/>
                <w:highlight w:val="none"/>
                <w:vertAlign w:val="superscript"/>
              </w:rPr>
              <w:t>2</w:t>
            </w:r>
            <w:r>
              <w:rPr>
                <w:rFonts w:hint="default" w:ascii="Times New Roman" w:hAnsi="Times New Roman" w:cs="Times New Roman"/>
                <w:color w:val="auto"/>
                <w:kern w:val="0"/>
                <w:szCs w:val="21"/>
                <w:highlight w:val="none"/>
              </w:rPr>
              <w:t>。</w:t>
            </w:r>
          </w:p>
          <w:p w14:paraId="5BF381DF">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规划范围：位于骊山大街以南，远广路以西。</w:t>
            </w:r>
          </w:p>
          <w:p w14:paraId="697A816E">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产业定位：以发展农机装备制造，着力提高自主创新能力和核心竞争力，对实现铁力农机工业自主化、农业现代化具有重要意义；以鹿鸣钼矿为依托，实现钼精矿深加工，拓展产业链，增加矿产品附加值。发展矿产精深加工、矿产副产品加工和综合开发等，发展金属制品及非金属矿物制品的产业区。重点发展装备制造和矿产精深加工，主要包括非金属矿物制品业、金属制品业、通用设备制造业、专用设备制造业、汽车制造业等。</w:t>
            </w:r>
          </w:p>
          <w:p w14:paraId="4342A6C6">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符合性分析：</w:t>
            </w:r>
          </w:p>
          <w:p w14:paraId="1945DD40">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（1）与开发区用地规划的符合性</w:t>
            </w:r>
          </w:p>
          <w:p w14:paraId="2A668F43">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根据《黑龙江铁力经济开发区总体规划（2021-2030年）》</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编制中</w:t>
            </w:r>
            <w:r>
              <w:rPr>
                <w:rFonts w:hint="eastAsia" w:cs="Times New Roman"/>
                <w:color w:val="auto"/>
                <w:kern w:val="0"/>
                <w:szCs w:val="21"/>
                <w:highlight w:val="none"/>
                <w:lang w:eastAsia="zh-CN"/>
              </w:rPr>
              <w:t>）</w:t>
            </w:r>
            <w:r>
              <w:rPr>
                <w:rFonts w:hint="default" w:ascii="Times New Roman" w:hAnsi="Times New Roman" w:cs="Times New Roman"/>
                <w:color w:val="auto"/>
                <w:kern w:val="0"/>
                <w:szCs w:val="21"/>
                <w:highlight w:val="none"/>
              </w:rPr>
              <w:t>，本项目用地类型为工业用地，本项目是为工业项目，因此本项目符合开发区用地规划。</w:t>
            </w:r>
          </w:p>
          <w:p w14:paraId="0B9632F2">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（2）与开发区产业定位及布局符合性</w:t>
            </w:r>
          </w:p>
          <w:p w14:paraId="7FF9F599">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根据《黑龙江铁力经济开发区总体规划（2021-2030年）》</w:t>
            </w:r>
            <w:r>
              <w:rPr>
                <w:rFonts w:hint="eastAsia" w:cs="Times New Roman"/>
                <w:color w:val="auto"/>
                <w:kern w:val="0"/>
                <w:szCs w:val="21"/>
                <w:highlight w:val="none"/>
                <w:lang w:eastAsia="zh-CN"/>
              </w:rPr>
              <w:t>（</w:t>
            </w:r>
            <w:r>
              <w:rPr>
                <w:rFonts w:hint="eastAsia" w:cs="Times New Roman"/>
                <w:color w:val="auto"/>
                <w:kern w:val="0"/>
                <w:szCs w:val="21"/>
                <w:highlight w:val="none"/>
                <w:lang w:val="en-US" w:eastAsia="zh-CN"/>
              </w:rPr>
              <w:t>编制中</w:t>
            </w:r>
            <w:r>
              <w:rPr>
                <w:rFonts w:hint="eastAsia" w:cs="Times New Roman"/>
                <w:color w:val="auto"/>
                <w:kern w:val="0"/>
                <w:szCs w:val="21"/>
                <w:highlight w:val="none"/>
                <w:lang w:eastAsia="zh-CN"/>
              </w:rPr>
              <w:t>）</w:t>
            </w:r>
            <w:r>
              <w:rPr>
                <w:rFonts w:hint="default" w:ascii="Times New Roman" w:hAnsi="Times New Roman" w:cs="Times New Roman"/>
                <w:color w:val="auto"/>
                <w:kern w:val="0"/>
                <w:szCs w:val="21"/>
                <w:highlight w:val="none"/>
              </w:rPr>
              <w:t>，重点发展装备制造和矿产精深加工，主要包括非金属矿物制品业、金属制品业、通用设备制造业、专用设备制造业、汽车制造业等。本项目</w:t>
            </w:r>
            <w:r>
              <w:rPr>
                <w:rFonts w:hint="eastAsia" w:cs="Times New Roman"/>
                <w:color w:val="auto"/>
                <w:kern w:val="0"/>
                <w:szCs w:val="21"/>
                <w:highlight w:val="none"/>
                <w:lang w:val="en-US" w:eastAsia="zh-CN"/>
              </w:rPr>
              <w:t>生产蒸压加气混凝土砌块与蒸压加气混凝土板材</w:t>
            </w:r>
            <w:r>
              <w:rPr>
                <w:rFonts w:hint="default" w:ascii="Times New Roman" w:hAnsi="Times New Roman" w:cs="Times New Roman"/>
                <w:color w:val="auto"/>
                <w:kern w:val="0"/>
                <w:szCs w:val="21"/>
                <w:highlight w:val="none"/>
              </w:rPr>
              <w:t>，</w:t>
            </w:r>
            <w:r>
              <w:rPr>
                <w:rFonts w:hint="eastAsia" w:cs="Times New Roman"/>
                <w:color w:val="auto"/>
                <w:kern w:val="0"/>
                <w:szCs w:val="21"/>
                <w:highlight w:val="none"/>
                <w:lang w:val="en-US" w:eastAsia="zh-CN"/>
              </w:rPr>
              <w:t>属于非金属矿物制品业</w:t>
            </w:r>
            <w:r>
              <w:rPr>
                <w:rFonts w:hint="default" w:ascii="Times New Roman" w:hAnsi="Times New Roman" w:eastAsia="宋体" w:cs="Times New Roman"/>
                <w:color w:val="auto"/>
                <w:szCs w:val="21"/>
                <w:highlight w:val="none"/>
                <w:lang w:val="en-US" w:eastAsia="zh-CN"/>
              </w:rPr>
              <w:t>，</w:t>
            </w:r>
            <w:r>
              <w:rPr>
                <w:rFonts w:hint="default" w:ascii="Times New Roman" w:hAnsi="Times New Roman" w:cs="Times New Roman"/>
                <w:color w:val="auto"/>
                <w:kern w:val="0"/>
                <w:szCs w:val="21"/>
                <w:highlight w:val="none"/>
              </w:rPr>
              <w:t>位于装备制造及矿产精深加工区内，符合开发区规划产业定位及布局要求。</w:t>
            </w:r>
          </w:p>
          <w:p w14:paraId="383C57BE">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66432" behindDoc="0" locked="0" layoutInCell="1" allowOverlap="1">
                      <wp:simplePos x="0" y="0"/>
                      <wp:positionH relativeFrom="column">
                        <wp:posOffset>3021965</wp:posOffset>
                      </wp:positionH>
                      <wp:positionV relativeFrom="paragraph">
                        <wp:posOffset>996315</wp:posOffset>
                      </wp:positionV>
                      <wp:extent cx="577850" cy="215900"/>
                      <wp:effectExtent l="66675" t="6350" r="22225" b="292100"/>
                      <wp:wrapNone/>
                      <wp:docPr id="68" name="圆角矩形标注 68"/>
                      <wp:cNvGraphicFramePr/>
                      <a:graphic xmlns:a="http://schemas.openxmlformats.org/drawingml/2006/main">
                        <a:graphicData uri="http://schemas.microsoft.com/office/word/2010/wordprocessingShape">
                          <wps:wsp>
                            <wps:cNvSpPr/>
                            <wps:spPr>
                              <a:xfrm>
                                <a:off x="5537200" y="5645785"/>
                                <a:ext cx="577850" cy="215900"/>
                              </a:xfrm>
                              <a:prstGeom prst="wedgeRoundRectCallout">
                                <a:avLst>
                                  <a:gd name="adj1" fmla="val -57472"/>
                                  <a:gd name="adj2" fmla="val 164705"/>
                                  <a:gd name="adj3" fmla="val 16667"/>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FE7E7A7">
                                  <w:pPr>
                                    <w:jc w:val="center"/>
                                    <w:rPr>
                                      <w:rFonts w:hint="eastAsia" w:eastAsia="宋体"/>
                                      <w:sz w:val="13"/>
                                      <w:szCs w:val="13"/>
                                      <w:lang w:val="en-US" w:eastAsia="zh-CN"/>
                                    </w:rPr>
                                  </w:pPr>
                                  <w:r>
                                    <w:rPr>
                                      <w:rFonts w:hint="eastAsia"/>
                                      <w:sz w:val="13"/>
                                      <w:szCs w:val="13"/>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37.95pt;margin-top:78.45pt;height:17pt;width:45.5pt;z-index:251666432;v-text-anchor:middle;mso-width-relative:page;mso-height-relative:page;" fillcolor="#5B9BD5 [3204]" filled="t" stroked="t" coordsize="21600,21600" o:gfxdata="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" adj="-1614,46376,14400">
                      <v:fill on="t" focussize="0,0"/>
                      <v:stroke weight="1pt" color="#2E75B6 [2404]" miterlimit="8" joinstyle="miter"/>
                      <v:imagedata o:title=""/>
                      <o:lock v:ext="edit" aspectratio="f"/>
                      <v:textbox>
                        <w:txbxContent>
                          <w:p w14:paraId="5FE7E7A7">
                            <w:pPr>
                              <w:jc w:val="center"/>
                              <w:rPr>
                                <w:rFonts w:hint="eastAsia" w:eastAsia="宋体"/>
                                <w:sz w:val="13"/>
                                <w:szCs w:val="13"/>
                                <w:lang w:val="en-US" w:eastAsia="zh-CN"/>
                              </w:rPr>
                            </w:pPr>
                            <w:r>
                              <w:rPr>
                                <w:rFonts w:hint="eastAsia"/>
                                <w:sz w:val="13"/>
                                <w:szCs w:val="13"/>
                                <w:lang w:val="en-US" w:eastAsia="zh-CN"/>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3977640" cy="2809875"/>
                  <wp:effectExtent l="0" t="0" r="3810" b="9525"/>
                  <wp:docPr id="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8"/>
                          <pic:cNvPicPr>
                            <a:picLocks noChangeAspect="1"/>
                          </pic:cNvPicPr>
                        </pic:nvPicPr>
                        <pic:blipFill>
                          <a:blip r:embed="rId9"/>
                          <a:stretch>
                            <a:fillRect/>
                          </a:stretch>
                        </pic:blipFill>
                        <pic:spPr>
                          <a:xfrm>
                            <a:off x="0" y="0"/>
                            <a:ext cx="3977640" cy="2809875"/>
                          </a:xfrm>
                          <a:prstGeom prst="rect">
                            <a:avLst/>
                          </a:prstGeom>
                          <a:noFill/>
                          <a:ln>
                            <a:noFill/>
                          </a:ln>
                        </pic:spPr>
                      </pic:pic>
                    </a:graphicData>
                  </a:graphic>
                </wp:inline>
              </w:drawing>
            </w:r>
          </w:p>
          <w:p w14:paraId="317993D8">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b/>
                <w:bCs/>
                <w:color w:val="auto"/>
                <w:kern w:val="0"/>
                <w:sz w:val="21"/>
                <w:szCs w:val="21"/>
                <w:highlight w:val="none"/>
                <w:lang w:val="en-US" w:eastAsia="zh-CN" w:bidi="ar"/>
              </w:rPr>
              <w:t>图1-1本项目在黑龙江铁力经济开发区中位置图</w:t>
            </w:r>
          </w:p>
          <w:p w14:paraId="6ADDB91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（3）与基础设施规划的符合性</w:t>
            </w:r>
          </w:p>
          <w:p w14:paraId="6B14C6BF">
            <w:pPr>
              <w:keepNext w:val="0"/>
              <w:keepLines w:val="0"/>
              <w:widowControl/>
              <w:suppressLineNumbers w:val="0"/>
              <w:jc w:val="center"/>
              <w:rPr>
                <w:color w:val="auto"/>
                <w:highlight w:val="none"/>
              </w:rPr>
            </w:pPr>
            <w:r>
              <w:rPr>
                <w:rFonts w:hint="eastAsia" w:ascii="宋体" w:hAnsi="宋体" w:eastAsia="宋体" w:cs="宋体"/>
                <w:b/>
                <w:bCs/>
                <w:color w:val="auto"/>
                <w:kern w:val="0"/>
                <w:sz w:val="20"/>
                <w:szCs w:val="20"/>
                <w:highlight w:val="none"/>
                <w:lang w:val="en-US" w:eastAsia="zh-CN" w:bidi="ar"/>
              </w:rPr>
              <w:t xml:space="preserve">表 </w:t>
            </w:r>
            <w:r>
              <w:rPr>
                <w:rFonts w:hint="default" w:ascii="Times New Roman" w:hAnsi="Times New Roman" w:eastAsia="宋体" w:cs="Times New Roman"/>
                <w:b/>
                <w:bCs/>
                <w:color w:val="auto"/>
                <w:kern w:val="0"/>
                <w:sz w:val="20"/>
                <w:szCs w:val="20"/>
                <w:highlight w:val="none"/>
                <w:lang w:val="en-US" w:eastAsia="zh-CN" w:bidi="ar"/>
              </w:rPr>
              <w:t xml:space="preserve">1-2 </w:t>
            </w:r>
            <w:r>
              <w:rPr>
                <w:rFonts w:hint="eastAsia" w:ascii="宋体" w:hAnsi="宋体" w:eastAsia="宋体" w:cs="宋体"/>
                <w:b/>
                <w:bCs/>
                <w:color w:val="auto"/>
                <w:kern w:val="0"/>
                <w:sz w:val="20"/>
                <w:szCs w:val="20"/>
                <w:highlight w:val="none"/>
                <w:lang w:val="en-US" w:eastAsia="zh-CN" w:bidi="ar"/>
              </w:rPr>
              <w:t>与基础设施规划相符性分析</w:t>
            </w:r>
          </w:p>
          <w:tbl>
            <w:tblPr>
              <w:tblStyle w:val="33"/>
              <w:tblW w:w="6272"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2836"/>
              <w:gridCol w:w="1745"/>
              <w:gridCol w:w="812"/>
            </w:tblGrid>
            <w:tr w14:paraId="3249A5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50C7A5E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项目</w:t>
                  </w:r>
                </w:p>
              </w:tc>
              <w:tc>
                <w:tcPr>
                  <w:tcW w:w="2836" w:type="dxa"/>
                  <w:tcBorders>
                    <w:tl2br w:val="nil"/>
                    <w:tr2bl w:val="nil"/>
                  </w:tcBorders>
                  <w:vAlign w:val="center"/>
                </w:tcPr>
                <w:p w14:paraId="646F2E0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《黑龙江铁力经济开发区总体规划（2021</w:t>
                  </w:r>
                  <w:r>
                    <w:rPr>
                      <w:rFonts w:hint="eastAsia" w:cs="Times New Roman"/>
                      <w:color w:val="auto"/>
                      <w:kern w:val="0"/>
                      <w:sz w:val="18"/>
                      <w:szCs w:val="18"/>
                      <w:highlight w:val="none"/>
                      <w:vertAlign w:val="baseline"/>
                      <w:lang w:val="en-US" w:eastAsia="zh-CN"/>
                    </w:rPr>
                    <w:t>-</w:t>
                  </w:r>
                  <w:r>
                    <w:rPr>
                      <w:rFonts w:hint="default" w:ascii="Times New Roman" w:hAnsi="Times New Roman" w:cs="Times New Roman"/>
                      <w:color w:val="auto"/>
                      <w:kern w:val="0"/>
                      <w:sz w:val="18"/>
                      <w:szCs w:val="18"/>
                      <w:highlight w:val="none"/>
                      <w:vertAlign w:val="baseline"/>
                    </w:rPr>
                    <w:t>2030年）》（编制中）中规划内容</w:t>
                  </w:r>
                </w:p>
              </w:tc>
              <w:tc>
                <w:tcPr>
                  <w:tcW w:w="1745" w:type="dxa"/>
                  <w:tcBorders>
                    <w:tl2br w:val="nil"/>
                    <w:tr2bl w:val="nil"/>
                  </w:tcBorders>
                  <w:vAlign w:val="center"/>
                </w:tcPr>
                <w:p w14:paraId="4E0F0B1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本项目情况</w:t>
                  </w:r>
                </w:p>
              </w:tc>
              <w:tc>
                <w:tcPr>
                  <w:tcW w:w="812" w:type="dxa"/>
                  <w:tcBorders>
                    <w:tl2br w:val="nil"/>
                    <w:tr2bl w:val="nil"/>
                  </w:tcBorders>
                  <w:vAlign w:val="center"/>
                </w:tcPr>
                <w:p w14:paraId="403809E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相符性</w:t>
                  </w:r>
                </w:p>
              </w:tc>
            </w:tr>
            <w:tr w14:paraId="37E20E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5D958A5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给水工程规划</w:t>
                  </w:r>
                </w:p>
              </w:tc>
              <w:tc>
                <w:tcPr>
                  <w:tcW w:w="2836" w:type="dxa"/>
                  <w:tcBorders>
                    <w:tl2br w:val="nil"/>
                    <w:tr2bl w:val="nil"/>
                  </w:tcBorders>
                  <w:vAlign w:val="center"/>
                </w:tcPr>
                <w:p w14:paraId="6EEC857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规划近期2025年园区生活用水水源为铁力市市政自来水（地下水），生产用水水源为市政自来水（地下水）和市政污水处理厂处理后再生水，景观环境用水水源为铁力经济开发区污水处理厂再生水和市政污水处理厂处理后再生水。规划远期2030年园区生活用水水源为铁力市市政自来水（小白河水库地表水），生产用水水源为市政自来水（小白河水库地表水）和市政污水处理厂处理后再生水，景观环境用水水源为铁力经济开发区污水处理厂再生水和市政污水处理厂处理后再生水。</w:t>
                  </w:r>
                </w:p>
              </w:tc>
              <w:tc>
                <w:tcPr>
                  <w:tcW w:w="1745" w:type="dxa"/>
                  <w:tcBorders>
                    <w:tl2br w:val="nil"/>
                    <w:tr2bl w:val="nil"/>
                  </w:tcBorders>
                  <w:vAlign w:val="center"/>
                </w:tcPr>
                <w:p w14:paraId="3629358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本项目用水由开发区供水管网提供。</w:t>
                  </w:r>
                </w:p>
              </w:tc>
              <w:tc>
                <w:tcPr>
                  <w:tcW w:w="812" w:type="dxa"/>
                  <w:tcBorders>
                    <w:tl2br w:val="nil"/>
                    <w:tr2bl w:val="nil"/>
                  </w:tcBorders>
                  <w:vAlign w:val="center"/>
                </w:tcPr>
                <w:p w14:paraId="2D8D689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r w14:paraId="1534AA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522B73A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排水工程规划</w:t>
                  </w:r>
                </w:p>
              </w:tc>
              <w:tc>
                <w:tcPr>
                  <w:tcW w:w="2836" w:type="dxa"/>
                  <w:tcBorders>
                    <w:tl2br w:val="nil"/>
                    <w:tr2bl w:val="nil"/>
                  </w:tcBorders>
                  <w:vAlign w:val="center"/>
                </w:tcPr>
                <w:p w14:paraId="11B3C7E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规划排水体制采用雨、污分流制。经开区东部污水由污水排放系统收集送入园区污水处理厂，污水经处理达标后部分回用，剩余排入铁甲河，最终汇入呼兰河；经开区西部污水依据地势送入铁力市依吉污水处理有限公司（铁力市城市污水处理厂），污水经处理达标后部分回用，剩余排入呼兰河；雨水由雨水排放系统就近排入排水沟渠内。</w:t>
                  </w:r>
                </w:p>
              </w:tc>
              <w:tc>
                <w:tcPr>
                  <w:tcW w:w="1745" w:type="dxa"/>
                  <w:tcBorders>
                    <w:tl2br w:val="nil"/>
                    <w:tr2bl w:val="nil"/>
                  </w:tcBorders>
                  <w:vAlign w:val="center"/>
                </w:tcPr>
                <w:p w14:paraId="28B1397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eastAsia="zh-CN"/>
                    </w:rPr>
                  </w:pPr>
                  <w:r>
                    <w:rPr>
                      <w:rFonts w:hint="default" w:ascii="Times New Roman" w:hAnsi="Times New Roman" w:cs="Times New Roman"/>
                      <w:color w:val="auto"/>
                      <w:kern w:val="0"/>
                      <w:sz w:val="18"/>
                      <w:szCs w:val="18"/>
                      <w:highlight w:val="none"/>
                      <w:vertAlign w:val="baseline"/>
                    </w:rPr>
                    <w:t>排水采用雨污分流制，雨水排入开发区雨水管网，</w:t>
                  </w:r>
                  <w:r>
                    <w:rPr>
                      <w:rFonts w:hint="eastAsia" w:cs="Times New Roman"/>
                      <w:color w:val="auto"/>
                      <w:kern w:val="0"/>
                      <w:sz w:val="18"/>
                      <w:szCs w:val="18"/>
                      <w:highlight w:val="none"/>
                      <w:vertAlign w:val="baseline"/>
                      <w:lang w:eastAsia="zh-CN"/>
                    </w:rPr>
                    <w:t>生活污水经化粪池沉淀后</w:t>
                  </w:r>
                  <w:r>
                    <w:rPr>
                      <w:rFonts w:hint="default" w:ascii="Times New Roman" w:hAnsi="Times New Roman" w:cs="Times New Roman"/>
                      <w:color w:val="auto"/>
                      <w:kern w:val="0"/>
                      <w:sz w:val="18"/>
                      <w:szCs w:val="18"/>
                      <w:highlight w:val="none"/>
                      <w:vertAlign w:val="baseline"/>
                    </w:rPr>
                    <w:t>排入开发区污水管网，进入铁力市伊吉污水处理厂进一步处理</w:t>
                  </w:r>
                  <w:r>
                    <w:rPr>
                      <w:rFonts w:hint="eastAsia" w:cs="Times New Roman"/>
                      <w:color w:val="auto"/>
                      <w:kern w:val="0"/>
                      <w:sz w:val="18"/>
                      <w:szCs w:val="18"/>
                      <w:highlight w:val="none"/>
                      <w:vertAlign w:val="baseline"/>
                      <w:lang w:eastAsia="zh-CN"/>
                    </w:rPr>
                    <w:t>；生产废水回用不外排</w:t>
                  </w:r>
                </w:p>
              </w:tc>
              <w:tc>
                <w:tcPr>
                  <w:tcW w:w="812" w:type="dxa"/>
                  <w:tcBorders>
                    <w:tl2br w:val="nil"/>
                    <w:tr2bl w:val="nil"/>
                  </w:tcBorders>
                  <w:vAlign w:val="center"/>
                </w:tcPr>
                <w:p w14:paraId="29232AD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r w14:paraId="66B92F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54C737C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电力工程规划</w:t>
                  </w:r>
                </w:p>
              </w:tc>
              <w:tc>
                <w:tcPr>
                  <w:tcW w:w="2836" w:type="dxa"/>
                  <w:tcBorders>
                    <w:tl2br w:val="nil"/>
                    <w:tr2bl w:val="nil"/>
                  </w:tcBorders>
                  <w:vAlign w:val="center"/>
                </w:tcPr>
                <w:p w14:paraId="6CFCE2D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铁力经济开发区位于铁力市东南部，电力供应由铁力市东北郊的 66kV变电所供电，变电所电源引自市区东北郊的220kV铁一变，铁一变变电所主变容量为9万kVA×2。</w:t>
                  </w:r>
                </w:p>
              </w:tc>
              <w:tc>
                <w:tcPr>
                  <w:tcW w:w="1745" w:type="dxa"/>
                  <w:tcBorders>
                    <w:tl2br w:val="nil"/>
                    <w:tr2bl w:val="nil"/>
                  </w:tcBorders>
                  <w:vAlign w:val="center"/>
                </w:tcPr>
                <w:p w14:paraId="4F43D76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eastAsia="zh-CN"/>
                    </w:rPr>
                  </w:pPr>
                  <w:r>
                    <w:rPr>
                      <w:rFonts w:hint="default" w:ascii="Times New Roman" w:hAnsi="Times New Roman" w:cs="Times New Roman"/>
                      <w:color w:val="auto"/>
                      <w:kern w:val="0"/>
                      <w:sz w:val="18"/>
                      <w:szCs w:val="18"/>
                      <w:highlight w:val="none"/>
                      <w:vertAlign w:val="baseline"/>
                    </w:rPr>
                    <w:t>本项目供电由开发区电网</w:t>
                  </w:r>
                  <w:r>
                    <w:rPr>
                      <w:rFonts w:hint="eastAsia" w:cs="Times New Roman"/>
                      <w:color w:val="auto"/>
                      <w:kern w:val="0"/>
                      <w:sz w:val="18"/>
                      <w:szCs w:val="18"/>
                      <w:highlight w:val="none"/>
                      <w:vertAlign w:val="baseline"/>
                      <w:lang w:eastAsia="zh-CN"/>
                    </w:rPr>
                    <w:t>提供</w:t>
                  </w:r>
                </w:p>
              </w:tc>
              <w:tc>
                <w:tcPr>
                  <w:tcW w:w="812" w:type="dxa"/>
                  <w:tcBorders>
                    <w:tl2br w:val="nil"/>
                    <w:tr2bl w:val="nil"/>
                  </w:tcBorders>
                  <w:vAlign w:val="center"/>
                </w:tcPr>
                <w:p w14:paraId="7556B97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r w14:paraId="224D98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79BE540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供热工程规划</w:t>
                  </w:r>
                </w:p>
              </w:tc>
              <w:tc>
                <w:tcPr>
                  <w:tcW w:w="2836" w:type="dxa"/>
                  <w:tcBorders>
                    <w:tl2br w:val="nil"/>
                    <w:tr2bl w:val="nil"/>
                  </w:tcBorders>
                  <w:vAlign w:val="center"/>
                </w:tcPr>
                <w:p w14:paraId="4224CDD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铁力经济开发区采用铁力宇祥热电有限责任公司一热源对园区进行供热（仅包含采暖），可以满足铁力经济开发区集中供热的供热需求。集中供汽工程开发区蒸汽锅炉房无法满足全部企业用热需求，规划开发区内企业生产供热采用自建燃用清洁能源（电、天然气等）锅炉/工业窑炉方式。</w:t>
                  </w:r>
                </w:p>
              </w:tc>
              <w:tc>
                <w:tcPr>
                  <w:tcW w:w="1745" w:type="dxa"/>
                  <w:tcBorders>
                    <w:tl2br w:val="nil"/>
                    <w:tr2bl w:val="nil"/>
                  </w:tcBorders>
                  <w:vAlign w:val="center"/>
                </w:tcPr>
                <w:p w14:paraId="77B22F9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eastAsia="zh-CN"/>
                    </w:rPr>
                    <w:t>根据园区</w:t>
                  </w:r>
                  <w:r>
                    <w:rPr>
                      <w:rFonts w:hint="default" w:ascii="Times New Roman" w:hAnsi="Times New Roman" w:cs="Times New Roman"/>
                      <w:color w:val="auto"/>
                      <w:kern w:val="0"/>
                      <w:sz w:val="18"/>
                      <w:szCs w:val="18"/>
                      <w:highlight w:val="none"/>
                      <w:vertAlign w:val="baseline"/>
                    </w:rPr>
                    <w:t>供热工程规划</w:t>
                  </w:r>
                  <w:r>
                    <w:rPr>
                      <w:rFonts w:hint="eastAsia" w:cs="Times New Roman"/>
                      <w:color w:val="auto"/>
                      <w:kern w:val="0"/>
                      <w:sz w:val="18"/>
                      <w:szCs w:val="18"/>
                      <w:highlight w:val="none"/>
                      <w:vertAlign w:val="baseline"/>
                      <w:lang w:eastAsia="zh-CN"/>
                    </w:rPr>
                    <w:t>：</w:t>
                  </w:r>
                  <w:r>
                    <w:rPr>
                      <w:rFonts w:hint="default" w:ascii="Times New Roman" w:hAnsi="Times New Roman" w:cs="Times New Roman"/>
                      <w:color w:val="auto"/>
                      <w:kern w:val="0"/>
                      <w:sz w:val="18"/>
                      <w:szCs w:val="18"/>
                      <w:highlight w:val="none"/>
                      <w:vertAlign w:val="baseline"/>
                    </w:rPr>
                    <w:t>集中供汽工程开发区蒸汽锅炉房无法满足全部企业用热需求，规划开发区内企业生产供热采用自建燃用清洁能源（电、天然气等）锅炉/工业窑炉方式。本项目生产用</w:t>
                  </w:r>
                  <w:r>
                    <w:rPr>
                      <w:rFonts w:hint="eastAsia" w:cs="Times New Roman"/>
                      <w:color w:val="auto"/>
                      <w:kern w:val="0"/>
                      <w:sz w:val="18"/>
                      <w:szCs w:val="18"/>
                      <w:highlight w:val="none"/>
                      <w:vertAlign w:val="baseline"/>
                      <w:lang w:val="en-US" w:eastAsia="zh-CN"/>
                    </w:rPr>
                    <w:t>汽自建生物质锅炉</w:t>
                  </w:r>
                  <w:r>
                    <w:rPr>
                      <w:rFonts w:hint="default" w:ascii="Times New Roman" w:hAnsi="Times New Roman" w:cs="Times New Roman"/>
                      <w:color w:val="auto"/>
                      <w:kern w:val="0"/>
                      <w:sz w:val="18"/>
                      <w:szCs w:val="18"/>
                      <w:highlight w:val="none"/>
                      <w:vertAlign w:val="baseline"/>
                    </w:rPr>
                    <w:t>。</w:t>
                  </w:r>
                  <w:r>
                    <w:rPr>
                      <w:rFonts w:hint="eastAsia" w:cs="Times New Roman"/>
                      <w:color w:val="auto"/>
                      <w:kern w:val="0"/>
                      <w:sz w:val="18"/>
                      <w:szCs w:val="18"/>
                      <w:highlight w:val="none"/>
                      <w:vertAlign w:val="baseline"/>
                      <w:lang w:eastAsia="zh-CN"/>
                    </w:rPr>
                    <w:t>采用生物质成型颗粒作为燃料，搭配专业的生物质锅炉及除尘设施。根据原环境保护部《对十二届全国人大三次会议第9207号建议的答复》（环建函〔2015〕163号）等文件，生物质具有低污染性、可再生性，是国家鼓励发展的清洁能源。因此，生物质成型燃料属于清洁能源燃</w:t>
                  </w:r>
                  <w:r>
                    <w:rPr>
                      <w:rFonts w:hint="eastAsia" w:cs="Times New Roman"/>
                      <w:color w:val="auto"/>
                      <w:kern w:val="0"/>
                      <w:szCs w:val="21"/>
                      <w:highlight w:val="none"/>
                      <w:lang w:eastAsia="zh-CN"/>
                    </w:rPr>
                    <w:t>。</w:t>
                  </w:r>
                  <w:r>
                    <w:rPr>
                      <w:rFonts w:hint="eastAsia" w:cs="Times New Roman"/>
                      <w:color w:val="auto"/>
                      <w:kern w:val="0"/>
                      <w:sz w:val="18"/>
                      <w:szCs w:val="18"/>
                      <w:highlight w:val="none"/>
                      <w:vertAlign w:val="baseline"/>
                      <w:lang w:val="en-US" w:eastAsia="zh-CN"/>
                    </w:rPr>
                    <w:t>生活供暖采用电采暖</w:t>
                  </w:r>
                </w:p>
              </w:tc>
              <w:tc>
                <w:tcPr>
                  <w:tcW w:w="812" w:type="dxa"/>
                  <w:tcBorders>
                    <w:tl2br w:val="nil"/>
                    <w:tr2bl w:val="nil"/>
                  </w:tcBorders>
                  <w:vAlign w:val="center"/>
                </w:tcPr>
                <w:p w14:paraId="26B0320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bl>
          <w:p w14:paraId="79833FE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综上，本项目符合《黑龙江铁力经济开发区总体规划（2021-2030年）》（编制中）。</w:t>
            </w:r>
          </w:p>
          <w:p w14:paraId="425DABA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2.与《黑龙江铁力经济开发区总体规划（2021</w:t>
            </w:r>
            <w:r>
              <w:rPr>
                <w:rFonts w:hint="eastAsia"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2030年）环境影响报告书》及其审查意见中环保对策与减缓措施的符合性</w:t>
            </w:r>
          </w:p>
          <w:p w14:paraId="5A85C175">
            <w:pPr>
              <w:keepNext w:val="0"/>
              <w:keepLines w:val="0"/>
              <w:widowControl/>
              <w:suppressLineNumbers w:val="0"/>
              <w:jc w:val="center"/>
              <w:rPr>
                <w:rFonts w:hint="default" w:ascii="宋体" w:hAnsi="宋体" w:eastAsia="宋体" w:cs="宋体"/>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表</w:t>
            </w:r>
            <w:r>
              <w:rPr>
                <w:rFonts w:hint="default" w:ascii="Times New Roman" w:hAnsi="Times New Roman" w:cs="Times New Roman"/>
                <w:b/>
                <w:bCs/>
                <w:color w:val="auto"/>
                <w:kern w:val="0"/>
                <w:sz w:val="21"/>
                <w:szCs w:val="21"/>
                <w:highlight w:val="none"/>
                <w:lang w:val="en-US" w:eastAsia="zh-CN" w:bidi="ar"/>
              </w:rPr>
              <w:t>1-3</w:t>
            </w:r>
            <w:r>
              <w:rPr>
                <w:rFonts w:hint="default" w:ascii="Times New Roman" w:hAnsi="Times New Roman" w:eastAsia="宋体" w:cs="Times New Roman"/>
                <w:b/>
                <w:bCs/>
                <w:color w:val="auto"/>
                <w:kern w:val="0"/>
                <w:sz w:val="21"/>
                <w:szCs w:val="21"/>
                <w:highlight w:val="none"/>
                <w:lang w:val="en-US" w:eastAsia="zh-CN" w:bidi="ar"/>
              </w:rPr>
              <w:t>与《黑龙江铁力经济开发区总体规划（2021</w:t>
            </w:r>
            <w:r>
              <w:rPr>
                <w:rFonts w:hint="eastAsia" w:cs="Times New Roman"/>
                <w:b/>
                <w:bCs/>
                <w:color w:val="auto"/>
                <w:kern w:val="0"/>
                <w:sz w:val="21"/>
                <w:szCs w:val="21"/>
                <w:highlight w:val="none"/>
                <w:lang w:val="en-US" w:eastAsia="zh-CN" w:bidi="ar"/>
              </w:rPr>
              <w:t>-</w:t>
            </w:r>
            <w:r>
              <w:rPr>
                <w:rFonts w:hint="default" w:ascii="Times New Roman" w:hAnsi="Times New Roman" w:eastAsia="宋体" w:cs="Times New Roman"/>
                <w:b/>
                <w:bCs/>
                <w:color w:val="auto"/>
                <w:kern w:val="0"/>
                <w:sz w:val="21"/>
                <w:szCs w:val="21"/>
                <w:highlight w:val="none"/>
                <w:lang w:val="en-US" w:eastAsia="zh-CN" w:bidi="ar"/>
              </w:rPr>
              <w:t>2030年）</w:t>
            </w:r>
            <w:r>
              <w:rPr>
                <w:rFonts w:hint="default" w:ascii="宋体" w:hAnsi="宋体" w:eastAsia="宋体" w:cs="宋体"/>
                <w:b/>
                <w:bCs/>
                <w:color w:val="auto"/>
                <w:kern w:val="0"/>
                <w:sz w:val="21"/>
                <w:szCs w:val="21"/>
                <w:highlight w:val="none"/>
                <w:lang w:val="en-US" w:eastAsia="zh-CN" w:bidi="ar"/>
              </w:rPr>
              <w:t>环境影响报告书》中环保对策与减缓措施的符合性</w:t>
            </w:r>
          </w:p>
          <w:tbl>
            <w:tblPr>
              <w:tblStyle w:val="33"/>
              <w:tblW w:w="6272"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2741"/>
              <w:gridCol w:w="1840"/>
              <w:gridCol w:w="812"/>
            </w:tblGrid>
            <w:tr w14:paraId="43077C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745E619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项目</w:t>
                  </w:r>
                </w:p>
              </w:tc>
              <w:tc>
                <w:tcPr>
                  <w:tcW w:w="2741" w:type="dxa"/>
                  <w:tcBorders>
                    <w:tl2br w:val="nil"/>
                    <w:tr2bl w:val="nil"/>
                  </w:tcBorders>
                  <w:vAlign w:val="center"/>
                </w:tcPr>
                <w:p w14:paraId="3DAEC53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《黑龙江铁力经济开发区总体规划（2021—2030年）环境影响报告书》及其审查意见中内容</w:t>
                  </w:r>
                </w:p>
              </w:tc>
              <w:tc>
                <w:tcPr>
                  <w:tcW w:w="1840" w:type="dxa"/>
                  <w:tcBorders>
                    <w:tl2br w:val="nil"/>
                    <w:tr2bl w:val="nil"/>
                  </w:tcBorders>
                  <w:vAlign w:val="center"/>
                </w:tcPr>
                <w:p w14:paraId="3329EE7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本项目情况</w:t>
                  </w:r>
                </w:p>
              </w:tc>
              <w:tc>
                <w:tcPr>
                  <w:tcW w:w="812" w:type="dxa"/>
                  <w:tcBorders>
                    <w:tl2br w:val="nil"/>
                    <w:tr2bl w:val="nil"/>
                  </w:tcBorders>
                  <w:vAlign w:val="center"/>
                </w:tcPr>
                <w:p w14:paraId="4545A69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相符性</w:t>
                  </w:r>
                </w:p>
              </w:tc>
            </w:tr>
            <w:tr w14:paraId="4086D0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141B989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地表水环境保护对策与减缓措施</w:t>
                  </w:r>
                </w:p>
              </w:tc>
              <w:tc>
                <w:tcPr>
                  <w:tcW w:w="2741" w:type="dxa"/>
                  <w:tcBorders>
                    <w:tl2br w:val="nil"/>
                    <w:tr2bl w:val="nil"/>
                  </w:tcBorders>
                  <w:vAlign w:val="center"/>
                </w:tcPr>
                <w:p w14:paraId="1A07EFB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强化对污废水排放企业的监管。铁力经济开发区应加强区内废水排放的监督管理，区内企业应做到“清污分流、雨污分流”，实现废水分类收集、分质处理，确保污染源的达标排放；同时鼓励企业内部综合水循环利用，逐步建立中水回用系统，减少废水排放量，降低对区域水生生态环境的影响，要求电镀废水单独收集车间内循环使用，不外排；可能对铁力经济开发区污水处理厂处理</w:t>
                  </w:r>
                </w:p>
                <w:p w14:paraId="10D6205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设施正常运行产生影响的企业，应当建设独立的废水处理设施或预处理设施，在满足达标排放且不影响集中处理设施运行的要求后才能进入废水集中处理设施。</w:t>
                  </w:r>
                </w:p>
              </w:tc>
              <w:tc>
                <w:tcPr>
                  <w:tcW w:w="1840" w:type="dxa"/>
                  <w:tcBorders>
                    <w:tl2br w:val="nil"/>
                    <w:tr2bl w:val="nil"/>
                  </w:tcBorders>
                  <w:vAlign w:val="center"/>
                </w:tcPr>
                <w:p w14:paraId="439FA09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本项目排水实行雨污分流，雨水经雨水管网外排。本项目产生的废水仅为生活污水。</w:t>
                  </w:r>
                  <w:r>
                    <w:rPr>
                      <w:rFonts w:hint="eastAsia" w:cs="Times New Roman"/>
                      <w:color w:val="auto"/>
                      <w:kern w:val="0"/>
                      <w:sz w:val="18"/>
                      <w:szCs w:val="18"/>
                      <w:highlight w:val="none"/>
                      <w:vertAlign w:val="baseline"/>
                      <w:lang w:val="en-US" w:eastAsia="zh-CN"/>
                    </w:rPr>
                    <w:t>生产废水循环使用</w:t>
                  </w:r>
                  <w:r>
                    <w:rPr>
                      <w:rFonts w:hint="default" w:ascii="Times New Roman" w:hAnsi="Times New Roman" w:cs="Times New Roman"/>
                      <w:color w:val="auto"/>
                      <w:kern w:val="0"/>
                      <w:sz w:val="18"/>
                      <w:szCs w:val="18"/>
                      <w:highlight w:val="none"/>
                      <w:vertAlign w:val="baseline"/>
                    </w:rPr>
                    <w:t>，不外排。</w:t>
                  </w:r>
                </w:p>
              </w:tc>
              <w:tc>
                <w:tcPr>
                  <w:tcW w:w="812" w:type="dxa"/>
                  <w:tcBorders>
                    <w:tl2br w:val="nil"/>
                    <w:tr2bl w:val="nil"/>
                  </w:tcBorders>
                  <w:vAlign w:val="center"/>
                </w:tcPr>
                <w:p w14:paraId="56A49895">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r w14:paraId="4F3482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214FFA6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大气环境保护对策与减缓措施</w:t>
                  </w:r>
                </w:p>
              </w:tc>
              <w:tc>
                <w:tcPr>
                  <w:tcW w:w="2741" w:type="dxa"/>
                  <w:tcBorders>
                    <w:tl2br w:val="nil"/>
                    <w:tr2bl w:val="nil"/>
                  </w:tcBorders>
                  <w:vAlign w:val="center"/>
                </w:tcPr>
                <w:p w14:paraId="10845E63">
                  <w:pPr>
                    <w:keepNext w:val="0"/>
                    <w:keepLines w:val="0"/>
                    <w:widowControl/>
                    <w:suppressLineNumbers w:val="0"/>
                    <w:jc w:val="left"/>
                    <w:rPr>
                      <w:color w:val="auto"/>
                      <w:sz w:val="18"/>
                      <w:szCs w:val="18"/>
                      <w:highlight w:val="none"/>
                    </w:rPr>
                  </w:pPr>
                  <w:r>
                    <w:rPr>
                      <w:rFonts w:hint="eastAsia" w:ascii="宋体" w:hAnsi="宋体" w:eastAsia="宋体" w:cs="宋体"/>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1</w:t>
                  </w:r>
                  <w:r>
                    <w:rPr>
                      <w:rFonts w:hint="eastAsia" w:ascii="宋体" w:hAnsi="宋体" w:eastAsia="宋体" w:cs="宋体"/>
                      <w:color w:val="auto"/>
                      <w:kern w:val="0"/>
                      <w:sz w:val="18"/>
                      <w:szCs w:val="18"/>
                      <w:highlight w:val="none"/>
                      <w:lang w:val="en-US" w:eastAsia="zh-CN" w:bidi="ar"/>
                    </w:rPr>
                    <w:t xml:space="preserve">）进驻企业因生产工艺需要，必须使用清洁的燃料，提倡用电和天然气等清洁能源。提高优质能源比重，推广使用太阳能等可再生能源。 </w:t>
                  </w:r>
                </w:p>
                <w:p w14:paraId="0194085A">
                  <w:pPr>
                    <w:keepNext w:val="0"/>
                    <w:keepLines w:val="0"/>
                    <w:widowControl/>
                    <w:suppressLineNumbers w:val="0"/>
                    <w:jc w:val="left"/>
                    <w:rPr>
                      <w:color w:val="auto"/>
                      <w:sz w:val="18"/>
                      <w:szCs w:val="18"/>
                      <w:highlight w:val="none"/>
                    </w:rPr>
                  </w:pPr>
                  <w:r>
                    <w:rPr>
                      <w:rFonts w:hint="eastAsia" w:ascii="宋体" w:hAnsi="宋体" w:eastAsia="宋体" w:cs="宋体"/>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2</w:t>
                  </w:r>
                  <w:r>
                    <w:rPr>
                      <w:rFonts w:hint="eastAsia" w:ascii="宋体" w:hAnsi="宋体" w:eastAsia="宋体" w:cs="宋体"/>
                      <w:color w:val="auto"/>
                      <w:kern w:val="0"/>
                      <w:sz w:val="18"/>
                      <w:szCs w:val="18"/>
                      <w:highlight w:val="none"/>
                      <w:lang w:val="en-US" w:eastAsia="zh-CN" w:bidi="ar"/>
                    </w:rPr>
                    <w:t xml:space="preserve">）对于拟进驻项目应根据建设项目分类管理名录，分别进行环境影响评价，合理布局进驻企业的厂址或总平面布置，从大气环境角度提出具体有效的环境保护治理措施及环境监测管理计划，减少污染物排放量，并且须在环境保护验收合格后方能运营。 </w:t>
                  </w:r>
                </w:p>
                <w:p w14:paraId="03046565">
                  <w:pPr>
                    <w:keepNext w:val="0"/>
                    <w:keepLines w:val="0"/>
                    <w:widowControl/>
                    <w:suppressLineNumbers w:val="0"/>
                    <w:jc w:val="left"/>
                    <w:rPr>
                      <w:color w:val="auto"/>
                      <w:sz w:val="18"/>
                      <w:szCs w:val="18"/>
                      <w:highlight w:val="none"/>
                    </w:rPr>
                  </w:pPr>
                  <w:r>
                    <w:rPr>
                      <w:rFonts w:hint="eastAsia" w:ascii="宋体" w:hAnsi="宋体" w:eastAsia="宋体" w:cs="宋体"/>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3</w:t>
                  </w:r>
                  <w:r>
                    <w:rPr>
                      <w:rFonts w:hint="eastAsia" w:ascii="宋体" w:hAnsi="宋体" w:eastAsia="宋体" w:cs="宋体"/>
                      <w:color w:val="auto"/>
                      <w:kern w:val="0"/>
                      <w:sz w:val="18"/>
                      <w:szCs w:val="18"/>
                      <w:highlight w:val="none"/>
                      <w:lang w:val="en-US" w:eastAsia="zh-CN" w:bidi="ar"/>
                    </w:rPr>
                    <w:t xml:space="preserve">）优化产业结构，严格控制入区项目的引入条件，不得引进不符合产业定位的企业。 </w:t>
                  </w:r>
                </w:p>
                <w:p w14:paraId="07E2437C">
                  <w:pPr>
                    <w:keepNext w:val="0"/>
                    <w:keepLines w:val="0"/>
                    <w:widowControl/>
                    <w:suppressLineNumbers w:val="0"/>
                    <w:jc w:val="left"/>
                    <w:rPr>
                      <w:color w:val="auto"/>
                      <w:sz w:val="18"/>
                      <w:szCs w:val="18"/>
                      <w:highlight w:val="none"/>
                    </w:rPr>
                  </w:pPr>
                  <w:r>
                    <w:rPr>
                      <w:rFonts w:hint="eastAsia" w:ascii="宋体" w:hAnsi="宋体" w:eastAsia="宋体" w:cs="宋体"/>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4</w:t>
                  </w:r>
                  <w:r>
                    <w:rPr>
                      <w:rFonts w:hint="eastAsia" w:ascii="宋体" w:hAnsi="宋体" w:eastAsia="宋体" w:cs="宋体"/>
                      <w:color w:val="auto"/>
                      <w:kern w:val="0"/>
                      <w:sz w:val="18"/>
                      <w:szCs w:val="18"/>
                      <w:highlight w:val="none"/>
                      <w:lang w:val="en-US" w:eastAsia="zh-CN" w:bidi="ar"/>
                    </w:rPr>
                    <w:t xml:space="preserve">）根据车间排放的污染物种类及浓度，除采用不同的防治措施外，还应保持车间良好通风。加强园区内道路管理工作，坚持道路定期卫生清扫和洒水等，以减少道路扬尘污染。工业生产企业应当采取密闭、围挡、遮盖、清扫、洒水等措施，减少内部物料的堆存、传输、装卸等环节产生的粉尘和气态污物的排放。 </w:t>
                  </w:r>
                </w:p>
                <w:p w14:paraId="12184117">
                  <w:pPr>
                    <w:keepNext w:val="0"/>
                    <w:keepLines w:val="0"/>
                    <w:widowControl/>
                    <w:suppressLineNumbers w:val="0"/>
                    <w:jc w:val="left"/>
                    <w:rPr>
                      <w:color w:val="auto"/>
                      <w:sz w:val="18"/>
                      <w:szCs w:val="18"/>
                      <w:highlight w:val="none"/>
                    </w:rPr>
                  </w:pPr>
                  <w:r>
                    <w:rPr>
                      <w:rFonts w:hint="eastAsia" w:ascii="宋体" w:hAnsi="宋体" w:eastAsia="宋体" w:cs="宋体"/>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5</w:t>
                  </w:r>
                  <w:r>
                    <w:rPr>
                      <w:rFonts w:hint="eastAsia" w:ascii="宋体" w:hAnsi="宋体" w:eastAsia="宋体" w:cs="宋体"/>
                      <w:color w:val="auto"/>
                      <w:kern w:val="0"/>
                      <w:sz w:val="18"/>
                      <w:szCs w:val="18"/>
                      <w:highlight w:val="none"/>
                      <w:lang w:val="en-US" w:eastAsia="zh-CN" w:bidi="ar"/>
                    </w:rPr>
                    <w:t xml:space="preserve">）不同功能区之间、企业之间要求有一定的缓冲地带和绿化隔离带，以降低大气的异味。加强保护园区周边的生态形态。 </w:t>
                  </w:r>
                </w:p>
                <w:p w14:paraId="4A4CF3EC">
                  <w:pPr>
                    <w:keepNext w:val="0"/>
                    <w:keepLines w:val="0"/>
                    <w:widowControl/>
                    <w:suppressLineNumbers w:val="0"/>
                    <w:jc w:val="left"/>
                    <w:rPr>
                      <w:color w:val="auto"/>
                      <w:sz w:val="18"/>
                      <w:szCs w:val="18"/>
                      <w:highlight w:val="none"/>
                    </w:rPr>
                  </w:pPr>
                  <w:r>
                    <w:rPr>
                      <w:rFonts w:hint="eastAsia" w:ascii="宋体" w:hAnsi="宋体" w:eastAsia="宋体" w:cs="宋体"/>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6</w:t>
                  </w:r>
                  <w:r>
                    <w:rPr>
                      <w:rFonts w:hint="eastAsia" w:ascii="宋体" w:hAnsi="宋体" w:eastAsia="宋体" w:cs="宋体"/>
                      <w:color w:val="auto"/>
                      <w:kern w:val="0"/>
                      <w:sz w:val="18"/>
                      <w:szCs w:val="18"/>
                      <w:highlight w:val="none"/>
                      <w:lang w:val="en-US" w:eastAsia="zh-CN" w:bidi="ar"/>
                    </w:rPr>
                    <w:t xml:space="preserve">）产生异味的项目在环评时应确保大气环境防护距离。 </w:t>
                  </w:r>
                </w:p>
                <w:p w14:paraId="5C9D42EC">
                  <w:pPr>
                    <w:keepNext w:val="0"/>
                    <w:keepLines w:val="0"/>
                    <w:widowControl/>
                    <w:suppressLineNumbers w:val="0"/>
                    <w:jc w:val="left"/>
                    <w:rPr>
                      <w:rFonts w:hint="default" w:ascii="Times New Roman" w:hAnsi="Times New Roman" w:cs="Times New Roman"/>
                      <w:color w:val="auto"/>
                      <w:kern w:val="0"/>
                      <w:sz w:val="18"/>
                      <w:szCs w:val="18"/>
                      <w:highlight w:val="none"/>
                      <w:vertAlign w:val="baseline"/>
                    </w:rPr>
                  </w:pPr>
                  <w:r>
                    <w:rPr>
                      <w:rFonts w:hint="eastAsia" w:ascii="宋体" w:hAnsi="宋体" w:eastAsia="宋体" w:cs="宋体"/>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7</w:t>
                  </w:r>
                  <w:r>
                    <w:rPr>
                      <w:rFonts w:hint="eastAsia" w:ascii="宋体" w:hAnsi="宋体" w:eastAsia="宋体" w:cs="宋体"/>
                      <w:color w:val="auto"/>
                      <w:kern w:val="0"/>
                      <w:sz w:val="18"/>
                      <w:szCs w:val="18"/>
                      <w:highlight w:val="none"/>
                      <w:lang w:val="en-US" w:eastAsia="zh-CN" w:bidi="ar"/>
                    </w:rPr>
                    <w:t>）企业应采用清洁生产工艺，选取环保部门发布的可行性技术对大气污染物进行治理，加强大气污染防治措施运行维护，确保大气污染物达标排放。</w:t>
                  </w:r>
                </w:p>
              </w:tc>
              <w:tc>
                <w:tcPr>
                  <w:tcW w:w="1840" w:type="dxa"/>
                  <w:tcBorders>
                    <w:tl2br w:val="nil"/>
                    <w:tr2bl w:val="nil"/>
                  </w:tcBorders>
                  <w:vAlign w:val="center"/>
                </w:tcPr>
                <w:p w14:paraId="134E537F">
                  <w:pPr>
                    <w:keepNext w:val="0"/>
                    <w:keepLines w:val="0"/>
                    <w:widowControl/>
                    <w:suppressLineNumbers w:val="0"/>
                    <w:jc w:val="left"/>
                    <w:rPr>
                      <w:rFonts w:hint="eastAsia" w:ascii="宋体" w:hAnsi="宋体" w:eastAsia="宋体" w:cs="宋体"/>
                      <w:color w:val="auto"/>
                      <w:kern w:val="0"/>
                      <w:sz w:val="18"/>
                      <w:szCs w:val="18"/>
                      <w:highlight w:val="none"/>
                      <w:lang w:val="en-US" w:eastAsia="zh-CN" w:bidi="ar"/>
                    </w:rPr>
                  </w:pPr>
                  <w:r>
                    <w:rPr>
                      <w:rFonts w:hint="eastAsia" w:ascii="宋体" w:hAnsi="宋体" w:eastAsia="宋体" w:cs="宋体"/>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1</w:t>
                  </w:r>
                  <w:r>
                    <w:rPr>
                      <w:rFonts w:hint="eastAsia" w:ascii="宋体" w:hAnsi="宋体" w:eastAsia="宋体" w:cs="宋体"/>
                      <w:color w:val="auto"/>
                      <w:kern w:val="0"/>
                      <w:sz w:val="18"/>
                      <w:szCs w:val="18"/>
                      <w:highlight w:val="none"/>
                      <w:lang w:val="en-US" w:eastAsia="zh-CN" w:bidi="ar"/>
                    </w:rPr>
                    <w:t>）</w:t>
                  </w:r>
                  <w:r>
                    <w:rPr>
                      <w:rFonts w:hint="eastAsia" w:ascii="宋体" w:hAnsi="宋体" w:cs="宋体"/>
                      <w:color w:val="auto"/>
                      <w:kern w:val="0"/>
                      <w:sz w:val="18"/>
                      <w:szCs w:val="18"/>
                      <w:highlight w:val="none"/>
                      <w:lang w:val="en-US" w:eastAsia="zh-CN" w:bidi="ar"/>
                    </w:rPr>
                    <w:t>本项目锅炉燃料为生物质颗粒配备</w:t>
                  </w:r>
                  <w:r>
                    <w:rPr>
                      <w:rFonts w:hint="eastAsia" w:ascii="宋体" w:hAnsi="宋体" w:eastAsia="宋体" w:cs="宋体"/>
                      <w:color w:val="auto"/>
                      <w:kern w:val="0"/>
                      <w:sz w:val="18"/>
                      <w:szCs w:val="18"/>
                      <w:highlight w:val="none"/>
                      <w:lang w:val="en-US" w:eastAsia="zh-CN" w:bidi="ar"/>
                    </w:rPr>
                    <w:t>生物质锅炉</w:t>
                  </w:r>
                  <w:r>
                    <w:rPr>
                      <w:rFonts w:hint="eastAsia" w:ascii="宋体" w:hAnsi="宋体" w:cs="宋体"/>
                      <w:color w:val="auto"/>
                      <w:kern w:val="0"/>
                      <w:sz w:val="18"/>
                      <w:szCs w:val="18"/>
                      <w:highlight w:val="none"/>
                      <w:lang w:val="en-US" w:eastAsia="zh-CN" w:bidi="ar"/>
                    </w:rPr>
                    <w:t>及除尘设施</w:t>
                  </w:r>
                  <w:r>
                    <w:rPr>
                      <w:rFonts w:hint="eastAsia" w:ascii="宋体" w:hAnsi="宋体" w:eastAsia="宋体" w:cs="宋体"/>
                      <w:color w:val="auto"/>
                      <w:kern w:val="0"/>
                      <w:sz w:val="18"/>
                      <w:szCs w:val="18"/>
                      <w:highlight w:val="none"/>
                      <w:lang w:val="en-US" w:eastAsia="zh-CN" w:bidi="ar"/>
                    </w:rPr>
                    <w:t>。</w:t>
                  </w:r>
                  <w:r>
                    <w:rPr>
                      <w:rFonts w:hint="eastAsia" w:ascii="宋体" w:hAnsi="宋体" w:cs="宋体"/>
                      <w:color w:val="auto"/>
                      <w:kern w:val="0"/>
                      <w:sz w:val="18"/>
                      <w:szCs w:val="18"/>
                      <w:highlight w:val="none"/>
                      <w:lang w:val="en-US" w:eastAsia="zh-CN" w:bidi="ar"/>
                    </w:rPr>
                    <w:t>生物质颗粒属于清洁能源</w:t>
                  </w:r>
                  <w:r>
                    <w:rPr>
                      <w:rFonts w:hint="eastAsia" w:ascii="宋体" w:hAnsi="宋体" w:eastAsia="宋体" w:cs="宋体"/>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eastAsia="zh-CN" w:bidi="ar"/>
                    </w:rPr>
                    <w:t>2</w:t>
                  </w:r>
                  <w:r>
                    <w:rPr>
                      <w:rFonts w:hint="eastAsia" w:ascii="宋体" w:hAnsi="宋体" w:eastAsia="宋体" w:cs="宋体"/>
                      <w:color w:val="auto"/>
                      <w:kern w:val="0"/>
                      <w:sz w:val="18"/>
                      <w:szCs w:val="18"/>
                      <w:highlight w:val="none"/>
                      <w:lang w:val="en-US" w:eastAsia="zh-CN" w:bidi="ar"/>
                    </w:rPr>
                    <w:t>）本项目布局合理，从大气环境角度提出具体有效的环境保护治理措施及环境监测管理计划，减少污染物排放量。（</w:t>
                  </w:r>
                  <w:r>
                    <w:rPr>
                      <w:rFonts w:hint="default" w:ascii="Times New Roman" w:hAnsi="Times New Roman" w:eastAsia="宋体" w:cs="Times New Roman"/>
                      <w:color w:val="auto"/>
                      <w:kern w:val="0"/>
                      <w:sz w:val="18"/>
                      <w:szCs w:val="18"/>
                      <w:highlight w:val="none"/>
                      <w:lang w:val="en-US" w:eastAsia="zh-CN" w:bidi="ar"/>
                    </w:rPr>
                    <w:t>3</w:t>
                  </w:r>
                  <w:r>
                    <w:rPr>
                      <w:rFonts w:hint="eastAsia" w:ascii="宋体" w:hAnsi="宋体" w:eastAsia="宋体" w:cs="宋体"/>
                      <w:color w:val="auto"/>
                      <w:kern w:val="0"/>
                      <w:sz w:val="18"/>
                      <w:szCs w:val="18"/>
                      <w:highlight w:val="none"/>
                      <w:lang w:val="en-US" w:eastAsia="zh-CN" w:bidi="ar"/>
                    </w:rPr>
                    <w:t>）本项目与经开区产业定位相符。（</w:t>
                  </w:r>
                  <w:r>
                    <w:rPr>
                      <w:rFonts w:hint="default" w:ascii="Times New Roman" w:hAnsi="Times New Roman" w:eastAsia="宋体" w:cs="Times New Roman"/>
                      <w:color w:val="auto"/>
                      <w:kern w:val="0"/>
                      <w:sz w:val="18"/>
                      <w:szCs w:val="18"/>
                      <w:highlight w:val="none"/>
                      <w:lang w:val="en-US" w:eastAsia="zh-CN" w:bidi="ar"/>
                    </w:rPr>
                    <w:t>4</w:t>
                  </w:r>
                  <w:r>
                    <w:rPr>
                      <w:rFonts w:hint="eastAsia" w:ascii="宋体" w:hAnsi="宋体" w:eastAsia="宋体" w:cs="宋体"/>
                      <w:color w:val="auto"/>
                      <w:kern w:val="0"/>
                      <w:sz w:val="18"/>
                      <w:szCs w:val="18"/>
                      <w:highlight w:val="none"/>
                      <w:lang w:val="en-US" w:eastAsia="zh-CN" w:bidi="ar"/>
                    </w:rPr>
                    <w:t>）</w:t>
                  </w:r>
                  <w:r>
                    <w:rPr>
                      <w:rFonts w:hint="default" w:ascii="Times New Roman" w:hAnsi="Times New Roman" w:eastAsia="宋体" w:cs="Times New Roman"/>
                      <w:color w:val="auto"/>
                      <w:sz w:val="18"/>
                      <w:szCs w:val="18"/>
                      <w:highlight w:val="none"/>
                    </w:rPr>
                    <w:t>本项目锅炉废气经</w:t>
                  </w:r>
                  <w:r>
                    <w:rPr>
                      <w:rFonts w:hint="eastAsia" w:cs="Times New Roman"/>
                      <w:color w:val="auto"/>
                      <w:sz w:val="18"/>
                      <w:szCs w:val="18"/>
                      <w:highlight w:val="none"/>
                      <w:lang w:eastAsia="zh-CN"/>
                    </w:rPr>
                    <w:t>旋风除尘</w:t>
                  </w:r>
                  <w:r>
                    <w:rPr>
                      <w:rFonts w:hint="default" w:ascii="Times New Roman" w:hAnsi="Times New Roman" w:eastAsia="宋体" w:cs="Times New Roman"/>
                      <w:color w:val="auto"/>
                      <w:sz w:val="18"/>
                      <w:szCs w:val="18"/>
                      <w:highlight w:val="none"/>
                    </w:rPr>
                    <w:t>+布袋除尘器</w:t>
                  </w:r>
                  <w:r>
                    <w:rPr>
                      <w:rFonts w:hint="eastAsia" w:cs="Times New Roman"/>
                      <w:color w:val="auto"/>
                      <w:sz w:val="18"/>
                      <w:szCs w:val="18"/>
                      <w:highlight w:val="none"/>
                      <w:lang w:eastAsia="zh-CN"/>
                    </w:rPr>
                    <w:t>+低氮燃烧</w:t>
                  </w:r>
                  <w:r>
                    <w:rPr>
                      <w:rFonts w:hint="default" w:ascii="Times New Roman" w:hAnsi="Times New Roman" w:eastAsia="宋体" w:cs="Times New Roman"/>
                      <w:color w:val="auto"/>
                      <w:sz w:val="18"/>
                      <w:szCs w:val="18"/>
                      <w:highlight w:val="none"/>
                    </w:rPr>
                    <w:t>处理后由40m高烟囱（DA002）排放满足《锅炉大气污染物排放标准》（GB13271-2014）</w:t>
                  </w:r>
                  <w:r>
                    <w:rPr>
                      <w:rFonts w:hint="default" w:ascii="Times New Roman" w:hAnsi="Times New Roman" w:eastAsia="宋体" w:cs="Times New Roman"/>
                      <w:color w:val="auto"/>
                      <w:sz w:val="18"/>
                      <w:szCs w:val="18"/>
                      <w:highlight w:val="none"/>
                      <w:lang w:val="en-US" w:eastAsia="zh-CN"/>
                    </w:rPr>
                    <w:t>表2</w:t>
                  </w:r>
                  <w:r>
                    <w:rPr>
                      <w:rFonts w:hint="default" w:ascii="Times New Roman" w:hAnsi="Times New Roman" w:eastAsia="宋体" w:cs="Times New Roman"/>
                      <w:color w:val="auto"/>
                      <w:sz w:val="18"/>
                      <w:szCs w:val="18"/>
                      <w:highlight w:val="none"/>
                    </w:rPr>
                    <w:t>燃煤锅炉排放控制要求执行。</w:t>
                  </w:r>
                  <w:r>
                    <w:rPr>
                      <w:rFonts w:hint="eastAsia" w:eastAsia="宋体" w:cs="Times New Roman"/>
                      <w:color w:val="auto"/>
                      <w:sz w:val="18"/>
                      <w:szCs w:val="18"/>
                      <w:highlight w:val="none"/>
                      <w:lang w:val="en-US" w:eastAsia="zh-CN"/>
                    </w:rPr>
                    <w:t>本项目</w:t>
                  </w:r>
                  <w:r>
                    <w:rPr>
                      <w:rFonts w:hint="eastAsia"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rPr>
                    <w:t>生产车间</w:t>
                  </w:r>
                  <w:r>
                    <w:rPr>
                      <w:rFonts w:hint="eastAsia" w:eastAsia="宋体" w:cs="Times New Roman"/>
                      <w:color w:val="auto"/>
                      <w:sz w:val="18"/>
                      <w:szCs w:val="18"/>
                      <w:highlight w:val="none"/>
                      <w:lang w:val="en-US" w:eastAsia="zh-CN"/>
                    </w:rPr>
                    <w:t>产生的</w:t>
                  </w:r>
                  <w:r>
                    <w:rPr>
                      <w:rFonts w:hint="eastAsia" w:cs="Times New Roman"/>
                      <w:color w:val="auto"/>
                      <w:sz w:val="18"/>
                      <w:szCs w:val="18"/>
                      <w:highlight w:val="none"/>
                      <w:lang w:val="en-US" w:eastAsia="zh-CN"/>
                    </w:rPr>
                    <w:t>球磨</w:t>
                  </w:r>
                  <w:r>
                    <w:rPr>
                      <w:rFonts w:hint="default" w:ascii="Times New Roman" w:hAnsi="Times New Roman" w:eastAsia="宋体" w:cs="Times New Roman"/>
                      <w:color w:val="auto"/>
                      <w:sz w:val="18"/>
                      <w:szCs w:val="18"/>
                      <w:highlight w:val="none"/>
                    </w:rPr>
                    <w:t>破碎粉尘经集气罩</w:t>
                  </w:r>
                  <w:r>
                    <w:rPr>
                      <w:rFonts w:hint="eastAsia" w:eastAsia="宋体" w:cs="Times New Roman"/>
                      <w:color w:val="auto"/>
                      <w:sz w:val="18"/>
                      <w:szCs w:val="18"/>
                      <w:highlight w:val="none"/>
                      <w:lang w:eastAsia="zh-CN"/>
                    </w:rPr>
                    <w:t>（收集效率为</w:t>
                  </w:r>
                  <w:r>
                    <w:rPr>
                      <w:rFonts w:hint="eastAsia" w:eastAsia="宋体" w:cs="Times New Roman"/>
                      <w:color w:val="auto"/>
                      <w:sz w:val="18"/>
                      <w:szCs w:val="18"/>
                      <w:highlight w:val="none"/>
                      <w:lang w:val="en-US" w:eastAsia="zh-CN"/>
                    </w:rPr>
                    <w:t>90%</w:t>
                  </w:r>
                  <w:r>
                    <w:rPr>
                      <w:rFonts w:hint="eastAsia" w:eastAsia="宋体" w:cs="Times New Roman"/>
                      <w:color w:val="auto"/>
                      <w:sz w:val="18"/>
                      <w:szCs w:val="18"/>
                      <w:highlight w:val="none"/>
                      <w:lang w:eastAsia="zh-CN"/>
                    </w:rPr>
                    <w:t>）</w:t>
                  </w:r>
                  <w:r>
                    <w:rPr>
                      <w:rFonts w:hint="eastAsia" w:eastAsia="宋体" w:cs="Times New Roman"/>
                      <w:color w:val="auto"/>
                      <w:sz w:val="18"/>
                      <w:szCs w:val="18"/>
                      <w:highlight w:val="none"/>
                      <w:lang w:val="en-US" w:eastAsia="zh-CN"/>
                    </w:rPr>
                    <w:t>收集后</w:t>
                  </w:r>
                  <w:r>
                    <w:rPr>
                      <w:rFonts w:hint="default" w:ascii="Times New Roman" w:hAnsi="Times New Roman" w:eastAsia="宋体" w:cs="Times New Roman"/>
                      <w:color w:val="auto"/>
                      <w:sz w:val="18"/>
                      <w:szCs w:val="18"/>
                      <w:highlight w:val="none"/>
                    </w:rPr>
                    <w:t>输送至</w:t>
                  </w:r>
                  <w:r>
                    <w:rPr>
                      <w:rFonts w:hint="eastAsia" w:eastAsia="宋体" w:cs="Times New Roman"/>
                      <w:color w:val="auto"/>
                      <w:sz w:val="18"/>
                      <w:szCs w:val="18"/>
                      <w:highlight w:val="none"/>
                      <w:lang w:val="en-US" w:eastAsia="zh-CN"/>
                    </w:rPr>
                    <w:t>同一台</w:t>
                  </w:r>
                  <w:r>
                    <w:rPr>
                      <w:rFonts w:hint="default" w:ascii="Times New Roman" w:hAnsi="Times New Roman" w:eastAsia="宋体" w:cs="Times New Roman"/>
                      <w:color w:val="auto"/>
                      <w:sz w:val="18"/>
                      <w:szCs w:val="18"/>
                      <w:highlight w:val="none"/>
                    </w:rPr>
                    <w:t>布袋除尘器</w:t>
                  </w:r>
                  <w:r>
                    <w:rPr>
                      <w:rFonts w:hint="eastAsia" w:eastAsia="宋体" w:cs="Times New Roman"/>
                      <w:color w:val="auto"/>
                      <w:sz w:val="18"/>
                      <w:szCs w:val="18"/>
                      <w:highlight w:val="none"/>
                      <w:lang w:eastAsia="zh-CN"/>
                    </w:rPr>
                    <w:t>（处理效率为</w:t>
                  </w:r>
                  <w:r>
                    <w:rPr>
                      <w:rFonts w:hint="eastAsia" w:eastAsia="宋体" w:cs="Times New Roman"/>
                      <w:color w:val="auto"/>
                      <w:sz w:val="18"/>
                      <w:szCs w:val="18"/>
                      <w:highlight w:val="none"/>
                      <w:lang w:val="en-US" w:eastAsia="zh-CN"/>
                    </w:rPr>
                    <w:t>99%</w:t>
                  </w:r>
                  <w:r>
                    <w:rPr>
                      <w:rFonts w:hint="eastAsia"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处理后经车间外</w:t>
                  </w:r>
                  <w:r>
                    <w:rPr>
                      <w:rFonts w:hint="eastAsia" w:eastAsia="宋体" w:cs="Times New Roman"/>
                      <w:color w:val="auto"/>
                      <w:sz w:val="18"/>
                      <w:szCs w:val="18"/>
                      <w:highlight w:val="none"/>
                      <w:lang w:val="en-US" w:eastAsia="zh-CN"/>
                    </w:rPr>
                    <w:t>1根</w:t>
                  </w:r>
                  <w:r>
                    <w:rPr>
                      <w:rFonts w:hint="default" w:ascii="Times New Roman" w:hAnsi="Times New Roman" w:eastAsia="宋体" w:cs="Times New Roman"/>
                      <w:color w:val="auto"/>
                      <w:sz w:val="18"/>
                      <w:szCs w:val="18"/>
                      <w:highlight w:val="none"/>
                    </w:rPr>
                    <w:t>1</w:t>
                  </w:r>
                  <w:r>
                    <w:rPr>
                      <w:rFonts w:hint="eastAsia" w:cs="Times New Roman"/>
                      <w:color w:val="auto"/>
                      <w:sz w:val="18"/>
                      <w:szCs w:val="18"/>
                      <w:highlight w:val="none"/>
                      <w:lang w:val="en-US" w:eastAsia="zh-CN"/>
                    </w:rPr>
                    <w:t>7</w:t>
                  </w:r>
                  <w:r>
                    <w:rPr>
                      <w:rFonts w:hint="default" w:ascii="Times New Roman" w:hAnsi="Times New Roman" w:eastAsia="宋体" w:cs="Times New Roman"/>
                      <w:color w:val="auto"/>
                      <w:sz w:val="18"/>
                      <w:szCs w:val="18"/>
                      <w:highlight w:val="none"/>
                    </w:rPr>
                    <w:t>m高排气筒（DA00</w:t>
                  </w:r>
                  <w:r>
                    <w:rPr>
                      <w:rFonts w:hint="eastAsia" w:eastAsia="宋体" w:cs="Times New Roman"/>
                      <w:color w:val="auto"/>
                      <w:sz w:val="18"/>
                      <w:szCs w:val="18"/>
                      <w:highlight w:val="none"/>
                      <w:lang w:val="en-US" w:eastAsia="zh-CN"/>
                    </w:rPr>
                    <w:t>3</w:t>
                  </w:r>
                  <w:r>
                    <w:rPr>
                      <w:rFonts w:hint="default" w:ascii="Times New Roman" w:hAnsi="Times New Roman" w:eastAsia="宋体" w:cs="Times New Roman"/>
                      <w:color w:val="auto"/>
                      <w:sz w:val="18"/>
                      <w:szCs w:val="18"/>
                      <w:highlight w:val="none"/>
                    </w:rPr>
                    <w:t>）排放</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满足《砖瓦工业大气污染物排放标准》（GB29620-2013）及修改单中表2新建企业大气污染物排放限值。</w:t>
                  </w:r>
                  <w:r>
                    <w:rPr>
                      <w:rFonts w:hint="eastAsia"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rPr>
                    <w:t>生产车间</w:t>
                  </w:r>
                  <w:r>
                    <w:rPr>
                      <w:rFonts w:hint="eastAsia" w:eastAsia="宋体" w:cs="Times New Roman"/>
                      <w:color w:val="auto"/>
                      <w:sz w:val="18"/>
                      <w:szCs w:val="18"/>
                      <w:highlight w:val="none"/>
                      <w:lang w:val="en-US" w:eastAsia="zh-CN"/>
                    </w:rPr>
                    <w:t>产生的</w:t>
                  </w:r>
                  <w:r>
                    <w:rPr>
                      <w:rFonts w:hint="eastAsia" w:cs="Times New Roman"/>
                      <w:color w:val="auto"/>
                      <w:sz w:val="18"/>
                      <w:szCs w:val="18"/>
                      <w:highlight w:val="none"/>
                      <w:lang w:val="en-US" w:eastAsia="zh-CN"/>
                    </w:rPr>
                    <w:t>球磨</w:t>
                  </w:r>
                  <w:r>
                    <w:rPr>
                      <w:rFonts w:hint="default" w:ascii="Times New Roman" w:hAnsi="Times New Roman" w:eastAsia="宋体" w:cs="Times New Roman"/>
                      <w:color w:val="auto"/>
                      <w:sz w:val="18"/>
                      <w:szCs w:val="18"/>
                      <w:highlight w:val="none"/>
                    </w:rPr>
                    <w:t>破碎粉尘经集气罩</w:t>
                  </w:r>
                  <w:r>
                    <w:rPr>
                      <w:rFonts w:hint="eastAsia" w:eastAsia="宋体" w:cs="Times New Roman"/>
                      <w:color w:val="auto"/>
                      <w:sz w:val="18"/>
                      <w:szCs w:val="18"/>
                      <w:highlight w:val="none"/>
                      <w:lang w:eastAsia="zh-CN"/>
                    </w:rPr>
                    <w:t>（收集效率为</w:t>
                  </w:r>
                  <w:r>
                    <w:rPr>
                      <w:rFonts w:hint="eastAsia" w:eastAsia="宋体" w:cs="Times New Roman"/>
                      <w:color w:val="auto"/>
                      <w:sz w:val="18"/>
                      <w:szCs w:val="18"/>
                      <w:highlight w:val="none"/>
                      <w:lang w:val="en-US" w:eastAsia="zh-CN"/>
                    </w:rPr>
                    <w:t>90%</w:t>
                  </w:r>
                  <w:r>
                    <w:rPr>
                      <w:rFonts w:hint="eastAsia" w:eastAsia="宋体" w:cs="Times New Roman"/>
                      <w:color w:val="auto"/>
                      <w:sz w:val="18"/>
                      <w:szCs w:val="18"/>
                      <w:highlight w:val="none"/>
                      <w:lang w:eastAsia="zh-CN"/>
                    </w:rPr>
                    <w:t>）</w:t>
                  </w:r>
                  <w:r>
                    <w:rPr>
                      <w:rFonts w:hint="eastAsia" w:eastAsia="宋体" w:cs="Times New Roman"/>
                      <w:color w:val="auto"/>
                      <w:sz w:val="18"/>
                      <w:szCs w:val="18"/>
                      <w:highlight w:val="none"/>
                      <w:lang w:val="en-US" w:eastAsia="zh-CN"/>
                    </w:rPr>
                    <w:t>收集后</w:t>
                  </w:r>
                  <w:r>
                    <w:rPr>
                      <w:rFonts w:hint="default" w:ascii="Times New Roman" w:hAnsi="Times New Roman" w:eastAsia="宋体" w:cs="Times New Roman"/>
                      <w:color w:val="auto"/>
                      <w:sz w:val="18"/>
                      <w:szCs w:val="18"/>
                      <w:highlight w:val="none"/>
                    </w:rPr>
                    <w:t>输送至</w:t>
                  </w:r>
                  <w:r>
                    <w:rPr>
                      <w:rFonts w:hint="eastAsia" w:eastAsia="宋体" w:cs="Times New Roman"/>
                      <w:color w:val="auto"/>
                      <w:sz w:val="18"/>
                      <w:szCs w:val="18"/>
                      <w:highlight w:val="none"/>
                      <w:lang w:val="en-US" w:eastAsia="zh-CN"/>
                    </w:rPr>
                    <w:t>同一台</w:t>
                  </w:r>
                  <w:r>
                    <w:rPr>
                      <w:rFonts w:hint="default" w:ascii="Times New Roman" w:hAnsi="Times New Roman" w:eastAsia="宋体" w:cs="Times New Roman"/>
                      <w:color w:val="auto"/>
                      <w:sz w:val="18"/>
                      <w:szCs w:val="18"/>
                      <w:highlight w:val="none"/>
                    </w:rPr>
                    <w:t>布袋除尘器</w:t>
                  </w:r>
                  <w:r>
                    <w:rPr>
                      <w:rFonts w:hint="eastAsia" w:eastAsia="宋体" w:cs="Times New Roman"/>
                      <w:color w:val="auto"/>
                      <w:sz w:val="18"/>
                      <w:szCs w:val="18"/>
                      <w:highlight w:val="none"/>
                      <w:lang w:eastAsia="zh-CN"/>
                    </w:rPr>
                    <w:t>（处理效率为</w:t>
                  </w:r>
                  <w:r>
                    <w:rPr>
                      <w:rFonts w:hint="eastAsia" w:eastAsia="宋体" w:cs="Times New Roman"/>
                      <w:color w:val="auto"/>
                      <w:sz w:val="18"/>
                      <w:szCs w:val="18"/>
                      <w:highlight w:val="none"/>
                      <w:lang w:val="en-US" w:eastAsia="zh-CN"/>
                    </w:rPr>
                    <w:t>99%</w:t>
                  </w:r>
                  <w:r>
                    <w:rPr>
                      <w:rFonts w:hint="eastAsia"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处理后经车间外</w:t>
                  </w:r>
                  <w:r>
                    <w:rPr>
                      <w:rFonts w:hint="eastAsia" w:eastAsia="宋体" w:cs="Times New Roman"/>
                      <w:color w:val="auto"/>
                      <w:sz w:val="18"/>
                      <w:szCs w:val="18"/>
                      <w:highlight w:val="none"/>
                      <w:lang w:val="en-US" w:eastAsia="zh-CN"/>
                    </w:rPr>
                    <w:t>1根</w:t>
                  </w:r>
                  <w:r>
                    <w:rPr>
                      <w:rFonts w:hint="default" w:ascii="Times New Roman" w:hAnsi="Times New Roman" w:eastAsia="宋体" w:cs="Times New Roman"/>
                      <w:color w:val="auto"/>
                      <w:sz w:val="18"/>
                      <w:szCs w:val="18"/>
                      <w:highlight w:val="none"/>
                    </w:rPr>
                    <w:t>1</w:t>
                  </w:r>
                  <w:r>
                    <w:rPr>
                      <w:rFonts w:hint="eastAsia" w:cs="Times New Roman"/>
                      <w:color w:val="auto"/>
                      <w:sz w:val="18"/>
                      <w:szCs w:val="18"/>
                      <w:highlight w:val="none"/>
                      <w:lang w:val="en-US" w:eastAsia="zh-CN"/>
                    </w:rPr>
                    <w:t>7</w:t>
                  </w:r>
                  <w:r>
                    <w:rPr>
                      <w:rFonts w:hint="default" w:ascii="Times New Roman" w:hAnsi="Times New Roman" w:eastAsia="宋体" w:cs="Times New Roman"/>
                      <w:color w:val="auto"/>
                      <w:sz w:val="18"/>
                      <w:szCs w:val="18"/>
                      <w:highlight w:val="none"/>
                    </w:rPr>
                    <w:t>m高排气筒（DA00</w:t>
                  </w:r>
                  <w:r>
                    <w:rPr>
                      <w:rFonts w:hint="eastAsia" w:eastAsia="宋体" w:cs="Times New Roman"/>
                      <w:color w:val="auto"/>
                      <w:sz w:val="18"/>
                      <w:szCs w:val="18"/>
                      <w:highlight w:val="none"/>
                      <w:lang w:val="en-US" w:eastAsia="zh-CN"/>
                    </w:rPr>
                    <w:t>4</w:t>
                  </w:r>
                  <w:r>
                    <w:rPr>
                      <w:rFonts w:hint="default" w:ascii="Times New Roman" w:hAnsi="Times New Roman" w:eastAsia="宋体" w:cs="Times New Roman"/>
                      <w:color w:val="auto"/>
                      <w:sz w:val="18"/>
                      <w:szCs w:val="18"/>
                      <w:highlight w:val="none"/>
                    </w:rPr>
                    <w:t>）排放</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满足《水泥工业大气污染物排放标准》（GB4915-2013）及修改单中表1</w:t>
                  </w:r>
                  <w:r>
                    <w:rPr>
                      <w:rFonts w:hint="eastAsia" w:ascii="Times New Roman" w:hAnsi="Times New Roman" w:eastAsia="宋体" w:cs="Times New Roman"/>
                      <w:color w:val="auto"/>
                      <w:sz w:val="18"/>
                      <w:szCs w:val="18"/>
                      <w:highlight w:val="none"/>
                      <w:lang w:val="en-US" w:eastAsia="zh-CN"/>
                    </w:rPr>
                    <w:t>现有和</w:t>
                  </w:r>
                  <w:r>
                    <w:rPr>
                      <w:rFonts w:hint="default" w:ascii="Times New Roman" w:hAnsi="Times New Roman" w:eastAsia="宋体" w:cs="Times New Roman"/>
                      <w:color w:val="auto"/>
                      <w:sz w:val="18"/>
                      <w:szCs w:val="18"/>
                      <w:highlight w:val="none"/>
                    </w:rPr>
                    <w:t>新建企业大气污染物排放限值。本项目钢筋防腐浸泡及</w:t>
                  </w:r>
                  <w:r>
                    <w:rPr>
                      <w:rFonts w:hint="eastAsia" w:cs="Times New Roman"/>
                      <w:color w:val="auto"/>
                      <w:sz w:val="18"/>
                      <w:szCs w:val="18"/>
                      <w:highlight w:val="none"/>
                      <w:lang w:eastAsia="zh-CN"/>
                    </w:rPr>
                    <w:t>烘干</w:t>
                  </w:r>
                  <w:r>
                    <w:rPr>
                      <w:rFonts w:hint="default" w:ascii="Times New Roman" w:hAnsi="Times New Roman" w:eastAsia="宋体" w:cs="Times New Roman"/>
                      <w:color w:val="auto"/>
                      <w:sz w:val="18"/>
                      <w:szCs w:val="18"/>
                      <w:highlight w:val="none"/>
                    </w:rPr>
                    <w:t>工序会产生有机废气经活性炭吸附处理后由15m高排气筒（DA00</w:t>
                  </w:r>
                  <w:r>
                    <w:rPr>
                      <w:rFonts w:hint="eastAsia"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rPr>
                    <w:t>）排放《大气污染物综合排放标准》（GB16297-1996）表2中二级排放限值。</w:t>
                  </w:r>
                  <w:r>
                    <w:rPr>
                      <w:rFonts w:hint="eastAsia" w:eastAsia="宋体" w:cs="Times New Roman"/>
                      <w:color w:val="auto"/>
                      <w:sz w:val="18"/>
                      <w:szCs w:val="18"/>
                      <w:highlight w:val="none"/>
                      <w:lang w:eastAsia="zh-CN"/>
                    </w:rPr>
                    <w:t>焊接烟尘采用移动式烟尘净化器处理后排放满足</w:t>
                  </w:r>
                  <w:r>
                    <w:rPr>
                      <w:rFonts w:hint="default" w:ascii="Times New Roman" w:hAnsi="Times New Roman" w:cs="Times New Roman"/>
                      <w:color w:val="auto"/>
                      <w:sz w:val="18"/>
                      <w:szCs w:val="18"/>
                      <w:highlight w:val="none"/>
                    </w:rPr>
                    <w:t>《水泥工业大气污染物排放标准》（GB4915-2013）及修改单</w:t>
                  </w:r>
                  <w:r>
                    <w:rPr>
                      <w:rFonts w:hint="eastAsia" w:cs="Times New Roman"/>
                      <w:color w:val="auto"/>
                      <w:sz w:val="18"/>
                      <w:szCs w:val="18"/>
                      <w:highlight w:val="none"/>
                      <w:lang w:val="en-US" w:eastAsia="zh-CN"/>
                    </w:rPr>
                    <w:t>中表3</w:t>
                  </w:r>
                  <w:r>
                    <w:rPr>
                      <w:rFonts w:hint="default" w:ascii="Times New Roman" w:hAnsi="Times New Roman" w:cs="Times New Roman"/>
                      <w:color w:val="auto"/>
                      <w:sz w:val="18"/>
                      <w:szCs w:val="18"/>
                      <w:highlight w:val="none"/>
                    </w:rPr>
                    <w:t>大气污染物</w:t>
                  </w:r>
                  <w:r>
                    <w:rPr>
                      <w:rFonts w:hint="eastAsia" w:cs="Times New Roman"/>
                      <w:color w:val="auto"/>
                      <w:sz w:val="18"/>
                      <w:szCs w:val="18"/>
                      <w:highlight w:val="none"/>
                      <w:lang w:val="en-US" w:eastAsia="zh-CN"/>
                    </w:rPr>
                    <w:t>无组织</w:t>
                  </w:r>
                  <w:r>
                    <w:rPr>
                      <w:rFonts w:hint="default" w:ascii="Times New Roman" w:hAnsi="Times New Roman" w:cs="Times New Roman"/>
                      <w:color w:val="auto"/>
                      <w:sz w:val="18"/>
                      <w:szCs w:val="18"/>
                      <w:highlight w:val="none"/>
                    </w:rPr>
                    <w:t>排放限值</w:t>
                  </w:r>
                  <w:r>
                    <w:rPr>
                      <w:rFonts w:hint="default" w:ascii="Times New Roman" w:hAnsi="Times New Roman" w:eastAsia="宋体" w:cs="Times New Roman"/>
                      <w:color w:val="auto"/>
                      <w:sz w:val="18"/>
                      <w:szCs w:val="18"/>
                      <w:highlight w:val="none"/>
                    </w:rPr>
                    <w:t>。</w:t>
                  </w:r>
                  <w:r>
                    <w:rPr>
                      <w:rFonts w:hint="eastAsia" w:eastAsia="宋体" w:cs="Times New Roman"/>
                      <w:color w:val="auto"/>
                      <w:sz w:val="18"/>
                      <w:szCs w:val="18"/>
                      <w:highlight w:val="none"/>
                      <w:lang w:eastAsia="zh-CN"/>
                    </w:rPr>
                    <w:t>厂界</w:t>
                  </w:r>
                  <w:r>
                    <w:rPr>
                      <w:rFonts w:hint="default" w:ascii="Times New Roman" w:hAnsi="Times New Roman" w:eastAsia="宋体" w:cs="Times New Roman"/>
                      <w:color w:val="auto"/>
                      <w:sz w:val="18"/>
                      <w:szCs w:val="18"/>
                      <w:highlight w:val="none"/>
                    </w:rPr>
                    <w:t>无组织颗粒物排放浓度满足《水泥工业大气污染物排放标准》（GB4915-2013）及修改单中表3大气污染物无组织排放限值要求。厂界非甲烷总烃执行《大气污染物综合排放标准》（GB16297-1996）表2中无组织排放监控浓度限值；厂内执行《挥发性有机物无组织排放控制标准》（GB37822-2019）标准要求。</w:t>
                  </w:r>
                </w:p>
                <w:p w14:paraId="2DD59939">
                  <w:pPr>
                    <w:keepNext w:val="0"/>
                    <w:keepLines w:val="0"/>
                    <w:widowControl/>
                    <w:suppressLineNumbers w:val="0"/>
                    <w:jc w:val="left"/>
                    <w:rPr>
                      <w:rFonts w:hint="default" w:ascii="Times New Roman" w:hAnsi="Times New Roman" w:cs="Times New Roman"/>
                      <w:color w:val="auto"/>
                      <w:kern w:val="0"/>
                      <w:sz w:val="18"/>
                      <w:szCs w:val="18"/>
                      <w:highlight w:val="none"/>
                      <w:vertAlign w:val="baseline"/>
                    </w:rPr>
                  </w:pPr>
                  <w:r>
                    <w:rPr>
                      <w:rFonts w:hint="eastAsia" w:ascii="宋体" w:hAnsi="宋体" w:eastAsia="宋体" w:cs="宋体"/>
                      <w:color w:val="auto"/>
                      <w:kern w:val="0"/>
                      <w:sz w:val="18"/>
                      <w:szCs w:val="18"/>
                      <w:highlight w:val="none"/>
                      <w:lang w:val="en-US" w:eastAsia="zh-CN" w:bidi="ar"/>
                    </w:rPr>
                    <w:t>（5）本项目采用的治理措施均属于可行性技术。</w:t>
                  </w:r>
                </w:p>
              </w:tc>
              <w:tc>
                <w:tcPr>
                  <w:tcW w:w="812" w:type="dxa"/>
                  <w:tcBorders>
                    <w:tl2br w:val="nil"/>
                    <w:tr2bl w:val="nil"/>
                  </w:tcBorders>
                  <w:vAlign w:val="center"/>
                </w:tcPr>
                <w:p w14:paraId="75F9183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r w14:paraId="4660EC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3E8F5C42">
                  <w:pPr>
                    <w:keepNext w:val="0"/>
                    <w:keepLines w:val="0"/>
                    <w:widowControl/>
                    <w:suppressLineNumbers w:val="0"/>
                    <w:jc w:val="left"/>
                    <w:rPr>
                      <w:color w:val="auto"/>
                      <w:sz w:val="18"/>
                      <w:szCs w:val="18"/>
                      <w:highlight w:val="none"/>
                    </w:rPr>
                  </w:pPr>
                  <w:r>
                    <w:rPr>
                      <w:rFonts w:hint="eastAsia" w:ascii="宋体" w:hAnsi="宋体" w:eastAsia="宋体" w:cs="宋体"/>
                      <w:color w:val="auto"/>
                      <w:kern w:val="0"/>
                      <w:sz w:val="18"/>
                      <w:szCs w:val="18"/>
                      <w:highlight w:val="none"/>
                      <w:lang w:val="en-US" w:eastAsia="zh-CN" w:bidi="ar"/>
                    </w:rPr>
                    <w:t xml:space="preserve">声环境保护对 </w:t>
                  </w:r>
                </w:p>
                <w:p w14:paraId="205164B3">
                  <w:pPr>
                    <w:keepNext w:val="0"/>
                    <w:keepLines w:val="0"/>
                    <w:widowControl/>
                    <w:suppressLineNumbers w:val="0"/>
                    <w:jc w:val="left"/>
                    <w:rPr>
                      <w:rFonts w:hint="default" w:ascii="Times New Roman" w:hAnsi="Times New Roman" w:cs="Times New Roman"/>
                      <w:color w:val="auto"/>
                      <w:kern w:val="0"/>
                      <w:sz w:val="18"/>
                      <w:szCs w:val="18"/>
                      <w:highlight w:val="none"/>
                      <w:vertAlign w:val="baseline"/>
                    </w:rPr>
                  </w:pPr>
                  <w:r>
                    <w:rPr>
                      <w:rFonts w:hint="eastAsia" w:ascii="宋体" w:hAnsi="宋体" w:eastAsia="宋体" w:cs="宋体"/>
                      <w:color w:val="auto"/>
                      <w:kern w:val="0"/>
                      <w:sz w:val="18"/>
                      <w:szCs w:val="18"/>
                      <w:highlight w:val="none"/>
                      <w:lang w:val="en-US" w:eastAsia="zh-CN" w:bidi="ar"/>
                    </w:rPr>
                    <w:t>策与减缓措施</w:t>
                  </w:r>
                </w:p>
              </w:tc>
              <w:tc>
                <w:tcPr>
                  <w:tcW w:w="2741" w:type="dxa"/>
                  <w:tcBorders>
                    <w:tl2br w:val="nil"/>
                    <w:tr2bl w:val="nil"/>
                  </w:tcBorders>
                  <w:vAlign w:val="center"/>
                </w:tcPr>
                <w:p w14:paraId="01C1279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（1）合理布局。产生高噪声的工业企业选址应布置于区内距离居民区较远的位置，厂内高噪声设备或高噪声车间远离厂界，并充分利用厂房、建构筑物遮挡隔声，厂区内外道路植树绿化，以减轻噪声影响。</w:t>
                  </w:r>
                </w:p>
                <w:p w14:paraId="4540A7B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（2）控制噪声源。严格控制企业厂界噪声，新设备选择低噪声先进设备，因地制宜，采取安装消声器、隔声罩、减震底座，建隔声间、隔声门窗，车间装设吸声材料等多种措施。</w:t>
                  </w:r>
                </w:p>
                <w:p w14:paraId="04D178A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（3）加强管理。要求企业加强高噪声设备及其隔声降噪设施的运行管理，及时维护，使其经常处于正常运行状态。</w:t>
                  </w:r>
                </w:p>
              </w:tc>
              <w:tc>
                <w:tcPr>
                  <w:tcW w:w="1840" w:type="dxa"/>
                  <w:tcBorders>
                    <w:tl2br w:val="nil"/>
                    <w:tr2bl w:val="nil"/>
                  </w:tcBorders>
                  <w:vAlign w:val="center"/>
                </w:tcPr>
                <w:p w14:paraId="6727F93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本项目对高噪声设备，采取相应的隔声、消声、减振等有效的噪声防治措施，确保厂界噪声满足《工业企业厂界环境噪声排 放标准》（GB12348-2008） 表1中3类标准要求。</w:t>
                  </w:r>
                </w:p>
              </w:tc>
              <w:tc>
                <w:tcPr>
                  <w:tcW w:w="812" w:type="dxa"/>
                  <w:tcBorders>
                    <w:tl2br w:val="nil"/>
                    <w:tr2bl w:val="nil"/>
                  </w:tcBorders>
                  <w:vAlign w:val="center"/>
                </w:tcPr>
                <w:p w14:paraId="78EA7CA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r w14:paraId="434A23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4E112096">
                  <w:pPr>
                    <w:keepNext w:val="0"/>
                    <w:keepLines w:val="0"/>
                    <w:widowControl/>
                    <w:suppressLineNumbers w:val="0"/>
                    <w:jc w:val="left"/>
                    <w:rPr>
                      <w:color w:val="auto"/>
                      <w:sz w:val="18"/>
                      <w:szCs w:val="18"/>
                      <w:highlight w:val="none"/>
                    </w:rPr>
                  </w:pPr>
                  <w:r>
                    <w:rPr>
                      <w:rFonts w:hint="eastAsia" w:ascii="宋体" w:hAnsi="宋体" w:eastAsia="宋体" w:cs="宋体"/>
                      <w:color w:val="auto"/>
                      <w:kern w:val="0"/>
                      <w:sz w:val="18"/>
                      <w:szCs w:val="18"/>
                      <w:highlight w:val="none"/>
                      <w:lang w:val="en-US" w:eastAsia="zh-CN" w:bidi="ar"/>
                    </w:rPr>
                    <w:t>固废污染物防治对策与减缓措施</w:t>
                  </w:r>
                </w:p>
                <w:p w14:paraId="56E449A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p>
              </w:tc>
              <w:tc>
                <w:tcPr>
                  <w:tcW w:w="2741" w:type="dxa"/>
                  <w:tcBorders>
                    <w:tl2br w:val="nil"/>
                    <w:tr2bl w:val="nil"/>
                  </w:tcBorders>
                  <w:vAlign w:val="center"/>
                </w:tcPr>
                <w:p w14:paraId="25456600">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（1）一般工业固废</w:t>
                  </w:r>
                </w:p>
                <w:p w14:paraId="2E7A51B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开发区产生的一般工业固体废物本着“谁产生、谁处理”的原则，其收集、贮运和处置均由产生固体废物的生产企业负责，由开发区环境管理机构进行监督。</w:t>
                  </w:r>
                </w:p>
                <w:p w14:paraId="7E20528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（2）危险废物</w:t>
                  </w:r>
                </w:p>
                <w:p w14:paraId="65997B9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对所有进出开发区的车辆加强监管，杜绝危险废物非法转移。区内危险废物必须严格按照国家相关管理规定及规范进行安全处置，危险废物安全处置率达100%。</w:t>
                  </w:r>
                </w:p>
                <w:p w14:paraId="7E72501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（3）生活垃圾</w:t>
                  </w:r>
                </w:p>
                <w:p w14:paraId="4FD155C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区内各企业、生活办公区、居民区等各单位均设置垃圾分类收集设施，由环卫部门统一进行收集后送生活垃圾处理厂处理。区内规划设置垃圾转运站需按照《生活垃圾转运站技术规范》（CJJ/T</w:t>
                  </w:r>
                </w:p>
                <w:p w14:paraId="1844F28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47-2016）的要求建设，并和居住区保持一定的卫生防护距离。</w:t>
                  </w:r>
                </w:p>
                <w:p w14:paraId="12FEE9F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（4）施工废料及建筑垃圾</w:t>
                  </w:r>
                </w:p>
                <w:p w14:paraId="5927D83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对施工废料如钢筋、钢板、木材等下脚料应考虑回收利用；对建筑垃圾，如混凝土废料、废砖、含砖、石、砂的杂土应集中堆放，或用于低洼地带回填，或定时清运，以免影响施工和环境卫生。</w:t>
                  </w:r>
                </w:p>
              </w:tc>
              <w:tc>
                <w:tcPr>
                  <w:tcW w:w="1840" w:type="dxa"/>
                  <w:tcBorders>
                    <w:tl2br w:val="nil"/>
                    <w:tr2bl w:val="nil"/>
                  </w:tcBorders>
                  <w:vAlign w:val="center"/>
                </w:tcPr>
                <w:p w14:paraId="1DE8256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r>
                    <w:rPr>
                      <w:rFonts w:hint="default" w:ascii="Times New Roman" w:hAnsi="Times New Roman" w:eastAsia="宋体" w:cs="Times New Roman"/>
                      <w:color w:val="auto"/>
                      <w:sz w:val="18"/>
                      <w:szCs w:val="18"/>
                      <w:highlight w:val="none"/>
                      <w:lang w:eastAsia="zh-CN"/>
                    </w:rPr>
                    <w:t>本项目生活垃圾分类收集，由市政环卫部门统一清运处理。废布袋更换后由厂家直接带走。塑料包装带收集后交由市政部门</w:t>
                  </w:r>
                  <w:r>
                    <w:rPr>
                      <w:rFonts w:hint="eastAsia" w:cs="Times New Roman"/>
                      <w:color w:val="auto"/>
                      <w:sz w:val="18"/>
                      <w:szCs w:val="18"/>
                      <w:highlight w:val="none"/>
                      <w:lang w:eastAsia="zh-CN"/>
                    </w:rPr>
                    <w:t>统一</w:t>
                  </w:r>
                  <w:r>
                    <w:rPr>
                      <w:rFonts w:hint="default" w:ascii="Times New Roman" w:hAnsi="Times New Roman" w:eastAsia="宋体" w:cs="Times New Roman"/>
                      <w:color w:val="auto"/>
                      <w:sz w:val="18"/>
                      <w:szCs w:val="18"/>
                      <w:highlight w:val="none"/>
                      <w:lang w:eastAsia="zh-CN"/>
                    </w:rPr>
                    <w:t>处置；不合格品</w:t>
                  </w:r>
                  <w:r>
                    <w:rPr>
                      <w:rFonts w:hint="eastAsia" w:cs="Times New Roman"/>
                      <w:color w:val="auto"/>
                      <w:sz w:val="18"/>
                      <w:szCs w:val="18"/>
                      <w:highlight w:val="none"/>
                      <w:lang w:eastAsia="zh-CN"/>
                    </w:rPr>
                    <w:t>、废边角料</w:t>
                  </w:r>
                  <w:r>
                    <w:rPr>
                      <w:rFonts w:hint="default" w:ascii="Times New Roman" w:hAnsi="Times New Roman" w:eastAsia="宋体" w:cs="Times New Roman"/>
                      <w:color w:val="auto"/>
                      <w:sz w:val="18"/>
                      <w:szCs w:val="18"/>
                      <w:highlight w:val="none"/>
                      <w:lang w:eastAsia="zh-CN"/>
                    </w:rPr>
                    <w:t>收集后外售其他水泥制品单位综合利用。</w:t>
                  </w:r>
                  <w:r>
                    <w:rPr>
                      <w:rFonts w:hint="eastAsia" w:cs="Times New Roman"/>
                      <w:color w:val="auto"/>
                      <w:sz w:val="18"/>
                      <w:szCs w:val="18"/>
                      <w:highlight w:val="none"/>
                      <w:lang w:eastAsia="zh-CN"/>
                    </w:rPr>
                    <w:t>浸泡废水、防腐剂桶、脱模剂桶、</w:t>
                  </w:r>
                  <w:r>
                    <w:rPr>
                      <w:rFonts w:hint="default" w:ascii="Times New Roman" w:hAnsi="Times New Roman" w:eastAsia="宋体" w:cs="Times New Roman"/>
                      <w:color w:val="auto"/>
                      <w:sz w:val="18"/>
                      <w:szCs w:val="18"/>
                      <w:highlight w:val="none"/>
                      <w:lang w:eastAsia="zh-CN"/>
                    </w:rPr>
                    <w:t>废矿物油</w:t>
                  </w:r>
                  <w:r>
                    <w:rPr>
                      <w:rFonts w:hint="eastAsia" w:cs="Times New Roman"/>
                      <w:color w:val="auto"/>
                      <w:sz w:val="18"/>
                      <w:szCs w:val="18"/>
                      <w:highlight w:val="none"/>
                      <w:lang w:eastAsia="zh-CN"/>
                    </w:rPr>
                    <w:t>、废油桶</w:t>
                  </w:r>
                  <w:r>
                    <w:rPr>
                      <w:rFonts w:hint="default" w:ascii="Times New Roman" w:hAnsi="Times New Roman" w:eastAsia="宋体" w:cs="Times New Roman"/>
                      <w:color w:val="auto"/>
                      <w:sz w:val="18"/>
                      <w:szCs w:val="18"/>
                      <w:highlight w:val="none"/>
                      <w:lang w:eastAsia="zh-CN"/>
                    </w:rPr>
                    <w:t>收集后暂存于厂内</w:t>
                  </w:r>
                  <w:r>
                    <w:rPr>
                      <w:rFonts w:hint="eastAsia" w:cs="Times New Roman"/>
                      <w:color w:val="auto"/>
                      <w:sz w:val="18"/>
                      <w:szCs w:val="18"/>
                      <w:highlight w:val="none"/>
                      <w:lang w:eastAsia="zh-CN"/>
                    </w:rPr>
                    <w:t>危险废物贮存点</w:t>
                  </w:r>
                  <w:r>
                    <w:rPr>
                      <w:rFonts w:hint="default" w:ascii="Times New Roman" w:hAnsi="Times New Roman" w:eastAsia="宋体" w:cs="Times New Roman"/>
                      <w:color w:val="auto"/>
                      <w:sz w:val="18"/>
                      <w:szCs w:val="18"/>
                      <w:highlight w:val="none"/>
                      <w:lang w:eastAsia="zh-CN"/>
                    </w:rPr>
                    <w:t>，定期委托有资质单位处置。布袋除尘器</w:t>
                  </w:r>
                  <w:r>
                    <w:rPr>
                      <w:rFonts w:hint="eastAsia" w:cs="Times New Roman"/>
                      <w:color w:val="auto"/>
                      <w:sz w:val="18"/>
                      <w:szCs w:val="18"/>
                      <w:highlight w:val="none"/>
                      <w:lang w:eastAsia="zh-CN"/>
                    </w:rPr>
                    <w:t>收集粉尘</w:t>
                  </w:r>
                  <w:r>
                    <w:rPr>
                      <w:rFonts w:hint="default" w:ascii="Times New Roman" w:hAnsi="Times New Roman" w:eastAsia="宋体" w:cs="Times New Roman"/>
                      <w:color w:val="auto"/>
                      <w:sz w:val="18"/>
                      <w:szCs w:val="18"/>
                      <w:highlight w:val="none"/>
                      <w:lang w:eastAsia="zh-CN"/>
                    </w:rPr>
                    <w:t>收集后回用于生产。炉渣暂存于锅炉房内，定期外售综合利用。废离子交换树脂交由厂家回收。废活性炭</w:t>
                  </w:r>
                  <w:r>
                    <w:rPr>
                      <w:rFonts w:hint="eastAsia" w:cs="Times New Roman"/>
                      <w:color w:val="auto"/>
                      <w:sz w:val="18"/>
                      <w:szCs w:val="18"/>
                      <w:highlight w:val="none"/>
                      <w:lang w:eastAsia="zh-CN"/>
                    </w:rPr>
                    <w:t>暂存于危险废物贮存点内，定期</w:t>
                  </w:r>
                  <w:r>
                    <w:rPr>
                      <w:rFonts w:hint="default" w:ascii="Times New Roman" w:hAnsi="Times New Roman" w:eastAsia="宋体" w:cs="Times New Roman"/>
                      <w:color w:val="auto"/>
                      <w:sz w:val="18"/>
                      <w:szCs w:val="18"/>
                      <w:highlight w:val="none"/>
                      <w:lang w:eastAsia="zh-CN"/>
                    </w:rPr>
                    <w:t>交由有资质部门统一处理。</w:t>
                  </w:r>
                </w:p>
              </w:tc>
              <w:tc>
                <w:tcPr>
                  <w:tcW w:w="812" w:type="dxa"/>
                  <w:tcBorders>
                    <w:tl2br w:val="nil"/>
                    <w:tr2bl w:val="nil"/>
                  </w:tcBorders>
                  <w:vAlign w:val="center"/>
                </w:tcPr>
                <w:p w14:paraId="4240A31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bl>
          <w:p w14:paraId="53ADC46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综上，本项目符合《黑龙江铁力经济开发区总体规划（2021</w:t>
            </w:r>
            <w:r>
              <w:rPr>
                <w:rFonts w:hint="eastAsia"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2030年）环境影响报告书》及审查意见中的相关要求。</w:t>
            </w:r>
          </w:p>
          <w:p w14:paraId="253279C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根据《黑龙江铁力经济开发区总体规划（2021</w:t>
            </w:r>
            <w:r>
              <w:rPr>
                <w:rFonts w:hint="eastAsia" w:cs="Times New Roman"/>
                <w:color w:val="auto"/>
                <w:kern w:val="0"/>
                <w:szCs w:val="21"/>
                <w:highlight w:val="none"/>
                <w:lang w:val="en-US" w:eastAsia="zh-CN"/>
              </w:rPr>
              <w:t>-</w:t>
            </w:r>
            <w:r>
              <w:rPr>
                <w:rFonts w:hint="default" w:ascii="Times New Roman" w:hAnsi="Times New Roman" w:cs="Times New Roman"/>
                <w:color w:val="auto"/>
                <w:kern w:val="0"/>
                <w:szCs w:val="21"/>
                <w:highlight w:val="none"/>
              </w:rPr>
              <w:t>2030年）环境影响报告书》内容，本项目与黑龙江铁力经济开发区产业发展负面清单的对比分析如下表：</w:t>
            </w:r>
          </w:p>
          <w:p w14:paraId="77D5F99D">
            <w:pPr>
              <w:keepNext w:val="0"/>
              <w:keepLines w:val="0"/>
              <w:widowControl/>
              <w:suppressLineNumbers w:val="0"/>
              <w:jc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eastAsia="宋体" w:cs="Times New Roman"/>
                <w:b/>
                <w:bCs/>
                <w:color w:val="auto"/>
                <w:kern w:val="0"/>
                <w:sz w:val="21"/>
                <w:szCs w:val="21"/>
                <w:highlight w:val="none"/>
                <w:lang w:val="en-US" w:eastAsia="zh-CN" w:bidi="ar"/>
              </w:rPr>
              <w:t>表1-4 黑龙江铁力经济开发区产业发展负面清单一览表</w:t>
            </w:r>
          </w:p>
          <w:tbl>
            <w:tblPr>
              <w:tblStyle w:val="33"/>
              <w:tblW w:w="6272"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9"/>
              <w:gridCol w:w="2901"/>
              <w:gridCol w:w="1680"/>
              <w:gridCol w:w="812"/>
            </w:tblGrid>
            <w:tr w14:paraId="6361B4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6664967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项目</w:t>
                  </w:r>
                </w:p>
              </w:tc>
              <w:tc>
                <w:tcPr>
                  <w:tcW w:w="2901" w:type="dxa"/>
                  <w:tcBorders>
                    <w:tl2br w:val="nil"/>
                    <w:tr2bl w:val="nil"/>
                  </w:tcBorders>
                  <w:vAlign w:val="center"/>
                </w:tcPr>
                <w:p w14:paraId="5995ACF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《黑龙江铁力经济开发区总体规划（2021—2030年）环境影响报告书》内容</w:t>
                  </w:r>
                </w:p>
              </w:tc>
              <w:tc>
                <w:tcPr>
                  <w:tcW w:w="1680" w:type="dxa"/>
                  <w:tcBorders>
                    <w:tl2br w:val="nil"/>
                    <w:tr2bl w:val="nil"/>
                  </w:tcBorders>
                  <w:vAlign w:val="center"/>
                </w:tcPr>
                <w:p w14:paraId="30E419A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本项目情况</w:t>
                  </w:r>
                </w:p>
              </w:tc>
              <w:tc>
                <w:tcPr>
                  <w:tcW w:w="812" w:type="dxa"/>
                  <w:tcBorders>
                    <w:tl2br w:val="nil"/>
                    <w:tr2bl w:val="nil"/>
                  </w:tcBorders>
                  <w:vAlign w:val="center"/>
                </w:tcPr>
                <w:p w14:paraId="10BDC6C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相符性</w:t>
                  </w:r>
                </w:p>
              </w:tc>
            </w:tr>
            <w:tr w14:paraId="715BC2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4D2EAB7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空间布局约束</w:t>
                  </w:r>
                </w:p>
              </w:tc>
              <w:tc>
                <w:tcPr>
                  <w:tcW w:w="2901" w:type="dxa"/>
                  <w:tcBorders>
                    <w:tl2br w:val="nil"/>
                    <w:tr2bl w:val="nil"/>
                  </w:tcBorders>
                  <w:vAlign w:val="center"/>
                </w:tcPr>
                <w:p w14:paraId="47EC98A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①不得引入不符合《产业结构调整指导目录（2024年本）》中限制类产业和淘汰类产业入园建设项目。②不得引入《黑龙江省重点生态功能区产业准入负面清单》（试行版）中限制类和禁止类产业入园建设项目。③不得引入不符合规划环评结论及审查意见的入园建设项目。④严格控制高耗水、高污染行业发展，以批复的《黑龙江铁力经济开发区规划水资源论证报告》中取水量作为开发区“水资源利用上限”判定入驻项目可行性；开发区不得增加水污染物排放，以开发区各类废水经开发区污水处理厂处理后外排量不超过3000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vertAlign w:val="baseline"/>
                    </w:rPr>
                    <w:t>/d 判定入驻项目可行性。⑤禁止引进国家现行产业政策明令禁止或淘汰的产业及工艺，以及排污量较大、污染控制难度大，不符合园区大气总量控制原则、园区规划的项目。⑥淘汰每小时10蒸吨及以下燃煤锅炉，单台出力小于20蒸吨/小时的锅炉不得燃用《伊春市人民政府关于划定高污染燃料禁燃区的通告》中的高污染燃料，黑龙江铁力经济开发区限期淘汰每小时10吨及以下燃煤锅炉，单台出力小于20蒸吨/小时的锅炉不得燃用《伊春市人民政府关于划定高污染燃料禁燃区的通告》中的高污染燃料，根据当地生态环境局意见淘汰固定炉排式生物质锅炉及每小时2蒸吨及以下生物质锅炉。⑦不得引入有色金属冶炼、焦化项目。⑧不得引入《环境保护综合名录（2021年版）》中涉及的“高污染、高环境风险”产品行业。⑨不得以机械加工、铸造、铁合金等名义新增钢铁产能。</w:t>
                  </w:r>
                </w:p>
              </w:tc>
              <w:tc>
                <w:tcPr>
                  <w:tcW w:w="1680" w:type="dxa"/>
                  <w:tcBorders>
                    <w:tl2br w:val="nil"/>
                    <w:tr2bl w:val="nil"/>
                  </w:tcBorders>
                  <w:vAlign w:val="center"/>
                </w:tcPr>
                <w:p w14:paraId="156E181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本项目不属于上述不得引入情况。</w:t>
                  </w:r>
                </w:p>
                <w:p w14:paraId="08862A3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p>
              </w:tc>
              <w:tc>
                <w:tcPr>
                  <w:tcW w:w="812" w:type="dxa"/>
                  <w:tcBorders>
                    <w:tl2br w:val="nil"/>
                    <w:tr2bl w:val="nil"/>
                  </w:tcBorders>
                  <w:vAlign w:val="center"/>
                </w:tcPr>
                <w:p w14:paraId="6F029D09">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r w14:paraId="39E411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4C24F3A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污染物排放管控</w:t>
                  </w:r>
                </w:p>
              </w:tc>
              <w:tc>
                <w:tcPr>
                  <w:tcW w:w="2901" w:type="dxa"/>
                  <w:tcBorders>
                    <w:tl2br w:val="nil"/>
                    <w:tr2bl w:val="nil"/>
                  </w:tcBorders>
                  <w:vAlign w:val="center"/>
                </w:tcPr>
                <w:p w14:paraId="1412EF38">
                  <w:pPr>
                    <w:keepNext w:val="0"/>
                    <w:keepLines w:val="0"/>
                    <w:widowControl/>
                    <w:suppressLineNumbers w:val="0"/>
                    <w:jc w:val="left"/>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①不得引入不能满足大气防护距离、卫生防护距离内无常住居民要求的项目。②开发区各类废水经开发区污水处理厂处理后排入纳污水体的量不得超过3000m</w:t>
                  </w:r>
                  <w:r>
                    <w:rPr>
                      <w:rFonts w:hint="default" w:ascii="Times New Roman" w:hAnsi="Times New Roman" w:cs="Times New Roman"/>
                      <w:color w:val="auto"/>
                      <w:kern w:val="0"/>
                      <w:sz w:val="18"/>
                      <w:szCs w:val="18"/>
                      <w:highlight w:val="none"/>
                      <w:vertAlign w:val="superscript"/>
                    </w:rPr>
                    <w:t>3</w:t>
                  </w:r>
                  <w:r>
                    <w:rPr>
                      <w:rFonts w:hint="default" w:ascii="Times New Roman" w:hAnsi="Times New Roman" w:cs="Times New Roman"/>
                      <w:color w:val="auto"/>
                      <w:kern w:val="0"/>
                      <w:sz w:val="18"/>
                      <w:szCs w:val="18"/>
                      <w:highlight w:val="none"/>
                      <w:vertAlign w:val="baseline"/>
                    </w:rPr>
                    <w:t>/d，化学需氧量和氨氮排放量不得超过54.75t/a和5.475t/a。③新、改、扩建金属采选及加工、轻工、纺织品制造、废旧资源加工再生等行业的项目，其主要污染物及有毒有害污染物排放不能实施倍量或减量置换的项目。④不得引入排放的废水无法满足园区污水处理厂进水要求的项目，排放“三致”污染物和难降解的有机污染物的项目，工艺废气中含有难处理的、有毒有害物质的项目，环境影响不可接受、环境风险和安全风险不可控的项目。⑤新建、扩建“两高”项目应采用先进适用的工艺技术和装备，单位产品物耗、能耗、水耗等达到清洁生产先进水平，依法制定并严格落实防治土壤与地下水污染的措施。⑥对于含有毒有害水污染物的工业废水和生活污水混合处理的污水处理厂产生的污泥，不能采用土地利用方式。⑦加强消耗臭氧层物质和氢氟碳化物环境管理，加强泡沫、制冷、氟化工等行业治理，逐步淘汰氢氯氟烃使用。⑧电镀废水外排的项目。</w:t>
                  </w:r>
                </w:p>
              </w:tc>
              <w:tc>
                <w:tcPr>
                  <w:tcW w:w="1680" w:type="dxa"/>
                  <w:tcBorders>
                    <w:tl2br w:val="nil"/>
                    <w:tr2bl w:val="nil"/>
                  </w:tcBorders>
                  <w:vAlign w:val="center"/>
                </w:tcPr>
                <w:p w14:paraId="37419842">
                  <w:pPr>
                    <w:keepNext w:val="0"/>
                    <w:keepLines w:val="0"/>
                    <w:widowControl/>
                    <w:suppressLineNumbers w:val="0"/>
                    <w:jc w:val="left"/>
                    <w:rPr>
                      <w:rFonts w:hint="default" w:ascii="Times New Roman" w:hAnsi="Times New Roman" w:cs="Times New Roman"/>
                      <w:color w:val="auto"/>
                      <w:kern w:val="0"/>
                      <w:sz w:val="18"/>
                      <w:szCs w:val="18"/>
                      <w:highlight w:val="none"/>
                      <w:vertAlign w:val="baseline"/>
                    </w:rPr>
                  </w:pPr>
                  <w:r>
                    <w:rPr>
                      <w:rFonts w:hint="default" w:ascii="Times New Roman" w:hAnsi="Times New Roman" w:cs="Times New Roman"/>
                      <w:color w:val="auto"/>
                      <w:kern w:val="0"/>
                      <w:sz w:val="18"/>
                      <w:szCs w:val="18"/>
                      <w:highlight w:val="none"/>
                      <w:vertAlign w:val="baseline"/>
                    </w:rPr>
                    <w:t>本项目不属于上述污染物排放管控项目。</w:t>
                  </w:r>
                </w:p>
                <w:p w14:paraId="5E26BAC5">
                  <w:pPr>
                    <w:keepNext w:val="0"/>
                    <w:keepLines w:val="0"/>
                    <w:widowControl/>
                    <w:suppressLineNumbers w:val="0"/>
                    <w:jc w:val="left"/>
                    <w:rPr>
                      <w:rFonts w:hint="default" w:ascii="Times New Roman" w:hAnsi="Times New Roman" w:cs="Times New Roman"/>
                      <w:color w:val="auto"/>
                      <w:kern w:val="0"/>
                      <w:sz w:val="18"/>
                      <w:szCs w:val="18"/>
                      <w:highlight w:val="none"/>
                      <w:vertAlign w:val="baseline"/>
                    </w:rPr>
                  </w:pPr>
                </w:p>
              </w:tc>
              <w:tc>
                <w:tcPr>
                  <w:tcW w:w="812" w:type="dxa"/>
                  <w:tcBorders>
                    <w:tl2br w:val="nil"/>
                    <w:tr2bl w:val="nil"/>
                  </w:tcBorders>
                  <w:vAlign w:val="center"/>
                </w:tcPr>
                <w:p w14:paraId="6FE2C7F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r w14:paraId="10E1B7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69CA697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eastAsia="zh-CN"/>
                    </w:rPr>
                  </w:pPr>
                  <w:r>
                    <w:rPr>
                      <w:rFonts w:hint="eastAsia" w:cs="Times New Roman"/>
                      <w:color w:val="auto"/>
                      <w:kern w:val="0"/>
                      <w:sz w:val="18"/>
                      <w:szCs w:val="18"/>
                      <w:highlight w:val="none"/>
                      <w:vertAlign w:val="baseline"/>
                      <w:lang w:eastAsia="zh-CN"/>
                    </w:rPr>
                    <w:t>环境风险防控</w:t>
                  </w:r>
                </w:p>
              </w:tc>
              <w:tc>
                <w:tcPr>
                  <w:tcW w:w="2901" w:type="dxa"/>
                  <w:tcBorders>
                    <w:tl2br w:val="nil"/>
                    <w:tr2bl w:val="nil"/>
                  </w:tcBorders>
                  <w:vAlign w:val="center"/>
                </w:tcPr>
                <w:p w14:paraId="1AD0E8DE">
                  <w:pPr>
                    <w:pStyle w:val="27"/>
                    <w:keepNext w:val="0"/>
                    <w:keepLines w:val="0"/>
                    <w:widowControl/>
                    <w:suppressLineNumbers w:val="0"/>
                    <w:spacing w:line="240" w:lineRule="auto"/>
                    <w:ind w:left="0" w:firstLine="0"/>
                    <w:jc w:val="left"/>
                    <w:textAlignment w:val="center"/>
                    <w:rPr>
                      <w:rFonts w:hint="default" w:ascii="Times New Roman" w:hAnsi="Times New Roman" w:eastAsia="宋体" w:cs="Times New Roman"/>
                      <w:color w:val="auto"/>
                      <w:kern w:val="0"/>
                      <w:sz w:val="18"/>
                      <w:szCs w:val="18"/>
                      <w:highlight w:val="none"/>
                      <w:vertAlign w:val="baseline"/>
                      <w:lang w:val="en-US" w:eastAsia="zh-CN" w:bidi="ar-SA"/>
                    </w:rPr>
                  </w:pPr>
                  <w:r>
                    <w:rPr>
                      <w:rFonts w:hint="eastAsia" w:ascii="Times New Roman" w:hAnsi="Times New Roman" w:eastAsia="宋体" w:cs="Times New Roman"/>
                      <w:color w:val="auto"/>
                      <w:kern w:val="0"/>
                      <w:sz w:val="18"/>
                      <w:szCs w:val="18"/>
                      <w:highlight w:val="none"/>
                      <w:vertAlign w:val="baseline"/>
                      <w:lang w:val="en-US" w:eastAsia="zh-CN" w:bidi="ar-SA"/>
                    </w:rPr>
                    <w:t>①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②园区应建立危险源数据库，并动态更新。建立园区、企业、装置三级应急联动方案，强化区域环境风险应急防范能力。建设突发环境事件应急物资储备库；强化环境风险防控工作，突出全防全控，完善各项环境风险防范制度，确保将风险防范融入日常环境管理制度体系，加强执法监督，逐步实现对重点工业园区、重点企业和主要环境风险类型的动态监控。③在居住和工业企业混杂区域，应加强环境风险防控体系建设。</w:t>
                  </w:r>
                </w:p>
              </w:tc>
              <w:tc>
                <w:tcPr>
                  <w:tcW w:w="1680" w:type="dxa"/>
                  <w:tcBorders>
                    <w:tl2br w:val="nil"/>
                    <w:tr2bl w:val="nil"/>
                  </w:tcBorders>
                  <w:vAlign w:val="center"/>
                </w:tcPr>
                <w:p w14:paraId="4DDE0C40">
                  <w:pPr>
                    <w:pStyle w:val="27"/>
                    <w:keepNext w:val="0"/>
                    <w:keepLines w:val="0"/>
                    <w:widowControl/>
                    <w:suppressLineNumbers w:val="0"/>
                    <w:spacing w:line="240" w:lineRule="auto"/>
                    <w:ind w:left="0" w:firstLine="0"/>
                    <w:jc w:val="left"/>
                    <w:textAlignment w:val="center"/>
                    <w:rPr>
                      <w:color w:val="auto"/>
                      <w:sz w:val="18"/>
                      <w:szCs w:val="18"/>
                      <w:highlight w:val="none"/>
                    </w:rPr>
                  </w:pPr>
                  <w:r>
                    <w:rPr>
                      <w:rFonts w:hint="eastAsia" w:ascii="宋体" w:hAnsi="宋体" w:eastAsia="宋体" w:cs="宋体"/>
                      <w:color w:val="auto"/>
                      <w:spacing w:val="0"/>
                      <w:position w:val="0"/>
                      <w:sz w:val="18"/>
                      <w:szCs w:val="18"/>
                      <w:highlight w:val="none"/>
                    </w:rPr>
                    <w:t>本企业制定突发环境事件应急预案，并与园区应急预案联动。</w:t>
                  </w:r>
                </w:p>
                <w:p w14:paraId="0C063D7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cs="Times New Roman"/>
                      <w:color w:val="auto"/>
                      <w:kern w:val="0"/>
                      <w:sz w:val="18"/>
                      <w:szCs w:val="18"/>
                      <w:highlight w:val="none"/>
                      <w:vertAlign w:val="baseline"/>
                    </w:rPr>
                  </w:pPr>
                </w:p>
              </w:tc>
              <w:tc>
                <w:tcPr>
                  <w:tcW w:w="812" w:type="dxa"/>
                  <w:tcBorders>
                    <w:tl2br w:val="nil"/>
                    <w:tr2bl w:val="nil"/>
                  </w:tcBorders>
                  <w:vAlign w:val="center"/>
                </w:tcPr>
                <w:p w14:paraId="337F09BB">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r w14:paraId="2CB98B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278A8C0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eastAsia="zh-CN"/>
                    </w:rPr>
                  </w:pPr>
                  <w:r>
                    <w:rPr>
                      <w:rFonts w:hint="eastAsia" w:cs="Times New Roman"/>
                      <w:color w:val="auto"/>
                      <w:kern w:val="0"/>
                      <w:sz w:val="18"/>
                      <w:szCs w:val="18"/>
                      <w:highlight w:val="none"/>
                      <w:vertAlign w:val="baseline"/>
                      <w:lang w:eastAsia="zh-CN"/>
                    </w:rPr>
                    <w:t>资源开发率要求</w:t>
                  </w:r>
                </w:p>
              </w:tc>
              <w:tc>
                <w:tcPr>
                  <w:tcW w:w="2901" w:type="dxa"/>
                  <w:tcBorders>
                    <w:tl2br w:val="nil"/>
                    <w:tr2bl w:val="nil"/>
                  </w:tcBorders>
                  <w:vAlign w:val="center"/>
                </w:tcPr>
                <w:p w14:paraId="5683538D">
                  <w:pPr>
                    <w:pStyle w:val="27"/>
                    <w:keepNext w:val="0"/>
                    <w:keepLines w:val="0"/>
                    <w:widowControl/>
                    <w:suppressLineNumbers w:val="0"/>
                    <w:spacing w:line="240" w:lineRule="auto"/>
                    <w:ind w:left="0" w:firstLine="0"/>
                    <w:jc w:val="left"/>
                    <w:textAlignment w:val="center"/>
                    <w:rPr>
                      <w:rFonts w:hint="default" w:ascii="Times New Roman" w:hAnsi="Times New Roman" w:eastAsia="宋体" w:cs="Times New Roman"/>
                      <w:color w:val="auto"/>
                      <w:kern w:val="0"/>
                      <w:sz w:val="18"/>
                      <w:szCs w:val="18"/>
                      <w:highlight w:val="none"/>
                      <w:vertAlign w:val="baseline"/>
                      <w:lang w:val="en-US" w:eastAsia="zh-CN" w:bidi="ar-SA"/>
                    </w:rPr>
                  </w:pPr>
                  <w:r>
                    <w:rPr>
                      <w:rFonts w:hint="eastAsia" w:ascii="Times New Roman" w:hAnsi="Times New Roman" w:eastAsia="宋体" w:cs="Times New Roman"/>
                      <w:color w:val="auto"/>
                      <w:kern w:val="0"/>
                      <w:sz w:val="18"/>
                      <w:szCs w:val="18"/>
                      <w:highlight w:val="none"/>
                      <w:vertAlign w:val="baseline"/>
                      <w:lang w:val="en-US" w:eastAsia="zh-CN" w:bidi="ar-SA"/>
                    </w:rPr>
                    <w:t>①高污染燃料禁燃区禁止销售、燃用高污染燃料。②高污染燃料禁燃区禁止新建、改建、扩建任何燃用高污染燃料的项目和设备（城市集中供热应急、调峰锅炉除外）。③高污染燃料禁燃区已建成使用高污染燃料的各类设备应当拆除或者改用管道天然气、页岩气、液化石油气、电或者其他清洁能源。④高污染燃料禁燃区现有燃用高污染燃料设备在拆除或改造之前，应确保排放的大气污染物达到国家规定的大气污染物排放标准。⑤禁止地下水超采区工业建设项目和服务业新增取用地下水。⑥全面推行清洁生产，依法在</w:t>
                  </w:r>
                  <w:r>
                    <w:rPr>
                      <w:rFonts w:hint="default" w:ascii="Times New Roman" w:hAnsi="Times New Roman" w:eastAsia="宋体" w:cs="Times New Roman"/>
                      <w:color w:val="auto"/>
                      <w:kern w:val="0"/>
                      <w:sz w:val="18"/>
                      <w:szCs w:val="18"/>
                      <w:highlight w:val="none"/>
                      <w:vertAlign w:val="baseline"/>
                      <w:lang w:val="en-US" w:eastAsia="zh-CN" w:bidi="ar-SA"/>
                    </w:rPr>
                    <w:t>“</w:t>
                  </w:r>
                  <w:r>
                    <w:rPr>
                      <w:rFonts w:hint="eastAsia" w:ascii="Times New Roman" w:hAnsi="Times New Roman" w:eastAsia="宋体" w:cs="Times New Roman"/>
                      <w:color w:val="auto"/>
                      <w:kern w:val="0"/>
                      <w:sz w:val="18"/>
                      <w:szCs w:val="18"/>
                      <w:highlight w:val="none"/>
                      <w:vertAlign w:val="baseline"/>
                      <w:lang w:val="en-US" w:eastAsia="zh-CN" w:bidi="ar-SA"/>
                    </w:rPr>
                    <w:t>双超双有高耗能</w:t>
                  </w:r>
                  <w:r>
                    <w:rPr>
                      <w:rFonts w:hint="default" w:ascii="Times New Roman" w:hAnsi="Times New Roman" w:eastAsia="宋体" w:cs="Times New Roman"/>
                      <w:color w:val="auto"/>
                      <w:kern w:val="0"/>
                      <w:sz w:val="18"/>
                      <w:szCs w:val="18"/>
                      <w:highlight w:val="none"/>
                      <w:vertAlign w:val="baseline"/>
                      <w:lang w:val="en-US" w:eastAsia="zh-CN" w:bidi="ar-SA"/>
                    </w:rPr>
                    <w:t>”</w:t>
                  </w:r>
                  <w:r>
                    <w:rPr>
                      <w:rFonts w:hint="eastAsia" w:ascii="Times New Roman" w:hAnsi="Times New Roman" w:eastAsia="宋体" w:cs="Times New Roman"/>
                      <w:color w:val="auto"/>
                      <w:kern w:val="0"/>
                      <w:sz w:val="18"/>
                      <w:szCs w:val="18"/>
                      <w:highlight w:val="none"/>
                      <w:vertAlign w:val="baseline"/>
                      <w:lang w:val="en-US" w:eastAsia="zh-CN" w:bidi="ar-SA"/>
                    </w:rPr>
                    <w:t>行业实施强制性清洁生产审核。落实最严格的水资源管理制度，实行水资源消耗总量和强度双控。⑦全面推行清洁生产，依法在</w:t>
                  </w:r>
                  <w:r>
                    <w:rPr>
                      <w:rFonts w:hint="default" w:ascii="Times New Roman" w:hAnsi="Times New Roman" w:eastAsia="宋体" w:cs="Times New Roman"/>
                      <w:color w:val="auto"/>
                      <w:kern w:val="0"/>
                      <w:sz w:val="18"/>
                      <w:szCs w:val="18"/>
                      <w:highlight w:val="none"/>
                      <w:vertAlign w:val="baseline"/>
                      <w:lang w:val="en-US" w:eastAsia="zh-CN" w:bidi="ar-SA"/>
                    </w:rPr>
                    <w:t>“</w:t>
                  </w:r>
                  <w:r>
                    <w:rPr>
                      <w:rFonts w:hint="eastAsia" w:ascii="Times New Roman" w:hAnsi="Times New Roman" w:eastAsia="宋体" w:cs="Times New Roman"/>
                      <w:color w:val="auto"/>
                      <w:kern w:val="0"/>
                      <w:sz w:val="18"/>
                      <w:szCs w:val="18"/>
                      <w:highlight w:val="none"/>
                      <w:vertAlign w:val="baseline"/>
                      <w:lang w:val="en-US" w:eastAsia="zh-CN" w:bidi="ar-SA"/>
                    </w:rPr>
                    <w:t>双超双有高耗能</w:t>
                  </w:r>
                  <w:r>
                    <w:rPr>
                      <w:rFonts w:hint="default" w:ascii="Times New Roman" w:hAnsi="Times New Roman" w:eastAsia="宋体" w:cs="Times New Roman"/>
                      <w:color w:val="auto"/>
                      <w:kern w:val="0"/>
                      <w:sz w:val="18"/>
                      <w:szCs w:val="18"/>
                      <w:highlight w:val="none"/>
                      <w:vertAlign w:val="baseline"/>
                      <w:lang w:val="en-US" w:eastAsia="zh-CN" w:bidi="ar-SA"/>
                    </w:rPr>
                    <w:t>”</w:t>
                  </w:r>
                  <w:r>
                    <w:rPr>
                      <w:rFonts w:hint="eastAsia" w:ascii="Times New Roman" w:hAnsi="Times New Roman" w:eastAsia="宋体" w:cs="Times New Roman"/>
                      <w:color w:val="auto"/>
                      <w:kern w:val="0"/>
                      <w:sz w:val="18"/>
                      <w:szCs w:val="18"/>
                      <w:highlight w:val="none"/>
                      <w:vertAlign w:val="baseline"/>
                      <w:lang w:val="en-US" w:eastAsia="zh-CN" w:bidi="ar-SA"/>
                    </w:rPr>
                    <w:t>行业实施强制性清洁生产审核。</w:t>
                  </w:r>
                </w:p>
              </w:tc>
              <w:tc>
                <w:tcPr>
                  <w:tcW w:w="1680" w:type="dxa"/>
                  <w:tcBorders>
                    <w:tl2br w:val="nil"/>
                    <w:tr2bl w:val="nil"/>
                  </w:tcBorders>
                  <w:vAlign w:val="center"/>
                </w:tcPr>
                <w:p w14:paraId="60C9EE1E">
                  <w:pPr>
                    <w:pStyle w:val="27"/>
                    <w:keepNext w:val="0"/>
                    <w:keepLines w:val="0"/>
                    <w:widowControl/>
                    <w:suppressLineNumbers w:val="0"/>
                    <w:spacing w:line="240" w:lineRule="auto"/>
                    <w:ind w:left="0" w:firstLine="0"/>
                    <w:jc w:val="left"/>
                    <w:textAlignment w:val="center"/>
                    <w:rPr>
                      <w:color w:val="auto"/>
                      <w:sz w:val="18"/>
                      <w:szCs w:val="18"/>
                      <w:highlight w:val="none"/>
                    </w:rPr>
                  </w:pPr>
                  <w:r>
                    <w:rPr>
                      <w:rFonts w:hint="eastAsia" w:ascii="宋体" w:hAnsi="宋体" w:eastAsia="宋体" w:cs="宋体"/>
                      <w:color w:val="auto"/>
                      <w:spacing w:val="0"/>
                      <w:position w:val="0"/>
                      <w:sz w:val="18"/>
                      <w:szCs w:val="18"/>
                      <w:highlight w:val="none"/>
                    </w:rPr>
                    <w:t>本项目不属于上述资源开发率要求项目。</w:t>
                  </w:r>
                </w:p>
                <w:p w14:paraId="18FF854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highlight w:val="none"/>
                      <w:vertAlign w:val="baseline"/>
                      <w:lang w:val="en-US" w:eastAsia="zh-CN"/>
                    </w:rPr>
                  </w:pPr>
                </w:p>
              </w:tc>
              <w:tc>
                <w:tcPr>
                  <w:tcW w:w="812" w:type="dxa"/>
                  <w:tcBorders>
                    <w:tl2br w:val="nil"/>
                    <w:tr2bl w:val="nil"/>
                  </w:tcBorders>
                  <w:vAlign w:val="center"/>
                </w:tcPr>
                <w:p w14:paraId="7521789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ascii="Times New Roman" w:hAnsi="Times New Roman" w:eastAsia="宋体"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r w14:paraId="660823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dxa"/>
                  <w:tcBorders>
                    <w:tl2br w:val="nil"/>
                    <w:tr2bl w:val="nil"/>
                  </w:tcBorders>
                  <w:vAlign w:val="center"/>
                </w:tcPr>
                <w:p w14:paraId="11469B1E">
                  <w:pPr>
                    <w:pStyle w:val="27"/>
                    <w:keepNext w:val="0"/>
                    <w:keepLines w:val="0"/>
                    <w:widowControl/>
                    <w:suppressLineNumbers w:val="0"/>
                    <w:spacing w:line="240" w:lineRule="auto"/>
                    <w:ind w:left="0" w:firstLine="0"/>
                    <w:jc w:val="left"/>
                    <w:textAlignment w:val="center"/>
                    <w:rPr>
                      <w:rFonts w:hint="eastAsia" w:ascii="Times New Roman" w:hAnsi="Times New Roman" w:eastAsia="宋体" w:cs="Times New Roman"/>
                      <w:color w:val="auto"/>
                      <w:kern w:val="0"/>
                      <w:sz w:val="18"/>
                      <w:szCs w:val="18"/>
                      <w:highlight w:val="none"/>
                      <w:vertAlign w:val="baseline"/>
                      <w:lang w:val="en-US" w:eastAsia="zh-CN" w:bidi="ar-SA"/>
                    </w:rPr>
                  </w:pPr>
                  <w:r>
                    <w:rPr>
                      <w:rFonts w:hint="eastAsia" w:ascii="Times New Roman" w:hAnsi="Times New Roman" w:eastAsia="宋体" w:cs="Times New Roman"/>
                      <w:color w:val="auto"/>
                      <w:kern w:val="0"/>
                      <w:sz w:val="18"/>
                      <w:szCs w:val="18"/>
                      <w:highlight w:val="none"/>
                      <w:vertAlign w:val="baseline"/>
                      <w:lang w:val="en-US" w:eastAsia="zh-CN" w:bidi="ar-SA"/>
                    </w:rPr>
                    <w:t>装备制造及矿产精深加工区金属制品业</w:t>
                  </w:r>
                  <w:r>
                    <w:rPr>
                      <w:rFonts w:hint="default" w:ascii="Times New Roman" w:hAnsi="Times New Roman" w:eastAsia="宋体" w:cs="Times New Roman"/>
                      <w:color w:val="auto"/>
                      <w:kern w:val="0"/>
                      <w:sz w:val="18"/>
                      <w:szCs w:val="18"/>
                      <w:highlight w:val="none"/>
                      <w:vertAlign w:val="baseline"/>
                      <w:lang w:val="en-US" w:eastAsia="zh-CN" w:bidi="ar-SA"/>
                    </w:rPr>
                    <w:t>C33</w:t>
                  </w:r>
                </w:p>
              </w:tc>
              <w:tc>
                <w:tcPr>
                  <w:tcW w:w="2901" w:type="dxa"/>
                  <w:tcBorders>
                    <w:tl2br w:val="nil"/>
                    <w:tr2bl w:val="nil"/>
                  </w:tcBorders>
                  <w:vAlign w:val="center"/>
                </w:tcPr>
                <w:p w14:paraId="6C0F72D4">
                  <w:pPr>
                    <w:pStyle w:val="27"/>
                    <w:keepNext w:val="0"/>
                    <w:keepLines w:val="0"/>
                    <w:widowControl/>
                    <w:suppressLineNumbers w:val="0"/>
                    <w:spacing w:line="240" w:lineRule="auto"/>
                    <w:ind w:left="0" w:firstLine="0"/>
                    <w:jc w:val="left"/>
                    <w:textAlignment w:val="center"/>
                    <w:rPr>
                      <w:rFonts w:hint="default" w:ascii="Times New Roman" w:hAnsi="Times New Roman" w:eastAsia="宋体" w:cs="Times New Roman"/>
                      <w:color w:val="auto"/>
                      <w:kern w:val="0"/>
                      <w:sz w:val="18"/>
                      <w:szCs w:val="18"/>
                      <w:highlight w:val="none"/>
                      <w:vertAlign w:val="baseline"/>
                      <w:lang w:val="en-US" w:eastAsia="zh-CN" w:bidi="ar-SA"/>
                    </w:rPr>
                  </w:pPr>
                  <w:r>
                    <w:rPr>
                      <w:rFonts w:hint="default" w:ascii="Times New Roman" w:hAnsi="Times New Roman" w:eastAsia="宋体" w:cs="Times New Roman"/>
                      <w:color w:val="auto"/>
                      <w:kern w:val="0"/>
                      <w:sz w:val="18"/>
                      <w:szCs w:val="18"/>
                      <w:highlight w:val="none"/>
                      <w:vertAlign w:val="baseline"/>
                      <w:lang w:val="en-US" w:eastAsia="zh-CN" w:bidi="ar-SA"/>
                    </w:rPr>
                    <w:t>1.</w:t>
                  </w:r>
                  <w:r>
                    <w:rPr>
                      <w:rFonts w:hint="eastAsia" w:ascii="Times New Roman" w:hAnsi="Times New Roman" w:eastAsia="宋体" w:cs="Times New Roman"/>
                      <w:color w:val="auto"/>
                      <w:kern w:val="0"/>
                      <w:sz w:val="18"/>
                      <w:szCs w:val="18"/>
                      <w:highlight w:val="none"/>
                      <w:vertAlign w:val="baseline"/>
                      <w:lang w:val="en-US" w:eastAsia="zh-CN" w:bidi="ar-SA"/>
                    </w:rPr>
                    <w:t>不允许新建电镀项目。</w:t>
                  </w:r>
                  <w:r>
                    <w:rPr>
                      <w:rFonts w:hint="default" w:ascii="Times New Roman" w:hAnsi="Times New Roman" w:eastAsia="宋体" w:cs="Times New Roman"/>
                      <w:color w:val="auto"/>
                      <w:kern w:val="0"/>
                      <w:sz w:val="18"/>
                      <w:szCs w:val="18"/>
                      <w:highlight w:val="none"/>
                      <w:vertAlign w:val="baseline"/>
                      <w:lang w:val="en-US" w:eastAsia="zh-CN" w:bidi="ar-SA"/>
                    </w:rPr>
                    <w:t>2.</w:t>
                  </w:r>
                  <w:r>
                    <w:rPr>
                      <w:rFonts w:hint="eastAsia" w:ascii="Times New Roman" w:hAnsi="Times New Roman" w:eastAsia="宋体" w:cs="Times New Roman"/>
                      <w:color w:val="auto"/>
                      <w:kern w:val="0"/>
                      <w:sz w:val="18"/>
                      <w:szCs w:val="18"/>
                      <w:highlight w:val="none"/>
                      <w:vertAlign w:val="baseline"/>
                      <w:lang w:val="en-US" w:eastAsia="zh-CN" w:bidi="ar-SA"/>
                    </w:rPr>
                    <w:t>新建项目仅限布局在点状开发城镇产业园区。</w:t>
                  </w:r>
                  <w:r>
                    <w:rPr>
                      <w:rFonts w:hint="default" w:ascii="Times New Roman" w:hAnsi="Times New Roman" w:eastAsia="宋体" w:cs="Times New Roman"/>
                      <w:color w:val="auto"/>
                      <w:kern w:val="0"/>
                      <w:sz w:val="18"/>
                      <w:szCs w:val="18"/>
                      <w:highlight w:val="none"/>
                      <w:vertAlign w:val="baseline"/>
                      <w:lang w:val="en-US" w:eastAsia="zh-CN" w:bidi="ar-SA"/>
                    </w:rPr>
                    <w:t>3.</w:t>
                  </w:r>
                  <w:r>
                    <w:rPr>
                      <w:rFonts w:hint="eastAsia" w:ascii="Times New Roman" w:hAnsi="Times New Roman" w:eastAsia="宋体" w:cs="Times New Roman"/>
                      <w:color w:val="auto"/>
                      <w:kern w:val="0"/>
                      <w:sz w:val="18"/>
                      <w:szCs w:val="18"/>
                      <w:highlight w:val="none"/>
                      <w:vertAlign w:val="baseline"/>
                      <w:lang w:val="en-US" w:eastAsia="zh-CN" w:bidi="ar-SA"/>
                    </w:rPr>
                    <w:t>新建项目要采用国内先进的生产工艺和环保措施。</w:t>
                  </w:r>
                </w:p>
              </w:tc>
              <w:tc>
                <w:tcPr>
                  <w:tcW w:w="1680" w:type="dxa"/>
                  <w:tcBorders>
                    <w:tl2br w:val="nil"/>
                    <w:tr2bl w:val="nil"/>
                  </w:tcBorders>
                  <w:vAlign w:val="center"/>
                </w:tcPr>
                <w:p w14:paraId="795083A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auto"/>
                      <w:kern w:val="0"/>
                      <w:sz w:val="18"/>
                      <w:szCs w:val="18"/>
                      <w:highlight w:val="none"/>
                      <w:vertAlign w:val="baseline"/>
                      <w:lang w:val="en-US" w:eastAsia="zh-CN" w:bidi="ar-SA"/>
                    </w:rPr>
                  </w:pPr>
                  <w:r>
                    <w:rPr>
                      <w:rFonts w:hint="eastAsia" w:ascii="Times New Roman" w:hAnsi="Times New Roman" w:eastAsia="宋体" w:cs="Times New Roman"/>
                      <w:color w:val="auto"/>
                      <w:kern w:val="0"/>
                      <w:sz w:val="18"/>
                      <w:szCs w:val="18"/>
                      <w:highlight w:val="none"/>
                      <w:vertAlign w:val="baseline"/>
                      <w:lang w:val="en-US" w:eastAsia="zh-CN" w:bidi="ar-SA"/>
                    </w:rPr>
                    <w:t>本项目不属于电镀项目。</w:t>
                  </w:r>
                  <w:r>
                    <w:rPr>
                      <w:rFonts w:hint="eastAsia" w:cs="Times New Roman"/>
                      <w:color w:val="auto"/>
                      <w:kern w:val="0"/>
                      <w:sz w:val="18"/>
                      <w:szCs w:val="18"/>
                      <w:highlight w:val="none"/>
                      <w:vertAlign w:val="baseline"/>
                      <w:lang w:val="en-US" w:eastAsia="zh-CN" w:bidi="ar-SA"/>
                    </w:rPr>
                    <w:t>项目位于工业园区内，</w:t>
                  </w:r>
                  <w:r>
                    <w:rPr>
                      <w:rFonts w:hint="eastAsia" w:ascii="Times New Roman" w:hAnsi="Times New Roman" w:eastAsia="宋体" w:cs="Times New Roman"/>
                      <w:color w:val="auto"/>
                      <w:kern w:val="0"/>
                      <w:sz w:val="18"/>
                      <w:szCs w:val="18"/>
                      <w:highlight w:val="none"/>
                      <w:vertAlign w:val="baseline"/>
                      <w:lang w:val="en-US" w:eastAsia="zh-CN" w:bidi="ar-SA"/>
                    </w:rPr>
                    <w:t>项目加压蒸汽混凝土板材</w:t>
                  </w:r>
                  <w:r>
                    <w:rPr>
                      <w:rFonts w:hint="eastAsia" w:cs="Times New Roman"/>
                      <w:color w:val="auto"/>
                      <w:kern w:val="0"/>
                      <w:sz w:val="18"/>
                      <w:szCs w:val="18"/>
                      <w:highlight w:val="none"/>
                      <w:vertAlign w:val="baseline"/>
                      <w:lang w:val="en-US" w:eastAsia="zh-CN" w:bidi="ar-SA"/>
                    </w:rPr>
                    <w:t>及砌块，</w:t>
                  </w:r>
                  <w:r>
                    <w:rPr>
                      <w:rFonts w:hint="eastAsia" w:ascii="Times New Roman" w:hAnsi="Times New Roman" w:eastAsia="宋体" w:cs="Times New Roman"/>
                      <w:color w:val="auto"/>
                      <w:kern w:val="0"/>
                      <w:sz w:val="18"/>
                      <w:szCs w:val="18"/>
                      <w:highlight w:val="none"/>
                      <w:vertAlign w:val="baseline"/>
                      <w:lang w:val="en-US" w:eastAsia="zh-CN" w:bidi="ar-SA"/>
                    </w:rPr>
                    <w:t>生产工艺属于国内先进、国家鼓励的绿色建材主流工艺，部分技术达到国际先进水平</w:t>
                  </w:r>
                  <w:r>
                    <w:rPr>
                      <w:rFonts w:hint="eastAsia" w:cs="Times New Roman"/>
                      <w:color w:val="auto"/>
                      <w:kern w:val="0"/>
                      <w:sz w:val="18"/>
                      <w:szCs w:val="18"/>
                      <w:highlight w:val="none"/>
                      <w:vertAlign w:val="baseline"/>
                      <w:lang w:val="en-US" w:eastAsia="zh-CN" w:bidi="ar-SA"/>
                    </w:rPr>
                    <w:t>。</w:t>
                  </w:r>
                  <w:r>
                    <w:rPr>
                      <w:rFonts w:hint="eastAsia" w:ascii="Times New Roman" w:hAnsi="Times New Roman" w:eastAsia="宋体" w:cs="Times New Roman"/>
                      <w:color w:val="auto"/>
                      <w:kern w:val="0"/>
                      <w:sz w:val="18"/>
                      <w:szCs w:val="18"/>
                      <w:highlight w:val="none"/>
                      <w:vertAlign w:val="baseline"/>
                      <w:lang w:val="en-US" w:eastAsia="zh-CN" w:bidi="ar-SA"/>
                    </w:rPr>
                    <w:t>石膏堆场及铝粉膏堆场均位于生产车间内，砂料储存在粉煤灰库房内，车间及库房均密闭，在物料装卸过程中采用洒水抑尘的措施减少粉尘产生。粉煤灰筒仓、水泥筒仓及石灰粉筒仓均在仓顶配备布袋除尘器，防止颗粒物逸散。锅炉废气经</w:t>
                  </w:r>
                  <w:r>
                    <w:rPr>
                      <w:rFonts w:hint="eastAsia" w:cs="Times New Roman"/>
                      <w:color w:val="auto"/>
                      <w:kern w:val="0"/>
                      <w:sz w:val="18"/>
                      <w:szCs w:val="18"/>
                      <w:highlight w:val="none"/>
                      <w:vertAlign w:val="baseline"/>
                      <w:lang w:val="en-US" w:eastAsia="zh-CN" w:bidi="ar-SA"/>
                    </w:rPr>
                    <w:t>低氮燃烧</w:t>
                  </w:r>
                  <w:r>
                    <w:rPr>
                      <w:rFonts w:hint="eastAsia" w:ascii="Times New Roman" w:hAnsi="Times New Roman" w:eastAsia="宋体" w:cs="Times New Roman"/>
                      <w:color w:val="auto"/>
                      <w:kern w:val="0"/>
                      <w:sz w:val="18"/>
                      <w:szCs w:val="18"/>
                      <w:highlight w:val="none"/>
                      <w:vertAlign w:val="baseline"/>
                      <w:lang w:val="en-US" w:eastAsia="zh-CN" w:bidi="ar-SA"/>
                    </w:rPr>
                    <w:t>+</w:t>
                  </w:r>
                  <w:r>
                    <w:rPr>
                      <w:rFonts w:hint="eastAsia" w:cs="Times New Roman"/>
                      <w:color w:val="auto"/>
                      <w:kern w:val="0"/>
                      <w:sz w:val="18"/>
                      <w:szCs w:val="18"/>
                      <w:highlight w:val="none"/>
                      <w:vertAlign w:val="baseline"/>
                      <w:lang w:val="en-US" w:eastAsia="zh-CN" w:bidi="ar-SA"/>
                    </w:rPr>
                    <w:t>旋风除尘+</w:t>
                  </w:r>
                  <w:r>
                    <w:rPr>
                      <w:rFonts w:hint="eastAsia" w:ascii="Times New Roman" w:hAnsi="Times New Roman" w:eastAsia="宋体" w:cs="Times New Roman"/>
                      <w:color w:val="auto"/>
                      <w:kern w:val="0"/>
                      <w:sz w:val="18"/>
                      <w:szCs w:val="18"/>
                      <w:highlight w:val="none"/>
                      <w:vertAlign w:val="baseline"/>
                      <w:lang w:val="en-US" w:eastAsia="zh-CN" w:bidi="ar-SA"/>
                    </w:rPr>
                    <w:t>布袋除尘器（处理效率为99.6%）处理后由40m高烟囱（DA002）排放，</w:t>
                  </w:r>
                  <w:r>
                    <w:rPr>
                      <w:rFonts w:hint="eastAsia" w:eastAsia="宋体" w:cs="Times New Roman"/>
                      <w:color w:val="auto"/>
                      <w:sz w:val="18"/>
                      <w:szCs w:val="18"/>
                      <w:highlight w:val="none"/>
                      <w:lang w:val="en-US" w:eastAsia="zh-CN"/>
                    </w:rPr>
                    <w:t>本项目</w:t>
                  </w:r>
                  <w:r>
                    <w:rPr>
                      <w:rFonts w:hint="eastAsia"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rPr>
                    <w:t>生产车间</w:t>
                  </w:r>
                  <w:r>
                    <w:rPr>
                      <w:rFonts w:hint="eastAsia" w:eastAsia="宋体" w:cs="Times New Roman"/>
                      <w:color w:val="auto"/>
                      <w:sz w:val="18"/>
                      <w:szCs w:val="18"/>
                      <w:highlight w:val="none"/>
                      <w:lang w:val="en-US" w:eastAsia="zh-CN"/>
                    </w:rPr>
                    <w:t>产生的</w:t>
                  </w:r>
                  <w:r>
                    <w:rPr>
                      <w:rFonts w:hint="eastAsia" w:cs="Times New Roman"/>
                      <w:color w:val="auto"/>
                      <w:sz w:val="18"/>
                      <w:szCs w:val="18"/>
                      <w:highlight w:val="none"/>
                      <w:lang w:val="en-US" w:eastAsia="zh-CN"/>
                    </w:rPr>
                    <w:t>球磨</w:t>
                  </w:r>
                  <w:r>
                    <w:rPr>
                      <w:rFonts w:hint="default" w:ascii="Times New Roman" w:hAnsi="Times New Roman" w:eastAsia="宋体" w:cs="Times New Roman"/>
                      <w:color w:val="auto"/>
                      <w:sz w:val="18"/>
                      <w:szCs w:val="18"/>
                      <w:highlight w:val="none"/>
                    </w:rPr>
                    <w:t>破碎粉尘经集气罩</w:t>
                  </w:r>
                  <w:r>
                    <w:rPr>
                      <w:rFonts w:hint="eastAsia" w:eastAsia="宋体" w:cs="Times New Roman"/>
                      <w:color w:val="auto"/>
                      <w:sz w:val="18"/>
                      <w:szCs w:val="18"/>
                      <w:highlight w:val="none"/>
                      <w:lang w:eastAsia="zh-CN"/>
                    </w:rPr>
                    <w:t>（收集效率为</w:t>
                  </w:r>
                  <w:r>
                    <w:rPr>
                      <w:rFonts w:hint="eastAsia" w:eastAsia="宋体" w:cs="Times New Roman"/>
                      <w:color w:val="auto"/>
                      <w:sz w:val="18"/>
                      <w:szCs w:val="18"/>
                      <w:highlight w:val="none"/>
                      <w:lang w:val="en-US" w:eastAsia="zh-CN"/>
                    </w:rPr>
                    <w:t>90%</w:t>
                  </w:r>
                  <w:r>
                    <w:rPr>
                      <w:rFonts w:hint="eastAsia" w:eastAsia="宋体" w:cs="Times New Roman"/>
                      <w:color w:val="auto"/>
                      <w:sz w:val="18"/>
                      <w:szCs w:val="18"/>
                      <w:highlight w:val="none"/>
                      <w:lang w:eastAsia="zh-CN"/>
                    </w:rPr>
                    <w:t>）</w:t>
                  </w:r>
                  <w:r>
                    <w:rPr>
                      <w:rFonts w:hint="eastAsia" w:eastAsia="宋体" w:cs="Times New Roman"/>
                      <w:color w:val="auto"/>
                      <w:sz w:val="18"/>
                      <w:szCs w:val="18"/>
                      <w:highlight w:val="none"/>
                      <w:lang w:val="en-US" w:eastAsia="zh-CN"/>
                    </w:rPr>
                    <w:t>收集后</w:t>
                  </w:r>
                  <w:r>
                    <w:rPr>
                      <w:rFonts w:hint="default" w:ascii="Times New Roman" w:hAnsi="Times New Roman" w:eastAsia="宋体" w:cs="Times New Roman"/>
                      <w:color w:val="auto"/>
                      <w:sz w:val="18"/>
                      <w:szCs w:val="18"/>
                      <w:highlight w:val="none"/>
                    </w:rPr>
                    <w:t>输送至</w:t>
                  </w:r>
                  <w:r>
                    <w:rPr>
                      <w:rFonts w:hint="eastAsia" w:eastAsia="宋体" w:cs="Times New Roman"/>
                      <w:color w:val="auto"/>
                      <w:sz w:val="18"/>
                      <w:szCs w:val="18"/>
                      <w:highlight w:val="none"/>
                      <w:lang w:val="en-US" w:eastAsia="zh-CN"/>
                    </w:rPr>
                    <w:t>同一台</w:t>
                  </w:r>
                  <w:r>
                    <w:rPr>
                      <w:rFonts w:hint="default" w:ascii="Times New Roman" w:hAnsi="Times New Roman" w:eastAsia="宋体" w:cs="Times New Roman"/>
                      <w:color w:val="auto"/>
                      <w:sz w:val="18"/>
                      <w:szCs w:val="18"/>
                      <w:highlight w:val="none"/>
                    </w:rPr>
                    <w:t>布袋除尘器</w:t>
                  </w:r>
                  <w:r>
                    <w:rPr>
                      <w:rFonts w:hint="eastAsia" w:eastAsia="宋体" w:cs="Times New Roman"/>
                      <w:color w:val="auto"/>
                      <w:sz w:val="18"/>
                      <w:szCs w:val="18"/>
                      <w:highlight w:val="none"/>
                      <w:lang w:eastAsia="zh-CN"/>
                    </w:rPr>
                    <w:t>（处理效率为</w:t>
                  </w:r>
                  <w:r>
                    <w:rPr>
                      <w:rFonts w:hint="eastAsia" w:eastAsia="宋体" w:cs="Times New Roman"/>
                      <w:color w:val="auto"/>
                      <w:sz w:val="18"/>
                      <w:szCs w:val="18"/>
                      <w:highlight w:val="none"/>
                      <w:lang w:val="en-US" w:eastAsia="zh-CN"/>
                    </w:rPr>
                    <w:t>99%</w:t>
                  </w:r>
                  <w:r>
                    <w:rPr>
                      <w:rFonts w:hint="eastAsia"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处理后经车间外</w:t>
                  </w:r>
                  <w:r>
                    <w:rPr>
                      <w:rFonts w:hint="eastAsia" w:eastAsia="宋体" w:cs="Times New Roman"/>
                      <w:color w:val="auto"/>
                      <w:sz w:val="18"/>
                      <w:szCs w:val="18"/>
                      <w:highlight w:val="none"/>
                      <w:lang w:val="en-US" w:eastAsia="zh-CN"/>
                    </w:rPr>
                    <w:t>1根</w:t>
                  </w:r>
                  <w:r>
                    <w:rPr>
                      <w:rFonts w:hint="default" w:ascii="Times New Roman" w:hAnsi="Times New Roman" w:eastAsia="宋体" w:cs="Times New Roman"/>
                      <w:color w:val="auto"/>
                      <w:sz w:val="18"/>
                      <w:szCs w:val="18"/>
                      <w:highlight w:val="none"/>
                    </w:rPr>
                    <w:t>1</w:t>
                  </w:r>
                  <w:r>
                    <w:rPr>
                      <w:rFonts w:hint="eastAsia" w:cs="Times New Roman"/>
                      <w:color w:val="auto"/>
                      <w:sz w:val="18"/>
                      <w:szCs w:val="18"/>
                      <w:highlight w:val="none"/>
                      <w:lang w:val="en-US" w:eastAsia="zh-CN"/>
                    </w:rPr>
                    <w:t>7</w:t>
                  </w:r>
                  <w:r>
                    <w:rPr>
                      <w:rFonts w:hint="default" w:ascii="Times New Roman" w:hAnsi="Times New Roman" w:eastAsia="宋体" w:cs="Times New Roman"/>
                      <w:color w:val="auto"/>
                      <w:sz w:val="18"/>
                      <w:szCs w:val="18"/>
                      <w:highlight w:val="none"/>
                    </w:rPr>
                    <w:t>m高排气筒（DA00</w:t>
                  </w:r>
                  <w:r>
                    <w:rPr>
                      <w:rFonts w:hint="eastAsia" w:eastAsia="宋体" w:cs="Times New Roman"/>
                      <w:color w:val="auto"/>
                      <w:sz w:val="18"/>
                      <w:szCs w:val="18"/>
                      <w:highlight w:val="none"/>
                      <w:lang w:val="en-US" w:eastAsia="zh-CN"/>
                    </w:rPr>
                    <w:t>3</w:t>
                  </w:r>
                  <w:r>
                    <w:rPr>
                      <w:rFonts w:hint="default" w:ascii="Times New Roman" w:hAnsi="Times New Roman" w:eastAsia="宋体" w:cs="Times New Roman"/>
                      <w:color w:val="auto"/>
                      <w:sz w:val="18"/>
                      <w:szCs w:val="18"/>
                      <w:highlight w:val="none"/>
                    </w:rPr>
                    <w:t>）排放</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满足《砖瓦工业大气污染物排放标准》（GB29620-2013）及修改单中表2新建企业大气污染物排放限值。</w:t>
                  </w:r>
                  <w:r>
                    <w:rPr>
                      <w:rFonts w:hint="eastAsia"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rPr>
                    <w:t>生产车间</w:t>
                  </w:r>
                  <w:r>
                    <w:rPr>
                      <w:rFonts w:hint="eastAsia" w:eastAsia="宋体" w:cs="Times New Roman"/>
                      <w:color w:val="auto"/>
                      <w:sz w:val="18"/>
                      <w:szCs w:val="18"/>
                      <w:highlight w:val="none"/>
                      <w:lang w:val="en-US" w:eastAsia="zh-CN"/>
                    </w:rPr>
                    <w:t>产生的</w:t>
                  </w:r>
                  <w:r>
                    <w:rPr>
                      <w:rFonts w:hint="eastAsia" w:cs="Times New Roman"/>
                      <w:color w:val="auto"/>
                      <w:sz w:val="18"/>
                      <w:szCs w:val="18"/>
                      <w:highlight w:val="none"/>
                      <w:lang w:val="en-US" w:eastAsia="zh-CN"/>
                    </w:rPr>
                    <w:t>球磨</w:t>
                  </w:r>
                  <w:r>
                    <w:rPr>
                      <w:rFonts w:hint="default" w:ascii="Times New Roman" w:hAnsi="Times New Roman" w:eastAsia="宋体" w:cs="Times New Roman"/>
                      <w:color w:val="auto"/>
                      <w:sz w:val="18"/>
                      <w:szCs w:val="18"/>
                      <w:highlight w:val="none"/>
                    </w:rPr>
                    <w:t>破碎粉尘经集气罩</w:t>
                  </w:r>
                  <w:r>
                    <w:rPr>
                      <w:rFonts w:hint="eastAsia" w:eastAsia="宋体" w:cs="Times New Roman"/>
                      <w:color w:val="auto"/>
                      <w:sz w:val="18"/>
                      <w:szCs w:val="18"/>
                      <w:highlight w:val="none"/>
                      <w:lang w:eastAsia="zh-CN"/>
                    </w:rPr>
                    <w:t>（收集效率为</w:t>
                  </w:r>
                  <w:r>
                    <w:rPr>
                      <w:rFonts w:hint="eastAsia" w:eastAsia="宋体" w:cs="Times New Roman"/>
                      <w:color w:val="auto"/>
                      <w:sz w:val="18"/>
                      <w:szCs w:val="18"/>
                      <w:highlight w:val="none"/>
                      <w:lang w:val="en-US" w:eastAsia="zh-CN"/>
                    </w:rPr>
                    <w:t>90%</w:t>
                  </w:r>
                  <w:r>
                    <w:rPr>
                      <w:rFonts w:hint="eastAsia" w:eastAsia="宋体" w:cs="Times New Roman"/>
                      <w:color w:val="auto"/>
                      <w:sz w:val="18"/>
                      <w:szCs w:val="18"/>
                      <w:highlight w:val="none"/>
                      <w:lang w:eastAsia="zh-CN"/>
                    </w:rPr>
                    <w:t>）</w:t>
                  </w:r>
                  <w:r>
                    <w:rPr>
                      <w:rFonts w:hint="eastAsia" w:eastAsia="宋体" w:cs="Times New Roman"/>
                      <w:color w:val="auto"/>
                      <w:sz w:val="18"/>
                      <w:szCs w:val="18"/>
                      <w:highlight w:val="none"/>
                      <w:lang w:val="en-US" w:eastAsia="zh-CN"/>
                    </w:rPr>
                    <w:t>收集后</w:t>
                  </w:r>
                  <w:r>
                    <w:rPr>
                      <w:rFonts w:hint="default" w:ascii="Times New Roman" w:hAnsi="Times New Roman" w:eastAsia="宋体" w:cs="Times New Roman"/>
                      <w:color w:val="auto"/>
                      <w:sz w:val="18"/>
                      <w:szCs w:val="18"/>
                      <w:highlight w:val="none"/>
                    </w:rPr>
                    <w:t>输送至</w:t>
                  </w:r>
                  <w:r>
                    <w:rPr>
                      <w:rFonts w:hint="eastAsia" w:eastAsia="宋体" w:cs="Times New Roman"/>
                      <w:color w:val="auto"/>
                      <w:sz w:val="18"/>
                      <w:szCs w:val="18"/>
                      <w:highlight w:val="none"/>
                      <w:lang w:val="en-US" w:eastAsia="zh-CN"/>
                    </w:rPr>
                    <w:t>同一台</w:t>
                  </w:r>
                  <w:r>
                    <w:rPr>
                      <w:rFonts w:hint="default" w:ascii="Times New Roman" w:hAnsi="Times New Roman" w:eastAsia="宋体" w:cs="Times New Roman"/>
                      <w:color w:val="auto"/>
                      <w:sz w:val="18"/>
                      <w:szCs w:val="18"/>
                      <w:highlight w:val="none"/>
                    </w:rPr>
                    <w:t>布袋除尘器</w:t>
                  </w:r>
                  <w:r>
                    <w:rPr>
                      <w:rFonts w:hint="eastAsia" w:eastAsia="宋体" w:cs="Times New Roman"/>
                      <w:color w:val="auto"/>
                      <w:sz w:val="18"/>
                      <w:szCs w:val="18"/>
                      <w:highlight w:val="none"/>
                      <w:lang w:eastAsia="zh-CN"/>
                    </w:rPr>
                    <w:t>（处理效率为</w:t>
                  </w:r>
                  <w:r>
                    <w:rPr>
                      <w:rFonts w:hint="eastAsia" w:eastAsia="宋体" w:cs="Times New Roman"/>
                      <w:color w:val="auto"/>
                      <w:sz w:val="18"/>
                      <w:szCs w:val="18"/>
                      <w:highlight w:val="none"/>
                      <w:lang w:val="en-US" w:eastAsia="zh-CN"/>
                    </w:rPr>
                    <w:t>99%</w:t>
                  </w:r>
                  <w:r>
                    <w:rPr>
                      <w:rFonts w:hint="eastAsia"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处理后经车间外</w:t>
                  </w:r>
                  <w:r>
                    <w:rPr>
                      <w:rFonts w:hint="eastAsia" w:eastAsia="宋体" w:cs="Times New Roman"/>
                      <w:color w:val="auto"/>
                      <w:sz w:val="18"/>
                      <w:szCs w:val="18"/>
                      <w:highlight w:val="none"/>
                      <w:lang w:val="en-US" w:eastAsia="zh-CN"/>
                    </w:rPr>
                    <w:t>1根</w:t>
                  </w:r>
                  <w:r>
                    <w:rPr>
                      <w:rFonts w:hint="default" w:ascii="Times New Roman" w:hAnsi="Times New Roman" w:eastAsia="宋体" w:cs="Times New Roman"/>
                      <w:color w:val="auto"/>
                      <w:sz w:val="18"/>
                      <w:szCs w:val="18"/>
                      <w:highlight w:val="none"/>
                    </w:rPr>
                    <w:t>1</w:t>
                  </w:r>
                  <w:r>
                    <w:rPr>
                      <w:rFonts w:hint="eastAsia" w:cs="Times New Roman"/>
                      <w:color w:val="auto"/>
                      <w:sz w:val="18"/>
                      <w:szCs w:val="18"/>
                      <w:highlight w:val="none"/>
                      <w:lang w:val="en-US" w:eastAsia="zh-CN"/>
                    </w:rPr>
                    <w:t>7</w:t>
                  </w:r>
                  <w:r>
                    <w:rPr>
                      <w:rFonts w:hint="default" w:ascii="Times New Roman" w:hAnsi="Times New Roman" w:eastAsia="宋体" w:cs="Times New Roman"/>
                      <w:color w:val="auto"/>
                      <w:sz w:val="18"/>
                      <w:szCs w:val="18"/>
                      <w:highlight w:val="none"/>
                    </w:rPr>
                    <w:t>m高排气筒（DA00</w:t>
                  </w:r>
                  <w:r>
                    <w:rPr>
                      <w:rFonts w:hint="eastAsia" w:eastAsia="宋体" w:cs="Times New Roman"/>
                      <w:color w:val="auto"/>
                      <w:sz w:val="18"/>
                      <w:szCs w:val="18"/>
                      <w:highlight w:val="none"/>
                      <w:lang w:val="en-US" w:eastAsia="zh-CN"/>
                    </w:rPr>
                    <w:t>4</w:t>
                  </w:r>
                  <w:r>
                    <w:rPr>
                      <w:rFonts w:hint="default" w:ascii="Times New Roman" w:hAnsi="Times New Roman" w:eastAsia="宋体" w:cs="Times New Roman"/>
                      <w:color w:val="auto"/>
                      <w:sz w:val="18"/>
                      <w:szCs w:val="18"/>
                      <w:highlight w:val="none"/>
                    </w:rPr>
                    <w:t>）排放</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满足《水泥工业大气污染物排放标准》（GB4915-2013）及修改单中表1</w:t>
                  </w:r>
                  <w:r>
                    <w:rPr>
                      <w:rFonts w:hint="eastAsia" w:ascii="Times New Roman" w:hAnsi="Times New Roman" w:eastAsia="宋体" w:cs="Times New Roman"/>
                      <w:color w:val="auto"/>
                      <w:sz w:val="18"/>
                      <w:szCs w:val="18"/>
                      <w:highlight w:val="none"/>
                      <w:lang w:val="en-US" w:eastAsia="zh-CN"/>
                    </w:rPr>
                    <w:t>现有和</w:t>
                  </w:r>
                  <w:r>
                    <w:rPr>
                      <w:rFonts w:hint="default" w:ascii="Times New Roman" w:hAnsi="Times New Roman" w:eastAsia="宋体" w:cs="Times New Roman"/>
                      <w:color w:val="auto"/>
                      <w:sz w:val="18"/>
                      <w:szCs w:val="18"/>
                      <w:highlight w:val="none"/>
                    </w:rPr>
                    <w:t>新建企业大气污染物排放限值。本项目钢筋防腐浸泡及</w:t>
                  </w:r>
                  <w:r>
                    <w:rPr>
                      <w:rFonts w:hint="eastAsia" w:cs="Times New Roman"/>
                      <w:color w:val="auto"/>
                      <w:sz w:val="18"/>
                      <w:szCs w:val="18"/>
                      <w:highlight w:val="none"/>
                      <w:lang w:eastAsia="zh-CN"/>
                    </w:rPr>
                    <w:t>烘干</w:t>
                  </w:r>
                  <w:r>
                    <w:rPr>
                      <w:rFonts w:hint="default" w:ascii="Times New Roman" w:hAnsi="Times New Roman" w:eastAsia="宋体" w:cs="Times New Roman"/>
                      <w:color w:val="auto"/>
                      <w:sz w:val="18"/>
                      <w:szCs w:val="18"/>
                      <w:highlight w:val="none"/>
                    </w:rPr>
                    <w:t>工序会产生有机废气经活性炭吸附处理后由15m高排气筒（DA00</w:t>
                  </w:r>
                  <w:r>
                    <w:rPr>
                      <w:rFonts w:hint="eastAsia"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rPr>
                    <w:t>）排放《大气污染物综合排放标准》（GB16297-1996）表2中二级排放限值。</w:t>
                  </w:r>
                  <w:r>
                    <w:rPr>
                      <w:rFonts w:hint="eastAsia" w:eastAsia="宋体" w:cs="Times New Roman"/>
                      <w:color w:val="auto"/>
                      <w:sz w:val="18"/>
                      <w:szCs w:val="18"/>
                      <w:highlight w:val="none"/>
                      <w:lang w:eastAsia="zh-CN"/>
                    </w:rPr>
                    <w:t>焊接烟尘采用移动式烟尘净化器处理后排放满足</w:t>
                  </w:r>
                  <w:r>
                    <w:rPr>
                      <w:rFonts w:hint="default" w:ascii="Times New Roman" w:hAnsi="Times New Roman" w:cs="Times New Roman"/>
                      <w:color w:val="auto"/>
                      <w:sz w:val="18"/>
                      <w:szCs w:val="18"/>
                      <w:highlight w:val="none"/>
                    </w:rPr>
                    <w:t>《水泥工业大气污染物排放标准》（GB4915-2013）及修改单</w:t>
                  </w:r>
                  <w:r>
                    <w:rPr>
                      <w:rFonts w:hint="eastAsia" w:cs="Times New Roman"/>
                      <w:color w:val="auto"/>
                      <w:sz w:val="18"/>
                      <w:szCs w:val="18"/>
                      <w:highlight w:val="none"/>
                      <w:lang w:val="en-US" w:eastAsia="zh-CN"/>
                    </w:rPr>
                    <w:t>中表3</w:t>
                  </w:r>
                  <w:r>
                    <w:rPr>
                      <w:rFonts w:hint="default" w:ascii="Times New Roman" w:hAnsi="Times New Roman" w:cs="Times New Roman"/>
                      <w:color w:val="auto"/>
                      <w:sz w:val="18"/>
                      <w:szCs w:val="18"/>
                      <w:highlight w:val="none"/>
                    </w:rPr>
                    <w:t>大气污染物</w:t>
                  </w:r>
                  <w:r>
                    <w:rPr>
                      <w:rFonts w:hint="eastAsia" w:cs="Times New Roman"/>
                      <w:color w:val="auto"/>
                      <w:sz w:val="18"/>
                      <w:szCs w:val="18"/>
                      <w:highlight w:val="none"/>
                      <w:lang w:val="en-US" w:eastAsia="zh-CN"/>
                    </w:rPr>
                    <w:t>无组织</w:t>
                  </w:r>
                  <w:r>
                    <w:rPr>
                      <w:rFonts w:hint="default" w:ascii="Times New Roman" w:hAnsi="Times New Roman" w:cs="Times New Roman"/>
                      <w:color w:val="auto"/>
                      <w:sz w:val="18"/>
                      <w:szCs w:val="18"/>
                      <w:highlight w:val="none"/>
                    </w:rPr>
                    <w:t>排放限值</w:t>
                  </w:r>
                  <w:r>
                    <w:rPr>
                      <w:rFonts w:hint="default" w:ascii="Times New Roman" w:hAnsi="Times New Roman" w:eastAsia="宋体" w:cs="Times New Roman"/>
                      <w:color w:val="auto"/>
                      <w:sz w:val="18"/>
                      <w:szCs w:val="18"/>
                      <w:highlight w:val="none"/>
                    </w:rPr>
                    <w:t>。</w:t>
                  </w:r>
                  <w:r>
                    <w:rPr>
                      <w:rFonts w:hint="eastAsia" w:eastAsia="宋体" w:cs="Times New Roman"/>
                      <w:color w:val="auto"/>
                      <w:sz w:val="18"/>
                      <w:szCs w:val="18"/>
                      <w:highlight w:val="none"/>
                      <w:lang w:eastAsia="zh-CN"/>
                    </w:rPr>
                    <w:t>厂界</w:t>
                  </w:r>
                  <w:r>
                    <w:rPr>
                      <w:rFonts w:hint="default" w:ascii="Times New Roman" w:hAnsi="Times New Roman" w:eastAsia="宋体" w:cs="Times New Roman"/>
                      <w:color w:val="auto"/>
                      <w:sz w:val="18"/>
                      <w:szCs w:val="18"/>
                      <w:highlight w:val="none"/>
                    </w:rPr>
                    <w:t>无组织颗粒物排放浓度满足《水泥工业大气污染物排放标准》（GB4915-2013）及修改单中表3大气污染物无组织排放限值要求。厂界非甲烷总烃执行《大气污染物综合排放标准》（GB16297-1996）表2中无组织排放监控浓度限值；厂内执行《挥发性有机物无组织排放控制标准》（GB37822-2019）标准要求。</w:t>
                  </w:r>
                </w:p>
              </w:tc>
              <w:tc>
                <w:tcPr>
                  <w:tcW w:w="812" w:type="dxa"/>
                  <w:tcBorders>
                    <w:tl2br w:val="nil"/>
                    <w:tr2bl w:val="nil"/>
                  </w:tcBorders>
                  <w:vAlign w:val="center"/>
                </w:tcPr>
                <w:p w14:paraId="17B1AA6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240" w:lineRule="auto"/>
                    <w:jc w:val="center"/>
                    <w:textAlignment w:val="auto"/>
                    <w:rPr>
                      <w:rFonts w:hint="eastAsia" w:cs="Times New Roman"/>
                      <w:color w:val="auto"/>
                      <w:kern w:val="0"/>
                      <w:sz w:val="18"/>
                      <w:szCs w:val="18"/>
                      <w:highlight w:val="none"/>
                      <w:vertAlign w:val="baseline"/>
                      <w:lang w:val="en-US" w:eastAsia="zh-CN"/>
                    </w:rPr>
                  </w:pPr>
                  <w:r>
                    <w:rPr>
                      <w:rFonts w:hint="eastAsia" w:cs="Times New Roman"/>
                      <w:color w:val="auto"/>
                      <w:kern w:val="0"/>
                      <w:sz w:val="18"/>
                      <w:szCs w:val="18"/>
                      <w:highlight w:val="none"/>
                      <w:vertAlign w:val="baseline"/>
                      <w:lang w:val="en-US" w:eastAsia="zh-CN"/>
                    </w:rPr>
                    <w:t>符合</w:t>
                  </w:r>
                </w:p>
              </w:tc>
            </w:tr>
          </w:tbl>
          <w:p w14:paraId="471C015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20" w:firstLineChars="200"/>
              <w:jc w:val="both"/>
              <w:textAlignment w:val="auto"/>
              <w:rPr>
                <w:rFonts w:hint="default"/>
                <w:color w:val="auto"/>
                <w:highlight w:val="none"/>
              </w:rPr>
            </w:pPr>
            <w:r>
              <w:rPr>
                <w:rFonts w:hint="default" w:ascii="Times New Roman" w:hAnsi="Times New Roman" w:cs="Times New Roman"/>
                <w:color w:val="auto"/>
                <w:kern w:val="0"/>
                <w:szCs w:val="21"/>
                <w:highlight w:val="none"/>
              </w:rPr>
              <w:t>综上所述，本项目符合《黑龙江铁力经济开发区总体规划（2021—2030年）环境影响报告书》中产业发展负面清单相关要求。</w:t>
            </w:r>
          </w:p>
        </w:tc>
      </w:tr>
      <w:tr w14:paraId="21D451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900" w:type="dxa"/>
            <w:vAlign w:val="center"/>
          </w:tcPr>
          <w:p w14:paraId="0DF9BECC">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其</w:t>
            </w:r>
          </w:p>
          <w:p w14:paraId="26EFCA25">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他</w:t>
            </w:r>
          </w:p>
          <w:p w14:paraId="3B9A265E">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符</w:t>
            </w:r>
          </w:p>
          <w:p w14:paraId="68594978">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合</w:t>
            </w:r>
          </w:p>
          <w:p w14:paraId="76D18D0A">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性</w:t>
            </w:r>
          </w:p>
          <w:p w14:paraId="1EC51C9D">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分</w:t>
            </w:r>
          </w:p>
          <w:p w14:paraId="23664AAA">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析</w:t>
            </w:r>
          </w:p>
        </w:tc>
        <w:tc>
          <w:tcPr>
            <w:tcW w:w="7970" w:type="dxa"/>
            <w:gridSpan w:val="4"/>
            <w:vAlign w:val="center"/>
          </w:tcPr>
          <w:p w14:paraId="7F5145EA">
            <w:pPr>
              <w:autoSpaceDE w:val="0"/>
              <w:autoSpaceDN w:val="0"/>
              <w:adjustRightInd w:val="0"/>
              <w:snapToGrid w:val="0"/>
              <w:spacing w:line="360" w:lineRule="auto"/>
              <w:ind w:firstLine="422" w:firstLineChars="200"/>
              <w:jc w:val="left"/>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1、生态环境分区管控符合性分析</w:t>
            </w:r>
          </w:p>
          <w:p w14:paraId="502D0FF4">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根据黑龙江省生态环境分区管控数据应用平台所出具的《30万吨粉煤灰综合利用年产60万立方米蒸压加气混凝土砌块与蒸压加气混凝土板材（ALC板）建设</w:t>
            </w: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rPr>
              <w:t>生态环境分区管控分析报告》，在结合本项目生产工艺、排污状况和区域环境及环境质量现状进行调查的基础上，本项目与“三线一单”符合性分析如下：</w:t>
            </w:r>
          </w:p>
          <w:p w14:paraId="4AB39E61">
            <w:pPr>
              <w:pStyle w:val="105"/>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生态保护红线</w:t>
            </w:r>
          </w:p>
          <w:p w14:paraId="2C8063E0">
            <w:pPr>
              <w:pStyle w:val="105"/>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本项目位于黑龙江省伊春市铁力市工业园区内</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选址位置处无自然保护区、风景旅游区、文物保护区及珍稀动物保护区等敏感因素。</w:t>
            </w:r>
            <w:r>
              <w:rPr>
                <w:rFonts w:hint="default" w:ascii="Times New Roman" w:hAnsi="Times New Roman" w:cs="Times New Roman"/>
                <w:color w:val="auto"/>
                <w:sz w:val="21"/>
                <w:szCs w:val="21"/>
                <w:highlight w:val="none"/>
                <w:lang w:val="en-US" w:eastAsia="zh-CN"/>
              </w:rPr>
              <w:t>根据黑龙江省生态环境分区管控数据应用平台出具的生态环境分区管控分析报告，</w:t>
            </w:r>
            <w:r>
              <w:rPr>
                <w:rFonts w:hint="default" w:ascii="Times New Roman" w:hAnsi="Times New Roman" w:cs="Times New Roman"/>
                <w:color w:val="auto"/>
                <w:sz w:val="21"/>
                <w:szCs w:val="21"/>
                <w:highlight w:val="none"/>
              </w:rPr>
              <w:t>本项目不在伊春市生态保护红线区，项目所在区不涉及自然保护区、地质公园、风景名胜区、森林公园、水产种质资源保护区、饮用水水源保护区、湿地公园和一级国家级公益生态林等生态保护红线区域，符合生态保护红线要求</w:t>
            </w:r>
            <w:r>
              <w:rPr>
                <w:rFonts w:hint="default" w:ascii="Times New Roman" w:hAnsi="Times New Roman" w:cs="Times New Roman"/>
                <w:color w:val="auto"/>
                <w:sz w:val="21"/>
                <w:szCs w:val="21"/>
                <w:highlight w:val="none"/>
                <w:lang w:val="en-US" w:eastAsia="zh-CN"/>
              </w:rPr>
              <w:t>。综合</w:t>
            </w:r>
            <w:r>
              <w:rPr>
                <w:rFonts w:hint="default" w:ascii="Times New Roman" w:hAnsi="Times New Roman" w:cs="Times New Roman"/>
                <w:color w:val="auto"/>
                <w:sz w:val="21"/>
                <w:szCs w:val="21"/>
                <w:highlight w:val="none"/>
              </w:rPr>
              <w:t>上述分析，本项目建设符合生态保护红线要求。</w:t>
            </w:r>
          </w:p>
          <w:p w14:paraId="631140F3">
            <w:pPr>
              <w:pStyle w:val="105"/>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2）环境质量底线</w:t>
            </w:r>
          </w:p>
          <w:p w14:paraId="471737C0">
            <w:pPr>
              <w:pStyle w:val="105"/>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根据生态环境分区管控分析报告，本项目处于黑龙江铁力经济开发区（水环境工业污染重点管控区）、铁力市大气环境高排放重点管控区（大气环境高排放重点管控区）、铁力市大气环境受体敏感重点管控区（大气环境受体敏感重点管控区）。</w:t>
            </w:r>
          </w:p>
          <w:p w14:paraId="46F6EA35">
            <w:pPr>
              <w:pStyle w:val="105"/>
              <w:bidi w:val="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eastAsia="zh-CN"/>
              </w:rPr>
              <w:t>①</w:t>
            </w:r>
            <w:r>
              <w:rPr>
                <w:rFonts w:hint="default" w:ascii="Times New Roman" w:hAnsi="Times New Roman" w:cs="Times New Roman"/>
                <w:color w:val="auto"/>
                <w:sz w:val="21"/>
                <w:szCs w:val="21"/>
                <w:highlight w:val="none"/>
                <w:lang w:val="en-US" w:eastAsia="zh-CN"/>
              </w:rPr>
              <w:t>大气环境</w:t>
            </w:r>
          </w:p>
          <w:p w14:paraId="388CC0DD">
            <w:pPr>
              <w:pStyle w:val="105"/>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本项目位于黑龙江省伊春市铁力市工业园区内，根据《</w:t>
            </w:r>
            <w:r>
              <w:rPr>
                <w:rFonts w:hint="default" w:ascii="Times New Roman" w:hAnsi="Times New Roman" w:cs="Times New Roman"/>
                <w:color w:val="auto"/>
                <w:sz w:val="21"/>
                <w:szCs w:val="21"/>
                <w:highlight w:val="none"/>
                <w:lang w:eastAsia="zh-CN"/>
              </w:rPr>
              <w:t>2024年伊春市生态环境质量公报</w:t>
            </w:r>
            <w:r>
              <w:rPr>
                <w:rFonts w:hint="default" w:ascii="Times New Roman" w:hAnsi="Times New Roman" w:cs="Times New Roman"/>
                <w:color w:val="auto"/>
                <w:sz w:val="21"/>
                <w:szCs w:val="21"/>
                <w:highlight w:val="none"/>
              </w:rPr>
              <w:t>》可知，202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伊春市</w:t>
            </w:r>
            <w:r>
              <w:rPr>
                <w:rFonts w:hint="default" w:ascii="Times New Roman" w:hAnsi="Times New Roman" w:cs="Times New Roman"/>
                <w:color w:val="auto"/>
                <w:sz w:val="21"/>
                <w:szCs w:val="21"/>
                <w:highlight w:val="none"/>
              </w:rPr>
              <w:t>空气质量级别达二级标准，</w:t>
            </w:r>
            <w:r>
              <w:rPr>
                <w:rFonts w:hint="default" w:ascii="Times New Roman" w:hAnsi="Times New Roman" w:cs="Times New Roman"/>
                <w:color w:val="auto"/>
                <w:sz w:val="21"/>
                <w:szCs w:val="21"/>
                <w:highlight w:val="none"/>
                <w:lang w:val="en-US" w:eastAsia="zh-CN"/>
              </w:rPr>
              <w:t>达标天数为359天</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98.1</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10</w:t>
            </w:r>
            <w:r>
              <w:rPr>
                <w:rFonts w:hint="default" w:ascii="Times New Roman" w:hAnsi="Times New Roman" w:cs="Times New Roman"/>
                <w:color w:val="auto"/>
                <w:sz w:val="21"/>
                <w:szCs w:val="21"/>
                <w:highlight w:val="none"/>
                <w:lang w:val="en-US" w:eastAsia="zh-CN"/>
              </w:rPr>
              <w:t>、SO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、NO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、CO-95per和O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-8h-90per年均浓度分别为24μg/m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、34</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、7</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、13</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、0.8m</w:t>
            </w:r>
            <w:r>
              <w:rPr>
                <w:rFonts w:hint="default" w:ascii="Times New Roman" w:hAnsi="Times New Roman" w:cs="Times New Roman"/>
                <w:color w:val="auto"/>
                <w:sz w:val="21"/>
                <w:szCs w:val="21"/>
                <w:highlight w:val="none"/>
                <w:lang w:val="en-US" w:eastAsia="zh-CN"/>
              </w:rPr>
              <w:t>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和104</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rPr>
              <w:t>综上，项目所在区域202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年为环境空气质量达标区域。</w:t>
            </w:r>
          </w:p>
          <w:p w14:paraId="406251A5">
            <w:pPr>
              <w:pStyle w:val="105"/>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厂址位于环境空气质量达标区，本项目运营期石膏堆场及铝粉膏堆场均位于生产车间内，砂料储存在粉煤灰库房内，车间及库房均密闭，在物料装卸过程中采用洒水抑尘的措施减少粉尘产生。粉煤灰筒仓、水泥筒仓及石灰粉筒仓均在仓顶配备布袋除尘器，防止颗粒物逸散，粉尘无组织排放对外环境影响较小。本项目主要物料为水泥、石粉、砂料等，运输过程做好遮盖，进场入库贮存时规范操作，轻拿轻放可有效控制装卸粉尘产生。砂料为</w:t>
            </w:r>
            <w:r>
              <w:rPr>
                <w:rFonts w:hint="eastAsia" w:cs="Times New Roman"/>
                <w:color w:val="auto"/>
                <w:sz w:val="21"/>
                <w:szCs w:val="21"/>
                <w:highlight w:val="none"/>
                <w:lang w:eastAsia="zh-CN"/>
              </w:rPr>
              <w:t>袋</w:t>
            </w:r>
            <w:r>
              <w:rPr>
                <w:rFonts w:hint="default" w:ascii="Times New Roman" w:hAnsi="Times New Roman" w:cs="Times New Roman"/>
                <w:color w:val="auto"/>
                <w:sz w:val="21"/>
                <w:szCs w:val="21"/>
                <w:highlight w:val="none"/>
              </w:rPr>
              <w:t>装</w:t>
            </w:r>
            <w:r>
              <w:rPr>
                <w:rFonts w:hint="eastAsia" w:cs="Times New Roman"/>
                <w:color w:val="auto"/>
                <w:sz w:val="21"/>
                <w:szCs w:val="21"/>
                <w:highlight w:val="none"/>
                <w:lang w:eastAsia="zh-CN"/>
              </w:rPr>
              <w:t>储存</w:t>
            </w:r>
            <w:r>
              <w:rPr>
                <w:rFonts w:hint="default" w:ascii="Times New Roman" w:hAnsi="Times New Roman" w:cs="Times New Roman"/>
                <w:color w:val="auto"/>
                <w:sz w:val="21"/>
                <w:szCs w:val="21"/>
                <w:highlight w:val="none"/>
              </w:rPr>
              <w:t>，入厂后在车间内指定区域堆放，项目车间密闭，本项目原料无室外堆放情况，均置于室内，可有效控制无组织粉尘的逸散。因本项目投产后向空气中排放的废气均采取了有效污染控制措施，可被大气环境所接受，符合环境质量底线要求。</w:t>
            </w:r>
          </w:p>
          <w:p w14:paraId="318C73D8">
            <w:pPr>
              <w:pStyle w:val="105"/>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②</w:t>
            </w:r>
            <w:r>
              <w:rPr>
                <w:rFonts w:hint="default" w:ascii="Times New Roman" w:hAnsi="Times New Roman" w:cs="Times New Roman"/>
                <w:color w:val="auto"/>
                <w:sz w:val="21"/>
                <w:szCs w:val="21"/>
                <w:highlight w:val="none"/>
                <w:lang w:val="en-US" w:eastAsia="zh-CN"/>
              </w:rPr>
              <w:t>水环境</w:t>
            </w:r>
          </w:p>
          <w:p w14:paraId="06AD79CB">
            <w:pPr>
              <w:pStyle w:val="105"/>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根据生态环境分区管控分析报告，本项目位于水环境工业污染重点管控区。本项目所在水体水质目标为Ⅲ类。根据《2024年伊春市生态环境质量公报》，2024年，伊春市考核断面有监测数据的为11个，Ⅰ~Ⅲ类水质比例为54.5%，无劣Ⅴ类水质断面。与上年同期相比，Ⅰ~Ⅲ类水质比例保持不变，均无劣Ⅴ类水质断面。其中双河渠首断面、西南岔河断面水质现状与上年同期相比，保持不变，均满足Ⅲ类水体要求。本项目生活污水排入防渗化粪池后通过园区污水管网进入铁力市依吉污水处理厂处理达标后排放，生产用水回用不外排。故</w:t>
            </w:r>
            <w:r>
              <w:rPr>
                <w:rFonts w:hint="default" w:ascii="Times New Roman" w:hAnsi="Times New Roman" w:cs="Times New Roman"/>
                <w:color w:val="auto"/>
                <w:sz w:val="21"/>
                <w:szCs w:val="21"/>
                <w:highlight w:val="none"/>
              </w:rPr>
              <w:t>本项目不会对区域</w:t>
            </w:r>
            <w:r>
              <w:rPr>
                <w:rFonts w:hint="default" w:ascii="Times New Roman" w:hAnsi="Times New Roman" w:cs="Times New Roman"/>
                <w:color w:val="auto"/>
                <w:sz w:val="21"/>
                <w:szCs w:val="21"/>
                <w:highlight w:val="none"/>
                <w:lang w:val="en-US" w:eastAsia="zh-CN"/>
              </w:rPr>
              <w:t>水</w:t>
            </w:r>
            <w:r>
              <w:rPr>
                <w:rFonts w:hint="default" w:ascii="Times New Roman" w:hAnsi="Times New Roman" w:cs="Times New Roman"/>
                <w:color w:val="auto"/>
                <w:sz w:val="21"/>
                <w:szCs w:val="21"/>
                <w:highlight w:val="none"/>
              </w:rPr>
              <w:t>环境质量底线造成冲击。</w:t>
            </w:r>
          </w:p>
          <w:p w14:paraId="495F5DF0">
            <w:pPr>
              <w:pStyle w:val="105"/>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③土壤</w:t>
            </w:r>
            <w:r>
              <w:rPr>
                <w:rFonts w:hint="default" w:ascii="Times New Roman" w:hAnsi="Times New Roman" w:cs="Times New Roman"/>
                <w:color w:val="auto"/>
                <w:sz w:val="21"/>
                <w:szCs w:val="21"/>
                <w:highlight w:val="none"/>
                <w:lang w:val="en-US" w:eastAsia="zh-CN"/>
              </w:rPr>
              <w:t>环境</w:t>
            </w:r>
          </w:p>
          <w:p w14:paraId="494B9650">
            <w:pPr>
              <w:pStyle w:val="105"/>
              <w:bidi w:val="0"/>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根据《建设项目环境影响报告表编制技术指南（污染影响类）（试行）》，原则上不开展地下水和土壤环境质量现状调查，</w:t>
            </w:r>
            <w:r>
              <w:rPr>
                <w:rFonts w:hint="default" w:ascii="Times New Roman" w:hAnsi="Times New Roman" w:cs="Times New Roman"/>
                <w:color w:val="auto"/>
                <w:sz w:val="21"/>
                <w:szCs w:val="21"/>
                <w:highlight w:val="none"/>
              </w:rPr>
              <w:t>本项目为粘土砖瓦及建筑砌块制造</w:t>
            </w:r>
            <w:r>
              <w:rPr>
                <w:rFonts w:hint="default" w:ascii="Times New Roman" w:hAnsi="Times New Roman" w:cs="Times New Roman"/>
                <w:color w:val="auto"/>
                <w:sz w:val="21"/>
                <w:szCs w:val="21"/>
                <w:highlight w:val="none"/>
                <w:lang w:val="en-US" w:eastAsia="zh-CN"/>
              </w:rPr>
              <w:t>项目</w:t>
            </w:r>
            <w:r>
              <w:rPr>
                <w:rFonts w:hint="default" w:ascii="Times New Roman" w:hAnsi="Times New Roman" w:cs="Times New Roman"/>
                <w:color w:val="auto"/>
                <w:sz w:val="21"/>
                <w:szCs w:val="21"/>
                <w:highlight w:val="none"/>
              </w:rPr>
              <w:t>，无土壤污染途径，</w:t>
            </w:r>
            <w:r>
              <w:rPr>
                <w:rFonts w:hint="default" w:ascii="Times New Roman" w:hAnsi="Times New Roman" w:cs="Times New Roman"/>
                <w:color w:val="auto"/>
                <w:sz w:val="21"/>
                <w:szCs w:val="21"/>
                <w:highlight w:val="none"/>
                <w:lang w:val="en-US" w:eastAsia="zh-CN"/>
              </w:rPr>
              <w:t>故</w:t>
            </w:r>
            <w:r>
              <w:rPr>
                <w:rFonts w:hint="default" w:ascii="Times New Roman" w:hAnsi="Times New Roman" w:cs="Times New Roman"/>
                <w:color w:val="auto"/>
                <w:sz w:val="21"/>
                <w:szCs w:val="21"/>
                <w:highlight w:val="none"/>
              </w:rPr>
              <w:t>环境影响报告表中不</w:t>
            </w:r>
            <w:r>
              <w:rPr>
                <w:rFonts w:hint="default" w:ascii="Times New Roman" w:hAnsi="Times New Roman" w:cs="Times New Roman"/>
                <w:color w:val="auto"/>
                <w:sz w:val="21"/>
                <w:szCs w:val="21"/>
                <w:highlight w:val="none"/>
                <w:lang w:val="en-US" w:eastAsia="zh-CN"/>
              </w:rPr>
              <w:t>需要</w:t>
            </w:r>
            <w:r>
              <w:rPr>
                <w:rFonts w:hint="default" w:ascii="Times New Roman" w:hAnsi="Times New Roman" w:cs="Times New Roman"/>
                <w:color w:val="auto"/>
                <w:sz w:val="21"/>
                <w:szCs w:val="21"/>
                <w:highlight w:val="none"/>
              </w:rPr>
              <w:t>进行土壤环境影响评价。本项目不属于需考虑大气沉降影响的行业，且项目不涉及地面漫流等。项目产生的固体废物进行合理处置，处置率为100%。本项目不会对区域土壤环境质量底线造成冲击，符合土壤环境一般管控区管控要求。</w:t>
            </w:r>
          </w:p>
          <w:p w14:paraId="567A2088">
            <w:pPr>
              <w:pStyle w:val="105"/>
              <w:numPr>
                <w:ilvl w:val="0"/>
                <w:numId w:val="0"/>
              </w:numPr>
              <w:bidi w:val="0"/>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资源利用上线符合性</w:t>
            </w:r>
          </w:p>
          <w:p w14:paraId="31A92F3A">
            <w:pPr>
              <w:pStyle w:val="105"/>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根据生态环境分区管控分析报告，本项目处于</w:t>
            </w:r>
            <w:r>
              <w:rPr>
                <w:rFonts w:hint="eastAsia" w:cs="Times New Roman"/>
                <w:color w:val="auto"/>
                <w:sz w:val="21"/>
                <w:szCs w:val="21"/>
                <w:highlight w:val="none"/>
                <w:lang w:val="en-US" w:eastAsia="zh-CN"/>
              </w:rPr>
              <w:t>铁力市高污染燃料禁燃区</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高污染燃料禁燃区</w:t>
            </w:r>
            <w:r>
              <w:rPr>
                <w:rFonts w:hint="default" w:ascii="Times New Roman" w:hAnsi="Times New Roman" w:cs="Times New Roman"/>
                <w:color w:val="auto"/>
                <w:sz w:val="21"/>
                <w:szCs w:val="21"/>
                <w:highlight w:val="none"/>
                <w:lang w:val="en-US" w:eastAsia="zh-CN"/>
              </w:rPr>
              <w:t>）。</w:t>
            </w:r>
          </w:p>
          <w:p w14:paraId="17FDAA5B">
            <w:pPr>
              <w:pStyle w:val="105"/>
              <w:numPr>
                <w:ilvl w:val="0"/>
                <w:numId w:val="0"/>
              </w:numPr>
              <w:bidi w:val="0"/>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本项目用水</w:t>
            </w:r>
            <w:r>
              <w:rPr>
                <w:rFonts w:hint="default" w:ascii="Times New Roman" w:hAnsi="Times New Roman" w:cs="Times New Roman"/>
                <w:color w:val="auto"/>
                <w:sz w:val="21"/>
                <w:szCs w:val="21"/>
                <w:highlight w:val="none"/>
                <w:lang w:val="en-US" w:eastAsia="zh-CN"/>
              </w:rPr>
              <w:t>由市政供水管网提供</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项目位于工业园区内，不新增占地，</w:t>
            </w:r>
            <w:r>
              <w:rPr>
                <w:rFonts w:hint="default" w:ascii="Times New Roman" w:hAnsi="Times New Roman" w:cs="Times New Roman"/>
                <w:color w:val="auto"/>
                <w:sz w:val="21"/>
                <w:szCs w:val="21"/>
                <w:highlight w:val="none"/>
              </w:rPr>
              <w:t>符合土地资源利用要求。</w:t>
            </w:r>
            <w:r>
              <w:rPr>
                <w:rFonts w:hint="default" w:ascii="Times New Roman" w:hAnsi="Times New Roman" w:cs="Times New Roman"/>
                <w:color w:val="auto"/>
                <w:sz w:val="21"/>
                <w:szCs w:val="21"/>
                <w:highlight w:val="none"/>
                <w:lang w:val="en-US" w:eastAsia="zh-CN"/>
              </w:rPr>
              <w:t>项目所用燃料为</w:t>
            </w:r>
            <w:r>
              <w:rPr>
                <w:rFonts w:hint="eastAsia" w:cs="Times New Roman"/>
                <w:color w:val="auto"/>
                <w:sz w:val="21"/>
                <w:szCs w:val="21"/>
                <w:highlight w:val="none"/>
                <w:lang w:val="en-US" w:eastAsia="zh-CN"/>
              </w:rPr>
              <w:t>生物质颗粒</w:t>
            </w:r>
            <w:r>
              <w:rPr>
                <w:rFonts w:hint="default" w:ascii="Times New Roman" w:hAnsi="Times New Roman" w:cs="Times New Roman"/>
                <w:color w:val="auto"/>
                <w:sz w:val="21"/>
                <w:szCs w:val="21"/>
                <w:highlight w:val="none"/>
                <w:lang w:val="en-US" w:eastAsia="zh-CN"/>
              </w:rPr>
              <w:t>，不属于高污染燃料。</w:t>
            </w:r>
            <w:r>
              <w:rPr>
                <w:rFonts w:hint="default" w:ascii="Times New Roman" w:hAnsi="Times New Roman" w:cs="Times New Roman"/>
                <w:color w:val="auto"/>
                <w:sz w:val="21"/>
                <w:szCs w:val="21"/>
                <w:highlight w:val="none"/>
              </w:rPr>
              <w:t>本项目资源均得到妥善利用及处置。项目在运营过程中消耗一定量的电源、水资源，但资源消耗量相对于区域资源利用总量较小，符合资源利用上线要求。</w:t>
            </w:r>
          </w:p>
          <w:p w14:paraId="789F2727">
            <w:pPr>
              <w:pStyle w:val="105"/>
              <w:numPr>
                <w:ilvl w:val="0"/>
                <w:numId w:val="0"/>
              </w:numPr>
              <w:bidi w:val="0"/>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4）生态环境准入清单</w:t>
            </w:r>
          </w:p>
          <w:p w14:paraId="44552E42">
            <w:pPr>
              <w:pStyle w:val="105"/>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本项目位于黑龙江省伊春市铁力市工业园区内，根据</w:t>
            </w:r>
            <w:r>
              <w:rPr>
                <w:rFonts w:hint="default" w:ascii="Times New Roman" w:hAnsi="Times New Roman" w:cs="Times New Roman"/>
                <w:color w:val="auto"/>
                <w:sz w:val="21"/>
                <w:szCs w:val="21"/>
                <w:highlight w:val="none"/>
                <w:lang w:val="en-US" w:eastAsia="zh-CN"/>
              </w:rPr>
              <w:t>黑龙江省生态环境分区管控数据应用平台出具的</w:t>
            </w:r>
            <w:r>
              <w:rPr>
                <w:rFonts w:hint="default" w:ascii="Times New Roman" w:hAnsi="Times New Roman" w:cs="Times New Roman"/>
                <w:color w:val="auto"/>
                <w:sz w:val="21"/>
                <w:szCs w:val="21"/>
                <w:highlight w:val="none"/>
                <w:lang w:eastAsia="zh-CN"/>
              </w:rPr>
              <w:t>《30万吨粉煤灰综合利用年产60万立方米蒸压加气混凝土砌块与蒸压加气混凝土板材（ALC板）建设</w:t>
            </w:r>
            <w:r>
              <w:rPr>
                <w:rFonts w:hint="default" w:ascii="Times New Roman" w:hAnsi="Times New Roman" w:cs="Times New Roman"/>
                <w:color w:val="auto"/>
                <w:sz w:val="21"/>
                <w:szCs w:val="21"/>
                <w:highlight w:val="none"/>
                <w:lang w:val="en-US" w:eastAsia="zh-CN"/>
              </w:rPr>
              <w:t>项目生态环境分区管控分析报告</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，本项目位于</w:t>
            </w:r>
            <w:r>
              <w:rPr>
                <w:rFonts w:hint="default" w:ascii="Times New Roman" w:hAnsi="Times New Roman" w:cs="Times New Roman"/>
                <w:color w:val="auto"/>
                <w:sz w:val="21"/>
                <w:szCs w:val="21"/>
                <w:highlight w:val="none"/>
                <w:lang w:val="en-US" w:eastAsia="zh-CN"/>
              </w:rPr>
              <w:t>优先保护单元和一般管控单元</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根据《黑龙江省生态环境分区管控应用技术指南环境影响评价》中相关规定：“环评文件中涉及‘三线一单’生态环境分区管控符合性分析采取‘一图一表一说明’的表达方式”。具体分析如下。</w:t>
            </w:r>
          </w:p>
          <w:p w14:paraId="2EC2B5FA">
            <w:pPr>
              <w:pStyle w:val="105"/>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1）一图</w:t>
            </w:r>
          </w:p>
          <w:p w14:paraId="3B77DC19">
            <w:pPr>
              <w:pStyle w:val="105"/>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lang w:eastAsia="zh-CN"/>
              </w:rPr>
              <w:t>《30万吨粉煤灰综合利用年产60万立方米蒸压加气混凝土砌块与蒸压加气混凝土板材（ALC板）建设</w:t>
            </w:r>
            <w:r>
              <w:rPr>
                <w:rFonts w:hint="default" w:ascii="Times New Roman" w:hAnsi="Times New Roman" w:cs="Times New Roman"/>
                <w:color w:val="auto"/>
                <w:sz w:val="21"/>
                <w:szCs w:val="21"/>
                <w:highlight w:val="none"/>
                <w:lang w:val="en-US" w:eastAsia="zh-CN"/>
              </w:rPr>
              <w:t>项目生态环境分区管控分析报告</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本项目与环境管控单元叠加图如下：</w:t>
            </w:r>
          </w:p>
          <w:p w14:paraId="08BD52B9">
            <w:pPr>
              <w:pStyle w:val="105"/>
              <w:bidi w:val="0"/>
              <w:ind w:left="0" w:leftChars="0" w:firstLine="0" w:firstLineChars="0"/>
              <w:rPr>
                <w:rFonts w:hint="default" w:ascii="Times New Roman" w:hAnsi="Times New Roman" w:cs="Times New Roman"/>
                <w:color w:val="auto"/>
                <w:sz w:val="21"/>
                <w:szCs w:val="21"/>
                <w:highlight w:val="none"/>
                <w:lang w:val="en-US" w:eastAsia="zh-CN"/>
              </w:rPr>
            </w:pPr>
            <w:r>
              <w:rPr>
                <w:color w:val="auto"/>
                <w:highlight w:val="none"/>
              </w:rPr>
              <w:drawing>
                <wp:inline distT="0" distB="0" distL="114300" distR="114300">
                  <wp:extent cx="4918710" cy="2584450"/>
                  <wp:effectExtent l="0" t="0" r="15240" b="635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10"/>
                          <a:stretch>
                            <a:fillRect/>
                          </a:stretch>
                        </pic:blipFill>
                        <pic:spPr>
                          <a:xfrm>
                            <a:off x="0" y="0"/>
                            <a:ext cx="4918710" cy="2584450"/>
                          </a:xfrm>
                          <a:prstGeom prst="rect">
                            <a:avLst/>
                          </a:prstGeom>
                          <a:noFill/>
                          <a:ln>
                            <a:noFill/>
                          </a:ln>
                        </pic:spPr>
                      </pic:pic>
                    </a:graphicData>
                  </a:graphic>
                </wp:inline>
              </w:drawing>
            </w:r>
          </w:p>
          <w:p w14:paraId="7CF44FCE">
            <w:pPr>
              <w:pStyle w:val="109"/>
              <w:bidi w:val="0"/>
              <w:rPr>
                <w:rFonts w:hint="default" w:ascii="Times New Roman" w:hAnsi="Times New Roman" w:eastAsia="宋体" w:cs="Times New Roman"/>
                <w:color w:val="auto"/>
                <w:sz w:val="21"/>
                <w:szCs w:val="21"/>
                <w:highlight w:val="none"/>
                <w:lang w:val="en-US" w:eastAsia="zh-CN"/>
              </w:rPr>
            </w:pPr>
            <w:r>
              <w:rPr>
                <w:color w:val="auto"/>
                <w:highlight w:val="none"/>
              </w:rPr>
              <w:drawing>
                <wp:inline distT="0" distB="0" distL="114300" distR="114300">
                  <wp:extent cx="4921250" cy="2511425"/>
                  <wp:effectExtent l="0" t="0" r="12700" b="317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11"/>
                          <a:stretch>
                            <a:fillRect/>
                          </a:stretch>
                        </pic:blipFill>
                        <pic:spPr>
                          <a:xfrm>
                            <a:off x="0" y="0"/>
                            <a:ext cx="4921250" cy="2511425"/>
                          </a:xfrm>
                          <a:prstGeom prst="rect">
                            <a:avLst/>
                          </a:prstGeom>
                          <a:noFill/>
                          <a:ln>
                            <a:noFill/>
                          </a:ln>
                        </pic:spPr>
                      </pic:pic>
                    </a:graphicData>
                  </a:graphic>
                </wp:inline>
              </w:drawing>
            </w:r>
          </w:p>
          <w:p w14:paraId="78D24D33">
            <w:pPr>
              <w:pStyle w:val="109"/>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表1-</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 xml:space="preserve">   本项目与环境管控单元叠加图</w:t>
            </w:r>
          </w:p>
          <w:p w14:paraId="0CE049D6">
            <w:pPr>
              <w:pStyle w:val="105"/>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2）一表</w:t>
            </w:r>
          </w:p>
          <w:p w14:paraId="4F2955D0">
            <w:pPr>
              <w:pStyle w:val="105"/>
              <w:bidi w:val="0"/>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lang w:eastAsia="zh-CN"/>
              </w:rPr>
              <w:t>《30万吨粉煤灰综合利用年产60万立方米蒸压加气混凝土砌块与蒸压加气混凝土板材（ALC板）建设</w:t>
            </w:r>
            <w:r>
              <w:rPr>
                <w:rFonts w:hint="default" w:ascii="Times New Roman" w:hAnsi="Times New Roman" w:cs="Times New Roman"/>
                <w:color w:val="auto"/>
                <w:sz w:val="21"/>
                <w:szCs w:val="21"/>
                <w:highlight w:val="none"/>
                <w:lang w:val="en-US" w:eastAsia="zh-CN"/>
              </w:rPr>
              <w:t>项目生态环境分区管控分析报告</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本项目与环境管控单元符合性分析见下表。</w:t>
            </w:r>
          </w:p>
          <w:p w14:paraId="00BDA88D">
            <w:pPr>
              <w:pStyle w:val="109"/>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表1-</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 xml:space="preserve"> </w:t>
            </w:r>
            <w:r>
              <w:rPr>
                <w:rFonts w:hint="default" w:ascii="Times New Roman" w:hAnsi="Times New Roman" w:cs="Times New Roman"/>
                <w:color w:val="auto"/>
                <w:sz w:val="21"/>
                <w:szCs w:val="21"/>
                <w:highlight w:val="none"/>
                <w:lang w:val="en-US" w:eastAsia="zh-CN"/>
              </w:rPr>
              <w:t xml:space="preserve">  与铁力市环境管控单元</w:t>
            </w:r>
            <w:r>
              <w:rPr>
                <w:rFonts w:hint="default" w:ascii="Times New Roman" w:hAnsi="Times New Roman" w:cs="Times New Roman"/>
                <w:color w:val="auto"/>
                <w:sz w:val="21"/>
                <w:szCs w:val="21"/>
                <w:highlight w:val="none"/>
              </w:rPr>
              <w:t>符合性分析</w:t>
            </w:r>
          </w:p>
          <w:tbl>
            <w:tblPr>
              <w:tblStyle w:val="33"/>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4"/>
              <w:gridCol w:w="447"/>
              <w:gridCol w:w="417"/>
              <w:gridCol w:w="749"/>
              <w:gridCol w:w="4869"/>
              <w:gridCol w:w="860"/>
            </w:tblGrid>
            <w:tr w14:paraId="5C15F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 w:type="dxa"/>
                  <w:tcBorders>
                    <w:tl2br w:val="nil"/>
                    <w:tr2bl w:val="nil"/>
                  </w:tcBorders>
                  <w:noWrap w:val="0"/>
                  <w:vAlign w:val="center"/>
                </w:tcPr>
                <w:p w14:paraId="140A54FF">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环境管控单元编码</w:t>
                  </w:r>
                </w:p>
              </w:tc>
              <w:tc>
                <w:tcPr>
                  <w:tcW w:w="475" w:type="dxa"/>
                  <w:tcBorders>
                    <w:tl2br w:val="nil"/>
                    <w:tr2bl w:val="nil"/>
                  </w:tcBorders>
                  <w:noWrap w:val="0"/>
                  <w:vAlign w:val="center"/>
                </w:tcPr>
                <w:p w14:paraId="40DDB93B">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环境管控单元名称</w:t>
                  </w:r>
                </w:p>
              </w:tc>
              <w:tc>
                <w:tcPr>
                  <w:tcW w:w="443" w:type="dxa"/>
                  <w:tcBorders>
                    <w:tl2br w:val="nil"/>
                    <w:tr2bl w:val="nil"/>
                  </w:tcBorders>
                  <w:noWrap w:val="0"/>
                  <w:vAlign w:val="center"/>
                </w:tcPr>
                <w:p w14:paraId="2A1CA855">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管控单元类别</w:t>
                  </w:r>
                </w:p>
              </w:tc>
              <w:tc>
                <w:tcPr>
                  <w:tcW w:w="5973" w:type="dxa"/>
                  <w:gridSpan w:val="2"/>
                  <w:tcBorders>
                    <w:tl2br w:val="nil"/>
                    <w:tr2bl w:val="nil"/>
                  </w:tcBorders>
                  <w:noWrap w:val="0"/>
                  <w:vAlign w:val="center"/>
                </w:tcPr>
                <w:p w14:paraId="51EAA521">
                  <w:pPr>
                    <w:pStyle w:val="111"/>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管控要求</w:t>
                  </w:r>
                </w:p>
              </w:tc>
              <w:tc>
                <w:tcPr>
                  <w:tcW w:w="914" w:type="dxa"/>
                  <w:tcBorders>
                    <w:tl2br w:val="nil"/>
                    <w:tr2bl w:val="nil"/>
                  </w:tcBorders>
                  <w:noWrap w:val="0"/>
                  <w:vAlign w:val="center"/>
                </w:tcPr>
                <w:p w14:paraId="42D6A2D6">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符合性</w:t>
                  </w:r>
                </w:p>
              </w:tc>
            </w:tr>
            <w:tr w14:paraId="3672A9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429" w:type="dxa"/>
                  <w:tcBorders>
                    <w:tl2br w:val="nil"/>
                    <w:tr2bl w:val="nil"/>
                  </w:tcBorders>
                  <w:noWrap w:val="0"/>
                  <w:vAlign w:val="center"/>
                </w:tcPr>
                <w:p w14:paraId="6BAF004F">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YS2307816310001</w:t>
                  </w:r>
                </w:p>
              </w:tc>
              <w:tc>
                <w:tcPr>
                  <w:tcW w:w="475" w:type="dxa"/>
                  <w:tcBorders>
                    <w:tl2br w:val="nil"/>
                    <w:tr2bl w:val="nil"/>
                  </w:tcBorders>
                  <w:noWrap w:val="0"/>
                  <w:vAlign w:val="center"/>
                </w:tcPr>
                <w:p w14:paraId="0DFF78B7">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铁力市地下水环境一</w:t>
                  </w:r>
                  <w:r>
                    <w:rPr>
                      <w:rFonts w:hint="eastAsia" w:cs="Times New Roman"/>
                      <w:color w:val="auto"/>
                      <w:sz w:val="18"/>
                      <w:szCs w:val="18"/>
                      <w:highlight w:val="none"/>
                      <w:lang w:val="en-US" w:eastAsia="zh-CN"/>
                    </w:rPr>
                    <w:t>般管控区</w:t>
                  </w:r>
                </w:p>
              </w:tc>
              <w:tc>
                <w:tcPr>
                  <w:tcW w:w="443" w:type="dxa"/>
                  <w:tcBorders>
                    <w:tl2br w:val="nil"/>
                    <w:tr2bl w:val="nil"/>
                  </w:tcBorders>
                  <w:noWrap w:val="0"/>
                  <w:vAlign w:val="center"/>
                </w:tcPr>
                <w:p w14:paraId="20B1908F">
                  <w:pPr>
                    <w:pStyle w:val="111"/>
                    <w:bidi w:val="0"/>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一般管控单元</w:t>
                  </w:r>
                </w:p>
              </w:tc>
              <w:tc>
                <w:tcPr>
                  <w:tcW w:w="796" w:type="dxa"/>
                  <w:tcBorders>
                    <w:tl2br w:val="nil"/>
                    <w:tr2bl w:val="nil"/>
                  </w:tcBorders>
                  <w:noWrap w:val="0"/>
                  <w:vAlign w:val="center"/>
                </w:tcPr>
                <w:p w14:paraId="1056E94A">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环境风险防控</w:t>
                  </w:r>
                </w:p>
              </w:tc>
              <w:tc>
                <w:tcPr>
                  <w:tcW w:w="5177" w:type="dxa"/>
                  <w:tcBorders>
                    <w:tl2br w:val="nil"/>
                    <w:tr2bl w:val="nil"/>
                  </w:tcBorders>
                  <w:noWrap w:val="0"/>
                  <w:vAlign w:val="center"/>
                </w:tcPr>
                <w:p w14:paraId="696556B9">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1.土壤污染重点监管单位应当履行下列义务：（一）严格控</w:t>
                  </w:r>
                </w:p>
                <w:p w14:paraId="3DE43490">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制有毒有害物质排放，并按年度向生态环境主管部门报告排</w:t>
                  </w:r>
                </w:p>
                <w:p w14:paraId="32D444C4">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放情况；（二）建立土壤污染隐患排查制度，保证持续有效</w:t>
                  </w:r>
                </w:p>
                <w:p w14:paraId="48752AFB">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防止有毒有害物质渗漏、流失、扬散；（三）制定、实施自</w:t>
                  </w:r>
                </w:p>
                <w:p w14:paraId="0FC16EB9">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行监测方案，并将监测数据报生态环境主管部门。 2.重点单</w:t>
                  </w:r>
                </w:p>
                <w:p w14:paraId="15BE1231">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位新、改、扩建项目地下储罐储存有毒有害物质的，应当在</w:t>
                  </w:r>
                </w:p>
                <w:p w14:paraId="3A33AA52">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项目投入生产或者使用之前，将地下储罐的信息报所在地设</w:t>
                  </w:r>
                </w:p>
                <w:p w14:paraId="58875A74">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区的市级生态环境主管部门备案。 3.重点单位应当建立土壤</w:t>
                  </w:r>
                </w:p>
                <w:p w14:paraId="33F1898B">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914" w:type="dxa"/>
                  <w:tcBorders>
                    <w:tl2br w:val="nil"/>
                    <w:tr2bl w:val="nil"/>
                  </w:tcBorders>
                  <w:noWrap w:val="0"/>
                  <w:vAlign w:val="center"/>
                </w:tcPr>
                <w:p w14:paraId="0F255FD4">
                  <w:pPr>
                    <w:keepNext w:val="0"/>
                    <w:keepLines w:val="0"/>
                    <w:pageBreakBefore w:val="0"/>
                    <w:widowControl w:val="0"/>
                    <w:kinsoku/>
                    <w:wordWrap w:val="0"/>
                    <w:overflowPunct/>
                    <w:topLinePunct/>
                    <w:autoSpaceDE/>
                    <w:autoSpaceDN/>
                    <w:bidi w:val="0"/>
                    <w:adjustRightInd w:val="0"/>
                    <w:snapToGrid w:val="0"/>
                    <w:jc w:val="left"/>
                    <w:textAlignment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本项目不设置地下储罐。危险废物均暂存于危险废物贮存点内，危险废物贮存点为重点防渗区。</w:t>
                  </w:r>
                </w:p>
              </w:tc>
            </w:tr>
            <w:tr w14:paraId="5C988F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 w:type="dxa"/>
                  <w:vMerge w:val="restart"/>
                  <w:tcBorders>
                    <w:tl2br w:val="nil"/>
                    <w:tr2bl w:val="nil"/>
                  </w:tcBorders>
                  <w:noWrap w:val="0"/>
                  <w:vAlign w:val="center"/>
                </w:tcPr>
                <w:p w14:paraId="67C165B2">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ZH23078120001</w:t>
                  </w:r>
                </w:p>
              </w:tc>
              <w:tc>
                <w:tcPr>
                  <w:tcW w:w="475" w:type="dxa"/>
                  <w:vMerge w:val="restart"/>
                  <w:tcBorders>
                    <w:tl2br w:val="nil"/>
                    <w:tr2bl w:val="nil"/>
                  </w:tcBorders>
                  <w:noWrap w:val="0"/>
                  <w:vAlign w:val="center"/>
                </w:tcPr>
                <w:p w14:paraId="1156E412">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黑龙江铁力经济开发区</w:t>
                  </w:r>
                </w:p>
              </w:tc>
              <w:tc>
                <w:tcPr>
                  <w:tcW w:w="443" w:type="dxa"/>
                  <w:vMerge w:val="restart"/>
                  <w:tcBorders>
                    <w:tl2br w:val="nil"/>
                    <w:tr2bl w:val="nil"/>
                  </w:tcBorders>
                  <w:noWrap w:val="0"/>
                  <w:vAlign w:val="center"/>
                </w:tcPr>
                <w:p w14:paraId="7CD30272">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重点管控单元</w:t>
                  </w:r>
                </w:p>
              </w:tc>
              <w:tc>
                <w:tcPr>
                  <w:tcW w:w="796" w:type="dxa"/>
                  <w:tcBorders>
                    <w:tl2br w:val="nil"/>
                    <w:tr2bl w:val="nil"/>
                  </w:tcBorders>
                  <w:noWrap w:val="0"/>
                  <w:vAlign w:val="center"/>
                </w:tcPr>
                <w:p w14:paraId="212E1E17">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空间布局约束</w:t>
                  </w:r>
                </w:p>
              </w:tc>
              <w:tc>
                <w:tcPr>
                  <w:tcW w:w="5177" w:type="dxa"/>
                  <w:tcBorders>
                    <w:tl2br w:val="nil"/>
                    <w:tr2bl w:val="nil"/>
                  </w:tcBorders>
                  <w:noWrap w:val="0"/>
                  <w:vAlign w:val="center"/>
                </w:tcPr>
                <w:p w14:paraId="547472EC">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bidi="ar"/>
                    </w:rPr>
                    <w:t xml:space="preserve">1.入园建设项目开展环评工作时，应以产业园区规划环评为依据，重点分析项目环评与规划环评结论及审查意见的符合性；产业园区招商引资、入园建设项目环评审批等应将规划环评结论及审查意见作为重要依据。2.新建、扩建石化、化工、焦化、有色金属冶炼、平板玻璃项目应布设在依法合规设立并经规划环评的产业园区。煤化工产业项目选址及污染控制措施等须满足安全、环境准入要求，新建项目需布局在一般或较低安全风险等级的化工园区。3.重大制造业项目、依托能源和矿产资源的资源加工业项目原则上布局在重点开发区。4.未纳入国家有关领域产业规划的，一律不得新建改扩建炼油和新建乙烯、对二甲苯、煤制烯烃项目。5.禁止引进国家产业政策明令淘汰和限制的产品、技术、工艺、设备及行为。6.编制产业园区开发建设规划时应依法开展规划环评。7.规划审批机关在审批规划时，应将规划环评结论及审查意见作为决策的重要依据，在审批中未采纳环境影响报告书结论及审查意见的，应当作出说明并存档备查。8.产业园区招商引资、入园建设项目环评审批等应将规划环评结论及审查意见作为重要依据。9.产业园区开发建设规划应符合国家政策和相关法律法规要求，规划发生重大调整或修订的，应当依法重新或补充开展规划环评工作。10.区域内严格控制高耗水、高污染行业发展。加快淘汰落后产能，大力推进产业结构调整和优化升级。11.根据水资源和水环境承载能力，以水定城、以水定地、以水定人、以水定产。12.禁止引进国家现行产业政策明令禁止或淘汰的产业及工艺，以及排污量较大、污染控制难度大，不符合园区大气总量控制原则、园区规划的项目；完善重点行业环境准入条件，优化产业园区布局。13.农林绿色食品、粮食加工等企业项目仅允许布局在规范的范围内。14.水环境工业污染重点管控区同时执行：（1）区域内严格控制高耗水、高污染行业发展。（2）加快淘汰落后产能，大力推进产业结构调整和优化升级。（3）根据水资源和水环境承载能力，以水定城、以水定地、以水定人、以水定产。 </w:t>
                  </w:r>
                </w:p>
              </w:tc>
              <w:tc>
                <w:tcPr>
                  <w:tcW w:w="914" w:type="dxa"/>
                  <w:tcBorders>
                    <w:tl2br w:val="nil"/>
                    <w:tr2bl w:val="nil"/>
                  </w:tcBorders>
                  <w:noWrap w:val="0"/>
                  <w:vAlign w:val="center"/>
                </w:tcPr>
                <w:p w14:paraId="58895A9A">
                  <w:pPr>
                    <w:keepNext w:val="0"/>
                    <w:keepLines w:val="0"/>
                    <w:pageBreakBefore w:val="0"/>
                    <w:widowControl w:val="0"/>
                    <w:kinsoku/>
                    <w:wordWrap w:val="0"/>
                    <w:overflowPunct/>
                    <w:topLinePunct/>
                    <w:autoSpaceDE/>
                    <w:autoSpaceDN/>
                    <w:bidi w:val="0"/>
                    <w:adjustRightInd w:val="0"/>
                    <w:snapToGrid w:val="0"/>
                    <w:jc w:val="left"/>
                    <w:textAlignment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rPr>
                    <w:t>本项目</w:t>
                  </w:r>
                  <w:r>
                    <w:rPr>
                      <w:rFonts w:hint="default" w:ascii="Times New Roman" w:hAnsi="Times New Roman" w:cs="Times New Roman"/>
                      <w:color w:val="auto"/>
                      <w:kern w:val="0"/>
                      <w:sz w:val="18"/>
                      <w:szCs w:val="18"/>
                      <w:highlight w:val="none"/>
                      <w:lang w:val="en-US" w:eastAsia="zh-CN"/>
                    </w:rPr>
                    <w:t>位于黑龙江省伊春市铁力市工业园区内，项目已根据园区规划进行分析，符合入园要求</w:t>
                  </w:r>
                  <w:r>
                    <w:rPr>
                      <w:rFonts w:hint="default" w:ascii="Times New Roman" w:hAnsi="Times New Roman" w:cs="Times New Roman"/>
                      <w:color w:val="auto"/>
                      <w:sz w:val="18"/>
                      <w:szCs w:val="18"/>
                      <w:highlight w:val="none"/>
                      <w:lang w:val="en-US" w:eastAsia="zh-CN"/>
                    </w:rPr>
                    <w:t>2。本项目不属于</w:t>
                  </w:r>
                  <w:r>
                    <w:rPr>
                      <w:rFonts w:hint="default" w:ascii="Times New Roman" w:hAnsi="Times New Roman" w:eastAsia="宋体" w:cs="Times New Roman"/>
                      <w:color w:val="auto"/>
                      <w:kern w:val="0"/>
                      <w:sz w:val="18"/>
                      <w:szCs w:val="18"/>
                      <w:highlight w:val="none"/>
                      <w:lang w:val="en-US" w:eastAsia="zh-CN" w:bidi="ar"/>
                    </w:rPr>
                    <w:t>石化、化工、焦化、有色金属冶炼、平板玻璃项目</w:t>
                  </w:r>
                  <w:r>
                    <w:rPr>
                      <w:rFonts w:hint="default" w:ascii="Times New Roman" w:hAnsi="Times New Roman" w:eastAsia="宋体" w:cs="Times New Roman"/>
                      <w:color w:val="auto"/>
                      <w:kern w:val="0"/>
                      <w:sz w:val="18"/>
                      <w:szCs w:val="18"/>
                      <w:highlight w:val="none"/>
                      <w:lang w:val="en-US" w:eastAsia="zh-CN"/>
                    </w:rPr>
                    <w:t>。3.本项目为粘土砖瓦及建筑砌块制造项目不属于重大项目。</w:t>
                  </w:r>
                </w:p>
              </w:tc>
            </w:tr>
            <w:tr w14:paraId="20F9C6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9" w:type="dxa"/>
                  <w:vMerge w:val="continue"/>
                  <w:tcBorders>
                    <w:tl2br w:val="nil"/>
                    <w:tr2bl w:val="nil"/>
                  </w:tcBorders>
                  <w:noWrap w:val="0"/>
                  <w:vAlign w:val="center"/>
                </w:tcPr>
                <w:p w14:paraId="40835580">
                  <w:pPr>
                    <w:pStyle w:val="111"/>
                    <w:bidi w:val="0"/>
                    <w:rPr>
                      <w:rFonts w:hint="default" w:ascii="Times New Roman" w:hAnsi="Times New Roman" w:cs="Times New Roman"/>
                      <w:color w:val="auto"/>
                      <w:sz w:val="18"/>
                      <w:szCs w:val="18"/>
                      <w:highlight w:val="none"/>
                    </w:rPr>
                  </w:pPr>
                </w:p>
              </w:tc>
              <w:tc>
                <w:tcPr>
                  <w:tcW w:w="475" w:type="dxa"/>
                  <w:vMerge w:val="continue"/>
                  <w:tcBorders>
                    <w:tl2br w:val="nil"/>
                    <w:tr2bl w:val="nil"/>
                  </w:tcBorders>
                  <w:noWrap w:val="0"/>
                  <w:vAlign w:val="center"/>
                </w:tcPr>
                <w:p w14:paraId="3690A4AD">
                  <w:pPr>
                    <w:pStyle w:val="111"/>
                    <w:bidi w:val="0"/>
                    <w:rPr>
                      <w:rFonts w:hint="default" w:ascii="Times New Roman" w:hAnsi="Times New Roman" w:cs="Times New Roman"/>
                      <w:color w:val="auto"/>
                      <w:sz w:val="18"/>
                      <w:szCs w:val="18"/>
                      <w:highlight w:val="none"/>
                    </w:rPr>
                  </w:pPr>
                </w:p>
              </w:tc>
              <w:tc>
                <w:tcPr>
                  <w:tcW w:w="443" w:type="dxa"/>
                  <w:vMerge w:val="continue"/>
                  <w:tcBorders>
                    <w:tl2br w:val="nil"/>
                    <w:tr2bl w:val="nil"/>
                  </w:tcBorders>
                  <w:noWrap w:val="0"/>
                  <w:vAlign w:val="center"/>
                </w:tcPr>
                <w:p w14:paraId="2044A601">
                  <w:pPr>
                    <w:pStyle w:val="111"/>
                    <w:bidi w:val="0"/>
                    <w:rPr>
                      <w:rFonts w:hint="default" w:ascii="Times New Roman" w:hAnsi="Times New Roman" w:cs="Times New Roman"/>
                      <w:color w:val="auto"/>
                      <w:sz w:val="18"/>
                      <w:szCs w:val="18"/>
                      <w:highlight w:val="none"/>
                    </w:rPr>
                  </w:pPr>
                </w:p>
              </w:tc>
              <w:tc>
                <w:tcPr>
                  <w:tcW w:w="796" w:type="dxa"/>
                  <w:tcBorders>
                    <w:tl2br w:val="nil"/>
                    <w:tr2bl w:val="nil"/>
                  </w:tcBorders>
                  <w:noWrap w:val="0"/>
                  <w:vAlign w:val="center"/>
                </w:tcPr>
                <w:p w14:paraId="61AAB823">
                  <w:pPr>
                    <w:pStyle w:val="111"/>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污染物排放管控</w:t>
                  </w:r>
                </w:p>
              </w:tc>
              <w:tc>
                <w:tcPr>
                  <w:tcW w:w="5177" w:type="dxa"/>
                  <w:tcBorders>
                    <w:tl2br w:val="nil"/>
                    <w:tr2bl w:val="nil"/>
                  </w:tcBorders>
                  <w:noWrap w:val="0"/>
                  <w:vAlign w:val="center"/>
                </w:tcPr>
                <w:p w14:paraId="7AE336B6">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bidi="ar"/>
                    </w:rPr>
                    <w:t>1.应按规定建设污水集中处理设施，并安装自动在线监控装置。 2.新建、扩建“两高”项目应采用先进适用的工艺技术和装备，单位产品物耗、能耗、水耗等达到清洁生产先进水平，依法制定并严格落实防治土壤与地下水污染的措施。 3.大力推进企业清洁生产，使用电、天然气等清洁能源。加强环境管理水平，减少污染物排放。开展挥发性有机物污染综合治理。强化无组织排放控制管理。 4.鼓励化工等产业园区配套建设危险废物集中贮存、预处理和处置设施。 5.新、改、扩建涉重金属重点行业建设项目必须遵循重点重金属污染物排放“减量置换”或“等量替换”原则。 6.对于含有毒有害水污染物的工业废水和生活污水混合处理的污水处理厂产生的污泥，不能采用土地利用方式。 7.加强消耗臭氧层物质和氢氟碳化物环境管理，加强泡沫、制冷、氟化工等行业治理，逐步淘汰氢氯氟烃使用。 8.新建煤制烯烃、新建煤制对二甲苯 (PX) 项目纳入《现代煤化工产业创新发展布局方案》后，由省级政府核准。新建年产超过 100 万吨的煤制甲醇项目，由省级政府核准。 9.各地不得新建、扩建二氟甲烷、1,1,1,2-四氟乙烷、五氟乙烷、1,1,1-三氟乙烷、1.1.1.3.3-五氟丙烷用作制冷剂、发泡剂等受控用途的 HFCs 化工生产设施 （不含副立设施），环境影响报告书 （表） 已通过审批的除外。 10.水环境工业污染重点管控区同时执行： （1）新建、改建和扩建项目应当优先采用资源利用率高以及污染物产生量少的清洁生产技术、工艺和设备。（2）集中治理工业集聚区内工业废水，区内工业废水必须经预处理达到集中处理要求后，方可进入污水集中处理设施。新建、升级工业集聚区应同步规划和建设污水、垃圾集中处理等污染治理设施。</w:t>
                  </w:r>
                </w:p>
              </w:tc>
              <w:tc>
                <w:tcPr>
                  <w:tcW w:w="914" w:type="dxa"/>
                  <w:tcBorders>
                    <w:tl2br w:val="nil"/>
                    <w:tr2bl w:val="nil"/>
                  </w:tcBorders>
                  <w:noWrap w:val="0"/>
                  <w:vAlign w:val="center"/>
                </w:tcPr>
                <w:p w14:paraId="48AD8CE4">
                  <w:pPr>
                    <w:keepNext w:val="0"/>
                    <w:keepLines w:val="0"/>
                    <w:pageBreakBefore w:val="0"/>
                    <w:widowControl w:val="0"/>
                    <w:kinsoku/>
                    <w:wordWrap w:val="0"/>
                    <w:overflowPunct/>
                    <w:topLinePunct/>
                    <w:autoSpaceDE/>
                    <w:autoSpaceDN/>
                    <w:bidi w:val="0"/>
                    <w:adjustRightInd w:val="0"/>
                    <w:snapToGrid w:val="0"/>
                    <w:jc w:val="center"/>
                    <w:textAlignment w:val="center"/>
                    <w:rPr>
                      <w:rFonts w:hint="default" w:ascii="Times New Roman" w:hAnsi="Times New Roman" w:eastAsia="宋体" w:cs="Times New Roman"/>
                      <w:color w:val="auto"/>
                      <w:kern w:val="0"/>
                      <w:sz w:val="18"/>
                      <w:szCs w:val="18"/>
                      <w:highlight w:val="none"/>
                      <w:lang w:val="en-US" w:eastAsia="zh-CN"/>
                    </w:rPr>
                  </w:pPr>
                  <w:r>
                    <w:rPr>
                      <w:rFonts w:hint="default" w:ascii="Times New Roman" w:hAnsi="Times New Roman" w:cs="Times New Roman"/>
                      <w:color w:val="auto"/>
                      <w:kern w:val="0"/>
                      <w:sz w:val="18"/>
                      <w:szCs w:val="18"/>
                      <w:highlight w:val="none"/>
                      <w:lang w:val="en-US" w:eastAsia="zh-CN"/>
                    </w:rPr>
                    <w:t>本项目废水仅为生活污水，经化粪池排入污水管网由铁力市依吉污水处理厂进行处理达标后排放。本项目不属于两高项目，项目不涉及重金属、不涉及有毒有害废水</w:t>
                  </w:r>
                </w:p>
              </w:tc>
            </w:tr>
            <w:tr w14:paraId="3E0E64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429" w:type="dxa"/>
                  <w:vMerge w:val="continue"/>
                  <w:tcBorders>
                    <w:tl2br w:val="nil"/>
                    <w:tr2bl w:val="nil"/>
                  </w:tcBorders>
                  <w:noWrap w:val="0"/>
                  <w:vAlign w:val="center"/>
                </w:tcPr>
                <w:p w14:paraId="44CDC325">
                  <w:pPr>
                    <w:keepNext w:val="0"/>
                    <w:keepLines w:val="0"/>
                    <w:pageBreakBefore w:val="0"/>
                    <w:widowControl w:val="0"/>
                    <w:kinsoku/>
                    <w:wordWrap w:val="0"/>
                    <w:overflowPunct/>
                    <w:topLinePunct/>
                    <w:autoSpaceDE/>
                    <w:autoSpaceDN/>
                    <w:bidi w:val="0"/>
                    <w:adjustRightInd w:val="0"/>
                    <w:snapToGrid w:val="0"/>
                    <w:jc w:val="center"/>
                    <w:textAlignment w:val="center"/>
                    <w:rPr>
                      <w:rFonts w:hint="default" w:ascii="Times New Roman" w:hAnsi="Times New Roman" w:cs="Times New Roman"/>
                      <w:color w:val="auto"/>
                      <w:sz w:val="18"/>
                      <w:szCs w:val="18"/>
                      <w:highlight w:val="none"/>
                      <w:lang w:val="en-US" w:eastAsia="zh-CN"/>
                    </w:rPr>
                  </w:pPr>
                </w:p>
              </w:tc>
              <w:tc>
                <w:tcPr>
                  <w:tcW w:w="475" w:type="dxa"/>
                  <w:vMerge w:val="continue"/>
                  <w:tcBorders>
                    <w:tl2br w:val="nil"/>
                    <w:tr2bl w:val="nil"/>
                  </w:tcBorders>
                  <w:noWrap w:val="0"/>
                  <w:vAlign w:val="center"/>
                </w:tcPr>
                <w:p w14:paraId="5AAA794F">
                  <w:pPr>
                    <w:keepNext w:val="0"/>
                    <w:keepLines w:val="0"/>
                    <w:pageBreakBefore w:val="0"/>
                    <w:widowControl w:val="0"/>
                    <w:kinsoku/>
                    <w:wordWrap w:val="0"/>
                    <w:overflowPunct/>
                    <w:topLinePunct/>
                    <w:autoSpaceDE/>
                    <w:autoSpaceDN/>
                    <w:bidi w:val="0"/>
                    <w:adjustRightInd w:val="0"/>
                    <w:snapToGrid w:val="0"/>
                    <w:jc w:val="center"/>
                    <w:textAlignment w:val="center"/>
                    <w:rPr>
                      <w:rFonts w:hint="default" w:ascii="Times New Roman" w:hAnsi="Times New Roman" w:cs="Times New Roman"/>
                      <w:color w:val="auto"/>
                      <w:sz w:val="18"/>
                      <w:szCs w:val="18"/>
                      <w:highlight w:val="none"/>
                      <w:lang w:val="en-US" w:eastAsia="zh-CN"/>
                    </w:rPr>
                  </w:pPr>
                </w:p>
              </w:tc>
              <w:tc>
                <w:tcPr>
                  <w:tcW w:w="443" w:type="dxa"/>
                  <w:vMerge w:val="continue"/>
                  <w:tcBorders>
                    <w:tl2br w:val="nil"/>
                    <w:tr2bl w:val="nil"/>
                  </w:tcBorders>
                  <w:noWrap w:val="0"/>
                  <w:vAlign w:val="center"/>
                </w:tcPr>
                <w:p w14:paraId="2D06B807">
                  <w:pPr>
                    <w:keepNext w:val="0"/>
                    <w:keepLines w:val="0"/>
                    <w:pageBreakBefore w:val="0"/>
                    <w:widowControl w:val="0"/>
                    <w:kinsoku/>
                    <w:wordWrap w:val="0"/>
                    <w:overflowPunct/>
                    <w:topLinePunct/>
                    <w:autoSpaceDE/>
                    <w:autoSpaceDN/>
                    <w:bidi w:val="0"/>
                    <w:adjustRightInd w:val="0"/>
                    <w:snapToGrid w:val="0"/>
                    <w:jc w:val="center"/>
                    <w:textAlignment w:val="center"/>
                    <w:rPr>
                      <w:rFonts w:hint="default" w:ascii="Times New Roman" w:hAnsi="Times New Roman" w:cs="Times New Roman"/>
                      <w:color w:val="auto"/>
                      <w:sz w:val="18"/>
                      <w:szCs w:val="18"/>
                      <w:highlight w:val="none"/>
                      <w:lang w:val="en-US" w:eastAsia="zh-CN"/>
                    </w:rPr>
                  </w:pPr>
                </w:p>
              </w:tc>
              <w:tc>
                <w:tcPr>
                  <w:tcW w:w="796" w:type="dxa"/>
                  <w:tcBorders>
                    <w:tl2br w:val="nil"/>
                    <w:tr2bl w:val="nil"/>
                  </w:tcBorders>
                  <w:shd w:val="clear" w:color="auto" w:fill="auto"/>
                  <w:noWrap w:val="0"/>
                  <w:vAlign w:val="center"/>
                </w:tcPr>
                <w:p w14:paraId="508C6813">
                  <w:pPr>
                    <w:pStyle w:val="111"/>
                    <w:bidi w:val="0"/>
                    <w:ind w:firstLine="0" w:firstLineChars="0"/>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环境风险防控</w:t>
                  </w:r>
                </w:p>
              </w:tc>
              <w:tc>
                <w:tcPr>
                  <w:tcW w:w="5177" w:type="dxa"/>
                  <w:tcBorders>
                    <w:tl2br w:val="nil"/>
                    <w:tr2bl w:val="nil"/>
                  </w:tcBorders>
                  <w:shd w:val="clear" w:color="auto" w:fill="auto"/>
                  <w:noWrap w:val="0"/>
                  <w:vAlign w:val="center"/>
                </w:tcPr>
                <w:p w14:paraId="2BC7E1AC">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
                    </w:rPr>
                    <w:t>1.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 2.园区应建立危险源数据库，并动态更新。建立园区、企业、装置三级应急联动方案，强化区域环境风险应急防范能力。建设突发环境事件应急物资储备库；强化环境风险防控工作，突出全防全控，完善各项环境风险防范制度，确保将风险防范融入日常环境管理制度体系，加强执法监督，逐步实现对重点工业园区、重点企业和主要环境风险类型的动态监控。 3.在居住和工业企业混杂区域，应加强环境风险防控体系建设。 4.水环境工业污染重点管控区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p>
              </w:tc>
              <w:tc>
                <w:tcPr>
                  <w:tcW w:w="914" w:type="dxa"/>
                  <w:tcBorders>
                    <w:tl2br w:val="nil"/>
                    <w:tr2bl w:val="nil"/>
                  </w:tcBorders>
                  <w:shd w:val="clear" w:color="auto" w:fill="auto"/>
                  <w:noWrap w:val="0"/>
                  <w:vAlign w:val="center"/>
                </w:tcPr>
                <w:p w14:paraId="51003CD1">
                  <w:pPr>
                    <w:keepNext w:val="0"/>
                    <w:keepLines w:val="0"/>
                    <w:pageBreakBefore w:val="0"/>
                    <w:widowControl w:val="0"/>
                    <w:kinsoku/>
                    <w:wordWrap w:val="0"/>
                    <w:overflowPunct/>
                    <w:topLinePunct/>
                    <w:autoSpaceDE/>
                    <w:autoSpaceDN/>
                    <w:bidi w:val="0"/>
                    <w:adjustRightInd w:val="0"/>
                    <w:snapToGrid w:val="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项目建成后积极编制环境应急预案，与园区应急预案相呼应。项目不涉及工业废水排放。</w:t>
                  </w:r>
                </w:p>
              </w:tc>
            </w:tr>
            <w:tr w14:paraId="6E5B8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429" w:type="dxa"/>
                  <w:vMerge w:val="continue"/>
                  <w:tcBorders>
                    <w:tl2br w:val="nil"/>
                    <w:tr2bl w:val="nil"/>
                  </w:tcBorders>
                  <w:noWrap w:val="0"/>
                  <w:vAlign w:val="center"/>
                </w:tcPr>
                <w:p w14:paraId="0DC2AFCB">
                  <w:pPr>
                    <w:keepNext w:val="0"/>
                    <w:keepLines w:val="0"/>
                    <w:pageBreakBefore w:val="0"/>
                    <w:widowControl w:val="0"/>
                    <w:kinsoku/>
                    <w:wordWrap w:val="0"/>
                    <w:overflowPunct/>
                    <w:topLinePunct/>
                    <w:autoSpaceDE/>
                    <w:autoSpaceDN/>
                    <w:bidi w:val="0"/>
                    <w:adjustRightInd w:val="0"/>
                    <w:snapToGrid w:val="0"/>
                    <w:jc w:val="center"/>
                    <w:textAlignment w:val="center"/>
                    <w:rPr>
                      <w:rFonts w:hint="default" w:ascii="Times New Roman" w:hAnsi="Times New Roman" w:cs="Times New Roman"/>
                      <w:color w:val="auto"/>
                      <w:sz w:val="18"/>
                      <w:szCs w:val="18"/>
                      <w:highlight w:val="none"/>
                      <w:lang w:val="en-US" w:eastAsia="zh-CN"/>
                    </w:rPr>
                  </w:pPr>
                </w:p>
              </w:tc>
              <w:tc>
                <w:tcPr>
                  <w:tcW w:w="475" w:type="dxa"/>
                  <w:vMerge w:val="continue"/>
                  <w:tcBorders>
                    <w:tl2br w:val="nil"/>
                    <w:tr2bl w:val="nil"/>
                  </w:tcBorders>
                  <w:noWrap w:val="0"/>
                  <w:vAlign w:val="center"/>
                </w:tcPr>
                <w:p w14:paraId="4FF73671">
                  <w:pPr>
                    <w:keepNext w:val="0"/>
                    <w:keepLines w:val="0"/>
                    <w:pageBreakBefore w:val="0"/>
                    <w:widowControl w:val="0"/>
                    <w:kinsoku/>
                    <w:wordWrap w:val="0"/>
                    <w:overflowPunct/>
                    <w:topLinePunct/>
                    <w:autoSpaceDE/>
                    <w:autoSpaceDN/>
                    <w:bidi w:val="0"/>
                    <w:adjustRightInd w:val="0"/>
                    <w:snapToGrid w:val="0"/>
                    <w:jc w:val="center"/>
                    <w:textAlignment w:val="center"/>
                    <w:rPr>
                      <w:rFonts w:hint="default" w:ascii="Times New Roman" w:hAnsi="Times New Roman" w:cs="Times New Roman"/>
                      <w:color w:val="auto"/>
                      <w:sz w:val="18"/>
                      <w:szCs w:val="18"/>
                      <w:highlight w:val="none"/>
                      <w:lang w:val="en-US" w:eastAsia="zh-CN"/>
                    </w:rPr>
                  </w:pPr>
                </w:p>
              </w:tc>
              <w:tc>
                <w:tcPr>
                  <w:tcW w:w="443" w:type="dxa"/>
                  <w:vMerge w:val="continue"/>
                  <w:tcBorders>
                    <w:tl2br w:val="nil"/>
                    <w:tr2bl w:val="nil"/>
                  </w:tcBorders>
                  <w:noWrap w:val="0"/>
                  <w:vAlign w:val="center"/>
                </w:tcPr>
                <w:p w14:paraId="67492493">
                  <w:pPr>
                    <w:keepNext w:val="0"/>
                    <w:keepLines w:val="0"/>
                    <w:pageBreakBefore w:val="0"/>
                    <w:widowControl w:val="0"/>
                    <w:kinsoku/>
                    <w:wordWrap w:val="0"/>
                    <w:overflowPunct/>
                    <w:topLinePunct/>
                    <w:autoSpaceDE/>
                    <w:autoSpaceDN/>
                    <w:bidi w:val="0"/>
                    <w:adjustRightInd w:val="0"/>
                    <w:snapToGrid w:val="0"/>
                    <w:jc w:val="center"/>
                    <w:textAlignment w:val="center"/>
                    <w:rPr>
                      <w:rFonts w:hint="default" w:ascii="Times New Roman" w:hAnsi="Times New Roman" w:cs="Times New Roman"/>
                      <w:color w:val="auto"/>
                      <w:sz w:val="18"/>
                      <w:szCs w:val="18"/>
                      <w:highlight w:val="none"/>
                      <w:lang w:val="en-US" w:eastAsia="zh-CN"/>
                    </w:rPr>
                  </w:pPr>
                </w:p>
              </w:tc>
              <w:tc>
                <w:tcPr>
                  <w:tcW w:w="796" w:type="dxa"/>
                  <w:tcBorders>
                    <w:tl2br w:val="nil"/>
                    <w:tr2bl w:val="nil"/>
                  </w:tcBorders>
                  <w:shd w:val="clear" w:color="auto" w:fill="auto"/>
                  <w:noWrap w:val="0"/>
                  <w:vAlign w:val="center"/>
                </w:tcPr>
                <w:p w14:paraId="4F46CF59">
                  <w:pPr>
                    <w:pStyle w:val="111"/>
                    <w:bidi w:val="0"/>
                    <w:ind w:firstLine="0" w:firstLineChars="0"/>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资源利用效率要求</w:t>
                  </w:r>
                </w:p>
              </w:tc>
              <w:tc>
                <w:tcPr>
                  <w:tcW w:w="5177" w:type="dxa"/>
                  <w:tcBorders>
                    <w:tl2br w:val="nil"/>
                    <w:tr2bl w:val="nil"/>
                  </w:tcBorders>
                  <w:shd w:val="clear" w:color="auto" w:fill="auto"/>
                  <w:noWrap w:val="0"/>
                  <w:vAlign w:val="center"/>
                </w:tcPr>
                <w:p w14:paraId="05CD0211">
                  <w:pPr>
                    <w:keepNext w:val="0"/>
                    <w:keepLines w:val="0"/>
                    <w:widowControl/>
                    <w:suppressLineNumbers w:val="0"/>
                    <w:jc w:val="left"/>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
                    </w:rPr>
                    <w:t>1.落实最严格的水资源管理制度，实行水资源消耗总量和强度双控。严格实行能源消耗总量和强度双控。 2.全面推行清洁生产，依法在“双超双有高耗能”行业实施强制性清洁生产审核。 3.实施清洁化改造，加强节水管理，提高中水回用率,延长加工产业链，优化布局。4.新上耗煤项目实施煤炭减量替代，单位产品（产值）能耗要达到清洁生产要求。</w:t>
                  </w:r>
                </w:p>
              </w:tc>
              <w:tc>
                <w:tcPr>
                  <w:tcW w:w="914" w:type="dxa"/>
                  <w:tcBorders>
                    <w:tl2br w:val="nil"/>
                    <w:tr2bl w:val="nil"/>
                  </w:tcBorders>
                  <w:shd w:val="clear" w:color="auto" w:fill="auto"/>
                  <w:noWrap w:val="0"/>
                  <w:vAlign w:val="center"/>
                </w:tcPr>
                <w:p w14:paraId="5DEBDD1A">
                  <w:pPr>
                    <w:keepNext w:val="0"/>
                    <w:keepLines w:val="0"/>
                    <w:pageBreakBefore w:val="0"/>
                    <w:widowControl w:val="0"/>
                    <w:kinsoku/>
                    <w:wordWrap w:val="0"/>
                    <w:overflowPunct/>
                    <w:topLinePunct/>
                    <w:autoSpaceDE/>
                    <w:autoSpaceDN/>
                    <w:bidi w:val="0"/>
                    <w:adjustRightInd w:val="0"/>
                    <w:snapToGrid w:val="0"/>
                    <w:jc w:val="center"/>
                    <w:textAlignment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本项目生产废水回用不外排，极大的减少的水资源的消耗，本项目锅炉为生物质锅炉</w:t>
                  </w:r>
                </w:p>
              </w:tc>
            </w:tr>
          </w:tbl>
          <w:p w14:paraId="5B2852C5">
            <w:pPr>
              <w:pStyle w:val="112"/>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3）一说明</w:t>
            </w:r>
          </w:p>
          <w:p w14:paraId="25506456">
            <w:pPr>
              <w:pStyle w:val="106"/>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万吨粉煤灰综合利用年产60万立方米蒸压加气混凝土砌块与蒸压加气混凝土板材（ALC板）建设项目位置涉及伊春市铁力市；项目占地总面积小于0.01平方公里。与生态保护红线交集面积为0.00平方公里，占项目占地面积的0.00%。与自然保护地整合优化方案数据交集面积为0.00平方公里，占项目占地面积的0.00%。保护地涉及等类型。与自然保护地（现状管理数据）交集面积为0.00平方公里，占项目占地面积的0.00%。保护地涉及等类型。与饮用水水源保护区交集面积为0.00平方公里，占项目占地面积的0.00%。与国家级水产种质资源保护区交集面积为0.00平方公里，占项目占地面积的0.00%。与环境管控单元优先保护单元交集面积为0.00平方公里，占项目占地面积的0.00%；与重点管控单元交集面积为小于0.01平方公里，占项目占地面积的100.00%；一般管控单元交集面积为0.00平方公里，占项目占地面积的0.00%。与地下水环境优先保护区交集面积为0.00平方公里，占项目占地面积的0.00%；与地下水环境重点管控区交集面积为0.00平方公里，占项目占地面积的0.00%，与地下水环境一般管控区交集面积为小于0.01平方公里，占项目占地面积的100.00%。</w:t>
            </w:r>
          </w:p>
          <w:p w14:paraId="5D381443">
            <w:pPr>
              <w:spacing w:line="360" w:lineRule="auto"/>
              <w:ind w:firstLine="42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lang w:val="en-US" w:eastAsia="zh-CN"/>
              </w:rPr>
              <w:t>综上，</w:t>
            </w:r>
            <w:r>
              <w:rPr>
                <w:rFonts w:hint="default" w:ascii="Times New Roman" w:hAnsi="Times New Roman" w:eastAsia="宋体" w:cs="Times New Roman"/>
                <w:color w:val="auto"/>
                <w:sz w:val="21"/>
                <w:szCs w:val="21"/>
                <w:highlight w:val="none"/>
              </w:rPr>
              <w:t>本项目选址位于黑龙江省伊春市铁力市工业园区内</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各项污染物均可达标排放，本项目建设对周围环境影响较小，因此本项目符合</w:t>
            </w:r>
            <w:r>
              <w:rPr>
                <w:rFonts w:hint="default" w:ascii="Times New Roman" w:hAnsi="Times New Roman" w:eastAsia="宋体" w:cs="Times New Roman"/>
                <w:color w:val="auto"/>
                <w:sz w:val="21"/>
                <w:szCs w:val="21"/>
                <w:highlight w:val="none"/>
                <w:lang w:val="en-US" w:eastAsia="zh-CN"/>
              </w:rPr>
              <w:t>《伊春市人民政府关于实施“三线一单”生态环境分区管控</w:t>
            </w:r>
            <w:r>
              <w:rPr>
                <w:rFonts w:hint="default" w:ascii="Times New Roman" w:hAnsi="Times New Roman" w:eastAsia="宋体" w:cs="Times New Roman"/>
                <w:color w:val="auto"/>
                <w:kern w:val="2"/>
                <w:sz w:val="21"/>
                <w:szCs w:val="21"/>
                <w:highlight w:val="none"/>
                <w:lang w:val="en-US" w:eastAsia="zh-CN" w:bidi="ar-SA"/>
              </w:rPr>
              <w:t>的意见》</w:t>
            </w:r>
            <w:r>
              <w:rPr>
                <w:rFonts w:hint="default" w:ascii="Times New Roman" w:hAnsi="Times New Roman" w:cs="Times New Roman"/>
                <w:color w:val="auto"/>
                <w:kern w:val="2"/>
                <w:sz w:val="21"/>
                <w:szCs w:val="21"/>
                <w:highlight w:val="none"/>
                <w:lang w:val="en-US" w:eastAsia="zh-CN" w:bidi="ar-SA"/>
              </w:rPr>
              <w:t>伊</w:t>
            </w:r>
            <w:r>
              <w:rPr>
                <w:rFonts w:hint="default" w:ascii="Times New Roman" w:hAnsi="Times New Roman" w:eastAsia="宋体" w:cs="Times New Roman"/>
                <w:color w:val="auto"/>
                <w:kern w:val="2"/>
                <w:sz w:val="21"/>
                <w:szCs w:val="21"/>
                <w:highlight w:val="none"/>
                <w:lang w:val="en-US" w:eastAsia="zh-CN" w:bidi="ar-SA"/>
              </w:rPr>
              <w:t>政规〔202</w:t>
            </w:r>
            <w:r>
              <w:rPr>
                <w:rFonts w:hint="default" w:ascii="Times New Roman" w:hAnsi="Times New Roman" w:cs="Times New Roman"/>
                <w:color w:val="auto"/>
                <w:kern w:val="2"/>
                <w:sz w:val="21"/>
                <w:szCs w:val="21"/>
                <w:highlight w:val="none"/>
                <w:lang w:val="en-US" w:eastAsia="zh-CN" w:bidi="ar-SA"/>
              </w:rPr>
              <w:t>2</w:t>
            </w: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cs="Times New Roman"/>
                <w:color w:val="auto"/>
                <w:kern w:val="2"/>
                <w:sz w:val="21"/>
                <w:szCs w:val="21"/>
                <w:highlight w:val="none"/>
                <w:lang w:val="en-US" w:eastAsia="zh-CN" w:bidi="ar-SA"/>
              </w:rPr>
              <w:t>5</w:t>
            </w:r>
            <w:r>
              <w:rPr>
                <w:rFonts w:hint="default" w:ascii="Times New Roman" w:hAnsi="Times New Roman" w:eastAsia="宋体" w:cs="Times New Roman"/>
                <w:color w:val="auto"/>
                <w:kern w:val="2"/>
                <w:sz w:val="21"/>
                <w:szCs w:val="21"/>
                <w:highlight w:val="none"/>
                <w:lang w:val="en-US" w:eastAsia="zh-CN" w:bidi="ar-SA"/>
              </w:rPr>
              <w:t>号</w:t>
            </w:r>
            <w:r>
              <w:rPr>
                <w:rFonts w:hint="default" w:ascii="Times New Roman" w:hAnsi="Times New Roman" w:cs="Times New Roman"/>
                <w:color w:val="auto"/>
                <w:kern w:val="2"/>
                <w:sz w:val="21"/>
                <w:szCs w:val="21"/>
                <w:highlight w:val="none"/>
                <w:lang w:val="en-US" w:eastAsia="zh-CN" w:bidi="ar-SA"/>
              </w:rPr>
              <w:t>及《伊春市生态环境准入清单》（2023年版）</w:t>
            </w:r>
            <w:r>
              <w:rPr>
                <w:rFonts w:hint="default" w:ascii="Times New Roman" w:hAnsi="Times New Roman" w:eastAsia="宋体" w:cs="Times New Roman"/>
                <w:color w:val="auto"/>
                <w:kern w:val="2"/>
                <w:sz w:val="21"/>
                <w:szCs w:val="21"/>
                <w:highlight w:val="none"/>
                <w:lang w:val="en-US" w:eastAsia="zh-CN" w:bidi="ar-SA"/>
              </w:rPr>
              <w:t>要求。</w:t>
            </w:r>
          </w:p>
          <w:p w14:paraId="299E528E">
            <w:pPr>
              <w:autoSpaceDE w:val="0"/>
              <w:autoSpaceDN w:val="0"/>
              <w:adjustRightInd w:val="0"/>
              <w:snapToGrid w:val="0"/>
              <w:spacing w:line="360" w:lineRule="auto"/>
              <w:ind w:firstLine="422" w:firstLineChars="200"/>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2、产业政策符合性分析</w:t>
            </w:r>
          </w:p>
          <w:p w14:paraId="4F6EA875">
            <w:pPr>
              <w:pStyle w:val="67"/>
              <w:adjustRightInd w:val="0"/>
              <w:snapToGrid w:val="0"/>
              <w:spacing w:line="360" w:lineRule="auto"/>
              <w:ind w:firstLine="42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4"/>
                <w:highlight w:val="none"/>
                <w:lang w:eastAsia="zh-CN"/>
              </w:rPr>
              <w:t>本项目为蒸压加气混凝土砌块与蒸压加气混凝土板材（ALC板）建设项目，属于《国民经济行业分类》（GB/T4754-2017）中“C3031  粘土砖瓦及建筑砌块制造</w:t>
            </w:r>
            <w:r>
              <w:rPr>
                <w:rFonts w:hint="eastAsia" w:ascii="Times New Roman" w:hAnsi="Times New Roman" w:eastAsia="宋体" w:cs="Times New Roman"/>
                <w:color w:val="auto"/>
                <w:sz w:val="21"/>
                <w:szCs w:val="24"/>
                <w:highlight w:val="none"/>
                <w:lang w:eastAsia="zh-CN"/>
              </w:rPr>
              <w:t>，</w:t>
            </w:r>
            <w:r>
              <w:rPr>
                <w:rFonts w:hint="default" w:ascii="Times New Roman" w:hAnsi="Times New Roman" w:eastAsia="宋体" w:cs="Times New Roman"/>
                <w:color w:val="auto"/>
                <w:sz w:val="21"/>
                <w:szCs w:val="24"/>
                <w:highlight w:val="none"/>
                <w:lang w:eastAsia="zh-CN"/>
              </w:rPr>
              <w:t>C3024轻质建筑材料制造”。根据《产业结构调整指导目录（2024年本）》，本项目不属于该目录中的鼓励类、限制类及淘汰类行业。</w:t>
            </w:r>
            <w:r>
              <w:rPr>
                <w:rFonts w:hint="eastAsia" w:ascii="Times New Roman" w:hAnsi="Times New Roman" w:eastAsia="宋体" w:cs="Times New Roman"/>
                <w:color w:val="auto"/>
                <w:sz w:val="21"/>
                <w:szCs w:val="24"/>
                <w:highlight w:val="none"/>
                <w:lang w:val="en-US" w:eastAsia="zh-CN"/>
              </w:rPr>
              <w:t>项目使用的球磨机，属于</w:t>
            </w:r>
            <w:r>
              <w:rPr>
                <w:rFonts w:hint="default" w:ascii="Times New Roman" w:hAnsi="Times New Roman" w:eastAsia="宋体" w:cs="Times New Roman"/>
                <w:color w:val="auto"/>
                <w:sz w:val="21"/>
                <w:szCs w:val="24"/>
                <w:highlight w:val="none"/>
                <w:lang w:eastAsia="zh-CN"/>
              </w:rPr>
              <w:t>《产业结构调整指导目录（2024年本）》</w:t>
            </w:r>
            <w:r>
              <w:rPr>
                <w:rFonts w:hint="eastAsia" w:ascii="Times New Roman" w:hAnsi="Times New Roman" w:eastAsia="宋体" w:cs="Times New Roman"/>
                <w:color w:val="auto"/>
                <w:sz w:val="21"/>
                <w:szCs w:val="24"/>
                <w:highlight w:val="none"/>
                <w:lang w:val="en-US" w:eastAsia="zh-CN"/>
              </w:rPr>
              <w:t>中第一类鼓励类项目。</w:t>
            </w:r>
            <w:r>
              <w:rPr>
                <w:rFonts w:hint="default" w:ascii="Times New Roman" w:hAnsi="Times New Roman" w:eastAsia="宋体" w:cs="Times New Roman"/>
                <w:color w:val="auto"/>
                <w:sz w:val="21"/>
                <w:szCs w:val="24"/>
                <w:highlight w:val="none"/>
                <w:lang w:eastAsia="zh-CN"/>
              </w:rPr>
              <w:t>综上，本项目</w:t>
            </w:r>
            <w:r>
              <w:rPr>
                <w:rFonts w:hint="eastAsia" w:ascii="Times New Roman" w:hAnsi="Times New Roman" w:eastAsia="宋体" w:cs="Times New Roman"/>
                <w:color w:val="auto"/>
                <w:sz w:val="21"/>
                <w:szCs w:val="24"/>
                <w:highlight w:val="none"/>
                <w:lang w:val="en-US" w:eastAsia="zh-CN"/>
              </w:rPr>
              <w:t>为允许类，</w:t>
            </w:r>
            <w:r>
              <w:rPr>
                <w:rFonts w:hint="default" w:ascii="Times New Roman" w:hAnsi="Times New Roman" w:eastAsia="宋体" w:cs="Times New Roman"/>
                <w:color w:val="auto"/>
                <w:sz w:val="21"/>
                <w:szCs w:val="24"/>
                <w:highlight w:val="none"/>
                <w:lang w:eastAsia="zh-CN"/>
              </w:rPr>
              <w:t>符合国家及地方现行产业政策要求。</w:t>
            </w:r>
          </w:p>
          <w:p w14:paraId="3D3A175C">
            <w:pPr>
              <w:pStyle w:val="63"/>
              <w:ind w:firstLine="422"/>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3、选址合理性分析</w:t>
            </w:r>
          </w:p>
          <w:p w14:paraId="15DB720A">
            <w:pPr>
              <w:widowControl/>
              <w:spacing w:line="360" w:lineRule="auto"/>
              <w:ind w:firstLine="42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本项目位于黑龙江省伊春市铁力市工业园区内，骊山大街沿线。</w:t>
            </w:r>
            <w:r>
              <w:rPr>
                <w:rFonts w:hint="eastAsia" w:cs="Times New Roman"/>
                <w:color w:val="auto"/>
                <w:highlight w:val="none"/>
                <w:lang w:eastAsia="zh-CN"/>
              </w:rPr>
              <w:t>根据声环境功能区划图，本项目为</w:t>
            </w:r>
            <w:r>
              <w:rPr>
                <w:rFonts w:hint="eastAsia" w:cs="Times New Roman"/>
                <w:color w:val="auto"/>
                <w:highlight w:val="none"/>
                <w:lang w:val="en-US" w:eastAsia="zh-CN"/>
              </w:rPr>
              <w:t>3类声功能区。</w:t>
            </w:r>
            <w:r>
              <w:rPr>
                <w:rFonts w:hint="default" w:ascii="Times New Roman" w:hAnsi="Times New Roman" w:cs="Times New Roman"/>
                <w:color w:val="auto"/>
                <w:highlight w:val="none"/>
              </w:rPr>
              <w:t>具体四至为：</w:t>
            </w:r>
            <w:r>
              <w:rPr>
                <w:rFonts w:hint="default" w:ascii="Times New Roman" w:hAnsi="Times New Roman" w:cs="Times New Roman"/>
                <w:color w:val="auto"/>
                <w:highlight w:val="none"/>
                <w:vertAlign w:val="baseline"/>
                <w:lang w:val="en-US" w:eastAsia="zh-CN"/>
              </w:rPr>
              <w:t>东侧为铁力哈德恩新材料科技有限公司</w:t>
            </w:r>
            <w:r>
              <w:rPr>
                <w:rFonts w:hint="default" w:ascii="Times New Roman" w:hAnsi="Times New Roman" w:cs="Times New Roman"/>
                <w:color w:val="auto"/>
                <w:highlight w:val="none"/>
              </w:rPr>
              <w:t>，</w:t>
            </w:r>
            <w:r>
              <w:rPr>
                <w:rFonts w:hint="default" w:ascii="Times New Roman" w:hAnsi="Times New Roman" w:cs="Times New Roman"/>
                <w:color w:val="auto"/>
                <w:highlight w:val="none"/>
                <w:vertAlign w:val="baseline"/>
                <w:lang w:val="en-US" w:eastAsia="zh-CN"/>
              </w:rPr>
              <w:t>南侧为中国中铁电气化局生产资源管理中心，西侧为远大路</w:t>
            </w:r>
            <w:r>
              <w:rPr>
                <w:rFonts w:hint="eastAsia" w:cs="Times New Roman"/>
                <w:color w:val="auto"/>
                <w:highlight w:val="none"/>
                <w:vertAlign w:val="baseline"/>
                <w:lang w:val="en-US" w:eastAsia="zh-CN"/>
              </w:rPr>
              <w:t>（园区内部路）</w:t>
            </w:r>
            <w:r>
              <w:rPr>
                <w:rFonts w:hint="default" w:ascii="Times New Roman" w:hAnsi="Times New Roman" w:cs="Times New Roman"/>
                <w:color w:val="auto"/>
                <w:highlight w:val="none"/>
                <w:vertAlign w:val="baseline"/>
                <w:lang w:val="en-US" w:eastAsia="zh-CN"/>
              </w:rPr>
              <w:t>，北侧为骊山大街</w:t>
            </w:r>
            <w:r>
              <w:rPr>
                <w:rFonts w:hint="eastAsia" w:cs="Times New Roman"/>
                <w:color w:val="auto"/>
                <w:highlight w:val="none"/>
                <w:vertAlign w:val="baseline"/>
                <w:lang w:val="en-US" w:eastAsia="zh-CN"/>
              </w:rPr>
              <w:t>（园区内部路）</w:t>
            </w:r>
            <w:r>
              <w:rPr>
                <w:rFonts w:hint="default" w:ascii="Times New Roman" w:hAnsi="Times New Roman" w:cs="Times New Roman"/>
                <w:color w:val="auto"/>
                <w:highlight w:val="none"/>
              </w:rPr>
              <w:t>。厂区周围无风景名胜区、文物保护单位、生态敏感区等限制项目实施的因素。厂址比较平坦，地理位置优越，交通便利。</w:t>
            </w:r>
          </w:p>
          <w:p w14:paraId="5A7DC683">
            <w:pPr>
              <w:widowControl/>
              <w:spacing w:line="360" w:lineRule="auto"/>
              <w:ind w:firstLine="42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运营期生产车间废气经处理后均能够做到达标排放，车间及库房内均配置抑尘措施。生产废水回用不外排，生活污水经厂区化粪池处理后排入园区污水管网，运营期</w:t>
            </w:r>
            <w:r>
              <w:rPr>
                <w:rFonts w:hint="default" w:ascii="Times New Roman" w:hAnsi="Times New Roman" w:cs="Times New Roman"/>
                <w:color w:val="auto"/>
                <w:highlight w:val="none"/>
              </w:rPr>
              <w:t>各项污染物经过有效的污染治理措施后对</w:t>
            </w:r>
            <w:r>
              <w:rPr>
                <w:rFonts w:hint="default" w:ascii="Times New Roman" w:hAnsi="Times New Roman" w:cs="Times New Roman"/>
                <w:color w:val="auto"/>
                <w:highlight w:val="none"/>
                <w:lang w:eastAsia="zh-CN"/>
              </w:rPr>
              <w:t>周边</w:t>
            </w:r>
            <w:r>
              <w:rPr>
                <w:rFonts w:hint="default" w:ascii="Times New Roman" w:hAnsi="Times New Roman" w:cs="Times New Roman"/>
                <w:color w:val="auto"/>
                <w:highlight w:val="none"/>
              </w:rPr>
              <w:t>环境影响较小，</w:t>
            </w:r>
            <w:r>
              <w:rPr>
                <w:rFonts w:hint="default" w:ascii="Times New Roman" w:hAnsi="Times New Roman" w:cs="Times New Roman"/>
                <w:color w:val="auto"/>
                <w:highlight w:val="none"/>
                <w:lang w:eastAsia="zh-CN"/>
              </w:rPr>
              <w:t>对环境敏感保护目标的影响可接受，</w:t>
            </w:r>
            <w:r>
              <w:rPr>
                <w:rFonts w:hint="default" w:ascii="Times New Roman" w:hAnsi="Times New Roman" w:cs="Times New Roman"/>
                <w:color w:val="auto"/>
                <w:highlight w:val="none"/>
              </w:rPr>
              <w:t>从环保的角度分析本项目的选址是合理的。</w:t>
            </w:r>
          </w:p>
          <w:p w14:paraId="67CEB22A">
            <w:pPr>
              <w:widowControl/>
              <w:spacing w:line="360" w:lineRule="auto"/>
              <w:ind w:firstLine="422" w:firstLineChars="200"/>
              <w:jc w:val="left"/>
              <w:rPr>
                <w:rFonts w:hint="default" w:ascii="Times New Roman" w:hAnsi="Times New Roman" w:cs="Times New Roman"/>
                <w:b/>
                <w:bCs/>
                <w:color w:val="auto"/>
                <w:highlight w:val="none"/>
              </w:rPr>
            </w:pPr>
          </w:p>
          <w:p w14:paraId="34EE94BB">
            <w:pPr>
              <w:widowControl/>
              <w:spacing w:line="360" w:lineRule="auto"/>
              <w:ind w:firstLine="422" w:firstLineChars="200"/>
              <w:jc w:val="left"/>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4、与《黑龙江省大气污染防治条例》（2018年修正）符合性分析</w:t>
            </w:r>
          </w:p>
          <w:p w14:paraId="717D43B4">
            <w:pPr>
              <w:autoSpaceDE w:val="0"/>
              <w:autoSpaceDN w:val="0"/>
              <w:adjustRightInd w:val="0"/>
              <w:snapToGrid w:val="0"/>
              <w:spacing w:line="480" w:lineRule="exact"/>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w:t>
            </w:r>
            <w:r>
              <w:rPr>
                <w:rFonts w:hint="eastAsia" w:cs="Times New Roman"/>
                <w:b/>
                <w:bCs/>
                <w:color w:val="auto"/>
                <w:highlight w:val="none"/>
                <w:lang w:val="en-US" w:eastAsia="zh-CN"/>
              </w:rPr>
              <w:t>6</w:t>
            </w:r>
            <w:r>
              <w:rPr>
                <w:rFonts w:hint="default" w:ascii="Times New Roman" w:hAnsi="Times New Roman" w:cs="Times New Roman"/>
                <w:b/>
                <w:bCs/>
                <w:color w:val="auto"/>
                <w:highlight w:val="none"/>
              </w:rPr>
              <w:t xml:space="preserve">  与《黑龙江省大气污染防治条例》（2018年修正）符合性分析</w:t>
            </w:r>
          </w:p>
          <w:tbl>
            <w:tblPr>
              <w:tblStyle w:val="32"/>
              <w:tblW w:w="498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3252"/>
              <w:gridCol w:w="2304"/>
              <w:gridCol w:w="998"/>
            </w:tblGrid>
            <w:tr w14:paraId="239A90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7" w:type="pct"/>
                  <w:vAlign w:val="center"/>
                </w:tcPr>
                <w:p w14:paraId="57361204">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名称</w:t>
                  </w:r>
                </w:p>
              </w:tc>
              <w:tc>
                <w:tcPr>
                  <w:tcW w:w="2105" w:type="pct"/>
                  <w:vAlign w:val="center"/>
                </w:tcPr>
                <w:p w14:paraId="1C0B2E55">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要求</w:t>
                  </w:r>
                </w:p>
              </w:tc>
              <w:tc>
                <w:tcPr>
                  <w:tcW w:w="1491" w:type="pct"/>
                  <w:vAlign w:val="center"/>
                </w:tcPr>
                <w:p w14:paraId="7727C7D0">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本项目情况</w:t>
                  </w:r>
                </w:p>
              </w:tc>
              <w:tc>
                <w:tcPr>
                  <w:tcW w:w="646" w:type="pct"/>
                  <w:vAlign w:val="center"/>
                </w:tcPr>
                <w:p w14:paraId="55F9517C">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符合性</w:t>
                  </w:r>
                </w:p>
              </w:tc>
            </w:tr>
            <w:tr w14:paraId="4B7A7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7" w:type="pct"/>
                  <w:vMerge w:val="restart"/>
                  <w:vAlign w:val="center"/>
                </w:tcPr>
                <w:p w14:paraId="47218F7C">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《黑龙江省大气污染防治条例》（2018年修正）</w:t>
                  </w:r>
                </w:p>
              </w:tc>
              <w:tc>
                <w:tcPr>
                  <w:tcW w:w="2105" w:type="pct"/>
                  <w:vAlign w:val="center"/>
                </w:tcPr>
                <w:p w14:paraId="72854A94">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企业事业单位和其他生产经营者建设对大气环境有影响的项目，应当依法进行环境影响评价、公开环境影响评价文件；向大气排放污染物的，应当符合大气污染物排放标准，遵守重点大气污染物排放总量控制要求。</w:t>
                  </w:r>
                </w:p>
              </w:tc>
              <w:tc>
                <w:tcPr>
                  <w:tcW w:w="1491" w:type="pct"/>
                  <w:vAlign w:val="center"/>
                </w:tcPr>
                <w:p w14:paraId="3F39B62D">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本项目严格按照流程开展环境影响评价，生产过程中产生的大气污染物经措施处理后均能满足要求排放。</w:t>
                  </w:r>
                </w:p>
              </w:tc>
              <w:tc>
                <w:tcPr>
                  <w:tcW w:w="646" w:type="pct"/>
                  <w:vMerge w:val="restart"/>
                  <w:vAlign w:val="center"/>
                </w:tcPr>
                <w:p w14:paraId="05E32F86">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符合</w:t>
                  </w:r>
                </w:p>
              </w:tc>
            </w:tr>
            <w:tr w14:paraId="27A0CD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757" w:type="pct"/>
                  <w:vMerge w:val="continue"/>
                  <w:vAlign w:val="center"/>
                </w:tcPr>
                <w:p w14:paraId="78059580">
                  <w:pPr>
                    <w:pStyle w:val="73"/>
                    <w:jc w:val="center"/>
                    <w:rPr>
                      <w:rFonts w:hint="default" w:ascii="Times New Roman" w:hAnsi="Times New Roman" w:eastAsia="宋体" w:cs="Times New Roman"/>
                      <w:color w:val="auto"/>
                      <w:kern w:val="0"/>
                      <w:sz w:val="18"/>
                      <w:szCs w:val="18"/>
                      <w:highlight w:val="none"/>
                      <w:lang w:bidi="ar"/>
                    </w:rPr>
                  </w:pPr>
                </w:p>
              </w:tc>
              <w:tc>
                <w:tcPr>
                  <w:tcW w:w="2105" w:type="pct"/>
                  <w:vAlign w:val="center"/>
                </w:tcPr>
                <w:p w14:paraId="19D07565">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向大气排放污染物的企业事业单位和其他生产经营者，应当配套建设大气污染防治设施。配套建设的大气污染防治设施，应当与主体工程同时设计、同时施工、同时投产使用，不得擅自拆除或者闲置</w:t>
                  </w:r>
                </w:p>
              </w:tc>
              <w:tc>
                <w:tcPr>
                  <w:tcW w:w="1491" w:type="pct"/>
                  <w:vAlign w:val="center"/>
                </w:tcPr>
                <w:p w14:paraId="3BE9C066">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本项目配套建设布袋除尘器、排气筒设施，对生产过程中产生的粉尘进行收集处理。配套大气污染防治设施与主体工程同时设计、同时施工、同时投产使用。</w:t>
                  </w:r>
                </w:p>
              </w:tc>
              <w:tc>
                <w:tcPr>
                  <w:tcW w:w="646" w:type="pct"/>
                  <w:vMerge w:val="continue"/>
                  <w:vAlign w:val="center"/>
                </w:tcPr>
                <w:p w14:paraId="70AD33A1">
                  <w:pPr>
                    <w:pStyle w:val="73"/>
                    <w:jc w:val="center"/>
                    <w:rPr>
                      <w:rFonts w:hint="default" w:ascii="Times New Roman" w:hAnsi="Times New Roman" w:eastAsia="宋体" w:cs="Times New Roman"/>
                      <w:color w:val="auto"/>
                      <w:kern w:val="0"/>
                      <w:sz w:val="18"/>
                      <w:szCs w:val="18"/>
                      <w:highlight w:val="none"/>
                      <w:lang w:bidi="ar"/>
                    </w:rPr>
                  </w:pPr>
                </w:p>
              </w:tc>
            </w:tr>
            <w:tr w14:paraId="44A3C6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7" w:type="pct"/>
                  <w:vMerge w:val="continue"/>
                  <w:vAlign w:val="center"/>
                </w:tcPr>
                <w:p w14:paraId="445D6E0F">
                  <w:pPr>
                    <w:pStyle w:val="73"/>
                    <w:jc w:val="center"/>
                    <w:rPr>
                      <w:rFonts w:hint="default" w:ascii="Times New Roman" w:hAnsi="Times New Roman" w:eastAsia="宋体" w:cs="Times New Roman"/>
                      <w:color w:val="auto"/>
                      <w:kern w:val="0"/>
                      <w:sz w:val="18"/>
                      <w:szCs w:val="18"/>
                      <w:highlight w:val="none"/>
                      <w:lang w:bidi="ar"/>
                    </w:rPr>
                  </w:pPr>
                </w:p>
              </w:tc>
              <w:tc>
                <w:tcPr>
                  <w:tcW w:w="2105" w:type="pct"/>
                  <w:vAlign w:val="center"/>
                </w:tcPr>
                <w:p w14:paraId="2B214C24">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企业事业单位和其他生产经营者应当在规定期限内，淘汰列入国家综合性产业政策目录的严重污染大气环境的工艺、设备和产品</w:t>
                  </w:r>
                </w:p>
              </w:tc>
              <w:tc>
                <w:tcPr>
                  <w:tcW w:w="1491" w:type="pct"/>
                  <w:vAlign w:val="center"/>
                </w:tcPr>
                <w:p w14:paraId="061EF8BF">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本单位使用的设备、生产工艺、生产的产品不属于列入国家综合性产业政策目录的严重污染大气环境的工艺、设备和产品。</w:t>
                  </w:r>
                </w:p>
              </w:tc>
              <w:tc>
                <w:tcPr>
                  <w:tcW w:w="646" w:type="pct"/>
                  <w:vMerge w:val="continue"/>
                  <w:vAlign w:val="center"/>
                </w:tcPr>
                <w:p w14:paraId="15E63E2C">
                  <w:pPr>
                    <w:pStyle w:val="73"/>
                    <w:jc w:val="center"/>
                    <w:rPr>
                      <w:rFonts w:hint="default" w:ascii="Times New Roman" w:hAnsi="Times New Roman" w:eastAsia="宋体" w:cs="Times New Roman"/>
                      <w:color w:val="auto"/>
                      <w:kern w:val="0"/>
                      <w:sz w:val="18"/>
                      <w:szCs w:val="18"/>
                      <w:highlight w:val="none"/>
                      <w:lang w:bidi="ar"/>
                    </w:rPr>
                  </w:pPr>
                </w:p>
              </w:tc>
            </w:tr>
          </w:tbl>
          <w:p w14:paraId="1535620C">
            <w:pPr>
              <w:pStyle w:val="63"/>
              <w:keepNext w:val="0"/>
              <w:keepLines w:val="0"/>
              <w:pageBreakBefore w:val="0"/>
              <w:widowControl w:val="0"/>
              <w:kinsoku/>
              <w:wordWrap/>
              <w:overflowPunct/>
              <w:topLinePunct w:val="0"/>
              <w:bidi w:val="0"/>
              <w:adjustRightInd w:val="0"/>
              <w:snapToGrid w:val="0"/>
              <w:ind w:firstLine="422"/>
              <w:jc w:val="left"/>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5</w:t>
            </w:r>
            <w:r>
              <w:rPr>
                <w:rFonts w:hint="default" w:ascii="Times New Roman" w:hAnsi="Times New Roman" w:cs="Times New Roman"/>
                <w:b/>
                <w:bCs/>
                <w:color w:val="auto"/>
                <w:highlight w:val="none"/>
              </w:rPr>
              <w:t>、与《环境空气细颗粒物污染综合防治技术政策》相符性分析</w:t>
            </w:r>
          </w:p>
          <w:p w14:paraId="7CB201CE">
            <w:pPr>
              <w:keepNext w:val="0"/>
              <w:keepLines w:val="0"/>
              <w:pageBreakBefore w:val="0"/>
              <w:widowControl w:val="0"/>
              <w:kinsoku/>
              <w:wordWrap/>
              <w:overflowPunct/>
              <w:topLinePunct w:val="0"/>
              <w:autoSpaceDE w:val="0"/>
              <w:autoSpaceDN w:val="0"/>
              <w:bidi w:val="0"/>
              <w:adjustRightInd w:val="0"/>
              <w:snapToGrid w:val="0"/>
              <w:spacing w:line="480" w:lineRule="exact"/>
              <w:jc w:val="center"/>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w:t>
            </w:r>
            <w:r>
              <w:rPr>
                <w:rFonts w:hint="eastAsia" w:cs="Times New Roman"/>
                <w:b/>
                <w:bCs/>
                <w:color w:val="auto"/>
                <w:highlight w:val="none"/>
                <w:lang w:val="en-US" w:eastAsia="zh-CN"/>
              </w:rPr>
              <w:t>7</w:t>
            </w:r>
            <w:r>
              <w:rPr>
                <w:rFonts w:hint="default" w:ascii="Times New Roman" w:hAnsi="Times New Roman" w:cs="Times New Roman"/>
                <w:b/>
                <w:bCs/>
                <w:color w:val="auto"/>
                <w:highlight w:val="none"/>
              </w:rPr>
              <w:t xml:space="preserve">  与《环境空气细颗粒物污染综合防治技术政策》符合性分析</w:t>
            </w:r>
          </w:p>
          <w:tbl>
            <w:tblPr>
              <w:tblStyle w:val="32"/>
              <w:tblW w:w="498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0"/>
              <w:gridCol w:w="2889"/>
              <w:gridCol w:w="2667"/>
              <w:gridCol w:w="998"/>
            </w:tblGrid>
            <w:tr w14:paraId="42FBAF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57" w:type="pct"/>
                  <w:vAlign w:val="center"/>
                </w:tcPr>
                <w:p w14:paraId="751C30D8">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名称</w:t>
                  </w:r>
                </w:p>
              </w:tc>
              <w:tc>
                <w:tcPr>
                  <w:tcW w:w="1870" w:type="pct"/>
                  <w:vAlign w:val="center"/>
                </w:tcPr>
                <w:p w14:paraId="43163DF1">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要求</w:t>
                  </w:r>
                </w:p>
              </w:tc>
              <w:tc>
                <w:tcPr>
                  <w:tcW w:w="1726" w:type="pct"/>
                  <w:vAlign w:val="center"/>
                </w:tcPr>
                <w:p w14:paraId="7E295900">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本项目情况</w:t>
                  </w:r>
                </w:p>
              </w:tc>
              <w:tc>
                <w:tcPr>
                  <w:tcW w:w="646" w:type="pct"/>
                  <w:vAlign w:val="center"/>
                </w:tcPr>
                <w:p w14:paraId="2FC22645">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符合性</w:t>
                  </w:r>
                </w:p>
              </w:tc>
            </w:tr>
            <w:tr w14:paraId="798D01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0" w:hRule="atLeast"/>
                <w:jc w:val="center"/>
              </w:trPr>
              <w:tc>
                <w:tcPr>
                  <w:tcW w:w="757" w:type="pct"/>
                  <w:vAlign w:val="center"/>
                </w:tcPr>
                <w:p w14:paraId="24AAA451">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《环境空气细颗粒物污染综合防治技术政策》</w:t>
                  </w:r>
                </w:p>
              </w:tc>
              <w:tc>
                <w:tcPr>
                  <w:tcW w:w="1870" w:type="pct"/>
                  <w:vAlign w:val="center"/>
                </w:tcPr>
                <w:p w14:paraId="57461623">
                  <w:pPr>
                    <w:pStyle w:val="73"/>
                    <w:jc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一、工业污染防治技术</w:t>
                  </w:r>
                </w:p>
                <w:p w14:paraId="075CEFEF">
                  <w:pPr>
                    <w:pStyle w:val="73"/>
                    <w:jc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（一）有组织排放颗粒物（烟、粉尘）污染防治技术，包括袋式除尘、湿式电除尘技术、电袋复合除尘技术。</w:t>
                  </w:r>
                </w:p>
                <w:p w14:paraId="0E3AC247">
                  <w:pPr>
                    <w:pStyle w:val="73"/>
                    <w:jc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（二）前体污染物（NO、SO</w:t>
                  </w:r>
                  <w:r>
                    <w:rPr>
                      <w:rFonts w:hint="default" w:ascii="Times New Roman" w:hAnsi="Times New Roman" w:eastAsia="宋体" w:cs="Times New Roman"/>
                      <w:color w:val="auto"/>
                      <w:kern w:val="0"/>
                      <w:sz w:val="18"/>
                      <w:szCs w:val="18"/>
                      <w:highlight w:val="none"/>
                      <w:vertAlign w:val="subscript"/>
                      <w:lang w:eastAsia="zh-CN" w:bidi="ar"/>
                    </w:rPr>
                    <w:t>2</w:t>
                  </w:r>
                  <w:r>
                    <w:rPr>
                      <w:rFonts w:hint="default" w:ascii="Times New Roman" w:hAnsi="Times New Roman" w:eastAsia="宋体" w:cs="Times New Roman"/>
                      <w:color w:val="auto"/>
                      <w:kern w:val="0"/>
                      <w:sz w:val="18"/>
                      <w:szCs w:val="18"/>
                      <w:highlight w:val="none"/>
                      <w:lang w:eastAsia="zh-CN" w:bidi="ar"/>
                    </w:rPr>
                    <w:t>、VOCs、NH</w:t>
                  </w:r>
                  <w:r>
                    <w:rPr>
                      <w:rFonts w:hint="default" w:ascii="Times New Roman" w:hAnsi="Times New Roman" w:eastAsia="宋体" w:cs="Times New Roman"/>
                      <w:color w:val="auto"/>
                      <w:kern w:val="0"/>
                      <w:sz w:val="18"/>
                      <w:szCs w:val="18"/>
                      <w:highlight w:val="none"/>
                      <w:vertAlign w:val="subscript"/>
                      <w:lang w:eastAsia="zh-CN" w:bidi="ar"/>
                    </w:rPr>
                    <w:t>3</w:t>
                  </w:r>
                  <w:r>
                    <w:rPr>
                      <w:rFonts w:hint="default" w:ascii="Times New Roman" w:hAnsi="Times New Roman" w:eastAsia="宋体" w:cs="Times New Roman"/>
                      <w:color w:val="auto"/>
                      <w:kern w:val="0"/>
                      <w:sz w:val="18"/>
                      <w:szCs w:val="18"/>
                      <w:highlight w:val="none"/>
                      <w:lang w:eastAsia="zh-CN" w:bidi="ar"/>
                    </w:rPr>
                    <w:t>等）净化技术，包括各种脱硫技术、氮氧化物的催化还原技术及烟气脱硝技术、挥发性有机物的燃烧净化与吸附回收技术、氨的水洗涤净化技术。</w:t>
                  </w:r>
                </w:p>
                <w:p w14:paraId="130E42F0">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eastAsia="zh-CN" w:bidi="ar"/>
                    </w:rPr>
                    <w:t>（三）无组织排放颗粒物和前体污染物治理技术，包括适用于大气颗粒物及其前体物污染控制的密闭生产技术、粉状物料堆放场的遮风与抑尘技术。</w:t>
                  </w:r>
                </w:p>
              </w:tc>
              <w:tc>
                <w:tcPr>
                  <w:tcW w:w="1726" w:type="pct"/>
                  <w:vAlign w:val="center"/>
                </w:tcPr>
                <w:p w14:paraId="6E01D102">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运营期</w:t>
                  </w:r>
                  <w:r>
                    <w:rPr>
                      <w:rFonts w:hint="eastAsia" w:eastAsia="宋体" w:cs="Times New Roman"/>
                      <w:color w:val="auto"/>
                      <w:kern w:val="0"/>
                      <w:sz w:val="18"/>
                      <w:szCs w:val="18"/>
                      <w:highlight w:val="none"/>
                      <w:vertAlign w:val="baseline"/>
                      <w:lang w:val="en-US" w:eastAsia="zh-CN" w:bidi="ar"/>
                    </w:rPr>
                    <w:t>石膏堆场及铝粉膏堆场均位于生产车间内，砂料储存在粉煤灰库房内，车间及库房均密闭，在物料装卸过程中采用洒水抑尘的措施减少粉尘产生。粉煤灰筒仓、水泥筒仓及石灰粉筒仓均在仓顶配备布袋除尘器，防止颗粒物逸散</w:t>
                  </w:r>
                  <w:r>
                    <w:rPr>
                      <w:rFonts w:hint="default" w:ascii="Times New Roman" w:hAnsi="Times New Roman" w:eastAsia="宋体" w:cs="Times New Roman"/>
                      <w:color w:val="auto"/>
                      <w:kern w:val="0"/>
                      <w:sz w:val="18"/>
                      <w:szCs w:val="18"/>
                      <w:highlight w:val="none"/>
                      <w:lang w:bidi="ar"/>
                    </w:rPr>
                    <w:t>。本项目主要物料为水泥、石粉、砂料</w:t>
                  </w:r>
                  <w:r>
                    <w:rPr>
                      <w:rFonts w:hint="default" w:ascii="Times New Roman" w:hAnsi="Times New Roman" w:eastAsia="宋体" w:cs="Times New Roman"/>
                      <w:color w:val="auto"/>
                      <w:kern w:val="0"/>
                      <w:sz w:val="18"/>
                      <w:szCs w:val="18"/>
                      <w:highlight w:val="none"/>
                      <w:lang w:val="en-US" w:eastAsia="zh-CN" w:bidi="ar"/>
                    </w:rPr>
                    <w:t>等</w:t>
                  </w:r>
                  <w:r>
                    <w:rPr>
                      <w:rFonts w:hint="default" w:ascii="Times New Roman" w:hAnsi="Times New Roman" w:eastAsia="宋体" w:cs="Times New Roman"/>
                      <w:color w:val="auto"/>
                      <w:kern w:val="0"/>
                      <w:sz w:val="18"/>
                      <w:szCs w:val="18"/>
                      <w:highlight w:val="none"/>
                      <w:lang w:bidi="ar"/>
                    </w:rPr>
                    <w:t>，运输过程做好遮盖，进场入库贮存时规范操作，轻拿轻放可有效控制装卸粉尘产生。砂料为散装物料，入厂后在</w:t>
                  </w:r>
                  <w:r>
                    <w:rPr>
                      <w:rFonts w:hint="default" w:ascii="Times New Roman" w:hAnsi="Times New Roman" w:eastAsia="宋体" w:cs="Times New Roman"/>
                      <w:color w:val="auto"/>
                      <w:kern w:val="0"/>
                      <w:sz w:val="18"/>
                      <w:szCs w:val="18"/>
                      <w:highlight w:val="none"/>
                      <w:lang w:val="en-US" w:eastAsia="zh-CN" w:bidi="ar"/>
                    </w:rPr>
                    <w:t>车间</w:t>
                  </w:r>
                  <w:r>
                    <w:rPr>
                      <w:rFonts w:hint="default" w:ascii="Times New Roman" w:hAnsi="Times New Roman" w:eastAsia="宋体" w:cs="Times New Roman"/>
                      <w:color w:val="auto"/>
                      <w:kern w:val="0"/>
                      <w:sz w:val="18"/>
                      <w:szCs w:val="18"/>
                      <w:highlight w:val="none"/>
                      <w:lang w:bidi="ar"/>
                    </w:rPr>
                    <w:t>内指定区域堆放，</w:t>
                  </w:r>
                  <w:r>
                    <w:rPr>
                      <w:rFonts w:hint="default" w:ascii="Times New Roman" w:hAnsi="Times New Roman" w:eastAsia="宋体" w:cs="Times New Roman"/>
                      <w:color w:val="auto"/>
                      <w:kern w:val="0"/>
                      <w:sz w:val="18"/>
                      <w:szCs w:val="18"/>
                      <w:highlight w:val="none"/>
                      <w:lang w:val="en-US" w:eastAsia="zh-CN" w:bidi="ar"/>
                    </w:rPr>
                    <w:t>项目车间密闭</w:t>
                  </w:r>
                  <w:r>
                    <w:rPr>
                      <w:rFonts w:hint="default" w:ascii="Times New Roman" w:hAnsi="Times New Roman" w:eastAsia="宋体" w:cs="Times New Roman"/>
                      <w:color w:val="auto"/>
                      <w:kern w:val="0"/>
                      <w:sz w:val="18"/>
                      <w:szCs w:val="18"/>
                      <w:highlight w:val="none"/>
                      <w:lang w:bidi="ar"/>
                    </w:rPr>
                    <w:t>，</w:t>
                  </w:r>
                  <w:r>
                    <w:rPr>
                      <w:rFonts w:hint="default" w:ascii="Times New Roman" w:hAnsi="Times New Roman" w:eastAsia="宋体" w:cs="Times New Roman"/>
                      <w:color w:val="auto"/>
                      <w:kern w:val="0"/>
                      <w:sz w:val="18"/>
                      <w:szCs w:val="18"/>
                      <w:highlight w:val="none"/>
                      <w:lang w:val="en-US" w:eastAsia="zh-CN" w:bidi="ar"/>
                    </w:rPr>
                    <w:t>本项目原料无室外堆放情况，均置于室内，</w:t>
                  </w:r>
                  <w:r>
                    <w:rPr>
                      <w:rFonts w:hint="default" w:ascii="Times New Roman" w:hAnsi="Times New Roman" w:eastAsia="宋体" w:cs="Times New Roman"/>
                      <w:color w:val="auto"/>
                      <w:kern w:val="0"/>
                      <w:sz w:val="18"/>
                      <w:szCs w:val="18"/>
                      <w:highlight w:val="none"/>
                      <w:lang w:bidi="ar"/>
                    </w:rPr>
                    <w:t>可有效控制</w:t>
                  </w:r>
                  <w:r>
                    <w:rPr>
                      <w:rFonts w:hint="default" w:ascii="Times New Roman" w:hAnsi="Times New Roman" w:eastAsia="宋体" w:cs="Times New Roman"/>
                      <w:color w:val="auto"/>
                      <w:kern w:val="0"/>
                      <w:sz w:val="18"/>
                      <w:szCs w:val="18"/>
                      <w:highlight w:val="none"/>
                      <w:lang w:val="en-US" w:eastAsia="zh-CN" w:bidi="ar"/>
                    </w:rPr>
                    <w:t>无组织</w:t>
                  </w:r>
                  <w:r>
                    <w:rPr>
                      <w:rFonts w:hint="default" w:ascii="Times New Roman" w:hAnsi="Times New Roman" w:eastAsia="宋体" w:cs="Times New Roman"/>
                      <w:color w:val="auto"/>
                      <w:kern w:val="0"/>
                      <w:sz w:val="18"/>
                      <w:szCs w:val="18"/>
                      <w:highlight w:val="none"/>
                      <w:lang w:bidi="ar"/>
                    </w:rPr>
                    <w:t>粉尘</w:t>
                  </w:r>
                  <w:r>
                    <w:rPr>
                      <w:rFonts w:hint="default" w:ascii="Times New Roman" w:hAnsi="Times New Roman" w:eastAsia="宋体" w:cs="Times New Roman"/>
                      <w:color w:val="auto"/>
                      <w:kern w:val="0"/>
                      <w:sz w:val="18"/>
                      <w:szCs w:val="18"/>
                      <w:highlight w:val="none"/>
                      <w:lang w:val="en-US" w:eastAsia="zh-CN" w:bidi="ar"/>
                    </w:rPr>
                    <w:t>的逸散</w:t>
                  </w:r>
                  <w:r>
                    <w:rPr>
                      <w:rFonts w:hint="default" w:ascii="Times New Roman" w:hAnsi="Times New Roman" w:eastAsia="宋体" w:cs="Times New Roman"/>
                      <w:color w:val="auto"/>
                      <w:kern w:val="0"/>
                      <w:sz w:val="18"/>
                      <w:szCs w:val="18"/>
                      <w:highlight w:val="none"/>
                      <w:lang w:bidi="ar"/>
                    </w:rPr>
                    <w:t>。</w:t>
                  </w:r>
                </w:p>
              </w:tc>
              <w:tc>
                <w:tcPr>
                  <w:tcW w:w="646" w:type="pct"/>
                  <w:vAlign w:val="center"/>
                </w:tcPr>
                <w:p w14:paraId="45F3E010">
                  <w:pPr>
                    <w:pStyle w:val="73"/>
                    <w:jc w:val="center"/>
                    <w:rPr>
                      <w:rFonts w:hint="default" w:ascii="Times New Roman" w:hAnsi="Times New Roman" w:eastAsia="宋体" w:cs="Times New Roman"/>
                      <w:color w:val="auto"/>
                      <w:kern w:val="0"/>
                      <w:sz w:val="18"/>
                      <w:szCs w:val="18"/>
                      <w:highlight w:val="none"/>
                      <w:lang w:bidi="ar"/>
                    </w:rPr>
                  </w:pPr>
                  <w:r>
                    <w:rPr>
                      <w:rFonts w:hint="default" w:ascii="Times New Roman" w:hAnsi="Times New Roman" w:eastAsia="宋体" w:cs="Times New Roman"/>
                      <w:color w:val="auto"/>
                      <w:kern w:val="0"/>
                      <w:sz w:val="18"/>
                      <w:szCs w:val="18"/>
                      <w:highlight w:val="none"/>
                      <w:lang w:bidi="ar"/>
                    </w:rPr>
                    <w:t>符合</w:t>
                  </w:r>
                </w:p>
              </w:tc>
            </w:tr>
          </w:tbl>
          <w:p w14:paraId="172E9AB7">
            <w:pPr>
              <w:pStyle w:val="63"/>
              <w:ind w:firstLine="42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综上，本项目符合《环境空气细颗粒物污染综合防治技术政策》要求。</w:t>
            </w:r>
          </w:p>
          <w:p w14:paraId="2DC05F55">
            <w:pPr>
              <w:pStyle w:val="63"/>
              <w:keepNext w:val="0"/>
              <w:keepLines w:val="0"/>
              <w:pageBreakBefore w:val="0"/>
              <w:kinsoku/>
              <w:wordWrap/>
              <w:overflowPunct/>
              <w:topLinePunct w:val="0"/>
              <w:autoSpaceDN/>
              <w:bidi w:val="0"/>
              <w:ind w:firstLine="422" w:firstLineChars="200"/>
              <w:jc w:val="both"/>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6、</w:t>
            </w:r>
            <w:r>
              <w:rPr>
                <w:rFonts w:hint="default" w:ascii="Times New Roman" w:hAnsi="Times New Roman" w:cs="Times New Roman"/>
                <w:b/>
                <w:bCs/>
                <w:color w:val="auto"/>
                <w:highlight w:val="none"/>
              </w:rPr>
              <w:t>与《黑龙江省空气质量持续改善行动计划实施方案》符合性分析</w:t>
            </w:r>
          </w:p>
          <w:p w14:paraId="4F638296">
            <w:pPr>
              <w:pStyle w:val="63"/>
              <w:keepNext w:val="0"/>
              <w:keepLines w:val="0"/>
              <w:pageBreakBefore w:val="0"/>
              <w:kinsoku/>
              <w:wordWrap/>
              <w:overflowPunct/>
              <w:topLinePunct w:val="0"/>
              <w:autoSpaceDN/>
              <w:bidi w:val="0"/>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《黑龙江省空气质量持续改善行动计划实施方案》中有如下要求：</w:t>
            </w:r>
          </w:p>
          <w:p w14:paraId="3A406ABA">
            <w:pPr>
              <w:pStyle w:val="63"/>
              <w:keepNext w:val="0"/>
              <w:keepLines w:val="0"/>
              <w:pageBreakBefore w:val="0"/>
              <w:kinsoku/>
              <w:wordWrap/>
              <w:overflowPunct/>
              <w:topLinePunct w:val="0"/>
              <w:autoSpaceDN/>
              <w:bidi w:val="0"/>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四）严格环境准入要求。新改扩建高耗能、高排放、低水平项目，要严格遵照产业规划和政策、生态环境分区管控、规划环评、项目环评、节能审查以及产能置换、总量控制、区域污染物削减、碳达峰等相关要求执行，原则上采用清洁运输方式。涉及产能置换的项目，被置换产能及其配套设施同步关停后，新建项目方能投产。坚决遏制“两高一低”项目盲目上马。</w:t>
            </w:r>
          </w:p>
          <w:p w14:paraId="48BCBF05">
            <w:pPr>
              <w:pStyle w:val="63"/>
              <w:keepNext w:val="0"/>
              <w:keepLines w:val="0"/>
              <w:pageBreakBefore w:val="0"/>
              <w:kinsoku/>
              <w:wordWrap/>
              <w:overflowPunct/>
              <w:topLinePunct w:val="0"/>
              <w:autoSpaceDN/>
              <w:bidi w:val="0"/>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严禁新增钢铁产能。严格执行国家钢铁产能置换办法，推行钢铁、焦化、烧结一体化布局，减少独立焦化、烧结、球团和热轧企业及工序，淘汰落后煤炭洗选产能；按国家要求引导推动高炉—转炉长流程炼钢转型为电炉短流程炼钢。</w:t>
            </w:r>
          </w:p>
          <w:p w14:paraId="0B189E36">
            <w:pPr>
              <w:pStyle w:val="63"/>
              <w:keepNext w:val="0"/>
              <w:keepLines w:val="0"/>
              <w:pageBreakBefore w:val="0"/>
              <w:kinsoku/>
              <w:wordWrap/>
              <w:overflowPunct/>
              <w:topLinePunct w:val="0"/>
              <w:autoSpaceDN/>
              <w:bidi w:val="0"/>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十一）积极推进燃煤锅炉淘汰改造。各地要将燃煤供热锅炉替代项目纳入城镇供热规划。县级及以上城市建成区原则上不再新建35蒸吨/小时及以下燃煤锅炉，其他地区原则上不再新建10蒸吨/小时及以下燃煤锅炉。加快热力管网建设，依托电厂、大型工业企业开展远距离供热示范，充分释放热电联产、工业余热等供热能力，淘汰管网覆盖范围内的供热燃煤锅炉和散煤。到2025年，哈尔滨市、佳木斯市、七台河市、绥化市基本完成城市建成区35蒸吨/小时及以下燃煤锅炉淘汰；哈尔滨市、绥化市基本淘汰行政区域内10蒸吨/小时及以下的燃煤锅炉。</w:t>
            </w:r>
          </w:p>
          <w:p w14:paraId="396C16B9">
            <w:pPr>
              <w:pStyle w:val="63"/>
              <w:keepNext w:val="0"/>
              <w:keepLines w:val="0"/>
              <w:pageBreakBefore w:val="0"/>
              <w:kinsoku/>
              <w:wordWrap/>
              <w:overflowPunct/>
              <w:topLinePunct w:val="0"/>
              <w:autoSpaceDN/>
              <w:bidi w:val="0"/>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十九）深化扬尘污染综合治理。全面推行绿色施工，严格执行“六个百分之百”，将防治扬尘污染费用纳入工程造价。到2025年，装配式建筑占新建建筑面积的比例达到30%；地级及以上城市建成区道路机械化清扫率达80%左右，县城达70%左右。对城市公共裸地进行排查建档并采取防尘措施。城市大型煤炭、矿石等干散货码头物料堆场基本完成抑尘设施建设和物料输送系统封闭改造。</w:t>
            </w:r>
          </w:p>
          <w:p w14:paraId="53D9CCF7">
            <w:pPr>
              <w:pStyle w:val="63"/>
              <w:keepNext w:val="0"/>
              <w:keepLines w:val="0"/>
              <w:pageBreakBefore w:val="0"/>
              <w:kinsoku/>
              <w:wordWrap/>
              <w:overflowPunct/>
              <w:topLinePunct w:val="0"/>
              <w:autoSpaceDN/>
              <w:bidi w:val="0"/>
              <w:ind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生产供热采用12t/h生物质蒸汽锅炉，不属于</w:t>
            </w:r>
            <w:r>
              <w:rPr>
                <w:rFonts w:hint="default" w:ascii="Times New Roman" w:hAnsi="Times New Roman" w:cs="Times New Roman"/>
                <w:color w:val="auto"/>
                <w:highlight w:val="none"/>
              </w:rPr>
              <w:t>淘汰</w:t>
            </w:r>
            <w:r>
              <w:rPr>
                <w:rFonts w:hint="default" w:ascii="Times New Roman" w:hAnsi="Times New Roman" w:cs="Times New Roman"/>
                <w:color w:val="auto"/>
                <w:highlight w:val="none"/>
                <w:lang w:val="en-US" w:eastAsia="zh-CN"/>
              </w:rPr>
              <w:t>的</w:t>
            </w:r>
            <w:r>
              <w:rPr>
                <w:rFonts w:hint="default" w:ascii="Times New Roman" w:hAnsi="Times New Roman" w:cs="Times New Roman"/>
                <w:color w:val="auto"/>
                <w:highlight w:val="none"/>
              </w:rPr>
              <w:t>燃煤锅炉</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不属于高耗能、高排放、低水平项目，不涉及钢铁、焦化、烧结等企业及工序，不涉及煤炭洗选，施工期施工现场设置围挡，使用商品混凝土，粉性物料封闭存放，施工场地适时洒水降尘等措施来减轻施工扬尘，符合《黑龙江省空气质量持续改善行动计划实施方案》中相关要求。</w:t>
            </w:r>
          </w:p>
          <w:p w14:paraId="0F52096F">
            <w:pPr>
              <w:keepNext w:val="0"/>
              <w:keepLines w:val="0"/>
              <w:pageBreakBefore w:val="0"/>
              <w:kinsoku/>
              <w:wordWrap/>
              <w:overflowPunct/>
              <w:topLinePunct w:val="0"/>
              <w:autoSpaceDN/>
              <w:bidi w:val="0"/>
              <w:spacing w:line="360" w:lineRule="auto"/>
              <w:ind w:firstLine="422" w:firstLineChars="200"/>
              <w:jc w:val="lef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7、与《黑龙江省“十四五”生态环境保护规划》符合性分析</w:t>
            </w:r>
          </w:p>
          <w:p w14:paraId="483EA8DE">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黑龙江省“十四五”生态环境保护规划》，“三、主要任务，（一）贯彻新发展理念，推进高质量发展推进建材、化工、铸造、印染、电镀、加工制造等产业集群升级改造，推动哈尔滨市、大庆市、牡丹江市、绥化市等城市化工产业集群向精细化、规模化、绿色化方向转型”。</w:t>
            </w:r>
          </w:p>
          <w:p w14:paraId="4502D336">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石膏堆场及铝粉膏堆场均位于生产车间内，砂料储存在粉煤灰库房内，车间及库房均密闭，在物料装卸过程中采用洒水抑尘的措施减少粉尘产生。粉煤灰筒仓、水泥筒仓及石灰粉筒仓均在仓顶配备布袋除尘器，防止颗粒物逸散。本项目锅炉废气经</w:t>
            </w:r>
            <w:r>
              <w:rPr>
                <w:rFonts w:hint="eastAsia" w:cs="Times New Roman"/>
                <w:color w:val="auto"/>
                <w:highlight w:val="none"/>
                <w:lang w:eastAsia="zh-CN"/>
              </w:rPr>
              <w:t>低氮燃烧</w:t>
            </w:r>
            <w:r>
              <w:rPr>
                <w:rFonts w:hint="default" w:ascii="Times New Roman" w:hAnsi="Times New Roman" w:eastAsia="宋体" w:cs="Times New Roman"/>
                <w:color w:val="auto"/>
                <w:highlight w:val="none"/>
              </w:rPr>
              <w:t>+</w:t>
            </w:r>
            <w:r>
              <w:rPr>
                <w:rFonts w:hint="eastAsia" w:cs="Times New Roman"/>
                <w:color w:val="auto"/>
                <w:highlight w:val="none"/>
                <w:lang w:eastAsia="zh-CN"/>
              </w:rPr>
              <w:t>旋风除尘+</w:t>
            </w:r>
            <w:r>
              <w:rPr>
                <w:rFonts w:hint="default" w:ascii="Times New Roman" w:hAnsi="Times New Roman" w:eastAsia="宋体" w:cs="Times New Roman"/>
                <w:color w:val="auto"/>
                <w:highlight w:val="none"/>
              </w:rPr>
              <w:t>布袋除尘器（处理效率为99.6%）处理后由40m高烟囱（DA002）排放，满足《锅炉大气污染物排放标准》 （GB13271-2014）表2燃煤锅炉排放控制要求执行。</w:t>
            </w:r>
            <w:r>
              <w:rPr>
                <w:rFonts w:hint="eastAsia"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生产车间</w:t>
            </w:r>
            <w:r>
              <w:rPr>
                <w:rFonts w:hint="eastAsia" w:eastAsia="宋体" w:cs="Times New Roman"/>
                <w:color w:val="auto"/>
                <w:sz w:val="21"/>
                <w:szCs w:val="21"/>
                <w:highlight w:val="none"/>
                <w:lang w:val="en-US" w:eastAsia="zh-CN"/>
              </w:rPr>
              <w:t>产生的</w:t>
            </w:r>
            <w:r>
              <w:rPr>
                <w:rFonts w:hint="eastAsia" w:cs="Times New Roman"/>
                <w:color w:val="auto"/>
                <w:sz w:val="21"/>
                <w:szCs w:val="21"/>
                <w:highlight w:val="none"/>
                <w:lang w:val="en-US" w:eastAsia="zh-CN"/>
              </w:rPr>
              <w:t>球磨</w:t>
            </w:r>
            <w:r>
              <w:rPr>
                <w:rFonts w:hint="default" w:ascii="Times New Roman" w:hAnsi="Times New Roman" w:eastAsia="宋体" w:cs="Times New Roman"/>
                <w:color w:val="auto"/>
                <w:sz w:val="21"/>
                <w:szCs w:val="21"/>
                <w:highlight w:val="none"/>
              </w:rPr>
              <w:t>破碎粉尘经集气罩</w:t>
            </w:r>
            <w:r>
              <w:rPr>
                <w:rFonts w:hint="eastAsia" w:eastAsia="宋体" w:cs="Times New Roman"/>
                <w:color w:val="auto"/>
                <w:sz w:val="21"/>
                <w:szCs w:val="21"/>
                <w:highlight w:val="none"/>
                <w:lang w:eastAsia="zh-CN"/>
              </w:rPr>
              <w:t>（收集效率为</w:t>
            </w:r>
            <w:r>
              <w:rPr>
                <w:rFonts w:hint="eastAsia" w:eastAsia="宋体" w:cs="Times New Roman"/>
                <w:color w:val="auto"/>
                <w:sz w:val="21"/>
                <w:szCs w:val="21"/>
                <w:highlight w:val="none"/>
                <w:lang w:val="en-US" w:eastAsia="zh-CN"/>
              </w:rPr>
              <w:t>90%</w:t>
            </w:r>
            <w:r>
              <w:rPr>
                <w:rFonts w:hint="eastAsia" w:eastAsia="宋体" w:cs="Times New Roman"/>
                <w:color w:val="auto"/>
                <w:sz w:val="21"/>
                <w:szCs w:val="21"/>
                <w:highlight w:val="none"/>
                <w:lang w:eastAsia="zh-CN"/>
              </w:rPr>
              <w:t>）</w:t>
            </w:r>
            <w:r>
              <w:rPr>
                <w:rFonts w:hint="eastAsia" w:eastAsia="宋体" w:cs="Times New Roman"/>
                <w:color w:val="auto"/>
                <w:sz w:val="21"/>
                <w:szCs w:val="21"/>
                <w:highlight w:val="none"/>
                <w:lang w:val="en-US" w:eastAsia="zh-CN"/>
              </w:rPr>
              <w:t>收集后</w:t>
            </w:r>
            <w:r>
              <w:rPr>
                <w:rFonts w:hint="default" w:ascii="Times New Roman" w:hAnsi="Times New Roman" w:eastAsia="宋体" w:cs="Times New Roman"/>
                <w:color w:val="auto"/>
                <w:sz w:val="21"/>
                <w:szCs w:val="21"/>
                <w:highlight w:val="none"/>
              </w:rPr>
              <w:t>输送至</w:t>
            </w:r>
            <w:r>
              <w:rPr>
                <w:rFonts w:hint="eastAsia" w:eastAsia="宋体" w:cs="Times New Roman"/>
                <w:color w:val="auto"/>
                <w:sz w:val="21"/>
                <w:szCs w:val="21"/>
                <w:highlight w:val="none"/>
                <w:lang w:val="en-US" w:eastAsia="zh-CN"/>
              </w:rPr>
              <w:t>同一台</w:t>
            </w:r>
            <w:r>
              <w:rPr>
                <w:rFonts w:hint="default" w:ascii="Times New Roman" w:hAnsi="Times New Roman" w:eastAsia="宋体" w:cs="Times New Roman"/>
                <w:color w:val="auto"/>
                <w:sz w:val="21"/>
                <w:szCs w:val="21"/>
                <w:highlight w:val="none"/>
              </w:rPr>
              <w:t>布袋除尘器</w:t>
            </w:r>
            <w:r>
              <w:rPr>
                <w:rFonts w:hint="eastAsia" w:eastAsia="宋体" w:cs="Times New Roman"/>
                <w:color w:val="auto"/>
                <w:sz w:val="21"/>
                <w:szCs w:val="21"/>
                <w:highlight w:val="none"/>
                <w:lang w:eastAsia="zh-CN"/>
              </w:rPr>
              <w:t>（处理效率为</w:t>
            </w:r>
            <w:r>
              <w:rPr>
                <w:rFonts w:hint="eastAsia" w:eastAsia="宋体" w:cs="Times New Roman"/>
                <w:color w:val="auto"/>
                <w:sz w:val="21"/>
                <w:szCs w:val="21"/>
                <w:highlight w:val="none"/>
                <w:lang w:val="en-US" w:eastAsia="zh-CN"/>
              </w:rPr>
              <w:t>99%</w:t>
            </w: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处理后经车间外</w:t>
            </w:r>
            <w:r>
              <w:rPr>
                <w:rFonts w:hint="eastAsia" w:eastAsia="宋体" w:cs="Times New Roman"/>
                <w:color w:val="auto"/>
                <w:sz w:val="21"/>
                <w:szCs w:val="21"/>
                <w:highlight w:val="none"/>
                <w:lang w:val="en-US" w:eastAsia="zh-CN"/>
              </w:rPr>
              <w:t>1根</w:t>
            </w:r>
            <w:r>
              <w:rPr>
                <w:rFonts w:hint="default" w:ascii="Times New Roman" w:hAnsi="Times New Roman" w:eastAsia="宋体" w:cs="Times New Roman"/>
                <w:color w:val="auto"/>
                <w:sz w:val="21"/>
                <w:szCs w:val="21"/>
                <w:highlight w:val="none"/>
              </w:rPr>
              <w:t>1</w:t>
            </w:r>
            <w:r>
              <w:rPr>
                <w:rFonts w:hint="eastAsia"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m高排气筒（DA00</w:t>
            </w:r>
            <w:r>
              <w:rPr>
                <w:rFonts w:hint="eastAsia"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）排放</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满足《砖瓦工业大气污染物排放标准》（GB29620-2013）及修改单中表2新建企业大气污染物排放限值。</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生产车间</w:t>
            </w:r>
            <w:r>
              <w:rPr>
                <w:rFonts w:hint="eastAsia" w:eastAsia="宋体" w:cs="Times New Roman"/>
                <w:color w:val="auto"/>
                <w:sz w:val="21"/>
                <w:szCs w:val="21"/>
                <w:highlight w:val="none"/>
                <w:lang w:val="en-US" w:eastAsia="zh-CN"/>
              </w:rPr>
              <w:t>产生的</w:t>
            </w:r>
            <w:r>
              <w:rPr>
                <w:rFonts w:hint="eastAsia" w:cs="Times New Roman"/>
                <w:color w:val="auto"/>
                <w:sz w:val="21"/>
                <w:szCs w:val="21"/>
                <w:highlight w:val="none"/>
                <w:lang w:val="en-US" w:eastAsia="zh-CN"/>
              </w:rPr>
              <w:t>球磨</w:t>
            </w:r>
            <w:r>
              <w:rPr>
                <w:rFonts w:hint="default" w:ascii="Times New Roman" w:hAnsi="Times New Roman" w:eastAsia="宋体" w:cs="Times New Roman"/>
                <w:color w:val="auto"/>
                <w:sz w:val="21"/>
                <w:szCs w:val="21"/>
                <w:highlight w:val="none"/>
              </w:rPr>
              <w:t>破碎粉尘经集气罩</w:t>
            </w:r>
            <w:r>
              <w:rPr>
                <w:rFonts w:hint="eastAsia" w:eastAsia="宋体" w:cs="Times New Roman"/>
                <w:color w:val="auto"/>
                <w:sz w:val="21"/>
                <w:szCs w:val="21"/>
                <w:highlight w:val="none"/>
                <w:lang w:eastAsia="zh-CN"/>
              </w:rPr>
              <w:t>（收集效率为</w:t>
            </w:r>
            <w:r>
              <w:rPr>
                <w:rFonts w:hint="eastAsia" w:eastAsia="宋体" w:cs="Times New Roman"/>
                <w:color w:val="auto"/>
                <w:sz w:val="21"/>
                <w:szCs w:val="21"/>
                <w:highlight w:val="none"/>
                <w:lang w:val="en-US" w:eastAsia="zh-CN"/>
              </w:rPr>
              <w:t>90%</w:t>
            </w:r>
            <w:r>
              <w:rPr>
                <w:rFonts w:hint="eastAsia" w:eastAsia="宋体" w:cs="Times New Roman"/>
                <w:color w:val="auto"/>
                <w:sz w:val="21"/>
                <w:szCs w:val="21"/>
                <w:highlight w:val="none"/>
                <w:lang w:eastAsia="zh-CN"/>
              </w:rPr>
              <w:t>）</w:t>
            </w:r>
            <w:r>
              <w:rPr>
                <w:rFonts w:hint="eastAsia" w:eastAsia="宋体" w:cs="Times New Roman"/>
                <w:color w:val="auto"/>
                <w:sz w:val="21"/>
                <w:szCs w:val="21"/>
                <w:highlight w:val="none"/>
                <w:lang w:val="en-US" w:eastAsia="zh-CN"/>
              </w:rPr>
              <w:t>收集后</w:t>
            </w:r>
            <w:r>
              <w:rPr>
                <w:rFonts w:hint="default" w:ascii="Times New Roman" w:hAnsi="Times New Roman" w:eastAsia="宋体" w:cs="Times New Roman"/>
                <w:color w:val="auto"/>
                <w:sz w:val="21"/>
                <w:szCs w:val="21"/>
                <w:highlight w:val="none"/>
              </w:rPr>
              <w:t>输送至</w:t>
            </w:r>
            <w:r>
              <w:rPr>
                <w:rFonts w:hint="eastAsia" w:eastAsia="宋体" w:cs="Times New Roman"/>
                <w:color w:val="auto"/>
                <w:sz w:val="21"/>
                <w:szCs w:val="21"/>
                <w:highlight w:val="none"/>
                <w:lang w:val="en-US" w:eastAsia="zh-CN"/>
              </w:rPr>
              <w:t>同一台</w:t>
            </w:r>
            <w:r>
              <w:rPr>
                <w:rFonts w:hint="default" w:ascii="Times New Roman" w:hAnsi="Times New Roman" w:eastAsia="宋体" w:cs="Times New Roman"/>
                <w:color w:val="auto"/>
                <w:sz w:val="21"/>
                <w:szCs w:val="21"/>
                <w:highlight w:val="none"/>
              </w:rPr>
              <w:t>布袋除尘器</w:t>
            </w:r>
            <w:r>
              <w:rPr>
                <w:rFonts w:hint="eastAsia" w:eastAsia="宋体" w:cs="Times New Roman"/>
                <w:color w:val="auto"/>
                <w:sz w:val="21"/>
                <w:szCs w:val="21"/>
                <w:highlight w:val="none"/>
                <w:lang w:eastAsia="zh-CN"/>
              </w:rPr>
              <w:t>（处理效率为</w:t>
            </w:r>
            <w:r>
              <w:rPr>
                <w:rFonts w:hint="eastAsia" w:eastAsia="宋体" w:cs="Times New Roman"/>
                <w:color w:val="auto"/>
                <w:sz w:val="21"/>
                <w:szCs w:val="21"/>
                <w:highlight w:val="none"/>
                <w:lang w:val="en-US" w:eastAsia="zh-CN"/>
              </w:rPr>
              <w:t>99%</w:t>
            </w: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处理后经车间外</w:t>
            </w:r>
            <w:r>
              <w:rPr>
                <w:rFonts w:hint="eastAsia" w:eastAsia="宋体" w:cs="Times New Roman"/>
                <w:color w:val="auto"/>
                <w:sz w:val="21"/>
                <w:szCs w:val="21"/>
                <w:highlight w:val="none"/>
                <w:lang w:val="en-US" w:eastAsia="zh-CN"/>
              </w:rPr>
              <w:t>1根</w:t>
            </w:r>
            <w:r>
              <w:rPr>
                <w:rFonts w:hint="default" w:ascii="Times New Roman" w:hAnsi="Times New Roman" w:eastAsia="宋体" w:cs="Times New Roman"/>
                <w:color w:val="auto"/>
                <w:sz w:val="21"/>
                <w:szCs w:val="21"/>
                <w:highlight w:val="none"/>
              </w:rPr>
              <w:t>1</w:t>
            </w:r>
            <w:r>
              <w:rPr>
                <w:rFonts w:hint="eastAsia"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m高排气筒（DA00</w:t>
            </w:r>
            <w:r>
              <w:rPr>
                <w:rFonts w:hint="eastAsia"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）排放</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满足《水泥工业大气污染物排放标准》（GB4915-2013）及修改单中表1</w:t>
            </w:r>
            <w:r>
              <w:rPr>
                <w:rFonts w:hint="eastAsia" w:ascii="Times New Roman" w:hAnsi="Times New Roman" w:eastAsia="宋体" w:cs="Times New Roman"/>
                <w:color w:val="auto"/>
                <w:sz w:val="21"/>
                <w:szCs w:val="21"/>
                <w:highlight w:val="none"/>
                <w:lang w:val="en-US" w:eastAsia="zh-CN"/>
              </w:rPr>
              <w:t>现有和</w:t>
            </w:r>
            <w:r>
              <w:rPr>
                <w:rFonts w:hint="default" w:ascii="Times New Roman" w:hAnsi="Times New Roman" w:eastAsia="宋体" w:cs="Times New Roman"/>
                <w:color w:val="auto"/>
                <w:sz w:val="21"/>
                <w:szCs w:val="21"/>
                <w:highlight w:val="none"/>
              </w:rPr>
              <w:t>新建企业大气污染物排放限值。本项目钢筋防腐浸泡及</w:t>
            </w:r>
            <w:r>
              <w:rPr>
                <w:rFonts w:hint="eastAsia" w:cs="Times New Roman"/>
                <w:color w:val="auto"/>
                <w:sz w:val="21"/>
                <w:szCs w:val="21"/>
                <w:highlight w:val="none"/>
                <w:lang w:eastAsia="zh-CN"/>
              </w:rPr>
              <w:t>烘干</w:t>
            </w:r>
            <w:r>
              <w:rPr>
                <w:rFonts w:hint="default" w:ascii="Times New Roman" w:hAnsi="Times New Roman" w:eastAsia="宋体" w:cs="Times New Roman"/>
                <w:color w:val="auto"/>
                <w:sz w:val="21"/>
                <w:szCs w:val="21"/>
                <w:highlight w:val="none"/>
              </w:rPr>
              <w:t>工序会产生有机废气经活性炭吸附处理后由15m高排气筒（DA00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）排放《大气污染物综合排放标准》（GB16297-1996）表2中二级排放限值。</w:t>
            </w:r>
            <w:r>
              <w:rPr>
                <w:rFonts w:hint="eastAsia" w:eastAsia="宋体" w:cs="Times New Roman"/>
                <w:color w:val="auto"/>
                <w:sz w:val="21"/>
                <w:szCs w:val="21"/>
                <w:highlight w:val="none"/>
                <w:lang w:eastAsia="zh-CN"/>
              </w:rPr>
              <w:t>焊接烟尘采用移动式烟尘净化器处理后排放满足《水泥工业大气污染物排放标准》（GB4915-2013）及修改单中表3大气污染物无组织排放限值</w:t>
            </w:r>
            <w:r>
              <w:rPr>
                <w:rFonts w:hint="default" w:ascii="Times New Roman" w:hAnsi="Times New Roman" w:eastAsia="宋体" w:cs="Times New Roman"/>
                <w:color w:val="auto"/>
                <w:sz w:val="21"/>
                <w:szCs w:val="21"/>
                <w:highlight w:val="none"/>
              </w:rPr>
              <w:t>。</w:t>
            </w:r>
            <w:r>
              <w:rPr>
                <w:rFonts w:hint="eastAsia" w:eastAsia="宋体" w:cs="Times New Roman"/>
                <w:color w:val="auto"/>
                <w:sz w:val="21"/>
                <w:szCs w:val="21"/>
                <w:highlight w:val="none"/>
                <w:lang w:eastAsia="zh-CN"/>
              </w:rPr>
              <w:t>厂界</w:t>
            </w:r>
            <w:r>
              <w:rPr>
                <w:rFonts w:hint="default" w:ascii="Times New Roman" w:hAnsi="Times New Roman" w:eastAsia="宋体" w:cs="Times New Roman"/>
                <w:color w:val="auto"/>
                <w:sz w:val="21"/>
                <w:szCs w:val="21"/>
                <w:highlight w:val="none"/>
              </w:rPr>
              <w:t>无组织颗粒物排放浓度满足《水泥工业大气污染物排放标准》（GB4915-2013）及修改单中表3大气污染物无组织排放限值要求。厂界非甲烷总烃执行《大气污染物综合排放标准》（GB16297-1996）表2中无组织排放监控浓度限值；厂内执行《挥发性有机物无组织排放控制标准》（GB37822-2019）标准要求。</w:t>
            </w:r>
            <w:r>
              <w:rPr>
                <w:rFonts w:hint="default" w:ascii="Times New Roman" w:hAnsi="Times New Roman" w:eastAsia="宋体" w:cs="Times New Roman"/>
                <w:color w:val="auto"/>
                <w:highlight w:val="none"/>
              </w:rPr>
              <w:t>项目粉尘排放量较小，厂区内加强绿化，减缓项目排放粉尘对区域大气环境的影响，因此项目建设符合《黑龙江省“十四五”生态环境保护规划》要求。</w:t>
            </w:r>
          </w:p>
          <w:p w14:paraId="48F3A845">
            <w:pPr>
              <w:keepNext w:val="0"/>
              <w:keepLines w:val="0"/>
              <w:pageBreakBefore w:val="0"/>
              <w:kinsoku/>
              <w:wordWrap/>
              <w:overflowPunct/>
              <w:topLinePunct w:val="0"/>
              <w:autoSpaceDN/>
              <w:bidi w:val="0"/>
              <w:spacing w:line="360" w:lineRule="auto"/>
              <w:ind w:firstLine="422" w:firstLineChars="200"/>
              <w:jc w:val="lef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8、与《伊春市“十四五”生态环境保护规划》符合性分析</w:t>
            </w:r>
          </w:p>
          <w:p w14:paraId="0FB1AAC8">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《伊春市“十四五”生态环境保护规划》指出“开展PM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（细颗粒物）与臭氧污染协同防治。制定加强PM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和臭氧协同控制的空气质量改善规划，明确控制目标、路线图和时间表。针对秋冬季PM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污染和夏季臭氧浓度偏高问题，统筹考虑污染区域传输规律和季节性特征，加强重点时段、重点领域治理。开展PM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和臭氧成因的关联性研究，提高污染控制精准性。</w:t>
            </w:r>
          </w:p>
          <w:p w14:paraId="36469F54">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深化燃煤污染治理，严格控制煤炭消费总量。加大清洁能源的供应和推广力度，推进天然气、电能替代燃煤，深入开展工业企业提标改造，推进火电、钢铁企业实施超低排放改造。县级及以上城市建成区原则上不再新建每小时35蒸吨以下的燃煤锅炉，其他地区原则上不再新建每小时10蒸吨以下的燃煤锅炉，持续巩固燃煤锅炉淘汰改造成果。组织开展重点排放单位数据报送及核查、发电行业重点排放单位开户及配额预分配和清缴。强化移动源污染治理，加强在用机动车污染治理，精细化管控道路、交通、拆迁等各类扬尘污染，降尘量大幅降低，空气质量稳步改善。”</w:t>
            </w:r>
          </w:p>
          <w:p w14:paraId="7156AD36">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石膏堆场及铝粉膏堆场均位于生产车间内，砂料储存在粉煤灰库房内，车间及库房均密闭，在物料装卸过程中采用洒水抑尘的措施减少粉尘产生。粉煤灰筒仓、水泥筒仓及石灰粉筒仓均在仓顶配备布袋除尘器，防止颗粒物逸散。本项目锅炉废气经</w:t>
            </w:r>
            <w:r>
              <w:rPr>
                <w:rFonts w:hint="eastAsia" w:cs="Times New Roman"/>
                <w:color w:val="auto"/>
                <w:highlight w:val="none"/>
                <w:lang w:eastAsia="zh-CN"/>
              </w:rPr>
              <w:t>低氮燃烧</w:t>
            </w:r>
            <w:r>
              <w:rPr>
                <w:rFonts w:hint="default" w:ascii="Times New Roman" w:hAnsi="Times New Roman" w:eastAsia="宋体" w:cs="Times New Roman"/>
                <w:color w:val="auto"/>
                <w:highlight w:val="none"/>
              </w:rPr>
              <w:t>+</w:t>
            </w:r>
            <w:r>
              <w:rPr>
                <w:rFonts w:hint="eastAsia" w:cs="Times New Roman"/>
                <w:color w:val="auto"/>
                <w:highlight w:val="none"/>
                <w:lang w:eastAsia="zh-CN"/>
              </w:rPr>
              <w:t>旋风除尘+</w:t>
            </w:r>
            <w:r>
              <w:rPr>
                <w:rFonts w:hint="default" w:ascii="Times New Roman" w:hAnsi="Times New Roman" w:eastAsia="宋体" w:cs="Times New Roman"/>
                <w:color w:val="auto"/>
                <w:highlight w:val="none"/>
              </w:rPr>
              <w:t>布袋除尘器（处理效率为99.6%）处理后由40m高烟囱（DA002）排放，满足《锅炉大气污染物排放标准》 （GB13271-2014）表2燃煤锅炉排放控制要求执行。</w:t>
            </w:r>
            <w:r>
              <w:rPr>
                <w:rFonts w:hint="eastAsia"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生产车间</w:t>
            </w:r>
            <w:r>
              <w:rPr>
                <w:rFonts w:hint="eastAsia" w:eastAsia="宋体" w:cs="Times New Roman"/>
                <w:color w:val="auto"/>
                <w:sz w:val="21"/>
                <w:szCs w:val="21"/>
                <w:highlight w:val="none"/>
                <w:lang w:val="en-US" w:eastAsia="zh-CN"/>
              </w:rPr>
              <w:t>产生的</w:t>
            </w:r>
            <w:r>
              <w:rPr>
                <w:rFonts w:hint="eastAsia" w:cs="Times New Roman"/>
                <w:color w:val="auto"/>
                <w:sz w:val="21"/>
                <w:szCs w:val="21"/>
                <w:highlight w:val="none"/>
                <w:lang w:val="en-US" w:eastAsia="zh-CN"/>
              </w:rPr>
              <w:t>球磨</w:t>
            </w:r>
            <w:r>
              <w:rPr>
                <w:rFonts w:hint="default" w:ascii="Times New Roman" w:hAnsi="Times New Roman" w:eastAsia="宋体" w:cs="Times New Roman"/>
                <w:color w:val="auto"/>
                <w:sz w:val="21"/>
                <w:szCs w:val="21"/>
                <w:highlight w:val="none"/>
              </w:rPr>
              <w:t>破碎粉尘经集气罩</w:t>
            </w:r>
            <w:r>
              <w:rPr>
                <w:rFonts w:hint="eastAsia" w:eastAsia="宋体" w:cs="Times New Roman"/>
                <w:color w:val="auto"/>
                <w:sz w:val="21"/>
                <w:szCs w:val="21"/>
                <w:highlight w:val="none"/>
                <w:lang w:eastAsia="zh-CN"/>
              </w:rPr>
              <w:t>（收集效率为</w:t>
            </w:r>
            <w:r>
              <w:rPr>
                <w:rFonts w:hint="eastAsia" w:eastAsia="宋体" w:cs="Times New Roman"/>
                <w:color w:val="auto"/>
                <w:sz w:val="21"/>
                <w:szCs w:val="21"/>
                <w:highlight w:val="none"/>
                <w:lang w:val="en-US" w:eastAsia="zh-CN"/>
              </w:rPr>
              <w:t>90%</w:t>
            </w:r>
            <w:r>
              <w:rPr>
                <w:rFonts w:hint="eastAsia" w:eastAsia="宋体" w:cs="Times New Roman"/>
                <w:color w:val="auto"/>
                <w:sz w:val="21"/>
                <w:szCs w:val="21"/>
                <w:highlight w:val="none"/>
                <w:lang w:eastAsia="zh-CN"/>
              </w:rPr>
              <w:t>）</w:t>
            </w:r>
            <w:r>
              <w:rPr>
                <w:rFonts w:hint="eastAsia" w:eastAsia="宋体" w:cs="Times New Roman"/>
                <w:color w:val="auto"/>
                <w:sz w:val="21"/>
                <w:szCs w:val="21"/>
                <w:highlight w:val="none"/>
                <w:lang w:val="en-US" w:eastAsia="zh-CN"/>
              </w:rPr>
              <w:t>收集后</w:t>
            </w:r>
            <w:r>
              <w:rPr>
                <w:rFonts w:hint="default" w:ascii="Times New Roman" w:hAnsi="Times New Roman" w:eastAsia="宋体" w:cs="Times New Roman"/>
                <w:color w:val="auto"/>
                <w:sz w:val="21"/>
                <w:szCs w:val="21"/>
                <w:highlight w:val="none"/>
              </w:rPr>
              <w:t>输送至</w:t>
            </w:r>
            <w:r>
              <w:rPr>
                <w:rFonts w:hint="eastAsia" w:eastAsia="宋体" w:cs="Times New Roman"/>
                <w:color w:val="auto"/>
                <w:sz w:val="21"/>
                <w:szCs w:val="21"/>
                <w:highlight w:val="none"/>
                <w:lang w:val="en-US" w:eastAsia="zh-CN"/>
              </w:rPr>
              <w:t>同一台</w:t>
            </w:r>
            <w:r>
              <w:rPr>
                <w:rFonts w:hint="default" w:ascii="Times New Roman" w:hAnsi="Times New Roman" w:eastAsia="宋体" w:cs="Times New Roman"/>
                <w:color w:val="auto"/>
                <w:sz w:val="21"/>
                <w:szCs w:val="21"/>
                <w:highlight w:val="none"/>
              </w:rPr>
              <w:t>布袋除尘器</w:t>
            </w:r>
            <w:r>
              <w:rPr>
                <w:rFonts w:hint="eastAsia" w:eastAsia="宋体" w:cs="Times New Roman"/>
                <w:color w:val="auto"/>
                <w:sz w:val="21"/>
                <w:szCs w:val="21"/>
                <w:highlight w:val="none"/>
                <w:lang w:eastAsia="zh-CN"/>
              </w:rPr>
              <w:t>（处理效率为</w:t>
            </w:r>
            <w:r>
              <w:rPr>
                <w:rFonts w:hint="eastAsia" w:eastAsia="宋体" w:cs="Times New Roman"/>
                <w:color w:val="auto"/>
                <w:sz w:val="21"/>
                <w:szCs w:val="21"/>
                <w:highlight w:val="none"/>
                <w:lang w:val="en-US" w:eastAsia="zh-CN"/>
              </w:rPr>
              <w:t>99%</w:t>
            </w: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处理后经车间外</w:t>
            </w:r>
            <w:r>
              <w:rPr>
                <w:rFonts w:hint="eastAsia" w:eastAsia="宋体" w:cs="Times New Roman"/>
                <w:color w:val="auto"/>
                <w:sz w:val="21"/>
                <w:szCs w:val="21"/>
                <w:highlight w:val="none"/>
                <w:lang w:val="en-US" w:eastAsia="zh-CN"/>
              </w:rPr>
              <w:t>1根</w:t>
            </w:r>
            <w:r>
              <w:rPr>
                <w:rFonts w:hint="default" w:ascii="Times New Roman" w:hAnsi="Times New Roman" w:eastAsia="宋体" w:cs="Times New Roman"/>
                <w:color w:val="auto"/>
                <w:sz w:val="21"/>
                <w:szCs w:val="21"/>
                <w:highlight w:val="none"/>
              </w:rPr>
              <w:t>1</w:t>
            </w:r>
            <w:r>
              <w:rPr>
                <w:rFonts w:hint="eastAsia"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m高排气筒（DA00</w:t>
            </w:r>
            <w:r>
              <w:rPr>
                <w:rFonts w:hint="eastAsia"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）排放</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满足《砖瓦工业大气污染物排放标准》（GB29620-2013）及修改单中表2新建企业大气污染物排放限值。</w:t>
            </w: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生产车间</w:t>
            </w:r>
            <w:r>
              <w:rPr>
                <w:rFonts w:hint="eastAsia" w:eastAsia="宋体" w:cs="Times New Roman"/>
                <w:color w:val="auto"/>
                <w:sz w:val="21"/>
                <w:szCs w:val="21"/>
                <w:highlight w:val="none"/>
                <w:lang w:val="en-US" w:eastAsia="zh-CN"/>
              </w:rPr>
              <w:t>产生的</w:t>
            </w:r>
            <w:r>
              <w:rPr>
                <w:rFonts w:hint="eastAsia" w:cs="Times New Roman"/>
                <w:color w:val="auto"/>
                <w:sz w:val="21"/>
                <w:szCs w:val="21"/>
                <w:highlight w:val="none"/>
                <w:lang w:val="en-US" w:eastAsia="zh-CN"/>
              </w:rPr>
              <w:t>球磨</w:t>
            </w:r>
            <w:r>
              <w:rPr>
                <w:rFonts w:hint="default" w:ascii="Times New Roman" w:hAnsi="Times New Roman" w:eastAsia="宋体" w:cs="Times New Roman"/>
                <w:color w:val="auto"/>
                <w:sz w:val="21"/>
                <w:szCs w:val="21"/>
                <w:highlight w:val="none"/>
              </w:rPr>
              <w:t>破碎粉尘经集气罩</w:t>
            </w:r>
            <w:r>
              <w:rPr>
                <w:rFonts w:hint="eastAsia" w:eastAsia="宋体" w:cs="Times New Roman"/>
                <w:color w:val="auto"/>
                <w:sz w:val="21"/>
                <w:szCs w:val="21"/>
                <w:highlight w:val="none"/>
                <w:lang w:eastAsia="zh-CN"/>
              </w:rPr>
              <w:t>（收集效率为</w:t>
            </w:r>
            <w:r>
              <w:rPr>
                <w:rFonts w:hint="eastAsia" w:eastAsia="宋体" w:cs="Times New Roman"/>
                <w:color w:val="auto"/>
                <w:sz w:val="21"/>
                <w:szCs w:val="21"/>
                <w:highlight w:val="none"/>
                <w:lang w:val="en-US" w:eastAsia="zh-CN"/>
              </w:rPr>
              <w:t>90%</w:t>
            </w:r>
            <w:r>
              <w:rPr>
                <w:rFonts w:hint="eastAsia" w:eastAsia="宋体" w:cs="Times New Roman"/>
                <w:color w:val="auto"/>
                <w:sz w:val="21"/>
                <w:szCs w:val="21"/>
                <w:highlight w:val="none"/>
                <w:lang w:eastAsia="zh-CN"/>
              </w:rPr>
              <w:t>）</w:t>
            </w:r>
            <w:r>
              <w:rPr>
                <w:rFonts w:hint="eastAsia" w:eastAsia="宋体" w:cs="Times New Roman"/>
                <w:color w:val="auto"/>
                <w:sz w:val="21"/>
                <w:szCs w:val="21"/>
                <w:highlight w:val="none"/>
                <w:lang w:val="en-US" w:eastAsia="zh-CN"/>
              </w:rPr>
              <w:t>收集后</w:t>
            </w:r>
            <w:r>
              <w:rPr>
                <w:rFonts w:hint="default" w:ascii="Times New Roman" w:hAnsi="Times New Roman" w:eastAsia="宋体" w:cs="Times New Roman"/>
                <w:color w:val="auto"/>
                <w:sz w:val="21"/>
                <w:szCs w:val="21"/>
                <w:highlight w:val="none"/>
              </w:rPr>
              <w:t>输送至</w:t>
            </w:r>
            <w:r>
              <w:rPr>
                <w:rFonts w:hint="eastAsia" w:eastAsia="宋体" w:cs="Times New Roman"/>
                <w:color w:val="auto"/>
                <w:sz w:val="21"/>
                <w:szCs w:val="21"/>
                <w:highlight w:val="none"/>
                <w:lang w:val="en-US" w:eastAsia="zh-CN"/>
              </w:rPr>
              <w:t>同一台</w:t>
            </w:r>
            <w:r>
              <w:rPr>
                <w:rFonts w:hint="default" w:ascii="Times New Roman" w:hAnsi="Times New Roman" w:eastAsia="宋体" w:cs="Times New Roman"/>
                <w:color w:val="auto"/>
                <w:sz w:val="21"/>
                <w:szCs w:val="21"/>
                <w:highlight w:val="none"/>
              </w:rPr>
              <w:t>布袋除尘器</w:t>
            </w:r>
            <w:r>
              <w:rPr>
                <w:rFonts w:hint="eastAsia" w:eastAsia="宋体" w:cs="Times New Roman"/>
                <w:color w:val="auto"/>
                <w:sz w:val="21"/>
                <w:szCs w:val="21"/>
                <w:highlight w:val="none"/>
                <w:lang w:eastAsia="zh-CN"/>
              </w:rPr>
              <w:t>（处理效率为</w:t>
            </w:r>
            <w:r>
              <w:rPr>
                <w:rFonts w:hint="eastAsia" w:eastAsia="宋体" w:cs="Times New Roman"/>
                <w:color w:val="auto"/>
                <w:sz w:val="21"/>
                <w:szCs w:val="21"/>
                <w:highlight w:val="none"/>
                <w:lang w:val="en-US" w:eastAsia="zh-CN"/>
              </w:rPr>
              <w:t>99%</w:t>
            </w:r>
            <w:r>
              <w:rPr>
                <w:rFonts w:hint="eastAsia"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处理后经车间外</w:t>
            </w:r>
            <w:r>
              <w:rPr>
                <w:rFonts w:hint="eastAsia" w:eastAsia="宋体" w:cs="Times New Roman"/>
                <w:color w:val="auto"/>
                <w:sz w:val="21"/>
                <w:szCs w:val="21"/>
                <w:highlight w:val="none"/>
                <w:lang w:val="en-US" w:eastAsia="zh-CN"/>
              </w:rPr>
              <w:t>1根</w:t>
            </w:r>
            <w:r>
              <w:rPr>
                <w:rFonts w:hint="default" w:ascii="Times New Roman" w:hAnsi="Times New Roman" w:eastAsia="宋体" w:cs="Times New Roman"/>
                <w:color w:val="auto"/>
                <w:sz w:val="21"/>
                <w:szCs w:val="21"/>
                <w:highlight w:val="none"/>
              </w:rPr>
              <w:t>1</w:t>
            </w:r>
            <w:r>
              <w:rPr>
                <w:rFonts w:hint="eastAsia"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m高排气筒（DA00</w:t>
            </w:r>
            <w:r>
              <w:rPr>
                <w:rFonts w:hint="eastAsia"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）排放</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满足《水泥工业大气污染物排放标准》（GB4915-2013）及修改单中表1</w:t>
            </w:r>
            <w:r>
              <w:rPr>
                <w:rFonts w:hint="eastAsia" w:ascii="Times New Roman" w:hAnsi="Times New Roman" w:eastAsia="宋体" w:cs="Times New Roman"/>
                <w:color w:val="auto"/>
                <w:sz w:val="21"/>
                <w:szCs w:val="21"/>
                <w:highlight w:val="none"/>
                <w:lang w:val="en-US" w:eastAsia="zh-CN"/>
              </w:rPr>
              <w:t>现有和</w:t>
            </w:r>
            <w:r>
              <w:rPr>
                <w:rFonts w:hint="default" w:ascii="Times New Roman" w:hAnsi="Times New Roman" w:eastAsia="宋体" w:cs="Times New Roman"/>
                <w:color w:val="auto"/>
                <w:sz w:val="21"/>
                <w:szCs w:val="21"/>
                <w:highlight w:val="none"/>
              </w:rPr>
              <w:t>新建企业大气污染物排放限值。本项目钢筋防腐浸泡及</w:t>
            </w:r>
            <w:r>
              <w:rPr>
                <w:rFonts w:hint="eastAsia" w:cs="Times New Roman"/>
                <w:color w:val="auto"/>
                <w:sz w:val="21"/>
                <w:szCs w:val="21"/>
                <w:highlight w:val="none"/>
                <w:lang w:eastAsia="zh-CN"/>
              </w:rPr>
              <w:t>烘干</w:t>
            </w:r>
            <w:r>
              <w:rPr>
                <w:rFonts w:hint="default" w:ascii="Times New Roman" w:hAnsi="Times New Roman" w:eastAsia="宋体" w:cs="Times New Roman"/>
                <w:color w:val="auto"/>
                <w:sz w:val="21"/>
                <w:szCs w:val="21"/>
                <w:highlight w:val="none"/>
              </w:rPr>
              <w:t>工序会产生有机废气经活性炭吸附处理后由15m高排气筒（DA00</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）排放《大气污染物综合排放标准》（GB16297-1996）表2中二级排放限值。</w:t>
            </w:r>
            <w:r>
              <w:rPr>
                <w:rFonts w:hint="eastAsia" w:eastAsia="宋体" w:cs="Times New Roman"/>
                <w:color w:val="auto"/>
                <w:sz w:val="21"/>
                <w:szCs w:val="21"/>
                <w:highlight w:val="none"/>
                <w:lang w:eastAsia="zh-CN"/>
              </w:rPr>
              <w:t>焊接烟尘采用移动式烟尘净化器处理后排放满足</w:t>
            </w:r>
            <w:r>
              <w:rPr>
                <w:rFonts w:hint="default" w:ascii="Times New Roman" w:hAnsi="Times New Roman" w:eastAsia="宋体" w:cs="Times New Roman"/>
                <w:color w:val="auto"/>
                <w:sz w:val="21"/>
                <w:szCs w:val="21"/>
                <w:highlight w:val="none"/>
              </w:rPr>
              <w:t>《大气污染物综合排放标准》（GB16297-1996）表</w:t>
            </w:r>
            <w:r>
              <w:rPr>
                <w:rFonts w:hint="eastAsia"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中</w:t>
            </w:r>
            <w:r>
              <w:rPr>
                <w:rFonts w:hint="eastAsia" w:eastAsia="宋体" w:cs="Times New Roman"/>
                <w:color w:val="auto"/>
                <w:sz w:val="21"/>
                <w:szCs w:val="21"/>
                <w:highlight w:val="none"/>
                <w:lang w:eastAsia="zh-CN"/>
              </w:rPr>
              <w:t>无组织</w:t>
            </w:r>
            <w:r>
              <w:rPr>
                <w:rFonts w:hint="default" w:ascii="Times New Roman" w:hAnsi="Times New Roman" w:eastAsia="宋体" w:cs="Times New Roman"/>
                <w:color w:val="auto"/>
                <w:sz w:val="21"/>
                <w:szCs w:val="21"/>
                <w:highlight w:val="none"/>
              </w:rPr>
              <w:t>排放限值。</w:t>
            </w:r>
            <w:r>
              <w:rPr>
                <w:rFonts w:hint="eastAsia" w:eastAsia="宋体" w:cs="Times New Roman"/>
                <w:color w:val="auto"/>
                <w:sz w:val="21"/>
                <w:szCs w:val="21"/>
                <w:highlight w:val="none"/>
                <w:lang w:eastAsia="zh-CN"/>
              </w:rPr>
              <w:t>厂界</w:t>
            </w:r>
            <w:r>
              <w:rPr>
                <w:rFonts w:hint="default" w:ascii="Times New Roman" w:hAnsi="Times New Roman" w:eastAsia="宋体" w:cs="Times New Roman"/>
                <w:color w:val="auto"/>
                <w:sz w:val="21"/>
                <w:szCs w:val="21"/>
                <w:highlight w:val="none"/>
              </w:rPr>
              <w:t>无组织颗粒物排放浓度满足《水泥工业大气污染物排放标准》（GB4915-2013）及修改单中表3大气污染物无组织排放限值要求。厂界非甲烷总烃执行《大气污染物综合排放标准》（GB16297-1996）表2中无组织排放监控浓度限值；厂内执行《挥发性有机物无组织排放控制标准》（GB37822-2019）标准要求。</w:t>
            </w:r>
            <w:r>
              <w:rPr>
                <w:rFonts w:hint="default" w:ascii="Times New Roman" w:hAnsi="Times New Roman" w:eastAsia="宋体" w:cs="Times New Roman"/>
                <w:color w:val="auto"/>
                <w:highlight w:val="none"/>
              </w:rPr>
              <w:t>项目粉尘排放量较小，厂区内加强绿化，减缓项目排放粉尘对区域大气环境的影响，因此项目建设符合《黑龙江省“十四五”生态环境保护规划》要求。</w:t>
            </w:r>
          </w:p>
          <w:p w14:paraId="0F9A5153">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因此项目建设符合《</w:t>
            </w:r>
            <w:r>
              <w:rPr>
                <w:rFonts w:hint="default" w:ascii="Times New Roman" w:hAnsi="Times New Roman" w:eastAsia="宋体" w:cs="Times New Roman"/>
                <w:color w:val="auto"/>
                <w:highlight w:val="none"/>
                <w:lang w:eastAsia="zh-CN"/>
              </w:rPr>
              <w:t>伊春市</w:t>
            </w:r>
            <w:r>
              <w:rPr>
                <w:rFonts w:hint="default" w:ascii="Times New Roman" w:hAnsi="Times New Roman" w:eastAsia="宋体" w:cs="Times New Roman"/>
                <w:color w:val="auto"/>
                <w:highlight w:val="none"/>
              </w:rPr>
              <w:t>“十四五”生态环境保护规划》要求。</w:t>
            </w:r>
          </w:p>
          <w:p w14:paraId="6F2B4BB2">
            <w:pPr>
              <w:keepNext w:val="0"/>
              <w:keepLines w:val="0"/>
              <w:pageBreakBefore w:val="0"/>
              <w:kinsoku/>
              <w:wordWrap/>
              <w:overflowPunct/>
              <w:topLinePunct w:val="0"/>
              <w:autoSpaceDN/>
              <w:bidi w:val="0"/>
              <w:spacing w:line="360" w:lineRule="auto"/>
              <w:ind w:firstLine="422" w:firstLineChars="200"/>
              <w:jc w:val="left"/>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9、与《伊春市空气质量持续改善行动计划实施方案》符合性分析</w:t>
            </w:r>
          </w:p>
          <w:p w14:paraId="36055994">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文件指出：</w:t>
            </w:r>
          </w:p>
          <w:p w14:paraId="4BE0A7BB">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二、持续推进产业结构调整</w:t>
            </w:r>
          </w:p>
          <w:p w14:paraId="69BB266B">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严格环境准入要求。新改扩建项目严格落实产业规划：产业政策、生态环境分区管控、规划环评、项目环评、节能审查,以及产能置换、重点污染物总量控制、污染物排放区域削减、碳达峰等相关要求执行，原则上采用清洁运输方式。涉及产能置换的项目，被置换产能及其配套设施关停后,新建项目方能投产。坚决遏制“两高一低”项目盲目上马。</w:t>
            </w:r>
          </w:p>
          <w:p w14:paraId="0582A3A2">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严禁新增钢铁产能。严格执行国家、省钢铁产能置换办法，推行钢铁、焦化、烧结一体化布局，减少独立焦化、烧结、球团和热轧企业及工序，淘汰落后煤炭洗选产能；按国家、省要求引导推动高炉-转炉长流程炼钢转型为电炉短流程炼钢。</w:t>
            </w:r>
          </w:p>
          <w:p w14:paraId="23B9E602">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（二）加快重点行业落后产能淘汰退出。严格执行《产业结构调整指导目录》要求，加快引导将污染物或温室气体排放明显高出行业平均水平、能效以及清洁生产水平低的工艺及装备纳入淘汰类和限制类名单。</w:t>
            </w:r>
          </w:p>
          <w:p w14:paraId="409C4630">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五、持续加强面源污染治理</w:t>
            </w:r>
          </w:p>
          <w:p w14:paraId="6B8F997D">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一)深化扬尘污染综合治理。按照国家、省有关要求，全面推进绿色施工，严格执行“六个百分之百”将防治扬尘污染费用纳入工程造价。到2025年，装配式建筑占新建建筑面积的比例达到20%；市建成区道路机械化清扫率达80%左右，县城达70%左右。对城市公共裸地进行排查建档并采取防尘措施。</w:t>
            </w:r>
          </w:p>
          <w:p w14:paraId="5C48FAF3">
            <w:pPr>
              <w:pStyle w:val="63"/>
              <w:keepNext w:val="0"/>
              <w:keepLines w:val="0"/>
              <w:pageBreakBefore w:val="0"/>
              <w:kinsoku/>
              <w:wordWrap/>
              <w:overflowPunct/>
              <w:topLinePunct w:val="0"/>
              <w:autoSpaceDN/>
              <w:bidi w:val="0"/>
              <w:ind w:firstLine="420"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本项目属于蒸压加气混凝土砌块与板材</w:t>
            </w:r>
            <w:r>
              <w:rPr>
                <w:rFonts w:hint="default" w:ascii="Times New Roman" w:hAnsi="Times New Roman" w:eastAsia="宋体" w:cs="Times New Roman"/>
                <w:color w:val="auto"/>
                <w:highlight w:val="none"/>
                <w:lang w:eastAsia="zh-CN"/>
              </w:rPr>
              <w:t>生产项目</w:t>
            </w:r>
            <w:r>
              <w:rPr>
                <w:rFonts w:hint="default" w:ascii="Times New Roman" w:hAnsi="Times New Roman" w:eastAsia="宋体" w:cs="Times New Roman"/>
                <w:color w:val="auto"/>
                <w:highlight w:val="none"/>
              </w:rPr>
              <w:t>，不属于高耗能、高排放、低水平项目，不涉及钢铁、焦化、烧结等企业及工序，不涉及煤炭洗选，施工期施工现场设置围挡，使用商品混凝土，粉性物料封闭存放，施工场地适时洒水降尘等措施来减轻施工扬尘，符合《伊春市空气质量持续改善行动计划实施方案》中相关要求。</w:t>
            </w:r>
          </w:p>
          <w:p w14:paraId="00A80707">
            <w:pPr>
              <w:keepNext w:val="0"/>
              <w:keepLines w:val="0"/>
              <w:pageBreakBefore w:val="0"/>
              <w:kinsoku/>
              <w:wordWrap/>
              <w:overflowPunct/>
              <w:topLinePunct w:val="0"/>
              <w:autoSpaceDN/>
              <w:bidi w:val="0"/>
              <w:spacing w:line="360" w:lineRule="auto"/>
              <w:ind w:firstLine="422" w:firstLineChars="200"/>
              <w:jc w:val="left"/>
              <w:textAlignment w:val="auto"/>
              <w:rPr>
                <w:rFonts w:hint="default"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10、</w:t>
            </w:r>
            <w:r>
              <w:rPr>
                <w:rFonts w:hint="default" w:ascii="Times New Roman" w:hAnsi="Times New Roman" w:eastAsia="宋体" w:cs="Times New Roman"/>
                <w:b/>
                <w:bCs/>
                <w:color w:val="auto"/>
                <w:highlight w:val="none"/>
                <w:lang w:val="en-US" w:eastAsia="zh-CN"/>
              </w:rPr>
              <w:t>与《固体废物综合治理行动计划》符合性分析</w:t>
            </w:r>
          </w:p>
          <w:p w14:paraId="7151E119">
            <w:pPr>
              <w:pStyle w:val="63"/>
              <w:keepNext w:val="0"/>
              <w:keepLines w:val="0"/>
              <w:pageBreakBefore w:val="0"/>
              <w:kinsoku/>
              <w:wordWrap/>
              <w:overflowPunct/>
              <w:topLinePunct w:val="0"/>
              <w:autoSpaceDN/>
              <w:bidi w:val="0"/>
              <w:ind w:firstLine="420"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《固体废物综合治理行动计划》</w:t>
            </w:r>
            <w:r>
              <w:rPr>
                <w:rFonts w:hint="eastAsia" w:cs="Times New Roman"/>
                <w:color w:val="auto"/>
                <w:highlight w:val="none"/>
                <w:lang w:eastAsia="zh-CN"/>
              </w:rPr>
              <w:t>文件内容：</w:t>
            </w:r>
            <w:r>
              <w:rPr>
                <w:rFonts w:hint="default" w:ascii="Times New Roman" w:hAnsi="Times New Roman" w:eastAsia="宋体" w:cs="Times New Roman"/>
                <w:color w:val="auto"/>
                <w:highlight w:val="none"/>
              </w:rPr>
              <w:t>（一）指导思想</w:t>
            </w:r>
            <w:r>
              <w:rPr>
                <w:rFonts w:hint="eastAsia" w:cs="Times New Roman"/>
                <w:color w:val="auto"/>
                <w:highlight w:val="none"/>
                <w:lang w:val="en-US" w:eastAsia="zh-CN"/>
              </w:rPr>
              <w:t xml:space="preserve">  </w:t>
            </w:r>
            <w:r>
              <w:rPr>
                <w:rFonts w:hint="default" w:ascii="Times New Roman" w:hAnsi="Times New Roman" w:eastAsia="宋体" w:cs="Times New Roman"/>
                <w:color w:val="auto"/>
                <w:highlight w:val="none"/>
              </w:rPr>
              <w:t>以习近平新时代中国特色社会主义思想为指导，深入贯彻党的二十大和二十届历次全会精神，完整、准确、全面贯彻新发展理念，构建新发展格局，牢固树立和践行绿水青山就是金山银山的理念，坚持减量化、资源化、无害化“三化”原则，聚焦固体废物治理突出问题，坚持系统推进、重点攻坚、闭环管理、长效管控，加快补齐治理短板弱项，健全源头减量、过程管控、末端利用、无害化处置的综合治理体系，全面提升固体废物治理能力和治理水平。（二）工作原则</w:t>
            </w:r>
            <w:r>
              <w:rPr>
                <w:rFonts w:hint="eastAsia" w:cs="Times New Roman"/>
                <w:color w:val="auto"/>
                <w:highlight w:val="none"/>
                <w:lang w:val="en-US" w:eastAsia="zh-CN"/>
              </w:rPr>
              <w:t xml:space="preserve">  </w:t>
            </w:r>
            <w:r>
              <w:rPr>
                <w:rFonts w:hint="default" w:ascii="Times New Roman" w:hAnsi="Times New Roman" w:eastAsia="宋体" w:cs="Times New Roman"/>
                <w:color w:val="auto"/>
                <w:highlight w:val="none"/>
              </w:rPr>
              <w:t>坚持源头减量，严控增量：从生产、流通、消费各环节发力，强化绿色设计、绿色生产、绿色消费，从根本上降低固体废物产生强度。坚持分类管控，精准施策：区分工业、城镇、农业、危险废物等不同类型固体废物，针对性制定治理措施，实现分类收集、规范转运、高效利用、安全处置。坚持系统治理，闭环管理：统筹固体废物产生、收集、贮存、转运、利用、处置全流程，构建上下联动、部门协同、区域统筹、社会参与的治理格局。坚持依法监管，从严施治：完善法规标准体系，强化执法督察，严厉打击违法违规行为，压实各方治理责任。（三）提升资源化利用水平，发展循环经济</w:t>
            </w:r>
            <w:r>
              <w:rPr>
                <w:rFonts w:hint="eastAsia" w:cs="Times New Roman"/>
                <w:color w:val="auto"/>
                <w:highlight w:val="none"/>
                <w:lang w:val="en-US" w:eastAsia="zh-CN"/>
              </w:rPr>
              <w:t xml:space="preserve"> </w:t>
            </w:r>
            <w:r>
              <w:rPr>
                <w:rFonts w:hint="default" w:ascii="Times New Roman" w:hAnsi="Times New Roman" w:eastAsia="宋体" w:cs="Times New Roman"/>
                <w:color w:val="auto"/>
                <w:highlight w:val="none"/>
              </w:rPr>
              <w:t>1.强化大宗固体废物综合利用</w:t>
            </w:r>
            <w:r>
              <w:rPr>
                <w:rFonts w:hint="eastAsia" w:cs="Times New Roman"/>
                <w:color w:val="auto"/>
                <w:highlight w:val="none"/>
                <w:lang w:val="en-US" w:eastAsia="zh-CN"/>
              </w:rPr>
              <w:t xml:space="preserve">  </w:t>
            </w:r>
            <w:r>
              <w:rPr>
                <w:rFonts w:hint="default" w:ascii="Times New Roman" w:hAnsi="Times New Roman" w:eastAsia="宋体" w:cs="Times New Roman"/>
                <w:color w:val="auto"/>
                <w:highlight w:val="none"/>
              </w:rPr>
              <w:t>聚焦冶炼渣、尾矿、赤泥、煤矸石、建筑垃圾等大宗固废，加大综合利用技术攻关和项目建设，拓宽资源化利用途径，提升规模化、高值化利用水平。科学推进秸秆还田、饲料化、基料化利用，全面提升畜禽养殖废弃物资源化利用率。</w:t>
            </w:r>
          </w:p>
          <w:p w14:paraId="40370047">
            <w:pPr>
              <w:pStyle w:val="63"/>
              <w:keepNext w:val="0"/>
              <w:keepLines w:val="0"/>
              <w:pageBreakBefore w:val="0"/>
              <w:kinsoku/>
              <w:wordWrap/>
              <w:overflowPunct/>
              <w:topLinePunct w:val="0"/>
              <w:autoSpaceDN/>
              <w:bidi w:val="0"/>
              <w:ind w:firstLine="420" w:firstLineChars="200"/>
              <w:jc w:val="both"/>
              <w:textAlignment w:val="auto"/>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本项目产品原料主要为粉煤灰、石膏、砂、水泥、铝粉膏等，其中粉煤灰及石膏均属于固体废物回用，极大地提高了废弃物资源利用率。本项目建设符合</w:t>
            </w:r>
            <w:r>
              <w:rPr>
                <w:rFonts w:hint="default" w:ascii="Times New Roman" w:hAnsi="Times New Roman" w:eastAsia="宋体" w:cs="Times New Roman"/>
                <w:color w:val="auto"/>
                <w:highlight w:val="none"/>
              </w:rPr>
              <w:t>《固体废物综合治理行动计划》</w:t>
            </w:r>
            <w:r>
              <w:rPr>
                <w:rFonts w:hint="eastAsia" w:ascii="Times New Roman" w:hAnsi="Times New Roman" w:eastAsia="宋体" w:cs="Times New Roman"/>
                <w:color w:val="auto"/>
                <w:highlight w:val="none"/>
                <w:lang w:eastAsia="zh-CN"/>
              </w:rPr>
              <w:t>相关要求。</w:t>
            </w:r>
          </w:p>
          <w:p w14:paraId="5142BFA0">
            <w:pPr>
              <w:pStyle w:val="63"/>
              <w:keepNext w:val="0"/>
              <w:keepLines w:val="0"/>
              <w:pageBreakBefore w:val="0"/>
              <w:kinsoku/>
              <w:wordWrap/>
              <w:overflowPunct/>
              <w:topLinePunct w:val="0"/>
              <w:autoSpaceDN/>
              <w:bidi w:val="0"/>
              <w:ind w:firstLine="422" w:firstLineChars="200"/>
              <w:jc w:val="both"/>
              <w:textAlignment w:val="auto"/>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11、</w:t>
            </w:r>
            <w:r>
              <w:rPr>
                <w:rFonts w:hint="default" w:ascii="Times New Roman" w:hAnsi="Times New Roman" w:eastAsia="宋体" w:cs="Times New Roman"/>
                <w:b/>
                <w:bCs/>
                <w:color w:val="auto"/>
                <w:highlight w:val="none"/>
                <w:lang w:val="en-US" w:eastAsia="zh-CN"/>
              </w:rPr>
              <w:t>与《黑龙江省固体废物污染环境防治条例》符合性分析</w:t>
            </w:r>
          </w:p>
          <w:p w14:paraId="22A1EE85">
            <w:pPr>
              <w:pStyle w:val="63"/>
              <w:keepNext w:val="0"/>
              <w:keepLines w:val="0"/>
              <w:pageBreakBefore w:val="0"/>
              <w:kinsoku/>
              <w:wordWrap/>
              <w:overflowPunct/>
              <w:topLinePunct w:val="0"/>
              <w:autoSpaceDN/>
              <w:bidi w:val="0"/>
              <w:ind w:firstLine="420"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《黑龙江省固体废物污染环境防治条例》</w:t>
            </w:r>
            <w:r>
              <w:rPr>
                <w:rFonts w:hint="eastAsia" w:cs="Times New Roman"/>
                <w:color w:val="auto"/>
                <w:highlight w:val="none"/>
                <w:lang w:eastAsia="zh-CN"/>
              </w:rPr>
              <w:t>：</w:t>
            </w:r>
            <w:r>
              <w:rPr>
                <w:rFonts w:hint="default" w:ascii="Times New Roman" w:hAnsi="Times New Roman" w:eastAsia="宋体" w:cs="Times New Roman"/>
                <w:color w:val="auto"/>
                <w:highlight w:val="none"/>
              </w:rPr>
              <w:t>第五条（无废城市、绿色低碳、循环经济）推进清洁生产、循环经济、无废城市，鼓励固废综合利用，减污降碳协同 。第十七条（工业固废综合利用、先进工艺推广）工信部门推广先进工艺、装备、综合利用技术；支持粉煤灰、煤矸石、尾矿等用于建材生产 。第二十三条（尾矿/粉煤灰综合利用、防止二次污染）利用尾矿、粉煤灰等生产建材的单位，须采取措施防止二次污染 。第二十五条、第二十六条（危险废物数字化管控、台账与管理计划）危废产生单位推行电子台账、二维码追溯；制定危废管理计划并备案 。</w:t>
            </w:r>
          </w:p>
          <w:p w14:paraId="4691B837">
            <w:pPr>
              <w:pStyle w:val="63"/>
              <w:keepNext w:val="0"/>
              <w:keepLines w:val="0"/>
              <w:pageBreakBefore w:val="0"/>
              <w:kinsoku/>
              <w:wordWrap/>
              <w:overflowPunct/>
              <w:topLinePunct w:val="0"/>
              <w:autoSpaceDN/>
              <w:bidi w:val="0"/>
              <w:ind w:firstLine="420" w:firstLineChars="200"/>
              <w:jc w:val="both"/>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本项目为蒸压加气混凝土板材</w:t>
            </w:r>
            <w:r>
              <w:rPr>
                <w:rFonts w:hint="eastAsia" w:cs="Times New Roman"/>
                <w:color w:val="auto"/>
                <w:highlight w:val="none"/>
                <w:lang w:eastAsia="zh-CN"/>
              </w:rPr>
              <w:t>及砌块</w:t>
            </w:r>
            <w:r>
              <w:rPr>
                <w:rFonts w:hint="default" w:ascii="Times New Roman" w:hAnsi="Times New Roman" w:eastAsia="宋体" w:cs="Times New Roman"/>
                <w:color w:val="auto"/>
                <w:highlight w:val="none"/>
              </w:rPr>
              <w:t>生产项目，采用国内先进自动化蒸压养护工艺，属清洁生产技术</w:t>
            </w:r>
            <w:r>
              <w:rPr>
                <w:rFonts w:hint="eastAsia" w:cs="Times New Roman"/>
                <w:color w:val="auto"/>
                <w:highlight w:val="none"/>
                <w:lang w:eastAsia="zh-CN"/>
              </w:rPr>
              <w:t>，</w:t>
            </w:r>
            <w:r>
              <w:rPr>
                <w:rFonts w:hint="default" w:ascii="Times New Roman" w:hAnsi="Times New Roman" w:eastAsia="宋体" w:cs="Times New Roman"/>
                <w:color w:val="auto"/>
                <w:highlight w:val="none"/>
              </w:rPr>
              <w:t>年消纳粉煤灰/尾矿等工业固废，符合“大宗固废建材化利用”方向；采用加压蒸汽养护（蒸压）工艺，为国内先进、成熟的利废建材生产工艺</w:t>
            </w:r>
            <w:r>
              <w:rPr>
                <w:rFonts w:hint="eastAsia" w:cs="Times New Roman"/>
                <w:color w:val="auto"/>
                <w:highlight w:val="none"/>
                <w:lang w:eastAsia="zh-CN"/>
              </w:rPr>
              <w:t>，</w:t>
            </w:r>
            <w:r>
              <w:rPr>
                <w:rFonts w:hint="default" w:ascii="Times New Roman" w:hAnsi="Times New Roman" w:eastAsia="宋体" w:cs="Times New Roman"/>
                <w:color w:val="auto"/>
                <w:highlight w:val="none"/>
              </w:rPr>
              <w:t>原料以粉煤灰为主，属于条例明确鼓励的工业固废利用方向</w:t>
            </w:r>
            <w:r>
              <w:rPr>
                <w:rFonts w:hint="eastAsia" w:cs="Times New Roman"/>
                <w:color w:val="auto"/>
                <w:highlight w:val="none"/>
                <w:lang w:eastAsia="zh-CN"/>
              </w:rPr>
              <w:t>，</w:t>
            </w:r>
            <w:r>
              <w:rPr>
                <w:rFonts w:hint="default" w:ascii="Times New Roman" w:hAnsi="Times New Roman" w:eastAsia="宋体" w:cs="Times New Roman"/>
                <w:color w:val="auto"/>
                <w:highlight w:val="none"/>
              </w:rPr>
              <w:t>无淘汰类工艺、设备，不属于落后产能。粉煤灰、尾矿等原料封闭贮存、密闭输送，设抑尘/除尘设施，防扬散</w:t>
            </w:r>
            <w:r>
              <w:rPr>
                <w:rFonts w:hint="eastAsia" w:cs="Times New Roman"/>
                <w:color w:val="auto"/>
                <w:highlight w:val="none"/>
                <w:lang w:eastAsia="zh-CN"/>
              </w:rPr>
              <w:t>。</w:t>
            </w:r>
            <w:r>
              <w:rPr>
                <w:rFonts w:hint="default" w:ascii="Times New Roman" w:hAnsi="Times New Roman" w:eastAsia="宋体" w:cs="Times New Roman"/>
                <w:color w:val="auto"/>
                <w:highlight w:val="none"/>
              </w:rPr>
              <w:t>符合《黑龙江省固体废物污染环境防治条例》</w:t>
            </w:r>
            <w:r>
              <w:rPr>
                <w:rFonts w:hint="eastAsia" w:cs="Times New Roman"/>
                <w:color w:val="auto"/>
                <w:highlight w:val="none"/>
                <w:lang w:eastAsia="zh-CN"/>
              </w:rPr>
              <w:t>中的相关</w:t>
            </w:r>
            <w:r>
              <w:rPr>
                <w:rFonts w:hint="default" w:ascii="Times New Roman" w:hAnsi="Times New Roman" w:eastAsia="宋体" w:cs="Times New Roman"/>
                <w:color w:val="auto"/>
                <w:highlight w:val="none"/>
              </w:rPr>
              <w:t>要求 。</w:t>
            </w:r>
          </w:p>
          <w:p w14:paraId="1E94C32E">
            <w:pPr>
              <w:pStyle w:val="63"/>
              <w:keepNext w:val="0"/>
              <w:keepLines w:val="0"/>
              <w:pageBreakBefore w:val="0"/>
              <w:numPr>
                <w:ilvl w:val="0"/>
                <w:numId w:val="3"/>
              </w:numPr>
              <w:kinsoku/>
              <w:wordWrap/>
              <w:overflowPunct/>
              <w:topLinePunct w:val="0"/>
              <w:autoSpaceDN/>
              <w:bidi w:val="0"/>
              <w:ind w:firstLine="422" w:firstLineChars="200"/>
              <w:jc w:val="both"/>
              <w:textAlignment w:val="auto"/>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与《黑龙江省伊春市城</w:t>
            </w:r>
            <w:r>
              <w:rPr>
                <w:rFonts w:hint="eastAsia" w:cs="Times New Roman"/>
                <w:b/>
                <w:bCs/>
                <w:color w:val="auto"/>
                <w:highlight w:val="none"/>
                <w:lang w:val="en-US" w:eastAsia="zh-CN"/>
              </w:rPr>
              <w:t>乡</w:t>
            </w:r>
            <w:r>
              <w:rPr>
                <w:rFonts w:hint="eastAsia" w:ascii="Times New Roman" w:hAnsi="Times New Roman" w:eastAsia="宋体" w:cs="Times New Roman"/>
                <w:b/>
                <w:bCs/>
                <w:color w:val="auto"/>
                <w:highlight w:val="none"/>
                <w:lang w:val="en-US" w:eastAsia="zh-CN"/>
              </w:rPr>
              <w:t>固体废物分类治理专项规划》（2019-2035年）（2024年修订版）》规划环评及批复的符合性分析</w:t>
            </w:r>
          </w:p>
          <w:p w14:paraId="4F94A8CB">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r>
              <w:rPr>
                <w:rFonts w:hint="eastAsia"/>
                <w:color w:val="auto"/>
                <w:kern w:val="21"/>
                <w:sz w:val="21"/>
                <w:szCs w:val="21"/>
                <w:highlight w:val="none"/>
                <w:lang w:val="en-US" w:eastAsia="zh-CN"/>
              </w:rPr>
              <w:t>《黑龙江省伊春市城乡固体废物分类治理专项规划（2019-2035年)（2024年修订版）》七、一般工业固体废物治理设施专项规划中描述：2020年伊春市一般工业固体废物产生量1172.34万吨，其中，综合利用量309.53万吨，综合利用率为26.4%，处置量为22.14万吨，贮存量为840.67万吨。</w:t>
            </w:r>
            <w:r>
              <w:rPr>
                <w:rFonts w:hint="eastAsia"/>
                <w:color w:val="auto"/>
                <w:highlight w:val="none"/>
              </w:rPr>
              <w:t>根据伊春地区实际情况，本规划不规划政府主导的般工业固体废物综合利用项目，鼓励相关企业进入一般工业固废资源化利用市场，建设一般工业固体废物循环回收资源再利用和综合利用处理项目</w:t>
            </w:r>
            <w:r>
              <w:rPr>
                <w:rFonts w:hint="eastAsia"/>
                <w:color w:val="auto"/>
                <w:highlight w:val="none"/>
                <w:lang w:eastAsia="zh-CN"/>
              </w:rPr>
              <w:t>。</w:t>
            </w:r>
            <w:r>
              <w:rPr>
                <w:rFonts w:hint="eastAsia"/>
                <w:color w:val="auto"/>
                <w:highlight w:val="none"/>
                <w:lang w:val="en-US" w:eastAsia="zh-CN"/>
              </w:rPr>
              <w:t>根据</w:t>
            </w:r>
            <w:r>
              <w:rPr>
                <w:rFonts w:hint="eastAsia"/>
                <w:color w:val="auto"/>
                <w:kern w:val="21"/>
                <w:sz w:val="21"/>
                <w:szCs w:val="21"/>
                <w:highlight w:val="none"/>
                <w:lang w:val="en-US" w:eastAsia="zh-CN"/>
              </w:rPr>
              <w:t>《黑龙江省伊春市城乡固体废物分类治理专项规划（2019-2035年)（2024年修订版）》中“4.2.1一般工业固体废弃物治理原则 ，1各企业应进行清洁生产，在源头减少一般工业固体废物产生量。产废企业应从源头采取技术措施解决，减少一般工业固体废物集中综合利用设施处理量，如采取尾矿填充、煤矸石治理采空区、复垦造田等综合利用技术措施。2.以资源化利用为主，优先考虑纳入静脉产业园，综合利用建材类产品辐射半径不超过300km。一般工业固体废物应优先采用资源化循环利用治理方案，进行循环回收资源再利用和综合利用处理，达到综合利用目标要求。其余进行分类处置，达到环保标准要求。尾矿在产生地和聚集地建设综合利用基地，大规模企业可在企业内或运至综合利用企业进行综合利用，其它再生资源按类别输送至区域内静脉产业园区进行综合利用。引入技术和建设大规模综合利用的企业，综合利用项目前期以引进尾矿、煤矸石制做透水砖、砂浆、建筑砂石骨料、机制砂、水泥、烧结砖等为主，粉煤灰制水泥掺合料、土壤调理剂、水泥、烧结砖等为主，高净值项目消纳量小，采用大规模消纳项目先行，高净值项目作为二期建设。中远期布局高值化项目，如去微晶玻璃、岩棉、陶瓷、滤料等。一般工业固体废物综合利用产品与建筑垃圾综合利用产品相同的可运送至建筑垃圾综合利用设施统一处理；废旧家电、报废汽车、电子废物、废旧轮胎、废塑料应进入静脉产业园资源化再生利用。3.跨区域统筹建设资源化利用项目，以园区、基地为载体，综合利用产业集聚模式发展，多种固废协同利用。4.以产业布局，人口、距离以及资源化利用项目统筹设置。5. 工业固体废物资源综合利用产业需规范化、绿色化、规模化发展。开展工业固体废物资源综合利用评价，建立科学规范的工业固体废物资源综合利用评价制度，加强公共服务和事中事后监管，落实国家资源综合利用相关优惠政策、营造良好市场环境、提高企业开展资源综合利用的积极性“。</w:t>
            </w:r>
          </w:p>
          <w:p w14:paraId="2F781A47">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r>
              <w:rPr>
                <w:rFonts w:hint="eastAsia"/>
                <w:color w:val="auto"/>
                <w:kern w:val="21"/>
                <w:sz w:val="21"/>
                <w:szCs w:val="21"/>
                <w:highlight w:val="none"/>
                <w:lang w:val="en-US" w:eastAsia="zh-CN"/>
              </w:rPr>
              <w:t>本项目利用粉煤灰、石膏等物质为原料进行生产蒸压加气混凝土砌砖和板材，属于资源综合利用。符合《黑龙江省伊春市城乡固体废物分类治理专项规划（2019-2035年)（2024 年修订版）》中的相关内容。</w:t>
            </w:r>
          </w:p>
          <w:p w14:paraId="2AEC097F">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5988A7B6">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287ABC97">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1C7113A9">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08CAA4EB">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125C7667">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305B390A">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79F47846">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4ED93D51">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713A3DAB">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4C1732D5">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04F8E03C">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7A6C3D71">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56468F50">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411A9F8F">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2D5AE6E6">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547781A6">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60D965BC">
            <w:pPr>
              <w:pStyle w:val="63"/>
              <w:keepNext w:val="0"/>
              <w:keepLines w:val="0"/>
              <w:pageBreakBefore w:val="0"/>
              <w:widowControl w:val="0"/>
              <w:numPr>
                <w:ilvl w:val="0"/>
                <w:numId w:val="0"/>
              </w:numPr>
              <w:kinsoku/>
              <w:wordWrap/>
              <w:overflowPunct/>
              <w:topLinePunct w:val="0"/>
              <w:autoSpaceDE/>
              <w:autoSpaceDN/>
              <w:bidi w:val="0"/>
              <w:ind w:firstLine="420" w:firstLineChars="200"/>
              <w:jc w:val="both"/>
              <w:textAlignment w:val="auto"/>
              <w:rPr>
                <w:rFonts w:hint="eastAsia"/>
                <w:color w:val="auto"/>
                <w:kern w:val="21"/>
                <w:sz w:val="21"/>
                <w:szCs w:val="21"/>
                <w:highlight w:val="none"/>
                <w:lang w:val="en-US" w:eastAsia="zh-CN"/>
              </w:rPr>
            </w:pPr>
          </w:p>
          <w:p w14:paraId="028B82C5">
            <w:pPr>
              <w:pStyle w:val="63"/>
              <w:keepNext w:val="0"/>
              <w:keepLines w:val="0"/>
              <w:pageBreakBefore w:val="0"/>
              <w:widowControl w:val="0"/>
              <w:numPr>
                <w:ilvl w:val="0"/>
                <w:numId w:val="0"/>
              </w:numPr>
              <w:kinsoku/>
              <w:wordWrap/>
              <w:overflowPunct/>
              <w:topLinePunct w:val="0"/>
              <w:autoSpaceDE/>
              <w:autoSpaceDN/>
              <w:bidi w:val="0"/>
              <w:jc w:val="both"/>
              <w:textAlignment w:val="auto"/>
              <w:rPr>
                <w:rFonts w:hint="default"/>
                <w:color w:val="auto"/>
                <w:kern w:val="21"/>
                <w:sz w:val="21"/>
                <w:szCs w:val="21"/>
                <w:highlight w:val="none"/>
                <w:lang w:val="en-US" w:eastAsia="zh-CN"/>
              </w:rPr>
            </w:pPr>
          </w:p>
        </w:tc>
      </w:tr>
    </w:tbl>
    <w:p w14:paraId="7FE0C614">
      <w:pPr>
        <w:spacing w:line="360" w:lineRule="auto"/>
        <w:outlineLvl w:val="0"/>
        <w:rPr>
          <w:rFonts w:hint="default" w:ascii="Times New Roman" w:hAnsi="Times New Roman" w:eastAsia="黑体" w:cs="Times New Roman"/>
          <w:color w:val="auto"/>
          <w:sz w:val="30"/>
          <w:highlight w:val="none"/>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2335EFC0">
      <w:pPr>
        <w:pStyle w:val="3"/>
        <w:bidi w:val="0"/>
        <w:jc w:val="center"/>
        <w:rPr>
          <w:rFonts w:hint="default" w:ascii="Times New Roman" w:hAnsi="Times New Roman" w:cs="Times New Roman"/>
          <w:color w:val="auto"/>
          <w:highlight w:val="none"/>
        </w:rPr>
      </w:pPr>
      <w:bookmarkStart w:id="3" w:name="_Toc2044"/>
      <w:r>
        <w:rPr>
          <w:rFonts w:hint="default" w:ascii="Times New Roman" w:hAnsi="Times New Roman" w:cs="Times New Roman"/>
          <w:color w:val="auto"/>
          <w:highlight w:val="none"/>
        </w:rPr>
        <w:t>二、建设项目工程分析</w:t>
      </w:r>
      <w:bookmarkEnd w:id="3"/>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2AAEEA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58" w:hRule="atLeast"/>
          <w:jc w:val="center"/>
        </w:trPr>
        <w:tc>
          <w:tcPr>
            <w:tcW w:w="823" w:type="dxa"/>
            <w:vAlign w:val="center"/>
          </w:tcPr>
          <w:p w14:paraId="4FE753B7">
            <w:pPr>
              <w:pStyle w:val="27"/>
              <w:adjustRightInd w:val="0"/>
              <w:snapToGrid w:val="0"/>
              <w:spacing w:before="0" w:beforeAutospacing="0" w:after="0" w:afterAutospacing="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建设内容</w:t>
            </w:r>
          </w:p>
        </w:tc>
        <w:tc>
          <w:tcPr>
            <w:tcW w:w="8161" w:type="dxa"/>
          </w:tcPr>
          <w:p w14:paraId="24EAFCE6">
            <w:pPr>
              <w:widowControl/>
              <w:spacing w:line="360" w:lineRule="auto"/>
              <w:ind w:firstLine="422" w:firstLineChars="200"/>
              <w:rPr>
                <w:rFonts w:hint="default" w:ascii="Times New Roman" w:hAnsi="Times New Roman" w:cs="Times New Roman"/>
                <w:b/>
                <w:bCs/>
                <w:color w:val="auto"/>
                <w:kern w:val="0"/>
                <w:szCs w:val="21"/>
                <w:highlight w:val="none"/>
                <w:lang w:bidi="ar"/>
              </w:rPr>
            </w:pPr>
            <w:r>
              <w:rPr>
                <w:rFonts w:hint="default" w:ascii="Times New Roman" w:hAnsi="Times New Roman" w:cs="Times New Roman"/>
                <w:b/>
                <w:bCs/>
                <w:color w:val="auto"/>
                <w:kern w:val="0"/>
                <w:szCs w:val="21"/>
                <w:highlight w:val="none"/>
                <w:lang w:bidi="ar"/>
              </w:rPr>
              <w:t>1.建设内容</w:t>
            </w:r>
          </w:p>
          <w:p w14:paraId="0D582887">
            <w:pPr>
              <w:widowControl/>
              <w:spacing w:line="360" w:lineRule="auto"/>
              <w:ind w:firstLine="420" w:firstLineChars="200"/>
              <w:rPr>
                <w:rFonts w:hint="default" w:ascii="Times New Roman" w:hAnsi="Times New Roman" w:cs="Times New Roman"/>
                <w:color w:val="auto"/>
                <w:szCs w:val="21"/>
                <w:highlight w:val="none"/>
              </w:rPr>
            </w:pPr>
            <w:r>
              <w:rPr>
                <w:rFonts w:hint="eastAsia" w:cs="Times New Roman"/>
                <w:color w:val="auto"/>
                <w:highlight w:val="none"/>
                <w:lang w:val="en-US" w:eastAsia="zh-CN"/>
              </w:rPr>
              <w:t>本项目利用园区内原有厂房进行建设，</w:t>
            </w:r>
            <w:r>
              <w:rPr>
                <w:rFonts w:hint="default" w:ascii="Times New Roman" w:hAnsi="Times New Roman" w:cs="Times New Roman"/>
                <w:color w:val="auto"/>
                <w:highlight w:val="none"/>
              </w:rPr>
              <w:t>项目占地面积</w:t>
            </w:r>
            <w:r>
              <w:rPr>
                <w:rFonts w:hint="default" w:ascii="Times New Roman" w:hAnsi="Times New Roman" w:cs="Times New Roman"/>
                <w:color w:val="auto"/>
                <w:highlight w:val="none"/>
                <w:lang w:val="en-US" w:eastAsia="zh-CN"/>
              </w:rPr>
              <w:t>为</w:t>
            </w:r>
            <w:r>
              <w:rPr>
                <w:rFonts w:hint="default" w:ascii="Times New Roman" w:hAnsi="Times New Roman" w:cs="Times New Roman"/>
                <w:color w:val="auto"/>
                <w:highlight w:val="none"/>
                <w:lang w:eastAsia="zh"/>
              </w:rPr>
              <w:t>50</w:t>
            </w:r>
            <w:r>
              <w:rPr>
                <w:rFonts w:hint="eastAsia" w:cs="Times New Roman"/>
                <w:color w:val="auto"/>
                <w:highlight w:val="none"/>
                <w:lang w:val="en-US" w:eastAsia="zh-CN"/>
              </w:rPr>
              <w:t>000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，总建筑面积</w:t>
            </w:r>
            <w:r>
              <w:rPr>
                <w:rFonts w:hint="default" w:ascii="Times New Roman" w:hAnsi="Times New Roman" w:cs="Times New Roman"/>
                <w:color w:val="auto"/>
                <w:highlight w:val="none"/>
                <w:lang w:val="en-US" w:eastAsia="zh-CN"/>
              </w:rPr>
              <w:t>为</w:t>
            </w:r>
            <w:r>
              <w:rPr>
                <w:rFonts w:hint="default" w:ascii="Times New Roman" w:hAnsi="Times New Roman" w:cs="Times New Roman"/>
                <w:color w:val="auto"/>
                <w:highlight w:val="none"/>
                <w:lang w:eastAsia="zh"/>
              </w:rPr>
              <w:t>2063</w:t>
            </w:r>
            <w:r>
              <w:rPr>
                <w:rFonts w:hint="default" w:ascii="Times New Roman" w:hAnsi="Times New Roman" w:cs="Times New Roman"/>
                <w:color w:val="auto"/>
                <w:highlight w:val="none"/>
                <w:lang w:val="en-US" w:eastAsia="zh-CN"/>
              </w:rPr>
              <w:t>5.66m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项目主要建设5栋建筑，1#、2#建筑为钢结构生产厂房，3#为库房，4#为办公及配套用房，5#为展示厅及办公室。项目</w:t>
            </w:r>
            <w:r>
              <w:rPr>
                <w:rFonts w:hint="default" w:ascii="Times New Roman" w:hAnsi="Times New Roman" w:cs="Times New Roman"/>
                <w:color w:val="auto"/>
                <w:highlight w:val="none"/>
                <w:lang w:eastAsia="zh"/>
              </w:rPr>
              <w:t>年</w:t>
            </w:r>
            <w:r>
              <w:rPr>
                <w:rFonts w:hint="default" w:ascii="Times New Roman" w:hAnsi="Times New Roman" w:cs="Times New Roman"/>
                <w:color w:val="auto"/>
                <w:highlight w:val="none"/>
                <w:lang w:val="en-US" w:eastAsia="zh-CN"/>
              </w:rPr>
              <w:t>生</w:t>
            </w:r>
            <w:r>
              <w:rPr>
                <w:rFonts w:hint="default" w:ascii="Times New Roman" w:hAnsi="Times New Roman" w:cs="Times New Roman"/>
                <w:color w:val="auto"/>
                <w:highlight w:val="none"/>
                <w:lang w:eastAsia="zh"/>
              </w:rPr>
              <w:t>产</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
              </w:rPr>
              <w:t>0万立方米蒸压加气混凝土砌块与</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
              </w:rPr>
              <w:t>0万立方米蒸压加气混凝土板材（ALC板）</w:t>
            </w:r>
            <w:r>
              <w:rPr>
                <w:rFonts w:hint="default" w:ascii="Times New Roman" w:hAnsi="Times New Roman" w:cs="Times New Roman"/>
                <w:color w:val="auto"/>
                <w:highlight w:val="none"/>
              </w:rPr>
              <w:t>。</w:t>
            </w:r>
            <w:r>
              <w:rPr>
                <w:rFonts w:hint="default" w:ascii="Times New Roman" w:hAnsi="Times New Roman" w:cs="Times New Roman"/>
                <w:color w:val="auto"/>
                <w:szCs w:val="21"/>
                <w:highlight w:val="none"/>
              </w:rPr>
              <w:t>本项目主要建设内容见表2-1。</w:t>
            </w:r>
          </w:p>
          <w:p w14:paraId="6608A6C3">
            <w:pPr>
              <w:autoSpaceDE w:val="0"/>
              <w:autoSpaceDN w:val="0"/>
              <w:adjustRightInd w:val="0"/>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表2-1  建设项目组成一览表</w:t>
            </w:r>
          </w:p>
          <w:tbl>
            <w:tblPr>
              <w:tblStyle w:val="32"/>
              <w:tblW w:w="7879"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664"/>
              <w:gridCol w:w="1024"/>
              <w:gridCol w:w="5224"/>
              <w:gridCol w:w="967"/>
            </w:tblGrid>
            <w:tr w14:paraId="4E21B70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64" w:type="dxa"/>
                  <w:vAlign w:val="center"/>
                </w:tcPr>
                <w:p w14:paraId="31F18B45">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工程组成</w:t>
                  </w:r>
                </w:p>
              </w:tc>
              <w:tc>
                <w:tcPr>
                  <w:tcW w:w="1024" w:type="dxa"/>
                  <w:vAlign w:val="center"/>
                </w:tcPr>
                <w:p w14:paraId="3213038A">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5224" w:type="dxa"/>
                  <w:vAlign w:val="center"/>
                </w:tcPr>
                <w:p w14:paraId="3C5848C6">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工程内容</w:t>
                  </w:r>
                </w:p>
              </w:tc>
              <w:tc>
                <w:tcPr>
                  <w:tcW w:w="967" w:type="dxa"/>
                  <w:vAlign w:val="center"/>
                </w:tcPr>
                <w:p w14:paraId="455578CC">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备注</w:t>
                  </w:r>
                </w:p>
              </w:tc>
            </w:tr>
            <w:tr w14:paraId="2A0A98E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402" w:hRule="atLeast"/>
                <w:jc w:val="center"/>
              </w:trPr>
              <w:tc>
                <w:tcPr>
                  <w:tcW w:w="664" w:type="dxa"/>
                  <w:vMerge w:val="restart"/>
                  <w:vAlign w:val="center"/>
                </w:tcPr>
                <w:p w14:paraId="1DD36646">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主体</w:t>
                  </w:r>
                </w:p>
                <w:p w14:paraId="1A93D265">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工程</w:t>
                  </w:r>
                </w:p>
              </w:tc>
              <w:tc>
                <w:tcPr>
                  <w:tcW w:w="1024" w:type="dxa"/>
                  <w:vAlign w:val="center"/>
                </w:tcPr>
                <w:p w14:paraId="3197C85D">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1#生产</w:t>
                  </w:r>
                </w:p>
                <w:p w14:paraId="10BA0768">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厂房</w:t>
                  </w:r>
                </w:p>
              </w:tc>
              <w:tc>
                <w:tcPr>
                  <w:tcW w:w="5224" w:type="dxa"/>
                  <w:vAlign w:val="center"/>
                </w:tcPr>
                <w:p w14:paraId="1FF95777">
                  <w:pPr>
                    <w:pStyle w:val="73"/>
                    <w:rPr>
                      <w:rFonts w:hint="default" w:ascii="Times New Roman" w:hAnsi="Times New Roman" w:eastAsia="宋体" w:cs="Times New Roman"/>
                      <w:color w:val="auto"/>
                      <w:kern w:val="0"/>
                      <w:sz w:val="18"/>
                      <w:szCs w:val="18"/>
                      <w:highlight w:val="none"/>
                      <w:lang w:val="en-US" w:bidi="ar"/>
                    </w:rPr>
                  </w:pPr>
                  <w:r>
                    <w:rPr>
                      <w:rFonts w:hint="default" w:ascii="Times New Roman" w:hAnsi="Times New Roman" w:eastAsia="宋体" w:cs="Times New Roman"/>
                      <w:color w:val="auto"/>
                      <w:kern w:val="0"/>
                      <w:sz w:val="18"/>
                      <w:szCs w:val="18"/>
                      <w:highlight w:val="none"/>
                      <w:lang w:val="en-US" w:eastAsia="zh-CN" w:bidi="ar"/>
                    </w:rPr>
                    <w:t>1F钢结构建筑生产厂房，</w:t>
                  </w:r>
                  <w:r>
                    <w:rPr>
                      <w:rFonts w:hint="default" w:ascii="Times New Roman" w:hAnsi="Times New Roman" w:eastAsia="宋体" w:cs="Times New Roman"/>
                      <w:color w:val="auto"/>
                      <w:kern w:val="0"/>
                      <w:sz w:val="18"/>
                      <w:szCs w:val="18"/>
                      <w:highlight w:val="none"/>
                      <w:lang w:val="en-US" w:bidi="ar"/>
                    </w:rPr>
                    <w:t>建筑面积</w:t>
                  </w:r>
                  <w:r>
                    <w:rPr>
                      <w:rFonts w:hint="default" w:ascii="Times New Roman" w:hAnsi="Times New Roman" w:eastAsia="宋体" w:cs="Times New Roman"/>
                      <w:color w:val="auto"/>
                      <w:kern w:val="0"/>
                      <w:sz w:val="18"/>
                      <w:szCs w:val="18"/>
                      <w:highlight w:val="none"/>
                      <w:lang w:val="en-US" w:eastAsia="zh-CN" w:bidi="ar"/>
                    </w:rPr>
                    <w:t>8928</w:t>
                  </w:r>
                  <w:r>
                    <w:rPr>
                      <w:rFonts w:hint="default" w:ascii="Times New Roman" w:hAnsi="Times New Roman" w:eastAsia="宋体" w:cs="Times New Roman"/>
                      <w:color w:val="auto"/>
                      <w:kern w:val="0"/>
                      <w:sz w:val="18"/>
                      <w:szCs w:val="18"/>
                      <w:highlight w:val="none"/>
                      <w:lang w:val="en-US" w:bidi="ar"/>
                    </w:rPr>
                    <w:t>m</w:t>
                  </w:r>
                  <w:r>
                    <w:rPr>
                      <w:rFonts w:hint="default" w:ascii="Times New Roman" w:hAnsi="Times New Roman" w:eastAsia="宋体" w:cs="Times New Roman"/>
                      <w:color w:val="auto"/>
                      <w:kern w:val="0"/>
                      <w:sz w:val="18"/>
                      <w:szCs w:val="18"/>
                      <w:highlight w:val="none"/>
                      <w:vertAlign w:val="superscript"/>
                      <w:lang w:val="en-US" w:bidi="ar"/>
                    </w:rPr>
                    <w:t>2</w:t>
                  </w:r>
                  <w:r>
                    <w:rPr>
                      <w:rFonts w:hint="default" w:ascii="Times New Roman" w:hAnsi="Times New Roman" w:eastAsia="宋体" w:cs="Times New Roman"/>
                      <w:color w:val="auto"/>
                      <w:kern w:val="0"/>
                      <w:sz w:val="18"/>
                      <w:szCs w:val="18"/>
                      <w:highlight w:val="none"/>
                      <w:lang w:val="en-US" w:bidi="ar"/>
                    </w:rPr>
                    <w:t>，建筑高度</w:t>
                  </w:r>
                  <w:r>
                    <w:rPr>
                      <w:rFonts w:hint="default" w:ascii="Times New Roman" w:hAnsi="Times New Roman" w:eastAsia="宋体" w:cs="Times New Roman"/>
                      <w:color w:val="auto"/>
                      <w:kern w:val="0"/>
                      <w:sz w:val="18"/>
                      <w:szCs w:val="18"/>
                      <w:highlight w:val="none"/>
                      <w:lang w:val="en-US" w:eastAsia="zh-CN" w:bidi="ar"/>
                    </w:rPr>
                    <w:t>12.8</w:t>
                  </w:r>
                  <w:r>
                    <w:rPr>
                      <w:rFonts w:hint="default" w:ascii="Times New Roman" w:hAnsi="Times New Roman" w:eastAsia="宋体" w:cs="Times New Roman"/>
                      <w:color w:val="auto"/>
                      <w:kern w:val="0"/>
                      <w:sz w:val="18"/>
                      <w:szCs w:val="18"/>
                      <w:highlight w:val="none"/>
                      <w:lang w:val="en-US" w:bidi="ar"/>
                    </w:rPr>
                    <w:t>m，年产</w:t>
                  </w:r>
                  <w:r>
                    <w:rPr>
                      <w:rFonts w:hint="default" w:ascii="Times New Roman" w:hAnsi="Times New Roman" w:eastAsia="宋体" w:cs="Times New Roman"/>
                      <w:color w:val="auto"/>
                      <w:kern w:val="0"/>
                      <w:sz w:val="18"/>
                      <w:szCs w:val="18"/>
                      <w:highlight w:val="none"/>
                      <w:lang w:val="en-US" w:eastAsia="zh-CN" w:bidi="ar"/>
                    </w:rPr>
                    <w:t>30</w:t>
                  </w:r>
                  <w:r>
                    <w:rPr>
                      <w:rFonts w:hint="default" w:ascii="Times New Roman" w:hAnsi="Times New Roman" w:eastAsia="宋体" w:cs="Times New Roman"/>
                      <w:color w:val="auto"/>
                      <w:kern w:val="0"/>
                      <w:sz w:val="18"/>
                      <w:szCs w:val="18"/>
                      <w:highlight w:val="none"/>
                      <w:lang w:val="en-US" w:bidi="ar"/>
                    </w:rPr>
                    <w:t>万m</w:t>
                  </w:r>
                  <w:r>
                    <w:rPr>
                      <w:rFonts w:hint="default" w:ascii="Times New Roman" w:hAnsi="Times New Roman" w:eastAsia="宋体" w:cs="Times New Roman"/>
                      <w:color w:val="auto"/>
                      <w:kern w:val="0"/>
                      <w:sz w:val="18"/>
                      <w:szCs w:val="18"/>
                      <w:highlight w:val="none"/>
                      <w:vertAlign w:val="superscript"/>
                      <w:lang w:val="en-US" w:bidi="ar"/>
                    </w:rPr>
                    <w:t>3</w:t>
                  </w:r>
                  <w:r>
                    <w:rPr>
                      <w:rFonts w:hint="default" w:ascii="Times New Roman" w:hAnsi="Times New Roman" w:eastAsia="宋体" w:cs="Times New Roman"/>
                      <w:color w:val="auto"/>
                      <w:kern w:val="0"/>
                      <w:sz w:val="18"/>
                      <w:szCs w:val="18"/>
                      <w:highlight w:val="none"/>
                      <w:lang w:val="en-US" w:bidi="ar"/>
                    </w:rPr>
                    <w:t>蒸压加气混凝土砌块生产线</w:t>
                  </w:r>
                  <w:r>
                    <w:rPr>
                      <w:rFonts w:hint="default"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bidi="ar"/>
                    </w:rPr>
                    <w:t>位于厂区</w:t>
                  </w:r>
                  <w:r>
                    <w:rPr>
                      <w:rFonts w:hint="default" w:ascii="Times New Roman" w:hAnsi="Times New Roman" w:eastAsia="宋体" w:cs="Times New Roman"/>
                      <w:color w:val="auto"/>
                      <w:kern w:val="0"/>
                      <w:sz w:val="18"/>
                      <w:szCs w:val="18"/>
                      <w:highlight w:val="none"/>
                      <w:lang w:val="en-US" w:eastAsia="zh-CN" w:bidi="ar"/>
                    </w:rPr>
                    <w:t>南</w:t>
                  </w:r>
                  <w:r>
                    <w:rPr>
                      <w:rFonts w:hint="default" w:ascii="Times New Roman" w:hAnsi="Times New Roman" w:eastAsia="宋体" w:cs="Times New Roman"/>
                      <w:color w:val="auto"/>
                      <w:kern w:val="0"/>
                      <w:sz w:val="18"/>
                      <w:szCs w:val="18"/>
                      <w:highlight w:val="none"/>
                      <w:lang w:val="en-US" w:bidi="ar"/>
                    </w:rPr>
                    <w:t>侧，车间内配套建设</w:t>
                  </w:r>
                  <w:r>
                    <w:rPr>
                      <w:rFonts w:hint="default" w:ascii="Times New Roman" w:hAnsi="Times New Roman" w:eastAsia="宋体" w:cs="Times New Roman"/>
                      <w:color w:val="auto"/>
                      <w:kern w:val="0"/>
                      <w:sz w:val="18"/>
                      <w:szCs w:val="18"/>
                      <w:highlight w:val="none"/>
                      <w:lang w:val="en-US" w:eastAsia="zh-CN" w:bidi="ar"/>
                    </w:rPr>
                    <w:t>1个</w:t>
                  </w:r>
                  <w:r>
                    <w:rPr>
                      <w:rFonts w:hint="default" w:ascii="Times New Roman" w:hAnsi="Times New Roman" w:eastAsia="宋体" w:cs="Times New Roman"/>
                      <w:color w:val="auto"/>
                      <w:kern w:val="0"/>
                      <w:sz w:val="18"/>
                      <w:szCs w:val="18"/>
                      <w:highlight w:val="none"/>
                      <w:lang w:val="en-US" w:bidi="ar"/>
                    </w:rPr>
                    <w:t>石</w:t>
                  </w:r>
                  <w:r>
                    <w:rPr>
                      <w:rFonts w:hint="default" w:ascii="Times New Roman" w:hAnsi="Times New Roman" w:eastAsia="宋体" w:cs="Times New Roman"/>
                      <w:color w:val="auto"/>
                      <w:kern w:val="0"/>
                      <w:sz w:val="18"/>
                      <w:szCs w:val="18"/>
                      <w:highlight w:val="none"/>
                      <w:lang w:val="en-US" w:eastAsia="zh-CN" w:bidi="ar"/>
                    </w:rPr>
                    <w:t>灰</w:t>
                  </w:r>
                  <w:r>
                    <w:rPr>
                      <w:rFonts w:hint="default" w:ascii="Times New Roman" w:hAnsi="Times New Roman" w:eastAsia="宋体" w:cs="Times New Roman"/>
                      <w:color w:val="auto"/>
                      <w:kern w:val="0"/>
                      <w:sz w:val="18"/>
                      <w:szCs w:val="18"/>
                      <w:highlight w:val="none"/>
                      <w:lang w:val="en-US" w:bidi="ar"/>
                    </w:rPr>
                    <w:t>粉配料仓，料仓贮存能力1</w:t>
                  </w:r>
                  <w:r>
                    <w:rPr>
                      <w:rFonts w:hint="default" w:ascii="Times New Roman" w:hAnsi="Times New Roman" w:eastAsia="宋体" w:cs="Times New Roman"/>
                      <w:color w:val="auto"/>
                      <w:kern w:val="0"/>
                      <w:sz w:val="18"/>
                      <w:szCs w:val="18"/>
                      <w:highlight w:val="none"/>
                      <w:lang w:val="en-US" w:eastAsia="zh-CN" w:bidi="ar"/>
                    </w:rPr>
                    <w:t>5</w:t>
                  </w:r>
                  <w:r>
                    <w:rPr>
                      <w:rFonts w:hint="default" w:ascii="Times New Roman" w:hAnsi="Times New Roman" w:eastAsia="宋体" w:cs="Times New Roman"/>
                      <w:color w:val="auto"/>
                      <w:kern w:val="0"/>
                      <w:sz w:val="18"/>
                      <w:szCs w:val="18"/>
                      <w:highlight w:val="none"/>
                      <w:lang w:val="en-US" w:bidi="ar"/>
                    </w:rPr>
                    <w:t>0m</w:t>
                  </w:r>
                  <w:r>
                    <w:rPr>
                      <w:rFonts w:hint="default" w:ascii="Times New Roman" w:hAnsi="Times New Roman" w:eastAsia="宋体" w:cs="Times New Roman"/>
                      <w:color w:val="auto"/>
                      <w:kern w:val="0"/>
                      <w:sz w:val="18"/>
                      <w:szCs w:val="18"/>
                      <w:highlight w:val="none"/>
                      <w:vertAlign w:val="superscript"/>
                      <w:lang w:val="en-US" w:bidi="ar"/>
                    </w:rPr>
                    <w:t>3</w:t>
                  </w:r>
                  <w:r>
                    <w:rPr>
                      <w:rFonts w:hint="default" w:ascii="Times New Roman" w:hAnsi="Times New Roman" w:eastAsia="宋体" w:cs="Times New Roman"/>
                      <w:color w:val="auto"/>
                      <w:kern w:val="0"/>
                      <w:sz w:val="18"/>
                      <w:szCs w:val="18"/>
                      <w:highlight w:val="none"/>
                      <w:lang w:val="en-US" w:bidi="ar"/>
                    </w:rPr>
                    <w:t>；</w:t>
                  </w:r>
                  <w:r>
                    <w:rPr>
                      <w:rFonts w:hint="default" w:ascii="Times New Roman" w:hAnsi="Times New Roman" w:eastAsia="宋体" w:cs="Times New Roman"/>
                      <w:color w:val="auto"/>
                      <w:kern w:val="0"/>
                      <w:sz w:val="18"/>
                      <w:szCs w:val="18"/>
                      <w:highlight w:val="none"/>
                      <w:lang w:val="en-US" w:eastAsia="zh-CN" w:bidi="ar"/>
                    </w:rPr>
                    <w:t>1个水泥粉料</w:t>
                  </w:r>
                  <w:r>
                    <w:rPr>
                      <w:rFonts w:hint="default" w:ascii="Times New Roman" w:hAnsi="Times New Roman" w:eastAsia="宋体" w:cs="Times New Roman"/>
                      <w:color w:val="auto"/>
                      <w:kern w:val="0"/>
                      <w:sz w:val="18"/>
                      <w:szCs w:val="18"/>
                      <w:highlight w:val="none"/>
                      <w:lang w:val="en-US" w:bidi="ar"/>
                    </w:rPr>
                    <w:t>配料仓，料仓贮存能力1</w:t>
                  </w:r>
                  <w:r>
                    <w:rPr>
                      <w:rFonts w:hint="default" w:ascii="Times New Roman" w:hAnsi="Times New Roman" w:eastAsia="宋体" w:cs="Times New Roman"/>
                      <w:color w:val="auto"/>
                      <w:kern w:val="0"/>
                      <w:sz w:val="18"/>
                      <w:szCs w:val="18"/>
                      <w:highlight w:val="none"/>
                      <w:lang w:val="en-US" w:eastAsia="zh-CN" w:bidi="ar"/>
                    </w:rPr>
                    <w:t>5</w:t>
                  </w:r>
                  <w:r>
                    <w:rPr>
                      <w:rFonts w:hint="default" w:ascii="Times New Roman" w:hAnsi="Times New Roman" w:eastAsia="宋体" w:cs="Times New Roman"/>
                      <w:color w:val="auto"/>
                      <w:kern w:val="0"/>
                      <w:sz w:val="18"/>
                      <w:szCs w:val="18"/>
                      <w:highlight w:val="none"/>
                      <w:lang w:val="en-US" w:bidi="ar"/>
                    </w:rPr>
                    <w:t>0m</w:t>
                  </w:r>
                  <w:r>
                    <w:rPr>
                      <w:rFonts w:hint="default" w:ascii="Times New Roman" w:hAnsi="Times New Roman" w:eastAsia="宋体" w:cs="Times New Roman"/>
                      <w:color w:val="auto"/>
                      <w:kern w:val="0"/>
                      <w:sz w:val="18"/>
                      <w:szCs w:val="18"/>
                      <w:highlight w:val="none"/>
                      <w:vertAlign w:val="superscript"/>
                      <w:lang w:val="en-US" w:bidi="ar"/>
                    </w:rPr>
                    <w:t>3</w:t>
                  </w:r>
                  <w:r>
                    <w:rPr>
                      <w:rFonts w:hint="default" w:ascii="Times New Roman" w:hAnsi="Times New Roman" w:eastAsia="宋体" w:cs="Times New Roman"/>
                      <w:color w:val="auto"/>
                      <w:kern w:val="0"/>
                      <w:sz w:val="18"/>
                      <w:szCs w:val="18"/>
                      <w:highlight w:val="none"/>
                      <w:lang w:val="en-US" w:bidi="ar"/>
                    </w:rPr>
                    <w:t>；</w:t>
                  </w:r>
                  <w:r>
                    <w:rPr>
                      <w:rFonts w:hint="default" w:ascii="Times New Roman" w:hAnsi="Times New Roman" w:eastAsia="宋体" w:cs="Times New Roman"/>
                      <w:color w:val="auto"/>
                      <w:kern w:val="0"/>
                      <w:sz w:val="18"/>
                      <w:szCs w:val="18"/>
                      <w:highlight w:val="none"/>
                      <w:lang w:val="en-US" w:eastAsia="zh-CN" w:bidi="ar"/>
                    </w:rPr>
                    <w:t>1处石膏堆场，储存能力为60m</w:t>
                  </w:r>
                  <w:r>
                    <w:rPr>
                      <w:rFonts w:hint="default" w:ascii="Times New Roman" w:hAnsi="Times New Roman" w:eastAsia="宋体" w:cs="Times New Roman"/>
                      <w:color w:val="auto"/>
                      <w:kern w:val="0"/>
                      <w:sz w:val="18"/>
                      <w:szCs w:val="18"/>
                      <w:highlight w:val="none"/>
                      <w:vertAlign w:val="superscript"/>
                      <w:lang w:val="en-US" w:eastAsia="zh-CN" w:bidi="ar"/>
                    </w:rPr>
                    <w:t>3</w:t>
                  </w:r>
                  <w:r>
                    <w:rPr>
                      <w:rFonts w:hint="default" w:ascii="Times New Roman" w:hAnsi="Times New Roman" w:eastAsia="宋体" w:cs="Times New Roman"/>
                      <w:color w:val="auto"/>
                      <w:kern w:val="0"/>
                      <w:sz w:val="18"/>
                      <w:szCs w:val="18"/>
                      <w:highlight w:val="none"/>
                      <w:lang w:val="en-US" w:bidi="ar"/>
                    </w:rPr>
                    <w:t>；</w:t>
                  </w:r>
                  <w:r>
                    <w:rPr>
                      <w:rFonts w:hint="default" w:ascii="Times New Roman" w:hAnsi="Times New Roman" w:eastAsia="宋体" w:cs="Times New Roman"/>
                      <w:color w:val="auto"/>
                      <w:kern w:val="0"/>
                      <w:sz w:val="18"/>
                      <w:szCs w:val="18"/>
                      <w:highlight w:val="none"/>
                      <w:lang w:val="en-US" w:eastAsia="zh-CN" w:bidi="ar"/>
                    </w:rPr>
                    <w:t>1处铝粉膏堆场，储存能力为4m</w:t>
                  </w:r>
                  <w:r>
                    <w:rPr>
                      <w:rFonts w:hint="default" w:ascii="Times New Roman" w:hAnsi="Times New Roman" w:eastAsia="宋体" w:cs="Times New Roman"/>
                      <w:color w:val="auto"/>
                      <w:kern w:val="0"/>
                      <w:sz w:val="18"/>
                      <w:szCs w:val="18"/>
                      <w:highlight w:val="none"/>
                      <w:vertAlign w:val="superscript"/>
                      <w:lang w:val="en-US" w:eastAsia="zh-CN" w:bidi="ar"/>
                    </w:rPr>
                    <w:t>2</w:t>
                  </w:r>
                  <w:r>
                    <w:rPr>
                      <w:rFonts w:hint="default" w:ascii="Times New Roman" w:hAnsi="Times New Roman" w:eastAsia="宋体" w:cs="Times New Roman"/>
                      <w:color w:val="auto"/>
                      <w:kern w:val="0"/>
                      <w:sz w:val="18"/>
                      <w:szCs w:val="18"/>
                      <w:highlight w:val="none"/>
                      <w:vertAlign w:val="baseline"/>
                      <w:lang w:val="en-US" w:eastAsia="zh-CN" w:bidi="ar"/>
                    </w:rPr>
                    <w:t>。</w:t>
                  </w:r>
                </w:p>
              </w:tc>
              <w:tc>
                <w:tcPr>
                  <w:tcW w:w="967" w:type="dxa"/>
                  <w:vMerge w:val="restart"/>
                  <w:vAlign w:val="center"/>
                </w:tcPr>
                <w:p w14:paraId="31D19816">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利用园区内原有建筑进行扩建</w:t>
                  </w:r>
                </w:p>
              </w:tc>
            </w:tr>
            <w:tr w14:paraId="6051050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85" w:hRule="atLeast"/>
                <w:jc w:val="center"/>
              </w:trPr>
              <w:tc>
                <w:tcPr>
                  <w:tcW w:w="664" w:type="dxa"/>
                  <w:vMerge w:val="continue"/>
                  <w:vAlign w:val="center"/>
                </w:tcPr>
                <w:p w14:paraId="5255C6DD">
                  <w:pPr>
                    <w:pStyle w:val="73"/>
                    <w:rPr>
                      <w:rFonts w:hint="default" w:ascii="Times New Roman" w:hAnsi="Times New Roman" w:eastAsia="宋体" w:cs="Times New Roman"/>
                      <w:color w:val="auto"/>
                      <w:highlight w:val="none"/>
                    </w:rPr>
                  </w:pPr>
                </w:p>
              </w:tc>
              <w:tc>
                <w:tcPr>
                  <w:tcW w:w="1024" w:type="dxa"/>
                  <w:vAlign w:val="center"/>
                </w:tcPr>
                <w:p w14:paraId="0D0BB0C7">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2#生产</w:t>
                  </w:r>
                </w:p>
                <w:p w14:paraId="4707DF6E">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厂房</w:t>
                  </w:r>
                </w:p>
              </w:tc>
              <w:tc>
                <w:tcPr>
                  <w:tcW w:w="5224" w:type="dxa"/>
                  <w:vAlign w:val="center"/>
                </w:tcPr>
                <w:p w14:paraId="688E2A8C">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bidi="ar"/>
                    </w:rPr>
                    <w:t>1F钢结构建筑生产厂房，</w:t>
                  </w:r>
                  <w:r>
                    <w:rPr>
                      <w:rFonts w:hint="default" w:ascii="Times New Roman" w:hAnsi="Times New Roman" w:eastAsia="宋体" w:cs="Times New Roman"/>
                      <w:color w:val="auto"/>
                      <w:kern w:val="0"/>
                      <w:sz w:val="18"/>
                      <w:szCs w:val="18"/>
                      <w:highlight w:val="none"/>
                      <w:lang w:val="en-US" w:bidi="ar"/>
                    </w:rPr>
                    <w:t>建筑面积</w:t>
                  </w:r>
                  <w:r>
                    <w:rPr>
                      <w:rFonts w:hint="default" w:ascii="Times New Roman" w:hAnsi="Times New Roman" w:eastAsia="宋体" w:cs="Times New Roman"/>
                      <w:color w:val="auto"/>
                      <w:kern w:val="0"/>
                      <w:sz w:val="18"/>
                      <w:szCs w:val="18"/>
                      <w:highlight w:val="none"/>
                      <w:lang w:val="en-US" w:eastAsia="zh-CN" w:bidi="ar"/>
                    </w:rPr>
                    <w:t>5424.70</w:t>
                  </w:r>
                  <w:r>
                    <w:rPr>
                      <w:rFonts w:hint="default" w:ascii="Times New Roman" w:hAnsi="Times New Roman" w:eastAsia="宋体" w:cs="Times New Roman"/>
                      <w:color w:val="auto"/>
                      <w:kern w:val="0"/>
                      <w:sz w:val="18"/>
                      <w:szCs w:val="18"/>
                      <w:highlight w:val="none"/>
                      <w:lang w:val="en-US" w:bidi="ar"/>
                    </w:rPr>
                    <w:t>m</w:t>
                  </w:r>
                  <w:r>
                    <w:rPr>
                      <w:rFonts w:hint="default" w:ascii="Times New Roman" w:hAnsi="Times New Roman" w:eastAsia="宋体" w:cs="Times New Roman"/>
                      <w:color w:val="auto"/>
                      <w:kern w:val="0"/>
                      <w:sz w:val="18"/>
                      <w:szCs w:val="18"/>
                      <w:highlight w:val="none"/>
                      <w:vertAlign w:val="superscript"/>
                      <w:lang w:val="en-US" w:bidi="ar"/>
                    </w:rPr>
                    <w:t>2</w:t>
                  </w:r>
                  <w:r>
                    <w:rPr>
                      <w:rFonts w:hint="default" w:ascii="Times New Roman" w:hAnsi="Times New Roman" w:eastAsia="宋体" w:cs="Times New Roman"/>
                      <w:color w:val="auto"/>
                      <w:kern w:val="0"/>
                      <w:sz w:val="18"/>
                      <w:szCs w:val="18"/>
                      <w:highlight w:val="none"/>
                      <w:lang w:val="en-US" w:bidi="ar"/>
                    </w:rPr>
                    <w:t>，建筑高度</w:t>
                  </w:r>
                  <w:r>
                    <w:rPr>
                      <w:rFonts w:hint="default" w:ascii="Times New Roman" w:hAnsi="Times New Roman" w:eastAsia="宋体" w:cs="Times New Roman"/>
                      <w:color w:val="auto"/>
                      <w:kern w:val="0"/>
                      <w:sz w:val="18"/>
                      <w:szCs w:val="18"/>
                      <w:highlight w:val="none"/>
                      <w:lang w:val="en-US" w:eastAsia="zh-CN" w:bidi="ar"/>
                    </w:rPr>
                    <w:t>12.8</w:t>
                  </w:r>
                  <w:r>
                    <w:rPr>
                      <w:rFonts w:hint="default" w:ascii="Times New Roman" w:hAnsi="Times New Roman" w:eastAsia="宋体" w:cs="Times New Roman"/>
                      <w:color w:val="auto"/>
                      <w:kern w:val="0"/>
                      <w:sz w:val="18"/>
                      <w:szCs w:val="18"/>
                      <w:highlight w:val="none"/>
                      <w:lang w:val="en-US" w:bidi="ar"/>
                    </w:rPr>
                    <w:t>m，年产</w:t>
                  </w:r>
                  <w:r>
                    <w:rPr>
                      <w:rFonts w:hint="default" w:ascii="Times New Roman" w:hAnsi="Times New Roman" w:eastAsia="宋体" w:cs="Times New Roman"/>
                      <w:color w:val="auto"/>
                      <w:kern w:val="0"/>
                      <w:sz w:val="18"/>
                      <w:szCs w:val="18"/>
                      <w:highlight w:val="none"/>
                      <w:lang w:val="en-US" w:eastAsia="zh-CN" w:bidi="ar"/>
                    </w:rPr>
                    <w:t>30</w:t>
                  </w:r>
                  <w:r>
                    <w:rPr>
                      <w:rFonts w:hint="default" w:ascii="Times New Roman" w:hAnsi="Times New Roman" w:eastAsia="宋体" w:cs="Times New Roman"/>
                      <w:color w:val="auto"/>
                      <w:kern w:val="0"/>
                      <w:sz w:val="18"/>
                      <w:szCs w:val="18"/>
                      <w:highlight w:val="none"/>
                      <w:lang w:val="en-US" w:bidi="ar"/>
                    </w:rPr>
                    <w:t>万m</w:t>
                  </w:r>
                  <w:r>
                    <w:rPr>
                      <w:rFonts w:hint="default" w:ascii="Times New Roman" w:hAnsi="Times New Roman" w:eastAsia="宋体" w:cs="Times New Roman"/>
                      <w:color w:val="auto"/>
                      <w:kern w:val="0"/>
                      <w:sz w:val="18"/>
                      <w:szCs w:val="18"/>
                      <w:highlight w:val="none"/>
                      <w:vertAlign w:val="superscript"/>
                      <w:lang w:val="en-US" w:bidi="ar"/>
                    </w:rPr>
                    <w:t>3</w:t>
                  </w:r>
                  <w:r>
                    <w:rPr>
                      <w:rFonts w:hint="default" w:ascii="Times New Roman" w:hAnsi="Times New Roman" w:eastAsia="宋体" w:cs="Times New Roman"/>
                      <w:color w:val="auto"/>
                      <w:kern w:val="0"/>
                      <w:sz w:val="18"/>
                      <w:szCs w:val="18"/>
                      <w:highlight w:val="none"/>
                      <w:lang w:val="en-US" w:bidi="ar"/>
                    </w:rPr>
                    <w:t>蒸压加气混凝土</w:t>
                  </w:r>
                  <w:r>
                    <w:rPr>
                      <w:rFonts w:hint="default" w:ascii="Times New Roman" w:hAnsi="Times New Roman" w:eastAsia="宋体" w:cs="Times New Roman"/>
                      <w:color w:val="auto"/>
                      <w:kern w:val="0"/>
                      <w:sz w:val="18"/>
                      <w:szCs w:val="18"/>
                      <w:highlight w:val="none"/>
                      <w:lang w:val="en-US" w:eastAsia="zh-CN" w:bidi="ar"/>
                    </w:rPr>
                    <w:t>板材（ALC）</w:t>
                  </w:r>
                  <w:r>
                    <w:rPr>
                      <w:rFonts w:hint="default" w:ascii="Times New Roman" w:hAnsi="Times New Roman" w:eastAsia="宋体" w:cs="Times New Roman"/>
                      <w:color w:val="auto"/>
                      <w:kern w:val="0"/>
                      <w:sz w:val="18"/>
                      <w:szCs w:val="18"/>
                      <w:highlight w:val="none"/>
                      <w:lang w:val="en-US" w:bidi="ar"/>
                    </w:rPr>
                    <w:t>生产线</w:t>
                  </w:r>
                  <w:r>
                    <w:rPr>
                      <w:rFonts w:hint="default"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val="en-US" w:bidi="ar"/>
                    </w:rPr>
                    <w:t>位于厂区</w:t>
                  </w:r>
                  <w:r>
                    <w:rPr>
                      <w:rFonts w:hint="default" w:ascii="Times New Roman" w:hAnsi="Times New Roman" w:eastAsia="宋体" w:cs="Times New Roman"/>
                      <w:color w:val="auto"/>
                      <w:kern w:val="0"/>
                      <w:sz w:val="18"/>
                      <w:szCs w:val="18"/>
                      <w:highlight w:val="none"/>
                      <w:lang w:val="en-US" w:eastAsia="zh-CN" w:bidi="ar"/>
                    </w:rPr>
                    <w:t>西南</w:t>
                  </w:r>
                  <w:r>
                    <w:rPr>
                      <w:rFonts w:hint="default" w:ascii="Times New Roman" w:hAnsi="Times New Roman" w:eastAsia="宋体" w:cs="Times New Roman"/>
                      <w:color w:val="auto"/>
                      <w:kern w:val="0"/>
                      <w:sz w:val="18"/>
                      <w:szCs w:val="18"/>
                      <w:highlight w:val="none"/>
                      <w:lang w:val="en-US" w:bidi="ar"/>
                    </w:rPr>
                    <w:t>侧，车间内配套建设</w:t>
                  </w:r>
                  <w:r>
                    <w:rPr>
                      <w:rFonts w:hint="default" w:ascii="Times New Roman" w:hAnsi="Times New Roman" w:eastAsia="宋体" w:cs="Times New Roman"/>
                      <w:color w:val="auto"/>
                      <w:kern w:val="0"/>
                      <w:sz w:val="18"/>
                      <w:szCs w:val="18"/>
                      <w:highlight w:val="none"/>
                      <w:lang w:val="en-US" w:eastAsia="zh-CN" w:bidi="ar"/>
                    </w:rPr>
                    <w:t>1个水泥粉料</w:t>
                  </w:r>
                  <w:r>
                    <w:rPr>
                      <w:rFonts w:hint="default" w:ascii="Times New Roman" w:hAnsi="Times New Roman" w:eastAsia="宋体" w:cs="Times New Roman"/>
                      <w:color w:val="auto"/>
                      <w:kern w:val="0"/>
                      <w:sz w:val="18"/>
                      <w:szCs w:val="18"/>
                      <w:highlight w:val="none"/>
                      <w:lang w:val="en-US" w:bidi="ar"/>
                    </w:rPr>
                    <w:t>配料仓，料仓贮存能力1</w:t>
                  </w:r>
                  <w:r>
                    <w:rPr>
                      <w:rFonts w:hint="default" w:ascii="Times New Roman" w:hAnsi="Times New Roman" w:eastAsia="宋体" w:cs="Times New Roman"/>
                      <w:color w:val="auto"/>
                      <w:kern w:val="0"/>
                      <w:sz w:val="18"/>
                      <w:szCs w:val="18"/>
                      <w:highlight w:val="none"/>
                      <w:lang w:val="en-US" w:eastAsia="zh-CN" w:bidi="ar"/>
                    </w:rPr>
                    <w:t>5</w:t>
                  </w:r>
                  <w:r>
                    <w:rPr>
                      <w:rFonts w:hint="default" w:ascii="Times New Roman" w:hAnsi="Times New Roman" w:eastAsia="宋体" w:cs="Times New Roman"/>
                      <w:color w:val="auto"/>
                      <w:kern w:val="0"/>
                      <w:sz w:val="18"/>
                      <w:szCs w:val="18"/>
                      <w:highlight w:val="none"/>
                      <w:lang w:val="en-US" w:bidi="ar"/>
                    </w:rPr>
                    <w:t>0m</w:t>
                  </w:r>
                  <w:r>
                    <w:rPr>
                      <w:rFonts w:hint="default" w:ascii="Times New Roman" w:hAnsi="Times New Roman" w:eastAsia="宋体" w:cs="Times New Roman"/>
                      <w:color w:val="auto"/>
                      <w:kern w:val="0"/>
                      <w:sz w:val="18"/>
                      <w:szCs w:val="18"/>
                      <w:highlight w:val="none"/>
                      <w:vertAlign w:val="superscript"/>
                      <w:lang w:val="en-US" w:bidi="ar"/>
                    </w:rPr>
                    <w:t>3</w:t>
                  </w:r>
                  <w:r>
                    <w:rPr>
                      <w:rFonts w:hint="default" w:ascii="Times New Roman" w:hAnsi="Times New Roman" w:eastAsia="宋体" w:cs="Times New Roman"/>
                      <w:color w:val="auto"/>
                      <w:kern w:val="0"/>
                      <w:sz w:val="18"/>
                      <w:szCs w:val="18"/>
                      <w:highlight w:val="none"/>
                      <w:lang w:val="en-US" w:bidi="ar"/>
                    </w:rPr>
                    <w:t>；</w:t>
                  </w:r>
                  <w:r>
                    <w:rPr>
                      <w:rFonts w:hint="default" w:ascii="Times New Roman" w:hAnsi="Times New Roman" w:eastAsia="宋体" w:cs="Times New Roman"/>
                      <w:color w:val="auto"/>
                      <w:kern w:val="0"/>
                      <w:sz w:val="18"/>
                      <w:szCs w:val="18"/>
                      <w:highlight w:val="none"/>
                      <w:lang w:val="en-US" w:eastAsia="zh-CN" w:bidi="ar"/>
                    </w:rPr>
                    <w:t>1处石膏堆场，储存能力为60m</w:t>
                  </w:r>
                  <w:r>
                    <w:rPr>
                      <w:rFonts w:hint="default" w:ascii="Times New Roman" w:hAnsi="Times New Roman" w:eastAsia="宋体" w:cs="Times New Roman"/>
                      <w:color w:val="auto"/>
                      <w:kern w:val="0"/>
                      <w:sz w:val="18"/>
                      <w:szCs w:val="18"/>
                      <w:highlight w:val="none"/>
                      <w:vertAlign w:val="superscript"/>
                      <w:lang w:val="en-US" w:eastAsia="zh-CN" w:bidi="ar"/>
                    </w:rPr>
                    <w:t>3</w:t>
                  </w:r>
                  <w:r>
                    <w:rPr>
                      <w:rFonts w:hint="default" w:ascii="Times New Roman" w:hAnsi="Times New Roman" w:eastAsia="宋体" w:cs="Times New Roman"/>
                      <w:color w:val="auto"/>
                      <w:kern w:val="0"/>
                      <w:sz w:val="18"/>
                      <w:szCs w:val="18"/>
                      <w:highlight w:val="none"/>
                      <w:lang w:val="en-US" w:bidi="ar"/>
                    </w:rPr>
                    <w:t>；</w:t>
                  </w:r>
                  <w:r>
                    <w:rPr>
                      <w:rFonts w:hint="default" w:ascii="Times New Roman" w:hAnsi="Times New Roman" w:eastAsia="宋体" w:cs="Times New Roman"/>
                      <w:color w:val="auto"/>
                      <w:kern w:val="0"/>
                      <w:sz w:val="18"/>
                      <w:szCs w:val="18"/>
                      <w:highlight w:val="none"/>
                      <w:lang w:val="en-US" w:eastAsia="zh-CN" w:bidi="ar"/>
                    </w:rPr>
                    <w:t>1处铝粉膏堆场，储存能力为4m</w:t>
                  </w:r>
                  <w:r>
                    <w:rPr>
                      <w:rFonts w:hint="default" w:ascii="Times New Roman" w:hAnsi="Times New Roman" w:eastAsia="宋体" w:cs="Times New Roman"/>
                      <w:color w:val="auto"/>
                      <w:kern w:val="0"/>
                      <w:sz w:val="18"/>
                      <w:szCs w:val="18"/>
                      <w:highlight w:val="none"/>
                      <w:vertAlign w:val="superscript"/>
                      <w:lang w:val="en-US" w:eastAsia="zh-CN" w:bidi="ar"/>
                    </w:rPr>
                    <w:t>2</w:t>
                  </w:r>
                  <w:r>
                    <w:rPr>
                      <w:rFonts w:hint="default" w:ascii="Times New Roman" w:hAnsi="Times New Roman" w:eastAsia="宋体" w:cs="Times New Roman"/>
                      <w:color w:val="auto"/>
                      <w:kern w:val="0"/>
                      <w:sz w:val="18"/>
                      <w:szCs w:val="18"/>
                      <w:highlight w:val="none"/>
                      <w:vertAlign w:val="baseline"/>
                      <w:lang w:val="en-US" w:eastAsia="zh-CN" w:bidi="ar"/>
                    </w:rPr>
                    <w:t>；</w:t>
                  </w:r>
                  <w:r>
                    <w:rPr>
                      <w:rFonts w:hint="default" w:ascii="Times New Roman" w:hAnsi="Times New Roman" w:eastAsia="宋体" w:cs="Times New Roman"/>
                      <w:color w:val="auto"/>
                      <w:kern w:val="0"/>
                      <w:sz w:val="18"/>
                      <w:szCs w:val="18"/>
                      <w:highlight w:val="none"/>
                      <w:lang w:val="en-US" w:eastAsia="zh-CN" w:bidi="ar"/>
                    </w:rPr>
                    <w:t>粒状石灰250m</w:t>
                  </w:r>
                  <w:r>
                    <w:rPr>
                      <w:rFonts w:hint="default" w:ascii="Times New Roman" w:hAnsi="Times New Roman" w:eastAsia="宋体" w:cs="Times New Roman"/>
                      <w:color w:val="auto"/>
                      <w:kern w:val="0"/>
                      <w:sz w:val="18"/>
                      <w:szCs w:val="18"/>
                      <w:highlight w:val="none"/>
                      <w:vertAlign w:val="superscript"/>
                      <w:lang w:val="en-US" w:eastAsia="zh-CN" w:bidi="ar"/>
                    </w:rPr>
                    <w:t>3</w:t>
                  </w:r>
                  <w:r>
                    <w:rPr>
                      <w:rFonts w:hint="default"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spacing w:val="-4"/>
                      <w:sz w:val="18"/>
                      <w:szCs w:val="18"/>
                      <w:highlight w:val="none"/>
                    </w:rPr>
                    <w:t>块状石灰</w:t>
                  </w:r>
                  <w:r>
                    <w:rPr>
                      <w:rFonts w:hint="default" w:ascii="Times New Roman" w:hAnsi="Times New Roman" w:eastAsia="宋体" w:cs="Times New Roman"/>
                      <w:color w:val="auto"/>
                      <w:spacing w:val="-7"/>
                      <w:sz w:val="18"/>
                      <w:szCs w:val="18"/>
                      <w:highlight w:val="none"/>
                    </w:rPr>
                    <w:t>160</w:t>
                  </w:r>
                  <w:r>
                    <w:rPr>
                      <w:rFonts w:hint="default" w:ascii="Times New Roman" w:hAnsi="Times New Roman" w:eastAsia="宋体" w:cs="Times New Roman"/>
                      <w:color w:val="auto"/>
                      <w:kern w:val="0"/>
                      <w:sz w:val="18"/>
                      <w:szCs w:val="18"/>
                      <w:highlight w:val="none"/>
                      <w:lang w:val="en-US" w:eastAsia="zh-CN" w:bidi="ar"/>
                    </w:rPr>
                    <w:t>m</w:t>
                  </w:r>
                  <w:r>
                    <w:rPr>
                      <w:rFonts w:hint="default" w:ascii="Times New Roman" w:hAnsi="Times New Roman" w:eastAsia="宋体" w:cs="Times New Roman"/>
                      <w:color w:val="auto"/>
                      <w:kern w:val="0"/>
                      <w:sz w:val="18"/>
                      <w:szCs w:val="18"/>
                      <w:highlight w:val="none"/>
                      <w:vertAlign w:val="superscript"/>
                      <w:lang w:val="en-US" w:eastAsia="zh-CN" w:bidi="ar"/>
                    </w:rPr>
                    <w:t>2</w:t>
                  </w:r>
                  <w:r>
                    <w:rPr>
                      <w:rFonts w:hint="default" w:ascii="Times New Roman" w:hAnsi="Times New Roman" w:eastAsia="宋体" w:cs="Times New Roman"/>
                      <w:color w:val="auto"/>
                      <w:spacing w:val="-7"/>
                      <w:sz w:val="18"/>
                      <w:szCs w:val="18"/>
                      <w:highlight w:val="none"/>
                      <w:lang w:eastAsia="zh-CN"/>
                    </w:rPr>
                    <w:t>，</w:t>
                  </w:r>
                  <w:r>
                    <w:rPr>
                      <w:rFonts w:hint="default" w:ascii="Times New Roman" w:hAnsi="Times New Roman" w:eastAsia="宋体" w:cs="Times New Roman"/>
                      <w:color w:val="auto"/>
                      <w:kern w:val="0"/>
                      <w:sz w:val="18"/>
                      <w:szCs w:val="18"/>
                      <w:highlight w:val="none"/>
                      <w:lang w:val="en-US" w:eastAsia="zh-CN" w:bidi="ar"/>
                    </w:rPr>
                    <w:t>钢筋储存60m</w:t>
                  </w:r>
                  <w:r>
                    <w:rPr>
                      <w:rFonts w:hint="default" w:ascii="Times New Roman" w:hAnsi="Times New Roman" w:eastAsia="宋体" w:cs="Times New Roman"/>
                      <w:color w:val="auto"/>
                      <w:kern w:val="0"/>
                      <w:sz w:val="18"/>
                      <w:szCs w:val="18"/>
                      <w:highlight w:val="none"/>
                      <w:vertAlign w:val="superscript"/>
                      <w:lang w:val="en-US" w:eastAsia="zh-CN" w:bidi="ar"/>
                    </w:rPr>
                    <w:t>2</w:t>
                  </w:r>
                  <w:r>
                    <w:rPr>
                      <w:rFonts w:hint="default" w:ascii="Times New Roman" w:hAnsi="Times New Roman" w:eastAsia="宋体" w:cs="Times New Roman"/>
                      <w:color w:val="auto"/>
                      <w:kern w:val="0"/>
                      <w:sz w:val="18"/>
                      <w:szCs w:val="18"/>
                      <w:highlight w:val="none"/>
                      <w:lang w:val="en-US" w:eastAsia="zh-CN" w:bidi="ar"/>
                    </w:rPr>
                    <w:t>，防腐剂储存20m</w:t>
                  </w:r>
                  <w:r>
                    <w:rPr>
                      <w:rFonts w:hint="default" w:ascii="Times New Roman" w:hAnsi="Times New Roman" w:eastAsia="宋体" w:cs="Times New Roman"/>
                      <w:color w:val="auto"/>
                      <w:kern w:val="0"/>
                      <w:sz w:val="18"/>
                      <w:szCs w:val="18"/>
                      <w:highlight w:val="none"/>
                      <w:vertAlign w:val="superscript"/>
                      <w:lang w:val="en-US" w:eastAsia="zh-CN" w:bidi="ar"/>
                    </w:rPr>
                    <w:t>2</w:t>
                  </w:r>
                  <w:r>
                    <w:rPr>
                      <w:rFonts w:hint="default" w:ascii="Times New Roman" w:hAnsi="Times New Roman" w:eastAsia="宋体" w:cs="Times New Roman"/>
                      <w:color w:val="auto"/>
                      <w:kern w:val="0"/>
                      <w:sz w:val="18"/>
                      <w:szCs w:val="18"/>
                      <w:highlight w:val="none"/>
                      <w:lang w:val="en-US" w:eastAsia="zh-CN" w:bidi="ar"/>
                    </w:rPr>
                    <w:t>。车间内设置1处锅炉房</w:t>
                  </w:r>
                </w:p>
              </w:tc>
              <w:tc>
                <w:tcPr>
                  <w:tcW w:w="967" w:type="dxa"/>
                  <w:vMerge w:val="continue"/>
                  <w:vAlign w:val="center"/>
                </w:tcPr>
                <w:p w14:paraId="64699C20">
                  <w:pPr>
                    <w:pStyle w:val="73"/>
                    <w:rPr>
                      <w:rFonts w:hint="default" w:ascii="Times New Roman" w:hAnsi="Times New Roman" w:eastAsia="宋体" w:cs="Times New Roman"/>
                      <w:color w:val="auto"/>
                      <w:sz w:val="18"/>
                      <w:szCs w:val="18"/>
                      <w:highlight w:val="none"/>
                      <w:lang w:eastAsia="zh-CN"/>
                    </w:rPr>
                  </w:pPr>
                </w:p>
              </w:tc>
            </w:tr>
            <w:tr w14:paraId="382DD76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60" w:hRule="atLeast"/>
                <w:jc w:val="center"/>
              </w:trPr>
              <w:tc>
                <w:tcPr>
                  <w:tcW w:w="664" w:type="dxa"/>
                  <w:vMerge w:val="restart"/>
                  <w:vAlign w:val="center"/>
                </w:tcPr>
                <w:p w14:paraId="3033C2BF">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辅助工程</w:t>
                  </w:r>
                </w:p>
              </w:tc>
              <w:tc>
                <w:tcPr>
                  <w:tcW w:w="1024" w:type="dxa"/>
                  <w:vAlign w:val="center"/>
                </w:tcPr>
                <w:p w14:paraId="51035913">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4#办公及配套用房</w:t>
                  </w:r>
                </w:p>
              </w:tc>
              <w:tc>
                <w:tcPr>
                  <w:tcW w:w="5224" w:type="dxa"/>
                  <w:vAlign w:val="center"/>
                </w:tcPr>
                <w:p w14:paraId="166A34F4">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bidi="ar"/>
                    </w:rPr>
                    <w:t>2F建筑，</w:t>
                  </w:r>
                  <w:r>
                    <w:rPr>
                      <w:rFonts w:hint="default" w:ascii="Times New Roman" w:hAnsi="Times New Roman" w:eastAsia="宋体" w:cs="Times New Roman"/>
                      <w:color w:val="auto"/>
                      <w:kern w:val="0"/>
                      <w:sz w:val="18"/>
                      <w:szCs w:val="18"/>
                      <w:highlight w:val="none"/>
                      <w:lang w:val="en-US" w:bidi="ar"/>
                    </w:rPr>
                    <w:t>建筑面积</w:t>
                  </w:r>
                  <w:r>
                    <w:rPr>
                      <w:rFonts w:hint="default" w:ascii="Times New Roman" w:hAnsi="Times New Roman" w:eastAsia="宋体" w:cs="Times New Roman"/>
                      <w:color w:val="auto"/>
                      <w:kern w:val="0"/>
                      <w:sz w:val="18"/>
                      <w:szCs w:val="18"/>
                      <w:highlight w:val="none"/>
                      <w:lang w:val="en-US" w:eastAsia="zh-CN" w:bidi="ar"/>
                    </w:rPr>
                    <w:t>648</w:t>
                  </w:r>
                  <w:r>
                    <w:rPr>
                      <w:rFonts w:hint="default" w:ascii="Times New Roman" w:hAnsi="Times New Roman" w:eastAsia="宋体" w:cs="Times New Roman"/>
                      <w:color w:val="auto"/>
                      <w:kern w:val="0"/>
                      <w:sz w:val="18"/>
                      <w:szCs w:val="18"/>
                      <w:highlight w:val="none"/>
                      <w:lang w:val="en-US" w:bidi="ar"/>
                    </w:rPr>
                    <w:t>m</w:t>
                  </w:r>
                  <w:r>
                    <w:rPr>
                      <w:rFonts w:hint="default" w:ascii="Times New Roman" w:hAnsi="Times New Roman" w:eastAsia="宋体" w:cs="Times New Roman"/>
                      <w:color w:val="auto"/>
                      <w:kern w:val="0"/>
                      <w:sz w:val="18"/>
                      <w:szCs w:val="18"/>
                      <w:highlight w:val="none"/>
                      <w:vertAlign w:val="superscript"/>
                      <w:lang w:val="en-US" w:bidi="ar"/>
                    </w:rPr>
                    <w:t>2</w:t>
                  </w:r>
                  <w:r>
                    <w:rPr>
                      <w:rFonts w:hint="default" w:ascii="Times New Roman" w:hAnsi="Times New Roman" w:eastAsia="宋体" w:cs="Times New Roman"/>
                      <w:color w:val="auto"/>
                      <w:kern w:val="0"/>
                      <w:sz w:val="18"/>
                      <w:szCs w:val="18"/>
                      <w:highlight w:val="none"/>
                      <w:lang w:val="en-US" w:bidi="ar"/>
                    </w:rPr>
                    <w:t>，建筑高度</w:t>
                  </w:r>
                  <w:r>
                    <w:rPr>
                      <w:rFonts w:hint="default" w:ascii="Times New Roman" w:hAnsi="Times New Roman" w:eastAsia="宋体" w:cs="Times New Roman"/>
                      <w:color w:val="auto"/>
                      <w:kern w:val="0"/>
                      <w:sz w:val="18"/>
                      <w:szCs w:val="18"/>
                      <w:highlight w:val="none"/>
                      <w:lang w:val="en-US" w:eastAsia="zh-CN" w:bidi="ar"/>
                    </w:rPr>
                    <w:t>7.95</w:t>
                  </w:r>
                  <w:r>
                    <w:rPr>
                      <w:rFonts w:hint="default" w:ascii="Times New Roman" w:hAnsi="Times New Roman" w:eastAsia="宋体" w:cs="Times New Roman"/>
                      <w:color w:val="auto"/>
                      <w:kern w:val="0"/>
                      <w:sz w:val="18"/>
                      <w:szCs w:val="18"/>
                      <w:highlight w:val="none"/>
                      <w:lang w:val="en-US" w:bidi="ar"/>
                    </w:rPr>
                    <w:t>m</w:t>
                  </w:r>
                  <w:r>
                    <w:rPr>
                      <w:rFonts w:hint="default" w:ascii="Times New Roman" w:hAnsi="Times New Roman" w:eastAsia="宋体" w:cs="Times New Roman"/>
                      <w:color w:val="auto"/>
                      <w:sz w:val="18"/>
                      <w:szCs w:val="18"/>
                      <w:highlight w:val="none"/>
                      <w:lang w:val="en-US" w:eastAsia="zh-CN"/>
                    </w:rPr>
                    <w:t>，位于厂内北侧，用于管理人员办公等。</w:t>
                  </w:r>
                </w:p>
              </w:tc>
              <w:tc>
                <w:tcPr>
                  <w:tcW w:w="967" w:type="dxa"/>
                  <w:vAlign w:val="center"/>
                </w:tcPr>
                <w:p w14:paraId="365DAC05">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利用园区内原有建筑进行装修</w:t>
                  </w:r>
                </w:p>
              </w:tc>
            </w:tr>
            <w:tr w14:paraId="3B303B7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160" w:hRule="atLeast"/>
                <w:jc w:val="center"/>
              </w:trPr>
              <w:tc>
                <w:tcPr>
                  <w:tcW w:w="664" w:type="dxa"/>
                  <w:vMerge w:val="continue"/>
                  <w:vAlign w:val="center"/>
                </w:tcPr>
                <w:p w14:paraId="3A9F4708">
                  <w:pPr>
                    <w:pStyle w:val="73"/>
                    <w:rPr>
                      <w:rFonts w:hint="default" w:ascii="Times New Roman" w:hAnsi="Times New Roman" w:eastAsia="宋体" w:cs="Times New Roman"/>
                      <w:color w:val="auto"/>
                      <w:sz w:val="18"/>
                      <w:szCs w:val="18"/>
                      <w:highlight w:val="none"/>
                    </w:rPr>
                  </w:pPr>
                </w:p>
              </w:tc>
              <w:tc>
                <w:tcPr>
                  <w:tcW w:w="1024" w:type="dxa"/>
                  <w:vAlign w:val="center"/>
                </w:tcPr>
                <w:p w14:paraId="5E36EF42">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5#展示厅及办公室</w:t>
                  </w:r>
                </w:p>
              </w:tc>
              <w:tc>
                <w:tcPr>
                  <w:tcW w:w="5224" w:type="dxa"/>
                  <w:vAlign w:val="center"/>
                </w:tcPr>
                <w:p w14:paraId="1BC206D0">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kern w:val="0"/>
                      <w:sz w:val="18"/>
                      <w:szCs w:val="18"/>
                      <w:highlight w:val="none"/>
                      <w:lang w:val="en-US" w:eastAsia="zh-CN" w:bidi="ar"/>
                    </w:rPr>
                    <w:t>3F建筑，</w:t>
                  </w:r>
                  <w:r>
                    <w:rPr>
                      <w:rFonts w:hint="default" w:ascii="Times New Roman" w:hAnsi="Times New Roman" w:eastAsia="宋体" w:cs="Times New Roman"/>
                      <w:color w:val="auto"/>
                      <w:kern w:val="0"/>
                      <w:sz w:val="18"/>
                      <w:szCs w:val="18"/>
                      <w:highlight w:val="none"/>
                      <w:lang w:val="en-US" w:bidi="ar"/>
                    </w:rPr>
                    <w:t>建筑面积</w:t>
                  </w:r>
                  <w:r>
                    <w:rPr>
                      <w:rFonts w:hint="default" w:ascii="Times New Roman" w:hAnsi="Times New Roman" w:eastAsia="宋体" w:cs="Times New Roman"/>
                      <w:color w:val="auto"/>
                      <w:kern w:val="0"/>
                      <w:sz w:val="18"/>
                      <w:szCs w:val="18"/>
                      <w:highlight w:val="none"/>
                      <w:lang w:val="en-US" w:eastAsia="zh-CN" w:bidi="ar"/>
                    </w:rPr>
                    <w:t>600</w:t>
                  </w:r>
                  <w:r>
                    <w:rPr>
                      <w:rFonts w:hint="default" w:ascii="Times New Roman" w:hAnsi="Times New Roman" w:eastAsia="宋体" w:cs="Times New Roman"/>
                      <w:color w:val="auto"/>
                      <w:kern w:val="0"/>
                      <w:sz w:val="18"/>
                      <w:szCs w:val="18"/>
                      <w:highlight w:val="none"/>
                      <w:lang w:val="en-US" w:bidi="ar"/>
                    </w:rPr>
                    <w:t>m</w:t>
                  </w:r>
                  <w:r>
                    <w:rPr>
                      <w:rFonts w:hint="default" w:ascii="Times New Roman" w:hAnsi="Times New Roman" w:eastAsia="宋体" w:cs="Times New Roman"/>
                      <w:color w:val="auto"/>
                      <w:kern w:val="0"/>
                      <w:sz w:val="18"/>
                      <w:szCs w:val="18"/>
                      <w:highlight w:val="none"/>
                      <w:vertAlign w:val="superscript"/>
                      <w:lang w:val="en-US" w:bidi="ar"/>
                    </w:rPr>
                    <w:t>2</w:t>
                  </w:r>
                  <w:r>
                    <w:rPr>
                      <w:rFonts w:hint="default" w:ascii="Times New Roman" w:hAnsi="Times New Roman" w:eastAsia="宋体" w:cs="Times New Roman"/>
                      <w:color w:val="auto"/>
                      <w:kern w:val="0"/>
                      <w:sz w:val="18"/>
                      <w:szCs w:val="18"/>
                      <w:highlight w:val="none"/>
                      <w:lang w:val="en-US" w:bidi="ar"/>
                    </w:rPr>
                    <w:t>，建筑高度</w:t>
                  </w:r>
                  <w:r>
                    <w:rPr>
                      <w:rFonts w:hint="default" w:ascii="Times New Roman" w:hAnsi="Times New Roman" w:eastAsia="宋体" w:cs="Times New Roman"/>
                      <w:color w:val="auto"/>
                      <w:kern w:val="0"/>
                      <w:sz w:val="18"/>
                      <w:szCs w:val="18"/>
                      <w:highlight w:val="none"/>
                      <w:lang w:val="en-US" w:eastAsia="zh-CN" w:bidi="ar"/>
                    </w:rPr>
                    <w:t>13.5</w:t>
                  </w:r>
                  <w:r>
                    <w:rPr>
                      <w:rFonts w:hint="default" w:ascii="Times New Roman" w:hAnsi="Times New Roman" w:eastAsia="宋体" w:cs="Times New Roman"/>
                      <w:color w:val="auto"/>
                      <w:kern w:val="0"/>
                      <w:sz w:val="18"/>
                      <w:szCs w:val="18"/>
                      <w:highlight w:val="none"/>
                      <w:lang w:val="en-US" w:bidi="ar"/>
                    </w:rPr>
                    <w:t>m，</w:t>
                  </w:r>
                  <w:r>
                    <w:rPr>
                      <w:rFonts w:hint="default" w:ascii="Times New Roman" w:hAnsi="Times New Roman" w:eastAsia="宋体" w:cs="Times New Roman"/>
                      <w:color w:val="auto"/>
                      <w:sz w:val="18"/>
                      <w:szCs w:val="18"/>
                      <w:highlight w:val="none"/>
                      <w:lang w:val="en-US" w:eastAsia="zh-CN"/>
                    </w:rPr>
                    <w:t>位于厂内北侧，紧邻厂区出入口，</w:t>
                  </w:r>
                  <w:r>
                    <w:rPr>
                      <w:rFonts w:hint="default" w:ascii="Times New Roman" w:hAnsi="Times New Roman" w:eastAsia="宋体" w:cs="Times New Roman"/>
                      <w:color w:val="auto"/>
                      <w:kern w:val="0"/>
                      <w:sz w:val="18"/>
                      <w:szCs w:val="18"/>
                      <w:highlight w:val="none"/>
                      <w:lang w:val="en-US" w:bidi="ar"/>
                    </w:rPr>
                    <w:t>主要功能为接待大厅及办公用房。</w:t>
                  </w:r>
                </w:p>
              </w:tc>
              <w:tc>
                <w:tcPr>
                  <w:tcW w:w="967" w:type="dxa"/>
                  <w:vAlign w:val="center"/>
                </w:tcPr>
                <w:p w14:paraId="06E24726">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新建</w:t>
                  </w:r>
                </w:p>
              </w:tc>
            </w:tr>
            <w:tr w14:paraId="1375148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64" w:type="dxa"/>
                  <w:vMerge w:val="continue"/>
                  <w:vAlign w:val="center"/>
                </w:tcPr>
                <w:p w14:paraId="552B4A87">
                  <w:pPr>
                    <w:pStyle w:val="73"/>
                    <w:rPr>
                      <w:rFonts w:hint="default" w:ascii="Times New Roman" w:hAnsi="Times New Roman" w:eastAsia="宋体" w:cs="Times New Roman"/>
                      <w:color w:val="auto"/>
                      <w:sz w:val="18"/>
                      <w:szCs w:val="18"/>
                      <w:highlight w:val="none"/>
                    </w:rPr>
                  </w:pPr>
                </w:p>
              </w:tc>
              <w:tc>
                <w:tcPr>
                  <w:tcW w:w="1024" w:type="dxa"/>
                  <w:vAlign w:val="center"/>
                </w:tcPr>
                <w:p w14:paraId="65E6A18E">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锅炉房</w:t>
                  </w:r>
                </w:p>
              </w:tc>
              <w:tc>
                <w:tcPr>
                  <w:tcW w:w="5224" w:type="dxa"/>
                  <w:vAlign w:val="center"/>
                </w:tcPr>
                <w:p w14:paraId="58257885">
                  <w:pPr>
                    <w:pStyle w:val="73"/>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位于2#生产厂房内，设置1台12t/h的燃生物质蒸汽锅炉，厂区生产提供蒸汽，配备布袋除尘器+</w:t>
                  </w:r>
                  <w:r>
                    <w:rPr>
                      <w:rFonts w:hint="eastAsia" w:eastAsia="宋体" w:cs="Times New Roman"/>
                      <w:color w:val="auto"/>
                      <w:kern w:val="0"/>
                      <w:sz w:val="18"/>
                      <w:szCs w:val="18"/>
                      <w:highlight w:val="none"/>
                      <w:lang w:val="en-US" w:eastAsia="zh-CN" w:bidi="ar"/>
                    </w:rPr>
                    <w:t>旋风除尘</w:t>
                  </w:r>
                  <w:r>
                    <w:rPr>
                      <w:rFonts w:hint="eastAsia" w:ascii="Times New Roman" w:hAnsi="Times New Roman" w:eastAsia="宋体" w:cs="Times New Roman"/>
                      <w:color w:val="auto"/>
                      <w:kern w:val="0"/>
                      <w:sz w:val="18"/>
                      <w:szCs w:val="18"/>
                      <w:highlight w:val="none"/>
                      <w:lang w:val="en-US" w:eastAsia="zh-CN" w:bidi="ar"/>
                    </w:rPr>
                    <w:t>+低氮燃烧</w:t>
                  </w:r>
                  <w:r>
                    <w:rPr>
                      <w:rFonts w:hint="default" w:ascii="Times New Roman" w:hAnsi="Times New Roman" w:eastAsia="宋体" w:cs="Times New Roman"/>
                      <w:color w:val="auto"/>
                      <w:kern w:val="0"/>
                      <w:sz w:val="18"/>
                      <w:szCs w:val="18"/>
                      <w:highlight w:val="none"/>
                      <w:lang w:val="en-US" w:eastAsia="zh-CN" w:bidi="ar"/>
                    </w:rPr>
                    <w:t>+</w:t>
                  </w:r>
                  <w:r>
                    <w:rPr>
                      <w:rFonts w:hint="default" w:ascii="Times New Roman" w:hAnsi="Times New Roman" w:eastAsia="宋体" w:cs="Times New Roman"/>
                      <w:color w:val="auto"/>
                      <w:sz w:val="18"/>
                      <w:szCs w:val="18"/>
                      <w:highlight w:val="none"/>
                    </w:rPr>
                    <w:t>40m高排气筒</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DA002</w:t>
                  </w:r>
                  <w:r>
                    <w:rPr>
                      <w:rFonts w:hint="default" w:ascii="Times New Roman" w:hAnsi="Times New Roman" w:eastAsia="宋体" w:cs="Times New Roman"/>
                      <w:color w:val="auto"/>
                      <w:sz w:val="18"/>
                      <w:szCs w:val="18"/>
                      <w:highlight w:val="none"/>
                      <w:lang w:eastAsia="zh-CN"/>
                    </w:rPr>
                    <w:t>），生物质颗粒储存在锅炉房内，</w:t>
                  </w:r>
                  <w:r>
                    <w:rPr>
                      <w:rFonts w:hint="default" w:ascii="Times New Roman" w:hAnsi="Times New Roman" w:eastAsia="宋体" w:cs="Times New Roman"/>
                      <w:color w:val="auto"/>
                      <w:sz w:val="18"/>
                      <w:szCs w:val="18"/>
                      <w:highlight w:val="none"/>
                      <w:lang w:val="en-US" w:eastAsia="zh-CN"/>
                    </w:rPr>
                    <w:t>生物质灰渣袋装储存，暂存于锅炉房内，回用于生产</w:t>
                  </w:r>
                </w:p>
              </w:tc>
              <w:tc>
                <w:tcPr>
                  <w:tcW w:w="967" w:type="dxa"/>
                  <w:vAlign w:val="center"/>
                </w:tcPr>
                <w:p w14:paraId="5B9EE0AF">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利用园区内原有建筑进行扩建</w:t>
                  </w:r>
                </w:p>
              </w:tc>
            </w:tr>
            <w:tr w14:paraId="52AD0CD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3" w:hRule="atLeast"/>
                <w:jc w:val="center"/>
              </w:trPr>
              <w:tc>
                <w:tcPr>
                  <w:tcW w:w="664" w:type="dxa"/>
                  <w:vMerge w:val="restart"/>
                  <w:vAlign w:val="center"/>
                </w:tcPr>
                <w:p w14:paraId="31DF2FE7">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储运工程</w:t>
                  </w:r>
                </w:p>
              </w:tc>
              <w:tc>
                <w:tcPr>
                  <w:tcW w:w="1024" w:type="dxa"/>
                  <w:vAlign w:val="center"/>
                </w:tcPr>
                <w:p w14:paraId="24516771">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3#</w:t>
                  </w:r>
                  <w:r>
                    <w:rPr>
                      <w:rFonts w:hint="default" w:ascii="Times New Roman" w:hAnsi="Times New Roman" w:eastAsia="宋体" w:cs="Times New Roman"/>
                      <w:color w:val="auto"/>
                      <w:sz w:val="18"/>
                      <w:szCs w:val="18"/>
                      <w:highlight w:val="none"/>
                      <w:lang w:val="en-US" w:eastAsia="zh-CN"/>
                    </w:rPr>
                    <w:t>粉煤灰</w:t>
                  </w:r>
                  <w:r>
                    <w:rPr>
                      <w:rFonts w:hint="default" w:ascii="Times New Roman" w:hAnsi="Times New Roman" w:eastAsia="宋体" w:cs="Times New Roman"/>
                      <w:color w:val="auto"/>
                      <w:sz w:val="18"/>
                      <w:szCs w:val="18"/>
                      <w:highlight w:val="none"/>
                      <w:lang w:eastAsia="zh-CN"/>
                    </w:rPr>
                    <w:t>库房</w:t>
                  </w:r>
                </w:p>
              </w:tc>
              <w:tc>
                <w:tcPr>
                  <w:tcW w:w="5224" w:type="dxa"/>
                  <w:vAlign w:val="center"/>
                </w:tcPr>
                <w:p w14:paraId="2557F4CC">
                  <w:pPr>
                    <w:pStyle w:val="73"/>
                    <w:jc w:val="both"/>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1F建筑，</w:t>
                  </w:r>
                  <w:r>
                    <w:rPr>
                      <w:rFonts w:hint="default" w:ascii="Times New Roman" w:hAnsi="Times New Roman" w:eastAsia="宋体" w:cs="Times New Roman"/>
                      <w:color w:val="auto"/>
                      <w:kern w:val="0"/>
                      <w:sz w:val="18"/>
                      <w:szCs w:val="18"/>
                      <w:highlight w:val="none"/>
                      <w:lang w:val="en-US" w:bidi="ar"/>
                    </w:rPr>
                    <w:t>建筑面积</w:t>
                  </w:r>
                  <w:r>
                    <w:rPr>
                      <w:rFonts w:hint="default" w:ascii="Times New Roman" w:hAnsi="Times New Roman" w:eastAsia="宋体" w:cs="Times New Roman"/>
                      <w:color w:val="auto"/>
                      <w:kern w:val="0"/>
                      <w:sz w:val="18"/>
                      <w:szCs w:val="18"/>
                      <w:highlight w:val="none"/>
                      <w:lang w:val="en-US" w:eastAsia="zh-CN" w:bidi="ar"/>
                    </w:rPr>
                    <w:t>5034.96</w:t>
                  </w:r>
                  <w:r>
                    <w:rPr>
                      <w:rFonts w:hint="default" w:ascii="Times New Roman" w:hAnsi="Times New Roman" w:eastAsia="宋体" w:cs="Times New Roman"/>
                      <w:color w:val="auto"/>
                      <w:kern w:val="0"/>
                      <w:sz w:val="18"/>
                      <w:szCs w:val="18"/>
                      <w:highlight w:val="none"/>
                      <w:lang w:val="en-US" w:bidi="ar"/>
                    </w:rPr>
                    <w:t>m</w:t>
                  </w:r>
                  <w:r>
                    <w:rPr>
                      <w:rFonts w:hint="default" w:ascii="Times New Roman" w:hAnsi="Times New Roman" w:eastAsia="宋体" w:cs="Times New Roman"/>
                      <w:color w:val="auto"/>
                      <w:kern w:val="0"/>
                      <w:sz w:val="18"/>
                      <w:szCs w:val="18"/>
                      <w:highlight w:val="none"/>
                      <w:vertAlign w:val="superscript"/>
                      <w:lang w:val="en-US" w:bidi="ar"/>
                    </w:rPr>
                    <w:t>2</w:t>
                  </w:r>
                  <w:r>
                    <w:rPr>
                      <w:rFonts w:hint="default" w:ascii="Times New Roman" w:hAnsi="Times New Roman" w:eastAsia="宋体" w:cs="Times New Roman"/>
                      <w:color w:val="auto"/>
                      <w:kern w:val="0"/>
                      <w:sz w:val="18"/>
                      <w:szCs w:val="18"/>
                      <w:highlight w:val="none"/>
                      <w:lang w:val="en-US" w:bidi="ar"/>
                    </w:rPr>
                    <w:t>，建筑高度</w:t>
                  </w:r>
                  <w:r>
                    <w:rPr>
                      <w:rFonts w:hint="default" w:ascii="Times New Roman" w:hAnsi="Times New Roman" w:eastAsia="宋体" w:cs="Times New Roman"/>
                      <w:color w:val="auto"/>
                      <w:kern w:val="0"/>
                      <w:sz w:val="18"/>
                      <w:szCs w:val="18"/>
                      <w:highlight w:val="none"/>
                      <w:lang w:val="en-US" w:eastAsia="zh-CN" w:bidi="ar"/>
                    </w:rPr>
                    <w:t>10</w:t>
                  </w:r>
                  <w:r>
                    <w:rPr>
                      <w:rFonts w:hint="default" w:ascii="Times New Roman" w:hAnsi="Times New Roman" w:eastAsia="宋体" w:cs="Times New Roman"/>
                      <w:color w:val="auto"/>
                      <w:kern w:val="0"/>
                      <w:sz w:val="18"/>
                      <w:szCs w:val="18"/>
                      <w:highlight w:val="none"/>
                      <w:lang w:val="en-US" w:bidi="ar"/>
                    </w:rPr>
                    <w:t>m，</w:t>
                  </w:r>
                  <w:r>
                    <w:rPr>
                      <w:rFonts w:hint="default" w:ascii="Times New Roman" w:hAnsi="Times New Roman" w:eastAsia="宋体" w:cs="Times New Roman"/>
                      <w:color w:val="auto"/>
                      <w:kern w:val="0"/>
                      <w:sz w:val="18"/>
                      <w:szCs w:val="18"/>
                      <w:highlight w:val="none"/>
                      <w:lang w:val="en-US" w:eastAsia="zh-CN" w:bidi="ar"/>
                    </w:rPr>
                    <w:t>位于厂内西侧，计容面积为10069.92</w:t>
                  </w:r>
                  <w:r>
                    <w:rPr>
                      <w:rFonts w:hint="default" w:ascii="Times New Roman" w:hAnsi="Times New Roman" w:eastAsia="宋体" w:cs="Times New Roman"/>
                      <w:color w:val="auto"/>
                      <w:kern w:val="0"/>
                      <w:sz w:val="18"/>
                      <w:szCs w:val="18"/>
                      <w:highlight w:val="none"/>
                      <w:lang w:val="en-US" w:bidi="ar"/>
                    </w:rPr>
                    <w:t>m</w:t>
                  </w:r>
                  <w:r>
                    <w:rPr>
                      <w:rFonts w:hint="default" w:ascii="Times New Roman" w:hAnsi="Times New Roman" w:eastAsia="宋体" w:cs="Times New Roman"/>
                      <w:color w:val="auto"/>
                      <w:kern w:val="0"/>
                      <w:sz w:val="18"/>
                      <w:szCs w:val="18"/>
                      <w:highlight w:val="none"/>
                      <w:vertAlign w:val="superscript"/>
                      <w:lang w:val="en-US" w:bidi="ar"/>
                    </w:rPr>
                    <w:t>2</w:t>
                  </w:r>
                  <w:r>
                    <w:rPr>
                      <w:rFonts w:hint="default" w:ascii="Times New Roman" w:hAnsi="Times New Roman" w:eastAsia="宋体" w:cs="Times New Roman"/>
                      <w:color w:val="auto"/>
                      <w:kern w:val="0"/>
                      <w:sz w:val="18"/>
                      <w:szCs w:val="18"/>
                      <w:highlight w:val="none"/>
                      <w:lang w:val="en-US" w:bidi="ar"/>
                    </w:rPr>
                    <w:t>，</w:t>
                  </w:r>
                  <w:r>
                    <w:rPr>
                      <w:rFonts w:hint="default" w:ascii="Times New Roman" w:hAnsi="Times New Roman" w:eastAsia="宋体" w:cs="Times New Roman"/>
                      <w:color w:val="auto"/>
                      <w:kern w:val="0"/>
                      <w:sz w:val="18"/>
                      <w:szCs w:val="18"/>
                      <w:highlight w:val="none"/>
                      <w:lang w:val="en-US" w:eastAsia="zh-CN" w:bidi="ar"/>
                    </w:rPr>
                    <w:t>砂、粉煤灰储存2400m</w:t>
                  </w:r>
                  <w:r>
                    <w:rPr>
                      <w:rFonts w:hint="default" w:ascii="Times New Roman" w:hAnsi="Times New Roman" w:eastAsia="宋体" w:cs="Times New Roman"/>
                      <w:color w:val="auto"/>
                      <w:kern w:val="0"/>
                      <w:sz w:val="18"/>
                      <w:szCs w:val="18"/>
                      <w:highlight w:val="none"/>
                      <w:vertAlign w:val="superscript"/>
                      <w:lang w:val="en-US" w:eastAsia="zh-CN" w:bidi="ar"/>
                    </w:rPr>
                    <w:t>2</w:t>
                  </w:r>
                  <w:r>
                    <w:rPr>
                      <w:rFonts w:hint="default" w:ascii="Times New Roman" w:hAnsi="Times New Roman" w:eastAsia="宋体" w:cs="Times New Roman"/>
                      <w:color w:val="auto"/>
                      <w:kern w:val="0"/>
                      <w:sz w:val="18"/>
                      <w:szCs w:val="18"/>
                      <w:highlight w:val="none"/>
                      <w:lang w:val="en-US" w:eastAsia="zh-CN" w:bidi="ar"/>
                    </w:rPr>
                    <w:t>。粉煤灰</w:t>
                  </w:r>
                  <w:r>
                    <w:rPr>
                      <w:rFonts w:hint="default" w:ascii="Times New Roman" w:hAnsi="Times New Roman" w:eastAsia="宋体" w:cs="Times New Roman"/>
                      <w:color w:val="auto"/>
                      <w:kern w:val="0"/>
                      <w:sz w:val="18"/>
                      <w:szCs w:val="18"/>
                      <w:highlight w:val="none"/>
                      <w:lang w:val="en-US" w:bidi="ar"/>
                    </w:rPr>
                    <w:t>料仓贮存能力1</w:t>
                  </w:r>
                  <w:r>
                    <w:rPr>
                      <w:rFonts w:hint="default" w:ascii="Times New Roman" w:hAnsi="Times New Roman" w:eastAsia="宋体" w:cs="Times New Roman"/>
                      <w:color w:val="auto"/>
                      <w:kern w:val="0"/>
                      <w:sz w:val="18"/>
                      <w:szCs w:val="18"/>
                      <w:highlight w:val="none"/>
                      <w:lang w:val="en-US" w:eastAsia="zh-CN" w:bidi="ar"/>
                    </w:rPr>
                    <w:t>5</w:t>
                  </w:r>
                  <w:r>
                    <w:rPr>
                      <w:rFonts w:hint="default" w:ascii="Times New Roman" w:hAnsi="Times New Roman" w:eastAsia="宋体" w:cs="Times New Roman"/>
                      <w:color w:val="auto"/>
                      <w:kern w:val="0"/>
                      <w:sz w:val="18"/>
                      <w:szCs w:val="18"/>
                      <w:highlight w:val="none"/>
                      <w:lang w:val="en-US" w:bidi="ar"/>
                    </w:rPr>
                    <w:t>0m</w:t>
                  </w:r>
                  <w:r>
                    <w:rPr>
                      <w:rFonts w:hint="default" w:ascii="Times New Roman" w:hAnsi="Times New Roman" w:eastAsia="宋体" w:cs="Times New Roman"/>
                      <w:color w:val="auto"/>
                      <w:kern w:val="0"/>
                      <w:sz w:val="18"/>
                      <w:szCs w:val="18"/>
                      <w:highlight w:val="none"/>
                      <w:vertAlign w:val="superscript"/>
                      <w:lang w:val="en-US" w:bidi="ar"/>
                    </w:rPr>
                    <w:t>3</w:t>
                  </w:r>
                  <w:r>
                    <w:rPr>
                      <w:rFonts w:hint="default" w:ascii="Times New Roman" w:hAnsi="Times New Roman" w:eastAsia="宋体" w:cs="Times New Roman"/>
                      <w:color w:val="auto"/>
                      <w:kern w:val="0"/>
                      <w:sz w:val="18"/>
                      <w:szCs w:val="18"/>
                      <w:highlight w:val="none"/>
                      <w:vertAlign w:val="baseline"/>
                      <w:lang w:val="en-US" w:eastAsia="zh-CN" w:bidi="ar"/>
                    </w:rPr>
                    <w:t>，</w:t>
                  </w:r>
                  <w:r>
                    <w:rPr>
                      <w:rFonts w:hint="default" w:ascii="Times New Roman" w:hAnsi="Times New Roman" w:eastAsia="宋体" w:cs="Times New Roman"/>
                      <w:color w:val="auto"/>
                      <w:kern w:val="0"/>
                      <w:sz w:val="18"/>
                      <w:szCs w:val="18"/>
                      <w:highlight w:val="none"/>
                      <w:lang w:val="en-US" w:eastAsia="zh-CN" w:bidi="ar"/>
                    </w:rPr>
                    <w:t>砂料为袋装物料。库房内分类分区存放，砂料指定区域存放。《环境影响评价技术导则地下水环境》(HJ610-2016)相关要求，</w:t>
                  </w:r>
                  <w:r>
                    <w:rPr>
                      <w:rFonts w:hint="default" w:ascii="Times New Roman" w:hAnsi="Times New Roman" w:eastAsia="宋体" w:cs="Times New Roman"/>
                      <w:color w:val="auto"/>
                      <w:sz w:val="18"/>
                      <w:szCs w:val="18"/>
                      <w:highlight w:val="none"/>
                      <w:lang w:eastAsia="zh-CN"/>
                    </w:rPr>
                    <w:t>粉煤灰库房</w:t>
                  </w:r>
                  <w:r>
                    <w:rPr>
                      <w:rFonts w:hint="eastAsia" w:ascii="Times New Roman" w:hAnsi="Times New Roman" w:eastAsia="宋体" w:cs="Times New Roman"/>
                      <w:color w:val="auto"/>
                      <w:sz w:val="18"/>
                      <w:szCs w:val="18"/>
                      <w:highlight w:val="none"/>
                      <w:lang w:val="en-US" w:eastAsia="zh-CN"/>
                    </w:rPr>
                    <w:t>为一般防渗区，</w:t>
                  </w:r>
                  <w:r>
                    <w:rPr>
                      <w:rFonts w:hint="default" w:ascii="Times New Roman" w:hAnsi="Times New Roman" w:eastAsia="宋体" w:cs="Times New Roman"/>
                      <w:color w:val="auto"/>
                      <w:sz w:val="18"/>
                      <w:szCs w:val="18"/>
                      <w:highlight w:val="none"/>
                      <w:lang w:eastAsia="zh-CN"/>
                    </w:rPr>
                    <w:t>采用防渗混凝土或HDPE膜进行防渗，其防渗技术要求可满足等效黏土防渗层Mb≥1.5m，K≤1×10</w:t>
                  </w:r>
                  <w:r>
                    <w:rPr>
                      <w:rFonts w:hint="default" w:ascii="Times New Roman" w:hAnsi="Times New Roman" w:eastAsia="宋体" w:cs="Times New Roman"/>
                      <w:color w:val="auto"/>
                      <w:sz w:val="18"/>
                      <w:szCs w:val="18"/>
                      <w:highlight w:val="none"/>
                      <w:vertAlign w:val="superscript"/>
                      <w:lang w:eastAsia="zh-CN"/>
                    </w:rPr>
                    <w:t>-7</w:t>
                  </w:r>
                  <w:r>
                    <w:rPr>
                      <w:rFonts w:hint="default" w:ascii="Times New Roman" w:hAnsi="Times New Roman" w:eastAsia="宋体" w:cs="Times New Roman"/>
                      <w:color w:val="auto"/>
                      <w:sz w:val="18"/>
                      <w:szCs w:val="18"/>
                      <w:highlight w:val="none"/>
                      <w:lang w:eastAsia="zh-CN"/>
                    </w:rPr>
                    <w:t>cm/s的要求。粉煤灰仓仓顶设置布袋除尘器进行处理外溢粉尘，车间密闭，砂料为袋装储存</w:t>
                  </w:r>
                </w:p>
              </w:tc>
              <w:tc>
                <w:tcPr>
                  <w:tcW w:w="967" w:type="dxa"/>
                  <w:vMerge w:val="restart"/>
                  <w:vAlign w:val="center"/>
                </w:tcPr>
                <w:p w14:paraId="6D07E684">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利用园区内原有建筑进行建设</w:t>
                  </w:r>
                </w:p>
              </w:tc>
            </w:tr>
            <w:tr w14:paraId="706D9B0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93" w:hRule="atLeast"/>
                <w:jc w:val="center"/>
              </w:trPr>
              <w:tc>
                <w:tcPr>
                  <w:tcW w:w="664" w:type="dxa"/>
                  <w:vMerge w:val="continue"/>
                  <w:vAlign w:val="center"/>
                </w:tcPr>
                <w:p w14:paraId="6D56C58D">
                  <w:pPr>
                    <w:pStyle w:val="73"/>
                    <w:rPr>
                      <w:rFonts w:hint="default" w:ascii="Times New Roman" w:hAnsi="Times New Roman" w:eastAsia="宋体" w:cs="Times New Roman"/>
                      <w:color w:val="auto"/>
                      <w:sz w:val="18"/>
                      <w:szCs w:val="18"/>
                      <w:highlight w:val="none"/>
                    </w:rPr>
                  </w:pPr>
                </w:p>
              </w:tc>
              <w:tc>
                <w:tcPr>
                  <w:tcW w:w="1024" w:type="dxa"/>
                  <w:vAlign w:val="center"/>
                </w:tcPr>
                <w:p w14:paraId="2880FEDC">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产品堆放区</w:t>
                  </w:r>
                </w:p>
              </w:tc>
              <w:tc>
                <w:tcPr>
                  <w:tcW w:w="5224" w:type="dxa"/>
                  <w:vAlign w:val="center"/>
                </w:tcPr>
                <w:p w14:paraId="52970155">
                  <w:pPr>
                    <w:pStyle w:val="73"/>
                    <w:ind w:left="0" w:leftChars="0" w:firstLine="0" w:firstLineChars="0"/>
                    <w:jc w:val="left"/>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1处，占地面积分别为12000m</w:t>
                  </w:r>
                  <w:r>
                    <w:rPr>
                      <w:rFonts w:hint="default" w:ascii="Times New Roman" w:hAnsi="Times New Roman" w:eastAsia="宋体" w:cs="Times New Roman"/>
                      <w:color w:val="auto"/>
                      <w:kern w:val="0"/>
                      <w:sz w:val="18"/>
                      <w:szCs w:val="18"/>
                      <w:highlight w:val="none"/>
                      <w:vertAlign w:val="superscript"/>
                      <w:lang w:val="en-US" w:eastAsia="zh-CN" w:bidi="ar"/>
                    </w:rPr>
                    <w:t>2</w:t>
                  </w:r>
                  <w:r>
                    <w:rPr>
                      <w:rFonts w:hint="default" w:ascii="Times New Roman" w:hAnsi="Times New Roman" w:eastAsia="宋体" w:cs="Times New Roman"/>
                      <w:color w:val="auto"/>
                      <w:kern w:val="0"/>
                      <w:sz w:val="18"/>
                      <w:szCs w:val="18"/>
                      <w:highlight w:val="none"/>
                      <w:lang w:val="en-US" w:eastAsia="zh-CN" w:bidi="ar"/>
                    </w:rPr>
                    <w:t>，位于厂区中部，主要用于临时储存包装好的产品，储存的板材3天清运一次，储存砌块10天清运一次</w:t>
                  </w:r>
                </w:p>
              </w:tc>
              <w:tc>
                <w:tcPr>
                  <w:tcW w:w="967" w:type="dxa"/>
                  <w:vMerge w:val="continue"/>
                  <w:vAlign w:val="center"/>
                </w:tcPr>
                <w:p w14:paraId="2D19395F">
                  <w:pPr>
                    <w:pStyle w:val="73"/>
                    <w:rPr>
                      <w:rFonts w:hint="default" w:ascii="Times New Roman" w:hAnsi="Times New Roman" w:eastAsia="宋体" w:cs="Times New Roman"/>
                      <w:color w:val="auto"/>
                      <w:sz w:val="18"/>
                      <w:szCs w:val="18"/>
                      <w:highlight w:val="none"/>
                    </w:rPr>
                  </w:pPr>
                </w:p>
              </w:tc>
            </w:tr>
            <w:tr w14:paraId="45B688D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64" w:type="dxa"/>
                  <w:vMerge w:val="restart"/>
                  <w:vAlign w:val="center"/>
                </w:tcPr>
                <w:p w14:paraId="63DDF8D2">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公用工程</w:t>
                  </w:r>
                </w:p>
              </w:tc>
              <w:tc>
                <w:tcPr>
                  <w:tcW w:w="1024" w:type="dxa"/>
                  <w:vAlign w:val="center"/>
                </w:tcPr>
                <w:p w14:paraId="0BC8051E">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给水系统</w:t>
                  </w:r>
                </w:p>
              </w:tc>
              <w:tc>
                <w:tcPr>
                  <w:tcW w:w="5224" w:type="dxa"/>
                  <w:vAlign w:val="center"/>
                </w:tcPr>
                <w:p w14:paraId="4D7AABA7">
                  <w:pPr>
                    <w:pStyle w:val="73"/>
                    <w:spacing w:before="0" w:after="0"/>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本项目用水由市政给水管网提供。锅炉用水为软化水，采用离子交换树脂进行制备</w:t>
                  </w:r>
                </w:p>
              </w:tc>
              <w:tc>
                <w:tcPr>
                  <w:tcW w:w="967" w:type="dxa"/>
                  <w:vAlign w:val="center"/>
                </w:tcPr>
                <w:p w14:paraId="3934B20A">
                  <w:pPr>
                    <w:pStyle w:val="73"/>
                    <w:rPr>
                      <w:rFonts w:hint="default" w:ascii="Times New Roman" w:hAnsi="Times New Roman" w:eastAsia="宋体" w:cs="Times New Roman"/>
                      <w:color w:val="auto"/>
                      <w:spacing w:val="-6"/>
                      <w:sz w:val="18"/>
                      <w:szCs w:val="18"/>
                      <w:highlight w:val="none"/>
                    </w:rPr>
                  </w:pPr>
                  <w:r>
                    <w:rPr>
                      <w:rFonts w:hint="default" w:ascii="Times New Roman" w:hAnsi="Times New Roman" w:eastAsia="宋体" w:cs="Times New Roman"/>
                      <w:color w:val="auto"/>
                      <w:spacing w:val="-6"/>
                      <w:sz w:val="18"/>
                      <w:szCs w:val="18"/>
                      <w:highlight w:val="none"/>
                    </w:rPr>
                    <w:t>依托</w:t>
                  </w:r>
                </w:p>
              </w:tc>
            </w:tr>
            <w:tr w14:paraId="279CAA21">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2276" w:hRule="atLeast"/>
                <w:jc w:val="center"/>
              </w:trPr>
              <w:tc>
                <w:tcPr>
                  <w:tcW w:w="664" w:type="dxa"/>
                  <w:vMerge w:val="continue"/>
                  <w:vAlign w:val="center"/>
                </w:tcPr>
                <w:p w14:paraId="0F6C66CA">
                  <w:pPr>
                    <w:pStyle w:val="73"/>
                    <w:rPr>
                      <w:rFonts w:hint="default" w:ascii="Times New Roman" w:hAnsi="Times New Roman" w:eastAsia="宋体" w:cs="Times New Roman"/>
                      <w:color w:val="auto"/>
                      <w:sz w:val="21"/>
                      <w:szCs w:val="21"/>
                      <w:highlight w:val="none"/>
                    </w:rPr>
                  </w:pPr>
                </w:p>
              </w:tc>
              <w:tc>
                <w:tcPr>
                  <w:tcW w:w="1024" w:type="dxa"/>
                  <w:vAlign w:val="center"/>
                </w:tcPr>
                <w:p w14:paraId="184054DF">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排水系统</w:t>
                  </w:r>
                </w:p>
              </w:tc>
              <w:tc>
                <w:tcPr>
                  <w:tcW w:w="5224" w:type="dxa"/>
                  <w:vAlign w:val="center"/>
                </w:tcPr>
                <w:p w14:paraId="595C51BE">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生产过程中产生的废浆、废水均汇入</w:t>
                  </w:r>
                  <w:r>
                    <w:rPr>
                      <w:rFonts w:hint="default" w:ascii="Times New Roman" w:hAnsi="Times New Roman" w:eastAsia="宋体" w:cs="Times New Roman"/>
                      <w:color w:val="auto"/>
                      <w:sz w:val="18"/>
                      <w:szCs w:val="18"/>
                      <w:highlight w:val="none"/>
                      <w:lang w:val="en-US" w:eastAsia="zh-CN"/>
                    </w:rPr>
                    <w:t>300m</w:t>
                  </w:r>
                  <w:r>
                    <w:rPr>
                      <w:rFonts w:hint="default" w:ascii="Times New Roman" w:hAnsi="Times New Roman" w:eastAsia="宋体" w:cs="Times New Roman"/>
                      <w:color w:val="auto"/>
                      <w:sz w:val="18"/>
                      <w:szCs w:val="18"/>
                      <w:highlight w:val="none"/>
                      <w:vertAlign w:val="superscript"/>
                      <w:lang w:val="en-US" w:eastAsia="zh-CN"/>
                    </w:rPr>
                    <w:t>3</w:t>
                  </w:r>
                  <w:r>
                    <w:rPr>
                      <w:rFonts w:hint="default" w:ascii="Times New Roman" w:hAnsi="Times New Roman" w:eastAsia="宋体" w:cs="Times New Roman"/>
                      <w:color w:val="auto"/>
                      <w:sz w:val="18"/>
                      <w:szCs w:val="18"/>
                      <w:highlight w:val="none"/>
                      <w:lang w:eastAsia="zh-CN"/>
                    </w:rPr>
                    <w:t>废浆池，然后用泵打入切割机下废浆搅拌池</w:t>
                  </w:r>
                  <w:r>
                    <w:rPr>
                      <w:rFonts w:hint="default" w:ascii="Times New Roman" w:hAnsi="Times New Roman" w:eastAsia="宋体" w:cs="Times New Roman"/>
                      <w:color w:val="auto"/>
                      <w:sz w:val="18"/>
                      <w:szCs w:val="18"/>
                      <w:highlight w:val="none"/>
                      <w:lang w:val="en-US" w:eastAsia="zh-CN"/>
                    </w:rPr>
                    <w:t>300m</w:t>
                  </w:r>
                  <w:r>
                    <w:rPr>
                      <w:rFonts w:hint="default" w:ascii="Times New Roman" w:hAnsi="Times New Roman" w:eastAsia="宋体" w:cs="Times New Roman"/>
                      <w:color w:val="auto"/>
                      <w:sz w:val="18"/>
                      <w:szCs w:val="18"/>
                      <w:highlight w:val="none"/>
                      <w:vertAlign w:val="superscript"/>
                      <w:lang w:val="en-US" w:eastAsia="zh-CN"/>
                    </w:rPr>
                    <w:t>3</w:t>
                  </w:r>
                  <w:r>
                    <w:rPr>
                      <w:rFonts w:hint="default" w:ascii="Times New Roman" w:hAnsi="Times New Roman" w:eastAsia="宋体" w:cs="Times New Roman"/>
                      <w:color w:val="auto"/>
                      <w:sz w:val="18"/>
                      <w:szCs w:val="18"/>
                      <w:highlight w:val="none"/>
                      <w:lang w:eastAsia="zh-CN"/>
                    </w:rPr>
                    <w:t>作制浆用水。生活污水排入厂区化粪池后经排入园区污水管网排入铁力市</w:t>
                  </w:r>
                  <w:r>
                    <w:rPr>
                      <w:rFonts w:hint="default" w:ascii="Times New Roman" w:hAnsi="Times New Roman" w:eastAsia="宋体" w:cs="Times New Roman"/>
                      <w:color w:val="auto"/>
                      <w:sz w:val="18"/>
                      <w:szCs w:val="18"/>
                      <w:highlight w:val="none"/>
                      <w:lang w:val="en-US" w:eastAsia="zh-CN"/>
                    </w:rPr>
                    <w:t>依吉</w:t>
                  </w:r>
                  <w:r>
                    <w:rPr>
                      <w:rFonts w:hint="default" w:ascii="Times New Roman" w:hAnsi="Times New Roman" w:eastAsia="宋体" w:cs="Times New Roman"/>
                      <w:color w:val="auto"/>
                      <w:sz w:val="18"/>
                      <w:szCs w:val="18"/>
                      <w:highlight w:val="none"/>
                      <w:lang w:eastAsia="zh-CN"/>
                    </w:rPr>
                    <w:t>污水处理厂深度处理。</w:t>
                  </w:r>
                  <w:r>
                    <w:rPr>
                      <w:rFonts w:hint="default" w:ascii="Times New Roman" w:hAnsi="Times New Roman" w:eastAsia="宋体" w:cs="Times New Roman"/>
                      <w:color w:val="auto"/>
                      <w:sz w:val="18"/>
                      <w:szCs w:val="18"/>
                      <w:highlight w:val="none"/>
                      <w:lang w:val="en-US" w:eastAsia="zh-CN"/>
                    </w:rPr>
                    <w:t>锅炉排污水及软化处理废水夏季用于锅炉房及厂区内洒水降尘，不外排。冬季进入沉淀池，再由水泵抽入废浆</w:t>
                  </w:r>
                  <w:r>
                    <w:rPr>
                      <w:rFonts w:hint="eastAsia" w:eastAsia="宋体" w:cs="Times New Roman"/>
                      <w:color w:val="auto"/>
                      <w:sz w:val="18"/>
                      <w:szCs w:val="18"/>
                      <w:highlight w:val="none"/>
                      <w:lang w:val="en-US" w:eastAsia="zh-CN"/>
                    </w:rPr>
                    <w:t>池</w:t>
                  </w:r>
                  <w:r>
                    <w:rPr>
                      <w:rFonts w:hint="default" w:ascii="Times New Roman" w:hAnsi="Times New Roman" w:eastAsia="宋体" w:cs="Times New Roman"/>
                      <w:color w:val="auto"/>
                      <w:sz w:val="18"/>
                      <w:szCs w:val="18"/>
                      <w:highlight w:val="none"/>
                      <w:lang w:val="en-US" w:eastAsia="zh-CN"/>
                    </w:rPr>
                    <w:t>，最后回用于制浆用水，不外排。沉淀池、初期雨水池、废浆池、废浆搅拌池等池底和池壁采用抗渗混凝土，且池体和池壁厚度不小于250mm，建议在水池外侧加做高密度聚乙烯土工膜、防水卷材或涂刷有机玻璃钢聚氨酯等高渗透系数的人造材料防渗层，厚度不宜小于2mm。</w:t>
                  </w:r>
                  <w:r>
                    <w:rPr>
                      <w:rFonts w:hint="eastAsia" w:eastAsia="宋体" w:cs="Times New Roman"/>
                      <w:color w:val="auto"/>
                      <w:sz w:val="18"/>
                      <w:szCs w:val="18"/>
                      <w:highlight w:val="none"/>
                      <w:lang w:val="en-US" w:eastAsia="zh-CN"/>
                    </w:rPr>
                    <w:t>项目沉淀池、废浆池、废浆液搅拌池均设置在车间内部，冬季不影响使用</w:t>
                  </w:r>
                </w:p>
              </w:tc>
              <w:tc>
                <w:tcPr>
                  <w:tcW w:w="967" w:type="dxa"/>
                  <w:vAlign w:val="center"/>
                </w:tcPr>
                <w:p w14:paraId="10DC57C0">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新建</w:t>
                  </w:r>
                </w:p>
              </w:tc>
            </w:tr>
            <w:tr w14:paraId="40FFDEF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64" w:type="dxa"/>
                  <w:vMerge w:val="continue"/>
                  <w:vAlign w:val="center"/>
                </w:tcPr>
                <w:p w14:paraId="3D10F6F2">
                  <w:pPr>
                    <w:pStyle w:val="73"/>
                    <w:rPr>
                      <w:rFonts w:hint="default" w:ascii="Times New Roman" w:hAnsi="Times New Roman" w:eastAsia="宋体" w:cs="Times New Roman"/>
                      <w:color w:val="auto"/>
                      <w:sz w:val="18"/>
                      <w:szCs w:val="18"/>
                      <w:highlight w:val="none"/>
                    </w:rPr>
                  </w:pPr>
                </w:p>
              </w:tc>
              <w:tc>
                <w:tcPr>
                  <w:tcW w:w="1024" w:type="dxa"/>
                  <w:vAlign w:val="center"/>
                </w:tcPr>
                <w:p w14:paraId="15FD5BBA">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供电</w:t>
                  </w:r>
                </w:p>
              </w:tc>
              <w:tc>
                <w:tcPr>
                  <w:tcW w:w="5224" w:type="dxa"/>
                  <w:vAlign w:val="center"/>
                </w:tcPr>
                <w:p w14:paraId="4DC98664">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国家电网供电</w:t>
                  </w:r>
                </w:p>
              </w:tc>
              <w:tc>
                <w:tcPr>
                  <w:tcW w:w="967" w:type="dxa"/>
                  <w:vAlign w:val="center"/>
                </w:tcPr>
                <w:p w14:paraId="17BC503C">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依托</w:t>
                  </w:r>
                </w:p>
              </w:tc>
            </w:tr>
            <w:tr w14:paraId="47615F6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64" w:type="dxa"/>
                  <w:vMerge w:val="continue"/>
                  <w:vAlign w:val="center"/>
                </w:tcPr>
                <w:p w14:paraId="0F5E7653">
                  <w:pPr>
                    <w:pStyle w:val="73"/>
                    <w:rPr>
                      <w:rFonts w:hint="default" w:ascii="Times New Roman" w:hAnsi="Times New Roman" w:eastAsia="宋体" w:cs="Times New Roman"/>
                      <w:color w:val="auto"/>
                      <w:sz w:val="18"/>
                      <w:szCs w:val="18"/>
                      <w:highlight w:val="none"/>
                    </w:rPr>
                  </w:pPr>
                </w:p>
              </w:tc>
              <w:tc>
                <w:tcPr>
                  <w:tcW w:w="1024" w:type="dxa"/>
                  <w:vAlign w:val="center"/>
                </w:tcPr>
                <w:p w14:paraId="5466BF93">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供暖</w:t>
                  </w:r>
                </w:p>
              </w:tc>
              <w:tc>
                <w:tcPr>
                  <w:tcW w:w="5224" w:type="dxa"/>
                  <w:vAlign w:val="center"/>
                </w:tcPr>
                <w:p w14:paraId="77E953F4">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项目厂房冬季取暖采用锅炉蒸汽余热，办公楼采暖</w:t>
                  </w:r>
                  <w:r>
                    <w:rPr>
                      <w:rFonts w:hint="default" w:ascii="Times New Roman" w:hAnsi="Times New Roman" w:eastAsia="宋体" w:cs="Times New Roman"/>
                      <w:color w:val="auto"/>
                      <w:sz w:val="18"/>
                      <w:szCs w:val="18"/>
                      <w:highlight w:val="none"/>
                      <w:lang w:val="en-US" w:eastAsia="zh-CN"/>
                    </w:rPr>
                    <w:t>采用</w:t>
                  </w:r>
                  <w:r>
                    <w:rPr>
                      <w:rFonts w:hint="default" w:ascii="Times New Roman" w:hAnsi="Times New Roman" w:eastAsia="宋体" w:cs="Times New Roman"/>
                      <w:color w:val="auto"/>
                      <w:sz w:val="18"/>
                      <w:szCs w:val="18"/>
                      <w:highlight w:val="none"/>
                      <w:lang w:eastAsia="zh-CN"/>
                    </w:rPr>
                    <w:t>空调</w:t>
                  </w:r>
                  <w:r>
                    <w:rPr>
                      <w:rFonts w:hint="default" w:ascii="Times New Roman" w:hAnsi="Times New Roman" w:eastAsia="宋体" w:cs="Times New Roman"/>
                      <w:color w:val="auto"/>
                      <w:sz w:val="18"/>
                      <w:szCs w:val="18"/>
                      <w:highlight w:val="none"/>
                      <w:lang w:val="en-US" w:eastAsia="zh-CN"/>
                    </w:rPr>
                    <w:t>取暖</w:t>
                  </w:r>
                </w:p>
              </w:tc>
              <w:tc>
                <w:tcPr>
                  <w:tcW w:w="967" w:type="dxa"/>
                  <w:vAlign w:val="center"/>
                </w:tcPr>
                <w:p w14:paraId="6830C4C1">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新建</w:t>
                  </w:r>
                </w:p>
              </w:tc>
            </w:tr>
            <w:tr w14:paraId="349C868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64" w:type="dxa"/>
                  <w:vMerge w:val="restart"/>
                  <w:vAlign w:val="center"/>
                </w:tcPr>
                <w:p w14:paraId="0141EAC3">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环保</w:t>
                  </w:r>
                </w:p>
                <w:p w14:paraId="626602EF">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工程</w:t>
                  </w:r>
                </w:p>
              </w:tc>
              <w:tc>
                <w:tcPr>
                  <w:tcW w:w="1024" w:type="dxa"/>
                  <w:vAlign w:val="center"/>
                </w:tcPr>
                <w:p w14:paraId="775F6122">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废气</w:t>
                  </w:r>
                </w:p>
              </w:tc>
              <w:tc>
                <w:tcPr>
                  <w:tcW w:w="5224" w:type="dxa"/>
                  <w:vAlign w:val="center"/>
                </w:tcPr>
                <w:p w14:paraId="5FD5928B">
                  <w:pPr>
                    <w:pStyle w:val="73"/>
                    <w:spacing w:before="0" w:after="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vertAlign w:val="baseline"/>
                      <w:lang w:val="en-US" w:eastAsia="zh-CN" w:bidi="ar"/>
                    </w:rPr>
                    <w:t>石膏堆场及铝粉膏堆场均位于生产车间内，砂料储存在粉煤灰库房内，车间及库房均密闭，在物料装卸过程中采用洒水抑尘的措施减少粉尘产生。粉煤灰筒仓、水泥筒仓及石灰粉筒仓均在仓顶配备布袋除尘器，防止颗粒物逸散。</w:t>
                  </w:r>
                  <w:r>
                    <w:rPr>
                      <w:rFonts w:hint="default" w:ascii="Times New Roman" w:hAnsi="Times New Roman" w:eastAsia="宋体" w:cs="Times New Roman"/>
                      <w:color w:val="auto"/>
                      <w:sz w:val="18"/>
                      <w:szCs w:val="18"/>
                      <w:highlight w:val="none"/>
                    </w:rPr>
                    <w:t>本项目锅炉废气经</w:t>
                  </w:r>
                  <w:r>
                    <w:rPr>
                      <w:rFonts w:hint="eastAsia" w:ascii="Times New Roman" w:hAnsi="Times New Roman" w:eastAsia="宋体" w:cs="Times New Roman"/>
                      <w:color w:val="auto"/>
                      <w:sz w:val="18"/>
                      <w:szCs w:val="18"/>
                      <w:highlight w:val="none"/>
                      <w:lang w:eastAsia="zh-CN"/>
                    </w:rPr>
                    <w:t>低氮燃烧</w:t>
                  </w:r>
                  <w:r>
                    <w:rPr>
                      <w:rFonts w:hint="default" w:ascii="Times New Roman" w:hAnsi="Times New Roman" w:eastAsia="宋体" w:cs="Times New Roman"/>
                      <w:color w:val="auto"/>
                      <w:sz w:val="18"/>
                      <w:szCs w:val="18"/>
                      <w:highlight w:val="none"/>
                    </w:rPr>
                    <w:t>+</w:t>
                  </w:r>
                  <w:r>
                    <w:rPr>
                      <w:rFonts w:hint="eastAsia" w:eastAsia="宋体" w:cs="Times New Roman"/>
                      <w:color w:val="auto"/>
                      <w:sz w:val="18"/>
                      <w:szCs w:val="18"/>
                      <w:highlight w:val="none"/>
                      <w:lang w:eastAsia="zh-CN"/>
                    </w:rPr>
                    <w:t>旋风除尘</w:t>
                  </w:r>
                  <w:r>
                    <w:rPr>
                      <w:rFonts w:hint="eastAsia"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eastAsia="zh-CN"/>
                    </w:rPr>
                    <w:t>（处理效率为</w:t>
                  </w:r>
                  <w:r>
                    <w:rPr>
                      <w:rFonts w:hint="default" w:ascii="Times New Roman" w:hAnsi="Times New Roman" w:eastAsia="宋体" w:cs="Times New Roman"/>
                      <w:color w:val="auto"/>
                      <w:sz w:val="18"/>
                      <w:szCs w:val="18"/>
                      <w:highlight w:val="none"/>
                      <w:lang w:val="en-US" w:eastAsia="zh-CN"/>
                    </w:rPr>
                    <w:t>99.6%</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处理后由40m高烟囱（DA002）排放</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满足《锅炉大气污染物排放标准》 （GB13271-2014）</w:t>
                  </w:r>
                  <w:r>
                    <w:rPr>
                      <w:rFonts w:hint="default" w:ascii="Times New Roman" w:hAnsi="Times New Roman" w:eastAsia="宋体" w:cs="Times New Roman"/>
                      <w:color w:val="auto"/>
                      <w:sz w:val="18"/>
                      <w:szCs w:val="18"/>
                      <w:highlight w:val="none"/>
                      <w:lang w:val="en-US" w:eastAsia="zh-CN"/>
                    </w:rPr>
                    <w:t>表2</w:t>
                  </w:r>
                  <w:r>
                    <w:rPr>
                      <w:rFonts w:hint="default" w:ascii="Times New Roman" w:hAnsi="Times New Roman" w:eastAsia="宋体" w:cs="Times New Roman"/>
                      <w:color w:val="auto"/>
                      <w:sz w:val="18"/>
                      <w:szCs w:val="18"/>
                      <w:highlight w:val="none"/>
                    </w:rPr>
                    <w:t>燃煤锅炉排放控制要求执行。</w:t>
                  </w:r>
                  <w:r>
                    <w:rPr>
                      <w:rFonts w:hint="default" w:ascii="Times New Roman" w:hAnsi="Times New Roman" w:eastAsia="宋体" w:cs="Times New Roman"/>
                      <w:color w:val="auto"/>
                      <w:sz w:val="18"/>
                      <w:szCs w:val="18"/>
                      <w:highlight w:val="none"/>
                      <w:lang w:val="en-US" w:eastAsia="zh-CN"/>
                    </w:rPr>
                    <w:t>本项目1#</w:t>
                  </w:r>
                  <w:r>
                    <w:rPr>
                      <w:rFonts w:hint="default" w:ascii="Times New Roman" w:hAnsi="Times New Roman" w:eastAsia="宋体" w:cs="Times New Roman"/>
                      <w:color w:val="auto"/>
                      <w:sz w:val="18"/>
                      <w:szCs w:val="18"/>
                      <w:highlight w:val="none"/>
                    </w:rPr>
                    <w:t>生产车间</w:t>
                  </w:r>
                  <w:r>
                    <w:rPr>
                      <w:rFonts w:hint="default" w:ascii="Times New Roman" w:hAnsi="Times New Roman" w:eastAsia="宋体" w:cs="Times New Roman"/>
                      <w:color w:val="auto"/>
                      <w:sz w:val="18"/>
                      <w:szCs w:val="18"/>
                      <w:highlight w:val="none"/>
                      <w:lang w:val="en-US" w:eastAsia="zh-CN"/>
                    </w:rPr>
                    <w:t>产生的球磨</w:t>
                  </w:r>
                  <w:r>
                    <w:rPr>
                      <w:rFonts w:hint="default" w:ascii="Times New Roman" w:hAnsi="Times New Roman" w:eastAsia="宋体" w:cs="Times New Roman"/>
                      <w:color w:val="auto"/>
                      <w:sz w:val="18"/>
                      <w:szCs w:val="18"/>
                      <w:highlight w:val="none"/>
                    </w:rPr>
                    <w:t>破碎粉尘经集气罩</w:t>
                  </w:r>
                  <w:r>
                    <w:rPr>
                      <w:rFonts w:hint="default" w:ascii="Times New Roman" w:hAnsi="Times New Roman" w:eastAsia="宋体" w:cs="Times New Roman"/>
                      <w:color w:val="auto"/>
                      <w:sz w:val="18"/>
                      <w:szCs w:val="18"/>
                      <w:highlight w:val="none"/>
                      <w:lang w:eastAsia="zh-CN"/>
                    </w:rPr>
                    <w:t>（收集效率为</w:t>
                  </w:r>
                  <w:r>
                    <w:rPr>
                      <w:rFonts w:hint="default" w:ascii="Times New Roman" w:hAnsi="Times New Roman" w:eastAsia="宋体" w:cs="Times New Roman"/>
                      <w:color w:val="auto"/>
                      <w:sz w:val="18"/>
                      <w:szCs w:val="18"/>
                      <w:highlight w:val="none"/>
                      <w:lang w:val="en-US" w:eastAsia="zh-CN"/>
                    </w:rPr>
                    <w:t>90%</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收集后</w:t>
                  </w:r>
                  <w:r>
                    <w:rPr>
                      <w:rFonts w:hint="default" w:ascii="Times New Roman" w:hAnsi="Times New Roman" w:eastAsia="宋体" w:cs="Times New Roman"/>
                      <w:color w:val="auto"/>
                      <w:sz w:val="18"/>
                      <w:szCs w:val="18"/>
                      <w:highlight w:val="none"/>
                    </w:rPr>
                    <w:t>输送至</w:t>
                  </w:r>
                  <w:r>
                    <w:rPr>
                      <w:rFonts w:hint="default" w:ascii="Times New Roman" w:hAnsi="Times New Roman" w:eastAsia="宋体" w:cs="Times New Roman"/>
                      <w:color w:val="auto"/>
                      <w:sz w:val="18"/>
                      <w:szCs w:val="18"/>
                      <w:highlight w:val="none"/>
                      <w:lang w:val="en-US" w:eastAsia="zh-CN"/>
                    </w:rPr>
                    <w:t>同一台</w:t>
                  </w: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eastAsia="zh-CN"/>
                    </w:rPr>
                    <w:t>（处理效率为</w:t>
                  </w:r>
                  <w:r>
                    <w:rPr>
                      <w:rFonts w:hint="default" w:ascii="Times New Roman" w:hAnsi="Times New Roman" w:eastAsia="宋体" w:cs="Times New Roman"/>
                      <w:color w:val="auto"/>
                      <w:sz w:val="18"/>
                      <w:szCs w:val="18"/>
                      <w:highlight w:val="none"/>
                      <w:lang w:val="en-US" w:eastAsia="zh-CN"/>
                    </w:rPr>
                    <w:t>99%</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处理后经车间外</w:t>
                  </w:r>
                  <w:r>
                    <w:rPr>
                      <w:rFonts w:hint="default" w:ascii="Times New Roman" w:hAnsi="Times New Roman" w:eastAsia="宋体" w:cs="Times New Roman"/>
                      <w:color w:val="auto"/>
                      <w:sz w:val="18"/>
                      <w:szCs w:val="18"/>
                      <w:highlight w:val="none"/>
                      <w:lang w:val="en-US" w:eastAsia="zh-CN"/>
                    </w:rPr>
                    <w:t>1根</w:t>
                  </w:r>
                  <w:r>
                    <w:rPr>
                      <w:rFonts w:hint="default" w:ascii="Times New Roman" w:hAnsi="Times New Roman" w:eastAsia="宋体" w:cs="Times New Roman"/>
                      <w:color w:val="auto"/>
                      <w:sz w:val="18"/>
                      <w:szCs w:val="18"/>
                      <w:highlight w:val="none"/>
                    </w:rPr>
                    <w:t>1</w:t>
                  </w:r>
                  <w:r>
                    <w:rPr>
                      <w:rFonts w:hint="eastAsia" w:eastAsia="宋体" w:cs="Times New Roman"/>
                      <w:color w:val="auto"/>
                      <w:sz w:val="18"/>
                      <w:szCs w:val="18"/>
                      <w:highlight w:val="none"/>
                      <w:lang w:val="en-US" w:eastAsia="zh-CN"/>
                    </w:rPr>
                    <w:t>7</w:t>
                  </w:r>
                  <w:r>
                    <w:rPr>
                      <w:rFonts w:hint="default" w:ascii="Times New Roman" w:hAnsi="Times New Roman" w:eastAsia="宋体" w:cs="Times New Roman"/>
                      <w:color w:val="auto"/>
                      <w:sz w:val="18"/>
                      <w:szCs w:val="18"/>
                      <w:highlight w:val="none"/>
                    </w:rPr>
                    <w:t>m高排气筒（DA00</w:t>
                  </w:r>
                  <w:r>
                    <w:rPr>
                      <w:rFonts w:hint="default" w:ascii="Times New Roman" w:hAnsi="Times New Roman" w:eastAsia="宋体" w:cs="Times New Roman"/>
                      <w:color w:val="auto"/>
                      <w:sz w:val="18"/>
                      <w:szCs w:val="18"/>
                      <w:highlight w:val="none"/>
                      <w:lang w:val="en-US" w:eastAsia="zh-CN"/>
                    </w:rPr>
                    <w:t>3</w:t>
                  </w:r>
                  <w:r>
                    <w:rPr>
                      <w:rFonts w:hint="default" w:ascii="Times New Roman" w:hAnsi="Times New Roman" w:eastAsia="宋体" w:cs="Times New Roman"/>
                      <w:color w:val="auto"/>
                      <w:sz w:val="18"/>
                      <w:szCs w:val="18"/>
                      <w:highlight w:val="none"/>
                    </w:rPr>
                    <w:t>）排放</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满足《砖瓦工业大气污染物排放标准》（GB29620-2013）及修改单中表2新建企业大气污染物排放限值。</w:t>
                  </w:r>
                  <w:r>
                    <w:rPr>
                      <w:rFonts w:hint="default" w:ascii="Times New Roman" w:hAnsi="Times New Roman" w:eastAsia="宋体"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rPr>
                    <w:t>生产车间</w:t>
                  </w:r>
                  <w:r>
                    <w:rPr>
                      <w:rFonts w:hint="default" w:ascii="Times New Roman" w:hAnsi="Times New Roman" w:eastAsia="宋体" w:cs="Times New Roman"/>
                      <w:color w:val="auto"/>
                      <w:sz w:val="18"/>
                      <w:szCs w:val="18"/>
                      <w:highlight w:val="none"/>
                      <w:lang w:val="en-US" w:eastAsia="zh-CN"/>
                    </w:rPr>
                    <w:t>产生的球磨</w:t>
                  </w:r>
                  <w:r>
                    <w:rPr>
                      <w:rFonts w:hint="default" w:ascii="Times New Roman" w:hAnsi="Times New Roman" w:eastAsia="宋体" w:cs="Times New Roman"/>
                      <w:color w:val="auto"/>
                      <w:sz w:val="18"/>
                      <w:szCs w:val="18"/>
                      <w:highlight w:val="none"/>
                    </w:rPr>
                    <w:t>破碎粉尘经集气罩</w:t>
                  </w:r>
                  <w:r>
                    <w:rPr>
                      <w:rFonts w:hint="default" w:ascii="Times New Roman" w:hAnsi="Times New Roman" w:eastAsia="宋体" w:cs="Times New Roman"/>
                      <w:color w:val="auto"/>
                      <w:sz w:val="18"/>
                      <w:szCs w:val="18"/>
                      <w:highlight w:val="none"/>
                      <w:lang w:eastAsia="zh-CN"/>
                    </w:rPr>
                    <w:t>（收集效率为</w:t>
                  </w:r>
                  <w:r>
                    <w:rPr>
                      <w:rFonts w:hint="default" w:ascii="Times New Roman" w:hAnsi="Times New Roman" w:eastAsia="宋体" w:cs="Times New Roman"/>
                      <w:color w:val="auto"/>
                      <w:sz w:val="18"/>
                      <w:szCs w:val="18"/>
                      <w:highlight w:val="none"/>
                      <w:lang w:val="en-US" w:eastAsia="zh-CN"/>
                    </w:rPr>
                    <w:t>90%</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val="en-US" w:eastAsia="zh-CN"/>
                    </w:rPr>
                    <w:t>收集后</w:t>
                  </w:r>
                  <w:r>
                    <w:rPr>
                      <w:rFonts w:hint="default" w:ascii="Times New Roman" w:hAnsi="Times New Roman" w:eastAsia="宋体" w:cs="Times New Roman"/>
                      <w:color w:val="auto"/>
                      <w:sz w:val="18"/>
                      <w:szCs w:val="18"/>
                      <w:highlight w:val="none"/>
                    </w:rPr>
                    <w:t>输送至</w:t>
                  </w:r>
                  <w:r>
                    <w:rPr>
                      <w:rFonts w:hint="default" w:ascii="Times New Roman" w:hAnsi="Times New Roman" w:eastAsia="宋体" w:cs="Times New Roman"/>
                      <w:color w:val="auto"/>
                      <w:sz w:val="18"/>
                      <w:szCs w:val="18"/>
                      <w:highlight w:val="none"/>
                      <w:lang w:val="en-US" w:eastAsia="zh-CN"/>
                    </w:rPr>
                    <w:t>同一台</w:t>
                  </w:r>
                  <w:r>
                    <w:rPr>
                      <w:rFonts w:hint="default" w:ascii="Times New Roman" w:hAnsi="Times New Roman" w:eastAsia="宋体" w:cs="Times New Roman"/>
                      <w:color w:val="auto"/>
                      <w:sz w:val="18"/>
                      <w:szCs w:val="18"/>
                      <w:highlight w:val="none"/>
                    </w:rPr>
                    <w:t>布袋除尘器</w:t>
                  </w:r>
                  <w:r>
                    <w:rPr>
                      <w:rFonts w:hint="default" w:ascii="Times New Roman" w:hAnsi="Times New Roman" w:eastAsia="宋体" w:cs="Times New Roman"/>
                      <w:color w:val="auto"/>
                      <w:sz w:val="18"/>
                      <w:szCs w:val="18"/>
                      <w:highlight w:val="none"/>
                      <w:lang w:eastAsia="zh-CN"/>
                    </w:rPr>
                    <w:t>（处理效率为</w:t>
                  </w:r>
                  <w:r>
                    <w:rPr>
                      <w:rFonts w:hint="default" w:ascii="Times New Roman" w:hAnsi="Times New Roman" w:eastAsia="宋体" w:cs="Times New Roman"/>
                      <w:color w:val="auto"/>
                      <w:sz w:val="18"/>
                      <w:szCs w:val="18"/>
                      <w:highlight w:val="none"/>
                      <w:lang w:val="en-US" w:eastAsia="zh-CN"/>
                    </w:rPr>
                    <w:t>99%</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处理后经车间外</w:t>
                  </w:r>
                  <w:r>
                    <w:rPr>
                      <w:rFonts w:hint="default" w:ascii="Times New Roman" w:hAnsi="Times New Roman" w:eastAsia="宋体" w:cs="Times New Roman"/>
                      <w:color w:val="auto"/>
                      <w:sz w:val="18"/>
                      <w:szCs w:val="18"/>
                      <w:highlight w:val="none"/>
                      <w:lang w:val="en-US" w:eastAsia="zh-CN"/>
                    </w:rPr>
                    <w:t>1根</w:t>
                  </w:r>
                  <w:r>
                    <w:rPr>
                      <w:rFonts w:hint="default" w:ascii="Times New Roman" w:hAnsi="Times New Roman" w:eastAsia="宋体" w:cs="Times New Roman"/>
                      <w:color w:val="auto"/>
                      <w:sz w:val="18"/>
                      <w:szCs w:val="18"/>
                      <w:highlight w:val="none"/>
                    </w:rPr>
                    <w:t>1</w:t>
                  </w:r>
                  <w:r>
                    <w:rPr>
                      <w:rFonts w:hint="eastAsia" w:eastAsia="宋体" w:cs="Times New Roman"/>
                      <w:color w:val="auto"/>
                      <w:sz w:val="18"/>
                      <w:szCs w:val="18"/>
                      <w:highlight w:val="none"/>
                      <w:lang w:val="en-US" w:eastAsia="zh-CN"/>
                    </w:rPr>
                    <w:t>7</w:t>
                  </w:r>
                  <w:r>
                    <w:rPr>
                      <w:rFonts w:hint="default" w:ascii="Times New Roman" w:hAnsi="Times New Roman" w:eastAsia="宋体" w:cs="Times New Roman"/>
                      <w:color w:val="auto"/>
                      <w:sz w:val="18"/>
                      <w:szCs w:val="18"/>
                      <w:highlight w:val="none"/>
                    </w:rPr>
                    <w:t>m高排气筒（DA00</w:t>
                  </w:r>
                  <w:r>
                    <w:rPr>
                      <w:rFonts w:hint="default" w:ascii="Times New Roman" w:hAnsi="Times New Roman" w:eastAsia="宋体" w:cs="Times New Roman"/>
                      <w:color w:val="auto"/>
                      <w:sz w:val="18"/>
                      <w:szCs w:val="18"/>
                      <w:highlight w:val="none"/>
                      <w:lang w:val="en-US" w:eastAsia="zh-CN"/>
                    </w:rPr>
                    <w:t>4</w:t>
                  </w:r>
                  <w:r>
                    <w:rPr>
                      <w:rFonts w:hint="default" w:ascii="Times New Roman" w:hAnsi="Times New Roman" w:eastAsia="宋体" w:cs="Times New Roman"/>
                      <w:color w:val="auto"/>
                      <w:sz w:val="18"/>
                      <w:szCs w:val="18"/>
                      <w:highlight w:val="none"/>
                    </w:rPr>
                    <w:t>）排放</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rPr>
                    <w:t>满足《水泥工业大气污染物排放标准》（GB4915-2013）及修改单中表1</w:t>
                  </w:r>
                  <w:r>
                    <w:rPr>
                      <w:rFonts w:hint="default" w:ascii="Times New Roman" w:hAnsi="Times New Roman" w:eastAsia="宋体" w:cs="Times New Roman"/>
                      <w:color w:val="auto"/>
                      <w:sz w:val="18"/>
                      <w:szCs w:val="18"/>
                      <w:highlight w:val="none"/>
                      <w:lang w:val="en-US" w:eastAsia="zh-CN"/>
                    </w:rPr>
                    <w:t>现有和</w:t>
                  </w:r>
                  <w:r>
                    <w:rPr>
                      <w:rFonts w:hint="default" w:ascii="Times New Roman" w:hAnsi="Times New Roman" w:eastAsia="宋体" w:cs="Times New Roman"/>
                      <w:color w:val="auto"/>
                      <w:sz w:val="18"/>
                      <w:szCs w:val="18"/>
                      <w:highlight w:val="none"/>
                    </w:rPr>
                    <w:t>新建企业大气污染物排放限值。本项目钢筋防腐浸泡及</w:t>
                  </w:r>
                  <w:r>
                    <w:rPr>
                      <w:rFonts w:hint="default" w:ascii="Times New Roman" w:hAnsi="Times New Roman" w:eastAsia="宋体" w:cs="Times New Roman"/>
                      <w:color w:val="auto"/>
                      <w:sz w:val="18"/>
                      <w:szCs w:val="18"/>
                      <w:highlight w:val="none"/>
                      <w:lang w:eastAsia="zh-CN"/>
                    </w:rPr>
                    <w:t>烘干</w:t>
                  </w:r>
                  <w:r>
                    <w:rPr>
                      <w:rFonts w:hint="default" w:ascii="Times New Roman" w:hAnsi="Times New Roman" w:eastAsia="宋体" w:cs="Times New Roman"/>
                      <w:color w:val="auto"/>
                      <w:sz w:val="18"/>
                      <w:szCs w:val="18"/>
                      <w:highlight w:val="none"/>
                    </w:rPr>
                    <w:t>工序会产生有机废气经活性炭吸附处理后由15m高排气筒（DA00</w:t>
                  </w:r>
                  <w:r>
                    <w:rPr>
                      <w:rFonts w:hint="default" w:ascii="Times New Roman" w:hAnsi="Times New Roman" w:eastAsia="宋体" w:cs="Times New Roman"/>
                      <w:color w:val="auto"/>
                      <w:sz w:val="18"/>
                      <w:szCs w:val="18"/>
                      <w:highlight w:val="none"/>
                      <w:lang w:val="en-US" w:eastAsia="zh-CN"/>
                    </w:rPr>
                    <w:t>1</w:t>
                  </w:r>
                  <w:r>
                    <w:rPr>
                      <w:rFonts w:hint="default" w:ascii="Times New Roman" w:hAnsi="Times New Roman" w:eastAsia="宋体" w:cs="Times New Roman"/>
                      <w:color w:val="auto"/>
                      <w:sz w:val="18"/>
                      <w:szCs w:val="18"/>
                      <w:highlight w:val="none"/>
                    </w:rPr>
                    <w:t>）排放</w:t>
                  </w:r>
                  <w:r>
                    <w:rPr>
                      <w:rFonts w:hint="eastAsia" w:eastAsia="宋体" w:cs="Times New Roman"/>
                      <w:color w:val="auto"/>
                      <w:sz w:val="18"/>
                      <w:szCs w:val="18"/>
                      <w:highlight w:val="none"/>
                      <w:lang w:val="en-US" w:eastAsia="zh-CN"/>
                    </w:rPr>
                    <w:t>满足</w:t>
                  </w:r>
                  <w:r>
                    <w:rPr>
                      <w:rFonts w:hint="default" w:ascii="Times New Roman" w:hAnsi="Times New Roman" w:eastAsia="宋体" w:cs="Times New Roman"/>
                      <w:color w:val="auto"/>
                      <w:sz w:val="18"/>
                      <w:szCs w:val="18"/>
                      <w:highlight w:val="none"/>
                    </w:rPr>
                    <w:t>《大气污染物综合排放标准》（GB16297-1996）表2中二级排放限值。</w:t>
                  </w:r>
                  <w:r>
                    <w:rPr>
                      <w:rFonts w:hint="default" w:ascii="Times New Roman" w:hAnsi="Times New Roman" w:eastAsia="宋体" w:cs="Times New Roman"/>
                      <w:color w:val="auto"/>
                      <w:sz w:val="18"/>
                      <w:szCs w:val="18"/>
                      <w:highlight w:val="none"/>
                      <w:lang w:eastAsia="zh-CN"/>
                    </w:rPr>
                    <w:t>焊接烟尘采用移动式烟尘净化器处理后</w:t>
                  </w:r>
                  <w:r>
                    <w:rPr>
                      <w:rFonts w:hint="eastAsia" w:eastAsia="宋体" w:cs="Times New Roman"/>
                      <w:color w:val="auto"/>
                      <w:sz w:val="18"/>
                      <w:szCs w:val="18"/>
                      <w:highlight w:val="none"/>
                      <w:lang w:eastAsia="zh-CN"/>
                    </w:rPr>
                    <w:t>，</w:t>
                  </w:r>
                  <w:r>
                    <w:rPr>
                      <w:rFonts w:hint="eastAsia" w:eastAsia="宋体" w:cs="Times New Roman"/>
                      <w:color w:val="auto"/>
                      <w:sz w:val="18"/>
                      <w:szCs w:val="18"/>
                      <w:highlight w:val="none"/>
                      <w:lang w:val="en-US" w:eastAsia="zh-CN"/>
                    </w:rPr>
                    <w:t>无组织</w:t>
                  </w:r>
                  <w:r>
                    <w:rPr>
                      <w:rFonts w:hint="default" w:ascii="Times New Roman" w:hAnsi="Times New Roman" w:eastAsia="宋体" w:cs="Times New Roman"/>
                      <w:color w:val="auto"/>
                      <w:sz w:val="18"/>
                      <w:szCs w:val="18"/>
                      <w:highlight w:val="none"/>
                      <w:lang w:eastAsia="zh-CN"/>
                    </w:rPr>
                    <w:t>排放满足《水泥工业大气污染物排放标准》（GB4915-2013）及修改单中表3大气污染物无组织排放限值</w:t>
                  </w:r>
                  <w:r>
                    <w:rPr>
                      <w:rFonts w:hint="default" w:ascii="Times New Roman" w:hAnsi="Times New Roman" w:eastAsia="宋体" w:cs="Times New Roman"/>
                      <w:color w:val="auto"/>
                      <w:sz w:val="18"/>
                      <w:szCs w:val="18"/>
                      <w:highlight w:val="none"/>
                    </w:rPr>
                    <w:t>。</w:t>
                  </w:r>
                  <w:r>
                    <w:rPr>
                      <w:rFonts w:hint="default" w:ascii="Times New Roman" w:hAnsi="Times New Roman" w:eastAsia="宋体" w:cs="Times New Roman"/>
                      <w:color w:val="auto"/>
                      <w:sz w:val="18"/>
                      <w:szCs w:val="18"/>
                      <w:highlight w:val="none"/>
                      <w:lang w:eastAsia="zh-CN"/>
                    </w:rPr>
                    <w:t>厂界</w:t>
                  </w:r>
                  <w:r>
                    <w:rPr>
                      <w:rFonts w:hint="default" w:ascii="Times New Roman" w:hAnsi="Times New Roman" w:eastAsia="宋体" w:cs="Times New Roman"/>
                      <w:color w:val="auto"/>
                      <w:sz w:val="18"/>
                      <w:szCs w:val="18"/>
                      <w:highlight w:val="none"/>
                    </w:rPr>
                    <w:t>无组织颗粒物排放浓度满足《水泥工业大气污染物排放标准》（GB4915-2013）及修改单中表3大气污染物无组织排放限值要求。厂界非甲烷总烃执行《大气污染物综合排放标准》（GB16297-1996）表2中无组织排放监控浓度限值；厂内执行《挥发性有机物无组织排放控制标准》（GB37822-2019）标准要求。</w:t>
                  </w:r>
                </w:p>
              </w:tc>
              <w:tc>
                <w:tcPr>
                  <w:tcW w:w="967" w:type="dxa"/>
                  <w:vAlign w:val="center"/>
                </w:tcPr>
                <w:p w14:paraId="15B8F39D">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新建</w:t>
                  </w:r>
                </w:p>
              </w:tc>
            </w:tr>
            <w:tr w14:paraId="44A35BA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64" w:type="dxa"/>
                  <w:vMerge w:val="continue"/>
                  <w:vAlign w:val="center"/>
                </w:tcPr>
                <w:p w14:paraId="21D7393D">
                  <w:pPr>
                    <w:pStyle w:val="73"/>
                    <w:rPr>
                      <w:rFonts w:hint="default" w:ascii="Times New Roman" w:hAnsi="Times New Roman" w:eastAsia="宋体" w:cs="Times New Roman"/>
                      <w:color w:val="auto"/>
                      <w:sz w:val="18"/>
                      <w:szCs w:val="18"/>
                      <w:highlight w:val="none"/>
                    </w:rPr>
                  </w:pPr>
                </w:p>
              </w:tc>
              <w:tc>
                <w:tcPr>
                  <w:tcW w:w="1024" w:type="dxa"/>
                  <w:vAlign w:val="center"/>
                </w:tcPr>
                <w:p w14:paraId="306F2EFD">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废水</w:t>
                  </w:r>
                </w:p>
              </w:tc>
              <w:tc>
                <w:tcPr>
                  <w:tcW w:w="5224" w:type="dxa"/>
                  <w:vAlign w:val="center"/>
                </w:tcPr>
                <w:p w14:paraId="22B36805">
                  <w:pPr>
                    <w:widowControl/>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eastAsia="zh-CN"/>
                    </w:rPr>
                    <w:t>生产过程中产生的废浆、废水均汇入</w:t>
                  </w:r>
                  <w:r>
                    <w:rPr>
                      <w:rFonts w:hint="default" w:ascii="Times New Roman" w:hAnsi="Times New Roman" w:eastAsia="宋体" w:cs="Times New Roman"/>
                      <w:color w:val="auto"/>
                      <w:sz w:val="18"/>
                      <w:szCs w:val="18"/>
                      <w:highlight w:val="none"/>
                      <w:lang w:val="en-US" w:eastAsia="zh-CN"/>
                    </w:rPr>
                    <w:t>300m</w:t>
                  </w:r>
                  <w:r>
                    <w:rPr>
                      <w:rFonts w:hint="default" w:ascii="Times New Roman" w:hAnsi="Times New Roman" w:eastAsia="宋体" w:cs="Times New Roman"/>
                      <w:color w:val="auto"/>
                      <w:sz w:val="18"/>
                      <w:szCs w:val="18"/>
                      <w:highlight w:val="none"/>
                      <w:vertAlign w:val="superscript"/>
                      <w:lang w:val="en-US" w:eastAsia="zh-CN"/>
                    </w:rPr>
                    <w:t>3</w:t>
                  </w:r>
                  <w:r>
                    <w:rPr>
                      <w:rFonts w:hint="default" w:ascii="Times New Roman" w:hAnsi="Times New Roman" w:eastAsia="宋体" w:cs="Times New Roman"/>
                      <w:color w:val="auto"/>
                      <w:sz w:val="18"/>
                      <w:szCs w:val="18"/>
                      <w:highlight w:val="none"/>
                      <w:lang w:eastAsia="zh-CN"/>
                    </w:rPr>
                    <w:t>废浆池，然后用泵打入切割机下废浆搅拌池</w:t>
                  </w:r>
                  <w:r>
                    <w:rPr>
                      <w:rFonts w:hint="default" w:ascii="Times New Roman" w:hAnsi="Times New Roman" w:eastAsia="宋体" w:cs="Times New Roman"/>
                      <w:color w:val="auto"/>
                      <w:sz w:val="18"/>
                      <w:szCs w:val="18"/>
                      <w:highlight w:val="none"/>
                      <w:lang w:val="en-US" w:eastAsia="zh-CN"/>
                    </w:rPr>
                    <w:t>200m</w:t>
                  </w:r>
                  <w:r>
                    <w:rPr>
                      <w:rFonts w:hint="default" w:ascii="Times New Roman" w:hAnsi="Times New Roman" w:eastAsia="宋体" w:cs="Times New Roman"/>
                      <w:color w:val="auto"/>
                      <w:sz w:val="18"/>
                      <w:szCs w:val="18"/>
                      <w:highlight w:val="none"/>
                      <w:vertAlign w:val="superscript"/>
                      <w:lang w:val="en-US" w:eastAsia="zh-CN"/>
                    </w:rPr>
                    <w:t>3</w:t>
                  </w:r>
                  <w:r>
                    <w:rPr>
                      <w:rFonts w:hint="default" w:ascii="Times New Roman" w:hAnsi="Times New Roman" w:eastAsia="宋体" w:cs="Times New Roman"/>
                      <w:color w:val="auto"/>
                      <w:sz w:val="18"/>
                      <w:szCs w:val="18"/>
                      <w:highlight w:val="none"/>
                      <w:lang w:eastAsia="zh-CN"/>
                    </w:rPr>
                    <w:t>作制浆用水。生活污水排入厂区化粪池后经排入园区污水管网排入铁力市</w:t>
                  </w:r>
                  <w:r>
                    <w:rPr>
                      <w:rFonts w:hint="default" w:ascii="Times New Roman" w:hAnsi="Times New Roman" w:eastAsia="宋体" w:cs="Times New Roman"/>
                      <w:color w:val="auto"/>
                      <w:sz w:val="18"/>
                      <w:szCs w:val="18"/>
                      <w:highlight w:val="none"/>
                      <w:lang w:val="en-US" w:eastAsia="zh-CN"/>
                    </w:rPr>
                    <w:t>依吉</w:t>
                  </w:r>
                  <w:r>
                    <w:rPr>
                      <w:rFonts w:hint="default" w:ascii="Times New Roman" w:hAnsi="Times New Roman" w:eastAsia="宋体" w:cs="Times New Roman"/>
                      <w:color w:val="auto"/>
                      <w:sz w:val="18"/>
                      <w:szCs w:val="18"/>
                      <w:highlight w:val="none"/>
                      <w:lang w:eastAsia="zh-CN"/>
                    </w:rPr>
                    <w:t>污水处理厂深度处理。</w:t>
                  </w:r>
                  <w:r>
                    <w:rPr>
                      <w:rFonts w:hint="default" w:ascii="Times New Roman" w:hAnsi="Times New Roman" w:eastAsia="宋体" w:cs="Times New Roman"/>
                      <w:color w:val="auto"/>
                      <w:sz w:val="18"/>
                      <w:szCs w:val="18"/>
                      <w:highlight w:val="none"/>
                      <w:lang w:val="en-US" w:eastAsia="zh-CN"/>
                    </w:rPr>
                    <w:t>锅炉排污水及软化处理废水夏季用于锅炉房及厂区内洒水降尘，不外排。冬季进入沉淀池，再由水泵抽入</w:t>
                  </w:r>
                  <w:r>
                    <w:rPr>
                      <w:rFonts w:hint="default" w:ascii="Times New Roman" w:hAnsi="Times New Roman" w:eastAsia="宋体" w:cs="Times New Roman"/>
                      <w:color w:val="auto"/>
                      <w:sz w:val="18"/>
                      <w:szCs w:val="18"/>
                      <w:highlight w:val="none"/>
                      <w:lang w:eastAsia="zh-CN"/>
                    </w:rPr>
                    <w:t>废浆池</w:t>
                  </w:r>
                  <w:r>
                    <w:rPr>
                      <w:rFonts w:hint="default" w:ascii="Times New Roman" w:hAnsi="Times New Roman" w:eastAsia="宋体" w:cs="Times New Roman"/>
                      <w:color w:val="auto"/>
                      <w:sz w:val="18"/>
                      <w:szCs w:val="18"/>
                      <w:highlight w:val="none"/>
                      <w:lang w:val="en-US" w:eastAsia="zh-CN"/>
                    </w:rPr>
                    <w:t>，最后回用于制浆用水，不外排。</w:t>
                  </w:r>
                  <w:r>
                    <w:rPr>
                      <w:rFonts w:hint="eastAsia" w:eastAsia="宋体" w:cs="Times New Roman"/>
                      <w:color w:val="auto"/>
                      <w:sz w:val="18"/>
                      <w:szCs w:val="18"/>
                      <w:highlight w:val="none"/>
                      <w:lang w:val="en-US" w:eastAsia="zh-CN"/>
                    </w:rPr>
                    <w:t>项目沉淀池、废浆池、废浆液搅拌池均设置在车间内部，冬季不影响使用</w:t>
                  </w:r>
                </w:p>
              </w:tc>
              <w:tc>
                <w:tcPr>
                  <w:tcW w:w="967" w:type="dxa"/>
                  <w:vAlign w:val="center"/>
                </w:tcPr>
                <w:p w14:paraId="1CF39989">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新建</w:t>
                  </w:r>
                </w:p>
              </w:tc>
            </w:tr>
            <w:tr w14:paraId="1DC2B6DA">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90" w:hRule="atLeast"/>
                <w:jc w:val="center"/>
              </w:trPr>
              <w:tc>
                <w:tcPr>
                  <w:tcW w:w="664" w:type="dxa"/>
                  <w:vMerge w:val="continue"/>
                  <w:vAlign w:val="center"/>
                </w:tcPr>
                <w:p w14:paraId="6C0D4F65">
                  <w:pPr>
                    <w:pStyle w:val="73"/>
                    <w:rPr>
                      <w:rFonts w:hint="default" w:ascii="Times New Roman" w:hAnsi="Times New Roman" w:eastAsia="宋体" w:cs="Times New Roman"/>
                      <w:color w:val="auto"/>
                      <w:sz w:val="18"/>
                      <w:szCs w:val="18"/>
                      <w:highlight w:val="none"/>
                    </w:rPr>
                  </w:pPr>
                </w:p>
              </w:tc>
              <w:tc>
                <w:tcPr>
                  <w:tcW w:w="1024" w:type="dxa"/>
                  <w:vAlign w:val="center"/>
                </w:tcPr>
                <w:p w14:paraId="092D6257">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噪声</w:t>
                  </w:r>
                </w:p>
              </w:tc>
              <w:tc>
                <w:tcPr>
                  <w:tcW w:w="5224" w:type="dxa"/>
                  <w:vAlign w:val="center"/>
                </w:tcPr>
                <w:p w14:paraId="2CAB9B08">
                  <w:pPr>
                    <w:pStyle w:val="73"/>
                    <w:ind w:firstLine="360" w:firstLineChars="200"/>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选用低噪声设备、隔声和减振等措施</w:t>
                  </w:r>
                </w:p>
              </w:tc>
              <w:tc>
                <w:tcPr>
                  <w:tcW w:w="967" w:type="dxa"/>
                  <w:vAlign w:val="center"/>
                </w:tcPr>
                <w:p w14:paraId="0161AAA6">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新建</w:t>
                  </w:r>
                </w:p>
              </w:tc>
            </w:tr>
            <w:tr w14:paraId="569FCF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12" w:hRule="atLeast"/>
                <w:jc w:val="center"/>
              </w:trPr>
              <w:tc>
                <w:tcPr>
                  <w:tcW w:w="664" w:type="dxa"/>
                  <w:vMerge w:val="continue"/>
                  <w:vAlign w:val="center"/>
                </w:tcPr>
                <w:p w14:paraId="49948B01">
                  <w:pPr>
                    <w:pStyle w:val="73"/>
                    <w:ind w:firstLine="560"/>
                    <w:rPr>
                      <w:rFonts w:hint="default" w:ascii="Times New Roman" w:hAnsi="Times New Roman" w:eastAsia="宋体" w:cs="Times New Roman"/>
                      <w:color w:val="auto"/>
                      <w:sz w:val="18"/>
                      <w:szCs w:val="18"/>
                      <w:highlight w:val="none"/>
                    </w:rPr>
                  </w:pPr>
                </w:p>
              </w:tc>
              <w:tc>
                <w:tcPr>
                  <w:tcW w:w="1024" w:type="dxa"/>
                  <w:vAlign w:val="center"/>
                </w:tcPr>
                <w:p w14:paraId="4EA2AAE6">
                  <w:pPr>
                    <w:adjustRightInd w:val="0"/>
                    <w:snapToGrid w:val="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tc>
              <w:tc>
                <w:tcPr>
                  <w:tcW w:w="5224" w:type="dxa"/>
                  <w:vAlign w:val="center"/>
                </w:tcPr>
                <w:p w14:paraId="5BA577CE">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本项目生活垃圾由市政环卫部门统一清运处理。废布袋更换后由厂家直接带走。塑料包装带收集后交由市政部门统一处置；不合格品、废边角料收集后外售其他水泥制品单位综合利用。浸泡废水、防腐剂桶、脱模剂桶、废矿物油、废油桶收集后暂存于厂内</w:t>
                  </w:r>
                  <w:r>
                    <w:rPr>
                      <w:rFonts w:hint="eastAsia" w:ascii="Times New Roman" w:hAnsi="Times New Roman" w:eastAsia="宋体" w:cs="Times New Roman"/>
                      <w:color w:val="auto"/>
                      <w:sz w:val="18"/>
                      <w:szCs w:val="18"/>
                      <w:highlight w:val="none"/>
                      <w:lang w:eastAsia="zh-CN"/>
                    </w:rPr>
                    <w:t>危险废物贮存点</w:t>
                  </w:r>
                  <w:r>
                    <w:rPr>
                      <w:rFonts w:hint="default" w:ascii="Times New Roman" w:hAnsi="Times New Roman" w:eastAsia="宋体" w:cs="Times New Roman"/>
                      <w:color w:val="auto"/>
                      <w:sz w:val="18"/>
                      <w:szCs w:val="18"/>
                      <w:highlight w:val="none"/>
                      <w:lang w:eastAsia="zh-CN"/>
                    </w:rPr>
                    <w:t>，定期委托有资质单位处置。布袋除尘器收集粉尘收集后回用于生产。炉渣暂存于锅炉房内，定期外售综合利用。废离子交换树脂交由厂家回收。废活性炭暂存于</w:t>
                  </w:r>
                  <w:r>
                    <w:rPr>
                      <w:rFonts w:hint="eastAsia" w:ascii="Times New Roman" w:hAnsi="Times New Roman" w:eastAsia="宋体" w:cs="Times New Roman"/>
                      <w:color w:val="auto"/>
                      <w:sz w:val="18"/>
                      <w:szCs w:val="18"/>
                      <w:highlight w:val="none"/>
                      <w:lang w:eastAsia="zh-CN"/>
                    </w:rPr>
                    <w:t>危险废物贮存点</w:t>
                  </w:r>
                  <w:r>
                    <w:rPr>
                      <w:rFonts w:hint="default" w:ascii="Times New Roman" w:hAnsi="Times New Roman" w:eastAsia="宋体" w:cs="Times New Roman"/>
                      <w:color w:val="auto"/>
                      <w:sz w:val="18"/>
                      <w:szCs w:val="18"/>
                      <w:highlight w:val="none"/>
                      <w:lang w:eastAsia="zh-CN"/>
                    </w:rPr>
                    <w:t>内，定期交由有资质部门统一处理。</w:t>
                  </w:r>
                </w:p>
              </w:tc>
              <w:tc>
                <w:tcPr>
                  <w:tcW w:w="967" w:type="dxa"/>
                  <w:vMerge w:val="restart"/>
                  <w:vAlign w:val="center"/>
                </w:tcPr>
                <w:p w14:paraId="15049370">
                  <w:pPr>
                    <w:pStyle w:val="73"/>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新建</w:t>
                  </w:r>
                </w:p>
              </w:tc>
            </w:tr>
            <w:tr w14:paraId="6D513A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412" w:hRule="atLeast"/>
                <w:jc w:val="center"/>
              </w:trPr>
              <w:tc>
                <w:tcPr>
                  <w:tcW w:w="664" w:type="dxa"/>
                  <w:vMerge w:val="continue"/>
                  <w:vAlign w:val="center"/>
                </w:tcPr>
                <w:p w14:paraId="75C20B03">
                  <w:pPr>
                    <w:adjustRightInd w:val="0"/>
                    <w:snapToGrid w:val="0"/>
                    <w:jc w:val="center"/>
                    <w:rPr>
                      <w:rFonts w:hint="default" w:ascii="Times New Roman" w:hAnsi="Times New Roman" w:eastAsia="宋体" w:cs="Times New Roman"/>
                      <w:color w:val="auto"/>
                      <w:highlight w:val="none"/>
                    </w:rPr>
                  </w:pPr>
                </w:p>
              </w:tc>
              <w:tc>
                <w:tcPr>
                  <w:tcW w:w="1024" w:type="dxa"/>
                  <w:vAlign w:val="center"/>
                </w:tcPr>
                <w:p w14:paraId="03DC4939">
                  <w:pPr>
                    <w:adjustRightInd w:val="0"/>
                    <w:snapToGrid w:val="0"/>
                    <w:jc w:val="center"/>
                    <w:rPr>
                      <w:rFonts w:hint="default" w:ascii="Times New Roman" w:hAnsi="Times New Roman" w:eastAsia="宋体" w:cs="Times New Roman"/>
                      <w:color w:val="auto"/>
                      <w:sz w:val="18"/>
                      <w:szCs w:val="18"/>
                      <w:highlight w:val="none"/>
                      <w:lang w:eastAsia="zh-CN"/>
                    </w:rPr>
                  </w:pPr>
                  <w:r>
                    <w:rPr>
                      <w:rFonts w:hint="eastAsia" w:ascii="Times New Roman" w:hAnsi="Times New Roman" w:eastAsia="宋体" w:cs="Times New Roman"/>
                      <w:color w:val="auto"/>
                      <w:sz w:val="18"/>
                      <w:szCs w:val="18"/>
                      <w:highlight w:val="none"/>
                      <w:lang w:eastAsia="zh-CN"/>
                    </w:rPr>
                    <w:t>危险废物贮存点</w:t>
                  </w:r>
                </w:p>
              </w:tc>
              <w:tc>
                <w:tcPr>
                  <w:tcW w:w="5224" w:type="dxa"/>
                  <w:vAlign w:val="center"/>
                </w:tcPr>
                <w:p w14:paraId="570BBAD7">
                  <w:pPr>
                    <w:adjustRightInd w:val="0"/>
                    <w:snapToGrid w:val="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位于</w:t>
                  </w:r>
                  <w:r>
                    <w:rPr>
                      <w:rFonts w:hint="default" w:ascii="Times New Roman" w:hAnsi="Times New Roman" w:eastAsia="宋体" w:cs="Times New Roman"/>
                      <w:color w:val="auto"/>
                      <w:sz w:val="18"/>
                      <w:szCs w:val="18"/>
                      <w:highlight w:val="none"/>
                      <w:lang w:val="en-US" w:eastAsia="zh-CN"/>
                    </w:rPr>
                    <w:t>1#生产厂房内</w:t>
                  </w:r>
                  <w:r>
                    <w:rPr>
                      <w:rFonts w:hint="default" w:ascii="Times New Roman" w:hAnsi="Times New Roman" w:eastAsia="宋体" w:cs="Times New Roman"/>
                      <w:color w:val="auto"/>
                      <w:sz w:val="18"/>
                      <w:szCs w:val="18"/>
                      <w:highlight w:val="none"/>
                    </w:rPr>
                    <w:t>，建筑面积约</w:t>
                  </w:r>
                  <w:r>
                    <w:rPr>
                      <w:rFonts w:hint="default" w:ascii="Times New Roman" w:hAnsi="Times New Roman" w:eastAsia="宋体" w:cs="Times New Roman"/>
                      <w:color w:val="auto"/>
                      <w:sz w:val="18"/>
                      <w:szCs w:val="18"/>
                      <w:highlight w:val="none"/>
                      <w:lang w:val="en-US" w:eastAsia="zh-CN"/>
                    </w:rPr>
                    <w:t>50</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2</w:t>
                  </w:r>
                  <w:r>
                    <w:rPr>
                      <w:rFonts w:hint="default" w:ascii="Times New Roman" w:hAnsi="Times New Roman" w:eastAsia="宋体" w:cs="Times New Roman"/>
                      <w:color w:val="auto"/>
                      <w:sz w:val="18"/>
                      <w:szCs w:val="18"/>
                      <w:highlight w:val="none"/>
                    </w:rPr>
                    <w:t>，贮存能力</w:t>
                  </w:r>
                  <w:r>
                    <w:rPr>
                      <w:rFonts w:hint="default" w:ascii="Times New Roman" w:hAnsi="Times New Roman" w:eastAsia="宋体" w:cs="Times New Roman"/>
                      <w:color w:val="auto"/>
                      <w:sz w:val="18"/>
                      <w:szCs w:val="18"/>
                      <w:highlight w:val="none"/>
                      <w:lang w:val="en-US" w:eastAsia="zh-CN"/>
                    </w:rPr>
                    <w:t>5</w:t>
                  </w:r>
                  <w:r>
                    <w:rPr>
                      <w:rFonts w:hint="default" w:ascii="Times New Roman" w:hAnsi="Times New Roman" w:eastAsia="宋体" w:cs="Times New Roman"/>
                      <w:color w:val="auto"/>
                      <w:sz w:val="18"/>
                      <w:szCs w:val="18"/>
                      <w:highlight w:val="none"/>
                    </w:rPr>
                    <w:t>t，危险废物存放、防渗及转运过程必须按照《危险废物贮存污染控制标准》（GB18597-2023）的相关要求，地面防渗、裙脚防渗，防渗层为至少1米厚粘土层(渗透系数≤10</w:t>
                  </w:r>
                  <w:r>
                    <w:rPr>
                      <w:rFonts w:hint="default" w:ascii="Times New Roman" w:hAnsi="Times New Roman" w:eastAsia="宋体" w:cs="Times New Roman"/>
                      <w:color w:val="auto"/>
                      <w:sz w:val="18"/>
                      <w:szCs w:val="18"/>
                      <w:highlight w:val="none"/>
                      <w:vertAlign w:val="superscript"/>
                    </w:rPr>
                    <w:t>-7</w:t>
                  </w:r>
                  <w:r>
                    <w:rPr>
                      <w:rFonts w:hint="default" w:ascii="Times New Roman" w:hAnsi="Times New Roman" w:eastAsia="宋体" w:cs="Times New Roman"/>
                      <w:color w:val="auto"/>
                      <w:sz w:val="18"/>
                      <w:szCs w:val="18"/>
                      <w:highlight w:val="none"/>
                    </w:rPr>
                    <w:t>cm/s)，或2mm厚高密度聚乙烯膜等人工防渗材料(渗透系数≤10</w:t>
                  </w:r>
                  <w:r>
                    <w:rPr>
                      <w:rFonts w:hint="default" w:ascii="Times New Roman" w:hAnsi="Times New Roman" w:eastAsia="宋体" w:cs="Times New Roman"/>
                      <w:color w:val="auto"/>
                      <w:sz w:val="18"/>
                      <w:szCs w:val="18"/>
                      <w:highlight w:val="none"/>
                      <w:vertAlign w:val="superscript"/>
                    </w:rPr>
                    <w:t>-10</w:t>
                  </w:r>
                  <w:r>
                    <w:rPr>
                      <w:rFonts w:hint="default" w:ascii="Times New Roman" w:hAnsi="Times New Roman" w:eastAsia="宋体" w:cs="Times New Roman"/>
                      <w:color w:val="auto"/>
                      <w:sz w:val="18"/>
                      <w:szCs w:val="18"/>
                      <w:highlight w:val="none"/>
                    </w:rPr>
                    <w:t>cm/s)，并设置20cm高围堰。</w:t>
                  </w:r>
                </w:p>
              </w:tc>
              <w:tc>
                <w:tcPr>
                  <w:tcW w:w="967" w:type="dxa"/>
                  <w:vMerge w:val="continue"/>
                  <w:vAlign w:val="center"/>
                </w:tcPr>
                <w:p w14:paraId="18C6E0CF">
                  <w:pPr>
                    <w:adjustRightInd w:val="0"/>
                    <w:snapToGrid w:val="0"/>
                    <w:jc w:val="center"/>
                    <w:rPr>
                      <w:rFonts w:hint="default" w:ascii="Times New Roman" w:hAnsi="Times New Roman" w:eastAsia="宋体" w:cs="Times New Roman"/>
                      <w:color w:val="auto"/>
                      <w:sz w:val="18"/>
                      <w:szCs w:val="18"/>
                      <w:highlight w:val="none"/>
                    </w:rPr>
                  </w:pPr>
                </w:p>
              </w:tc>
            </w:tr>
          </w:tbl>
          <w:p w14:paraId="1FFDF9AE">
            <w:pPr>
              <w:adjustRightInd w:val="0"/>
              <w:snapToGrid w:val="0"/>
              <w:spacing w:line="360" w:lineRule="auto"/>
              <w:ind w:firstLine="422" w:firstLineChars="20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2.主要原辅料</w:t>
            </w:r>
            <w:r>
              <w:rPr>
                <w:rFonts w:hint="default" w:ascii="Times New Roman" w:hAnsi="Times New Roman" w:cs="Times New Roman"/>
                <w:b/>
                <w:bCs/>
                <w:color w:val="auto"/>
                <w:highlight w:val="none"/>
                <w:lang w:eastAsia="zh-CN"/>
              </w:rPr>
              <w:t>和产品方案</w:t>
            </w:r>
          </w:p>
          <w:p w14:paraId="62644291">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主要原辅料一览表详见表2-2。</w:t>
            </w:r>
          </w:p>
          <w:p w14:paraId="3F343A7B">
            <w:pPr>
              <w:autoSpaceDE w:val="0"/>
              <w:autoSpaceDN w:val="0"/>
              <w:adjustRightInd w:val="0"/>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表2-2  原辅料一览表</w:t>
            </w:r>
          </w:p>
          <w:tbl>
            <w:tblPr>
              <w:tblStyle w:val="33"/>
              <w:tblW w:w="7871"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2"/>
              <w:gridCol w:w="1664"/>
              <w:gridCol w:w="1213"/>
              <w:gridCol w:w="1555"/>
              <w:gridCol w:w="1773"/>
              <w:gridCol w:w="984"/>
            </w:tblGrid>
            <w:tr w14:paraId="7C5A6D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tcBorders>
                    <w:tl2br w:val="nil"/>
                    <w:tr2bl w:val="nil"/>
                  </w:tcBorders>
                  <w:vAlign w:val="center"/>
                </w:tcPr>
                <w:p w14:paraId="20341A42">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序号</w:t>
                  </w:r>
                </w:p>
              </w:tc>
              <w:tc>
                <w:tcPr>
                  <w:tcW w:w="1664" w:type="dxa"/>
                  <w:tcBorders>
                    <w:tl2br w:val="nil"/>
                    <w:tr2bl w:val="nil"/>
                  </w:tcBorders>
                  <w:vAlign w:val="center"/>
                </w:tcPr>
                <w:p w14:paraId="7EC18322">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原料名称</w:t>
                  </w:r>
                </w:p>
              </w:tc>
              <w:tc>
                <w:tcPr>
                  <w:tcW w:w="1213" w:type="dxa"/>
                  <w:tcBorders>
                    <w:tl2br w:val="nil"/>
                    <w:tr2bl w:val="nil"/>
                  </w:tcBorders>
                  <w:vAlign w:val="center"/>
                </w:tcPr>
                <w:p w14:paraId="6D0EA93C">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lang w:val="en-US" w:eastAsia="zh-CN"/>
                    </w:rPr>
                    <w:t>使用</w:t>
                  </w:r>
                  <w:r>
                    <w:rPr>
                      <w:rFonts w:hint="default" w:ascii="Times New Roman" w:hAnsi="Times New Roman" w:eastAsia="宋体" w:cs="Times New Roman"/>
                      <w:b w:val="0"/>
                      <w:bCs w:val="0"/>
                      <w:color w:val="auto"/>
                      <w:sz w:val="18"/>
                      <w:szCs w:val="18"/>
                      <w:highlight w:val="none"/>
                      <w:vertAlign w:val="baseline"/>
                    </w:rPr>
                    <w:t>量（t/a）</w:t>
                  </w:r>
                </w:p>
              </w:tc>
              <w:tc>
                <w:tcPr>
                  <w:tcW w:w="1555" w:type="dxa"/>
                  <w:tcBorders>
                    <w:tl2br w:val="nil"/>
                    <w:tr2bl w:val="nil"/>
                  </w:tcBorders>
                  <w:vAlign w:val="center"/>
                </w:tcPr>
                <w:p w14:paraId="77205485">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最大存放量（t/a）</w:t>
                  </w:r>
                </w:p>
              </w:tc>
              <w:tc>
                <w:tcPr>
                  <w:tcW w:w="1773" w:type="dxa"/>
                  <w:tcBorders>
                    <w:tl2br w:val="nil"/>
                    <w:tr2bl w:val="nil"/>
                  </w:tcBorders>
                  <w:vAlign w:val="center"/>
                </w:tcPr>
                <w:p w14:paraId="2588D920">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储存方式</w:t>
                  </w:r>
                </w:p>
              </w:tc>
              <w:tc>
                <w:tcPr>
                  <w:tcW w:w="984" w:type="dxa"/>
                  <w:tcBorders>
                    <w:tl2br w:val="nil"/>
                    <w:tr2bl w:val="nil"/>
                  </w:tcBorders>
                  <w:vAlign w:val="center"/>
                </w:tcPr>
                <w:p w14:paraId="025DAA1C">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转运周期</w:t>
                  </w:r>
                </w:p>
              </w:tc>
            </w:tr>
            <w:tr w14:paraId="3D9170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tcBorders>
                    <w:tl2br w:val="nil"/>
                    <w:tr2bl w:val="nil"/>
                  </w:tcBorders>
                  <w:vAlign w:val="center"/>
                </w:tcPr>
                <w:p w14:paraId="5FF3A1F2">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1</w:t>
                  </w:r>
                </w:p>
              </w:tc>
              <w:tc>
                <w:tcPr>
                  <w:tcW w:w="1664" w:type="dxa"/>
                  <w:tcBorders>
                    <w:tl2br w:val="nil"/>
                    <w:tr2bl w:val="nil"/>
                  </w:tcBorders>
                  <w:vAlign w:val="center"/>
                </w:tcPr>
                <w:p w14:paraId="28F718B9">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砂</w:t>
                  </w:r>
                </w:p>
              </w:tc>
              <w:tc>
                <w:tcPr>
                  <w:tcW w:w="1213" w:type="dxa"/>
                  <w:tcBorders>
                    <w:tl2br w:val="nil"/>
                    <w:tr2bl w:val="nil"/>
                  </w:tcBorders>
                  <w:shd w:val="clear" w:color="auto" w:fill="auto"/>
                  <w:vAlign w:val="center"/>
                </w:tcPr>
                <w:p w14:paraId="6A9A0BC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104083</w:t>
                  </w:r>
                </w:p>
              </w:tc>
              <w:tc>
                <w:tcPr>
                  <w:tcW w:w="1555" w:type="dxa"/>
                  <w:tcBorders>
                    <w:tl2br w:val="nil"/>
                    <w:tr2bl w:val="nil"/>
                  </w:tcBorders>
                  <w:vAlign w:val="center"/>
                </w:tcPr>
                <w:p w14:paraId="614E1066">
                  <w:pPr>
                    <w:keepNext w:val="0"/>
                    <w:keepLines w:val="0"/>
                    <w:widowControl/>
                    <w:suppressLineNumbers w:val="0"/>
                    <w:jc w:val="center"/>
                    <w:textAlignment w:val="center"/>
                    <w:rPr>
                      <w:rFonts w:hint="default" w:ascii="Times New Roman" w:hAnsi="Times New Roman" w:eastAsia="宋体" w:cs="Times New Roman"/>
                      <w:b w:val="0"/>
                      <w:bCs w:val="0"/>
                      <w:color w:val="auto"/>
                      <w:sz w:val="18"/>
                      <w:szCs w:val="18"/>
                      <w:highlight w:val="none"/>
                      <w:vertAlign w:val="baseline"/>
                      <w:lang w:val="en-US"/>
                    </w:rPr>
                  </w:pPr>
                  <w:r>
                    <w:rPr>
                      <w:rFonts w:hint="default" w:ascii="Times New Roman" w:hAnsi="Times New Roman" w:cs="Times New Roman"/>
                      <w:i w:val="0"/>
                      <w:iCs w:val="0"/>
                      <w:color w:val="auto"/>
                      <w:kern w:val="0"/>
                      <w:sz w:val="18"/>
                      <w:szCs w:val="18"/>
                      <w:highlight w:val="none"/>
                      <w:u w:val="none"/>
                      <w:lang w:val="en-US" w:eastAsia="zh-CN" w:bidi="ar"/>
                    </w:rPr>
                    <w:t>5200</w:t>
                  </w:r>
                </w:p>
              </w:tc>
              <w:tc>
                <w:tcPr>
                  <w:tcW w:w="1773" w:type="dxa"/>
                  <w:tcBorders>
                    <w:tl2br w:val="nil"/>
                    <w:tr2bl w:val="nil"/>
                  </w:tcBorders>
                  <w:vAlign w:val="center"/>
                </w:tcPr>
                <w:p w14:paraId="6620579A">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lang w:val="en-US"/>
                    </w:rPr>
                  </w:pPr>
                  <w:r>
                    <w:rPr>
                      <w:rFonts w:hint="eastAsia" w:cs="Times New Roman"/>
                      <w:b w:val="0"/>
                      <w:bCs w:val="0"/>
                      <w:i w:val="0"/>
                      <w:iCs w:val="0"/>
                      <w:color w:val="auto"/>
                      <w:kern w:val="0"/>
                      <w:sz w:val="18"/>
                      <w:szCs w:val="18"/>
                      <w:highlight w:val="none"/>
                      <w:u w:val="none"/>
                      <w:lang w:val="en-US" w:eastAsia="zh-CN" w:bidi="ar"/>
                    </w:rPr>
                    <w:t>袋装储存，粉煤灰库</w:t>
                  </w:r>
                </w:p>
              </w:tc>
              <w:tc>
                <w:tcPr>
                  <w:tcW w:w="984" w:type="dxa"/>
                  <w:tcBorders>
                    <w:tl2br w:val="nil"/>
                    <w:tr2bl w:val="nil"/>
                  </w:tcBorders>
                  <w:vAlign w:val="center"/>
                </w:tcPr>
                <w:p w14:paraId="1C688D0E">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eastAsia" w:cs="Times New Roman"/>
                      <w:b w:val="0"/>
                      <w:bCs w:val="0"/>
                      <w:i w:val="0"/>
                      <w:iCs w:val="0"/>
                      <w:color w:val="auto"/>
                      <w:kern w:val="0"/>
                      <w:sz w:val="18"/>
                      <w:szCs w:val="18"/>
                      <w:highlight w:val="none"/>
                      <w:u w:val="none"/>
                      <w:lang w:val="en-US" w:eastAsia="zh-CN" w:bidi="ar"/>
                    </w:rPr>
                    <w:t>15</w:t>
                  </w:r>
                  <w:r>
                    <w:rPr>
                      <w:rFonts w:hint="default" w:ascii="Times New Roman" w:hAnsi="Times New Roman" w:eastAsia="宋体" w:cs="Times New Roman"/>
                      <w:b w:val="0"/>
                      <w:bCs w:val="0"/>
                      <w:i w:val="0"/>
                      <w:iCs w:val="0"/>
                      <w:color w:val="auto"/>
                      <w:kern w:val="0"/>
                      <w:sz w:val="18"/>
                      <w:szCs w:val="18"/>
                      <w:highlight w:val="none"/>
                      <w:u w:val="none"/>
                      <w:lang w:val="en-US" w:eastAsia="zh-CN" w:bidi="ar"/>
                    </w:rPr>
                    <w:t>天</w:t>
                  </w:r>
                </w:p>
              </w:tc>
            </w:tr>
            <w:tr w14:paraId="72F795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tcBorders>
                    <w:tl2br w:val="nil"/>
                    <w:tr2bl w:val="nil"/>
                  </w:tcBorders>
                  <w:vAlign w:val="center"/>
                </w:tcPr>
                <w:p w14:paraId="61F1B55F">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2</w:t>
                  </w:r>
                </w:p>
              </w:tc>
              <w:tc>
                <w:tcPr>
                  <w:tcW w:w="1664" w:type="dxa"/>
                  <w:tcBorders>
                    <w:tl2br w:val="nil"/>
                    <w:tr2bl w:val="nil"/>
                  </w:tcBorders>
                  <w:vAlign w:val="center"/>
                </w:tcPr>
                <w:p w14:paraId="1991C44A">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石灰</w:t>
                  </w:r>
                </w:p>
              </w:tc>
              <w:tc>
                <w:tcPr>
                  <w:tcW w:w="1213" w:type="dxa"/>
                  <w:tcBorders>
                    <w:tl2br w:val="nil"/>
                    <w:tr2bl w:val="nil"/>
                  </w:tcBorders>
                  <w:vAlign w:val="center"/>
                </w:tcPr>
                <w:p w14:paraId="40A10E7A">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62438</w:t>
                  </w:r>
                </w:p>
              </w:tc>
              <w:tc>
                <w:tcPr>
                  <w:tcW w:w="1555" w:type="dxa"/>
                  <w:tcBorders>
                    <w:tl2br w:val="nil"/>
                    <w:tr2bl w:val="nil"/>
                  </w:tcBorders>
                  <w:vAlign w:val="center"/>
                </w:tcPr>
                <w:p w14:paraId="1A9FE5A3">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3000</w:t>
                  </w:r>
                </w:p>
              </w:tc>
              <w:tc>
                <w:tcPr>
                  <w:tcW w:w="1773" w:type="dxa"/>
                  <w:tcBorders>
                    <w:tl2br w:val="nil"/>
                    <w:tr2bl w:val="nil"/>
                  </w:tcBorders>
                  <w:vAlign w:val="center"/>
                </w:tcPr>
                <w:p w14:paraId="3D134339">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eastAsia" w:cs="Times New Roman"/>
                      <w:b w:val="0"/>
                      <w:bCs w:val="0"/>
                      <w:i w:val="0"/>
                      <w:iCs w:val="0"/>
                      <w:color w:val="auto"/>
                      <w:kern w:val="0"/>
                      <w:sz w:val="18"/>
                      <w:szCs w:val="18"/>
                      <w:highlight w:val="none"/>
                      <w:u w:val="none"/>
                      <w:lang w:val="en-US" w:eastAsia="zh-CN" w:bidi="ar"/>
                    </w:rPr>
                    <w:t>石灰配料仓</w:t>
                  </w:r>
                </w:p>
              </w:tc>
              <w:tc>
                <w:tcPr>
                  <w:tcW w:w="984" w:type="dxa"/>
                  <w:tcBorders>
                    <w:tl2br w:val="nil"/>
                    <w:tr2bl w:val="nil"/>
                  </w:tcBorders>
                  <w:vAlign w:val="center"/>
                </w:tcPr>
                <w:p w14:paraId="0E31E314">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eastAsia" w:cs="Times New Roman"/>
                      <w:b w:val="0"/>
                      <w:bCs w:val="0"/>
                      <w:i w:val="0"/>
                      <w:iCs w:val="0"/>
                      <w:color w:val="auto"/>
                      <w:kern w:val="0"/>
                      <w:sz w:val="18"/>
                      <w:szCs w:val="18"/>
                      <w:highlight w:val="none"/>
                      <w:u w:val="none"/>
                      <w:lang w:val="en-US" w:eastAsia="zh-CN" w:bidi="ar"/>
                    </w:rPr>
                    <w:t>15</w:t>
                  </w:r>
                  <w:r>
                    <w:rPr>
                      <w:rFonts w:hint="default" w:ascii="Times New Roman" w:hAnsi="Times New Roman" w:eastAsia="宋体" w:cs="Times New Roman"/>
                      <w:b w:val="0"/>
                      <w:bCs w:val="0"/>
                      <w:i w:val="0"/>
                      <w:iCs w:val="0"/>
                      <w:color w:val="auto"/>
                      <w:kern w:val="0"/>
                      <w:sz w:val="18"/>
                      <w:szCs w:val="18"/>
                      <w:highlight w:val="none"/>
                      <w:u w:val="none"/>
                      <w:lang w:val="en-US" w:eastAsia="zh-CN" w:bidi="ar"/>
                    </w:rPr>
                    <w:t>天</w:t>
                  </w:r>
                </w:p>
              </w:tc>
            </w:tr>
            <w:tr w14:paraId="5F47DA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682" w:type="dxa"/>
                  <w:tcBorders>
                    <w:tl2br w:val="nil"/>
                    <w:tr2bl w:val="nil"/>
                  </w:tcBorders>
                  <w:vAlign w:val="center"/>
                </w:tcPr>
                <w:p w14:paraId="0084F06F">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3</w:t>
                  </w:r>
                </w:p>
              </w:tc>
              <w:tc>
                <w:tcPr>
                  <w:tcW w:w="1664" w:type="dxa"/>
                  <w:tcBorders>
                    <w:tl2br w:val="nil"/>
                    <w:tr2bl w:val="nil"/>
                  </w:tcBorders>
                  <w:vAlign w:val="center"/>
                </w:tcPr>
                <w:p w14:paraId="4A77AFC7">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粉煤灰</w:t>
                  </w:r>
                </w:p>
              </w:tc>
              <w:tc>
                <w:tcPr>
                  <w:tcW w:w="1213" w:type="dxa"/>
                  <w:tcBorders>
                    <w:tl2br w:val="nil"/>
                    <w:tr2bl w:val="nil"/>
                  </w:tcBorders>
                  <w:vAlign w:val="center"/>
                </w:tcPr>
                <w:p w14:paraId="540F5E5A">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116967</w:t>
                  </w:r>
                </w:p>
              </w:tc>
              <w:tc>
                <w:tcPr>
                  <w:tcW w:w="1555" w:type="dxa"/>
                  <w:tcBorders>
                    <w:tl2br w:val="nil"/>
                    <w:tr2bl w:val="nil"/>
                  </w:tcBorders>
                  <w:vAlign w:val="center"/>
                </w:tcPr>
                <w:p w14:paraId="37EB6E6B">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5500</w:t>
                  </w:r>
                </w:p>
              </w:tc>
              <w:tc>
                <w:tcPr>
                  <w:tcW w:w="1773" w:type="dxa"/>
                  <w:tcBorders>
                    <w:tl2br w:val="nil"/>
                    <w:tr2bl w:val="nil"/>
                  </w:tcBorders>
                  <w:vAlign w:val="center"/>
                </w:tcPr>
                <w:p w14:paraId="7ADFB77F">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eastAsia" w:cs="Times New Roman"/>
                      <w:b w:val="0"/>
                      <w:bCs w:val="0"/>
                      <w:i w:val="0"/>
                      <w:iCs w:val="0"/>
                      <w:color w:val="auto"/>
                      <w:kern w:val="0"/>
                      <w:sz w:val="18"/>
                      <w:szCs w:val="18"/>
                      <w:highlight w:val="none"/>
                      <w:u w:val="none"/>
                      <w:lang w:val="en-US" w:eastAsia="zh-CN" w:bidi="ar"/>
                    </w:rPr>
                    <w:t>料仓，粉煤灰库</w:t>
                  </w:r>
                </w:p>
              </w:tc>
              <w:tc>
                <w:tcPr>
                  <w:tcW w:w="984" w:type="dxa"/>
                  <w:tcBorders>
                    <w:tl2br w:val="nil"/>
                    <w:tr2bl w:val="nil"/>
                  </w:tcBorders>
                  <w:vAlign w:val="center"/>
                </w:tcPr>
                <w:p w14:paraId="59987023">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eastAsia" w:cs="Times New Roman"/>
                      <w:b w:val="0"/>
                      <w:bCs w:val="0"/>
                      <w:i w:val="0"/>
                      <w:iCs w:val="0"/>
                      <w:color w:val="auto"/>
                      <w:kern w:val="0"/>
                      <w:sz w:val="18"/>
                      <w:szCs w:val="18"/>
                      <w:highlight w:val="none"/>
                      <w:u w:val="none"/>
                      <w:lang w:val="en-US" w:eastAsia="zh-CN" w:bidi="ar"/>
                    </w:rPr>
                    <w:t>14</w:t>
                  </w:r>
                  <w:r>
                    <w:rPr>
                      <w:rFonts w:hint="default" w:ascii="Times New Roman" w:hAnsi="Times New Roman" w:eastAsia="宋体" w:cs="Times New Roman"/>
                      <w:b w:val="0"/>
                      <w:bCs w:val="0"/>
                      <w:i w:val="0"/>
                      <w:iCs w:val="0"/>
                      <w:color w:val="auto"/>
                      <w:kern w:val="0"/>
                      <w:sz w:val="18"/>
                      <w:szCs w:val="18"/>
                      <w:highlight w:val="none"/>
                      <w:u w:val="none"/>
                      <w:lang w:val="en-US" w:eastAsia="zh-CN" w:bidi="ar"/>
                    </w:rPr>
                    <w:t>天</w:t>
                  </w:r>
                </w:p>
              </w:tc>
            </w:tr>
            <w:tr w14:paraId="10F39C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tcBorders>
                    <w:tl2br w:val="nil"/>
                    <w:tr2bl w:val="nil"/>
                  </w:tcBorders>
                  <w:vAlign w:val="center"/>
                </w:tcPr>
                <w:p w14:paraId="145B4B9D">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4</w:t>
                  </w:r>
                </w:p>
              </w:tc>
              <w:tc>
                <w:tcPr>
                  <w:tcW w:w="1664" w:type="dxa"/>
                  <w:tcBorders>
                    <w:tl2br w:val="nil"/>
                    <w:tr2bl w:val="nil"/>
                  </w:tcBorders>
                  <w:vAlign w:val="center"/>
                </w:tcPr>
                <w:p w14:paraId="0CEFC41D">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脱硫石膏</w:t>
                  </w:r>
                </w:p>
              </w:tc>
              <w:tc>
                <w:tcPr>
                  <w:tcW w:w="1213" w:type="dxa"/>
                  <w:tcBorders>
                    <w:tl2br w:val="nil"/>
                    <w:tr2bl w:val="nil"/>
                  </w:tcBorders>
                  <w:shd w:val="clear" w:color="auto" w:fill="auto"/>
                  <w:vAlign w:val="center"/>
                </w:tcPr>
                <w:p w14:paraId="55A97A6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default" w:ascii="Times New Roman" w:hAnsi="Times New Roman" w:eastAsia="宋体" w:cs="Times New Roman"/>
                      <w:i w:val="0"/>
                      <w:iCs w:val="0"/>
                      <w:color w:val="auto"/>
                      <w:kern w:val="0"/>
                      <w:sz w:val="18"/>
                      <w:szCs w:val="18"/>
                      <w:highlight w:val="none"/>
                      <w:u w:val="none"/>
                      <w:lang w:val="en-US" w:eastAsia="zh-CN" w:bidi="ar"/>
                    </w:rPr>
                    <w:t>10135</w:t>
                  </w:r>
                </w:p>
              </w:tc>
              <w:tc>
                <w:tcPr>
                  <w:tcW w:w="1555" w:type="dxa"/>
                  <w:tcBorders>
                    <w:tl2br w:val="nil"/>
                    <w:tr2bl w:val="nil"/>
                  </w:tcBorders>
                  <w:vAlign w:val="center"/>
                </w:tcPr>
                <w:p w14:paraId="0D951E2A">
                  <w:pPr>
                    <w:keepNext w:val="0"/>
                    <w:keepLines w:val="0"/>
                    <w:widowControl/>
                    <w:suppressLineNumbers w:val="0"/>
                    <w:jc w:val="center"/>
                    <w:textAlignment w:val="center"/>
                    <w:rPr>
                      <w:rFonts w:hint="default" w:ascii="Times New Roman" w:hAnsi="Times New Roman" w:eastAsia="宋体" w:cs="Times New Roman"/>
                      <w:b w:val="0"/>
                      <w:bCs w:val="0"/>
                      <w:color w:val="auto"/>
                      <w:sz w:val="18"/>
                      <w:szCs w:val="18"/>
                      <w:highlight w:val="none"/>
                      <w:vertAlign w:val="baseline"/>
                      <w:lang w:val="en-US"/>
                    </w:rPr>
                  </w:pPr>
                  <w:r>
                    <w:rPr>
                      <w:rFonts w:hint="eastAsia" w:cs="Times New Roman"/>
                      <w:i w:val="0"/>
                      <w:iCs w:val="0"/>
                      <w:color w:val="auto"/>
                      <w:kern w:val="0"/>
                      <w:sz w:val="18"/>
                      <w:szCs w:val="18"/>
                      <w:highlight w:val="none"/>
                      <w:u w:val="none"/>
                      <w:lang w:val="en-US" w:eastAsia="zh-CN" w:bidi="ar"/>
                    </w:rPr>
                    <w:t>20</w:t>
                  </w:r>
                  <w:r>
                    <w:rPr>
                      <w:rFonts w:hint="default" w:ascii="Times New Roman" w:hAnsi="Times New Roman" w:cs="Times New Roman"/>
                      <w:i w:val="0"/>
                      <w:iCs w:val="0"/>
                      <w:color w:val="auto"/>
                      <w:kern w:val="0"/>
                      <w:sz w:val="18"/>
                      <w:szCs w:val="18"/>
                      <w:highlight w:val="none"/>
                      <w:u w:val="none"/>
                      <w:lang w:val="en-US" w:eastAsia="zh-CN" w:bidi="ar"/>
                    </w:rPr>
                    <w:t>00</w:t>
                  </w:r>
                </w:p>
              </w:tc>
              <w:tc>
                <w:tcPr>
                  <w:tcW w:w="1773" w:type="dxa"/>
                  <w:tcBorders>
                    <w:tl2br w:val="nil"/>
                    <w:tr2bl w:val="nil"/>
                  </w:tcBorders>
                  <w:vAlign w:val="center"/>
                </w:tcPr>
                <w:p w14:paraId="4A20AF5F">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2#生产厂房</w:t>
                  </w:r>
                </w:p>
              </w:tc>
              <w:tc>
                <w:tcPr>
                  <w:tcW w:w="984" w:type="dxa"/>
                  <w:tcBorders>
                    <w:tl2br w:val="nil"/>
                    <w:tr2bl w:val="nil"/>
                  </w:tcBorders>
                  <w:vAlign w:val="center"/>
                </w:tcPr>
                <w:p w14:paraId="0252F844">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eastAsia" w:cs="Times New Roman"/>
                      <w:b w:val="0"/>
                      <w:bCs w:val="0"/>
                      <w:i w:val="0"/>
                      <w:iCs w:val="0"/>
                      <w:color w:val="auto"/>
                      <w:kern w:val="0"/>
                      <w:sz w:val="18"/>
                      <w:szCs w:val="18"/>
                      <w:highlight w:val="none"/>
                      <w:u w:val="none"/>
                      <w:lang w:val="en-US" w:eastAsia="zh-CN" w:bidi="ar"/>
                    </w:rPr>
                    <w:t>60</w:t>
                  </w:r>
                  <w:r>
                    <w:rPr>
                      <w:rFonts w:hint="default" w:ascii="Times New Roman" w:hAnsi="Times New Roman" w:eastAsia="宋体" w:cs="Times New Roman"/>
                      <w:b w:val="0"/>
                      <w:bCs w:val="0"/>
                      <w:i w:val="0"/>
                      <w:iCs w:val="0"/>
                      <w:color w:val="auto"/>
                      <w:kern w:val="0"/>
                      <w:sz w:val="18"/>
                      <w:szCs w:val="18"/>
                      <w:highlight w:val="none"/>
                      <w:u w:val="none"/>
                      <w:lang w:val="en-US" w:eastAsia="zh-CN" w:bidi="ar"/>
                    </w:rPr>
                    <w:t>天</w:t>
                  </w:r>
                </w:p>
              </w:tc>
            </w:tr>
            <w:tr w14:paraId="719F65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tcBorders>
                    <w:tl2br w:val="nil"/>
                    <w:tr2bl w:val="nil"/>
                  </w:tcBorders>
                  <w:vAlign w:val="center"/>
                </w:tcPr>
                <w:p w14:paraId="7FAF00E9">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5</w:t>
                  </w:r>
                </w:p>
              </w:tc>
              <w:tc>
                <w:tcPr>
                  <w:tcW w:w="1664" w:type="dxa"/>
                  <w:tcBorders>
                    <w:tl2br w:val="nil"/>
                    <w:tr2bl w:val="nil"/>
                  </w:tcBorders>
                  <w:vAlign w:val="center"/>
                </w:tcPr>
                <w:p w14:paraId="6B637C71">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水泥</w:t>
                  </w:r>
                </w:p>
              </w:tc>
              <w:tc>
                <w:tcPr>
                  <w:tcW w:w="1213" w:type="dxa"/>
                  <w:tcBorders>
                    <w:tl2br w:val="nil"/>
                    <w:tr2bl w:val="nil"/>
                  </w:tcBorders>
                  <w:vAlign w:val="center"/>
                </w:tcPr>
                <w:p w14:paraId="4D2300BC">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45732</w:t>
                  </w:r>
                </w:p>
              </w:tc>
              <w:tc>
                <w:tcPr>
                  <w:tcW w:w="1555" w:type="dxa"/>
                  <w:tcBorders>
                    <w:tl2br w:val="nil"/>
                    <w:tr2bl w:val="nil"/>
                  </w:tcBorders>
                  <w:vAlign w:val="center"/>
                </w:tcPr>
                <w:p w14:paraId="5C724ECC">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5</w:t>
                  </w:r>
                  <w:r>
                    <w:rPr>
                      <w:rFonts w:hint="default" w:ascii="Times New Roman" w:hAnsi="Times New Roman" w:cs="Times New Roman"/>
                      <w:b w:val="0"/>
                      <w:bCs w:val="0"/>
                      <w:color w:val="auto"/>
                      <w:sz w:val="18"/>
                      <w:szCs w:val="18"/>
                      <w:highlight w:val="none"/>
                      <w:vertAlign w:val="baseline"/>
                      <w:lang w:val="en-US" w:eastAsia="zh-CN"/>
                    </w:rPr>
                    <w:t>000</w:t>
                  </w:r>
                </w:p>
              </w:tc>
              <w:tc>
                <w:tcPr>
                  <w:tcW w:w="1773" w:type="dxa"/>
                  <w:tcBorders>
                    <w:tl2br w:val="nil"/>
                    <w:tr2bl w:val="nil"/>
                  </w:tcBorders>
                  <w:vAlign w:val="center"/>
                </w:tcPr>
                <w:p w14:paraId="53F0454D">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lang w:val="en-US"/>
                    </w:rPr>
                  </w:pPr>
                  <w:r>
                    <w:rPr>
                      <w:rFonts w:hint="eastAsia" w:cs="Times New Roman"/>
                      <w:b w:val="0"/>
                      <w:bCs w:val="0"/>
                      <w:i w:val="0"/>
                      <w:iCs w:val="0"/>
                      <w:color w:val="auto"/>
                      <w:kern w:val="0"/>
                      <w:sz w:val="18"/>
                      <w:szCs w:val="18"/>
                      <w:highlight w:val="none"/>
                      <w:u w:val="none"/>
                      <w:lang w:val="en-US" w:eastAsia="zh-CN" w:bidi="ar"/>
                    </w:rPr>
                    <w:t>水泥仓、生产车间</w:t>
                  </w:r>
                </w:p>
              </w:tc>
              <w:tc>
                <w:tcPr>
                  <w:tcW w:w="984" w:type="dxa"/>
                  <w:tcBorders>
                    <w:tl2br w:val="nil"/>
                    <w:tr2bl w:val="nil"/>
                  </w:tcBorders>
                  <w:vAlign w:val="center"/>
                </w:tcPr>
                <w:p w14:paraId="4188503D">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eastAsia" w:cs="Times New Roman"/>
                      <w:b w:val="0"/>
                      <w:bCs w:val="0"/>
                      <w:i w:val="0"/>
                      <w:iCs w:val="0"/>
                      <w:color w:val="auto"/>
                      <w:kern w:val="0"/>
                      <w:sz w:val="18"/>
                      <w:szCs w:val="18"/>
                      <w:highlight w:val="none"/>
                      <w:u w:val="none"/>
                      <w:lang w:val="en-US" w:eastAsia="zh-CN" w:bidi="ar"/>
                    </w:rPr>
                    <w:t>30</w:t>
                  </w:r>
                  <w:r>
                    <w:rPr>
                      <w:rFonts w:hint="default" w:ascii="Times New Roman" w:hAnsi="Times New Roman" w:eastAsia="宋体" w:cs="Times New Roman"/>
                      <w:b w:val="0"/>
                      <w:bCs w:val="0"/>
                      <w:i w:val="0"/>
                      <w:iCs w:val="0"/>
                      <w:color w:val="auto"/>
                      <w:kern w:val="0"/>
                      <w:sz w:val="18"/>
                      <w:szCs w:val="18"/>
                      <w:highlight w:val="none"/>
                      <w:u w:val="none"/>
                      <w:lang w:val="en-US" w:eastAsia="zh-CN" w:bidi="ar"/>
                    </w:rPr>
                    <w:t>天</w:t>
                  </w:r>
                </w:p>
              </w:tc>
            </w:tr>
            <w:tr w14:paraId="0E1A0E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tcBorders>
                    <w:tl2br w:val="nil"/>
                    <w:tr2bl w:val="nil"/>
                  </w:tcBorders>
                  <w:vAlign w:val="center"/>
                </w:tcPr>
                <w:p w14:paraId="76603058">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6</w:t>
                  </w:r>
                </w:p>
              </w:tc>
              <w:tc>
                <w:tcPr>
                  <w:tcW w:w="1664" w:type="dxa"/>
                  <w:tcBorders>
                    <w:tl2br w:val="nil"/>
                    <w:tr2bl w:val="nil"/>
                  </w:tcBorders>
                  <w:vAlign w:val="center"/>
                </w:tcPr>
                <w:p w14:paraId="3BFFCB64">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lang w:val="en-US"/>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铝粉</w:t>
                  </w:r>
                  <w:r>
                    <w:rPr>
                      <w:rFonts w:hint="eastAsia" w:cs="Times New Roman"/>
                      <w:b w:val="0"/>
                      <w:bCs w:val="0"/>
                      <w:i w:val="0"/>
                      <w:iCs w:val="0"/>
                      <w:color w:val="auto"/>
                      <w:kern w:val="0"/>
                      <w:sz w:val="18"/>
                      <w:szCs w:val="18"/>
                      <w:highlight w:val="none"/>
                      <w:u w:val="none"/>
                      <w:lang w:val="en-US" w:eastAsia="zh-CN" w:bidi="ar"/>
                    </w:rPr>
                    <w:t>膏（原料购入）</w:t>
                  </w:r>
                </w:p>
              </w:tc>
              <w:tc>
                <w:tcPr>
                  <w:tcW w:w="1213" w:type="dxa"/>
                  <w:tcBorders>
                    <w:tl2br w:val="nil"/>
                    <w:tr2bl w:val="nil"/>
                  </w:tcBorders>
                  <w:vAlign w:val="center"/>
                </w:tcPr>
                <w:p w14:paraId="10AED924">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410</w:t>
                  </w:r>
                  <w:r>
                    <w:rPr>
                      <w:rFonts w:hint="default" w:ascii="Times New Roman" w:hAnsi="Times New Roman" w:eastAsia="宋体" w:cs="Times New Roman"/>
                      <w:b w:val="0"/>
                      <w:bCs w:val="0"/>
                      <w:color w:val="auto"/>
                      <w:sz w:val="18"/>
                      <w:szCs w:val="18"/>
                      <w:highlight w:val="none"/>
                      <w:vertAlign w:val="baseline"/>
                      <w:lang w:val="en-US" w:eastAsia="zh-CN"/>
                    </w:rPr>
                    <w:t>.</w:t>
                  </w:r>
                  <w:r>
                    <w:rPr>
                      <w:rFonts w:hint="default" w:ascii="Times New Roman" w:hAnsi="Times New Roman" w:eastAsia="宋体" w:cs="Times New Roman"/>
                      <w:b w:val="0"/>
                      <w:bCs w:val="0"/>
                      <w:color w:val="auto"/>
                      <w:sz w:val="18"/>
                      <w:szCs w:val="18"/>
                      <w:highlight w:val="none"/>
                      <w:vertAlign w:val="baseline"/>
                    </w:rPr>
                    <w:t>67</w:t>
                  </w:r>
                </w:p>
              </w:tc>
              <w:tc>
                <w:tcPr>
                  <w:tcW w:w="1555" w:type="dxa"/>
                  <w:tcBorders>
                    <w:tl2br w:val="nil"/>
                    <w:tr2bl w:val="nil"/>
                  </w:tcBorders>
                  <w:vAlign w:val="center"/>
                </w:tcPr>
                <w:p w14:paraId="2410C8A7">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50</w:t>
                  </w:r>
                </w:p>
              </w:tc>
              <w:tc>
                <w:tcPr>
                  <w:tcW w:w="1773" w:type="dxa"/>
                  <w:tcBorders>
                    <w:tl2br w:val="nil"/>
                    <w:tr2bl w:val="nil"/>
                  </w:tcBorders>
                  <w:vAlign w:val="center"/>
                </w:tcPr>
                <w:p w14:paraId="480EA614">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lang w:val="en-US"/>
                    </w:rPr>
                  </w:pPr>
                  <w:r>
                    <w:rPr>
                      <w:rFonts w:hint="eastAsia" w:cs="Times New Roman"/>
                      <w:b w:val="0"/>
                      <w:bCs w:val="0"/>
                      <w:i w:val="0"/>
                      <w:iCs w:val="0"/>
                      <w:color w:val="auto"/>
                      <w:kern w:val="0"/>
                      <w:sz w:val="18"/>
                      <w:szCs w:val="18"/>
                      <w:highlight w:val="none"/>
                      <w:u w:val="none"/>
                      <w:lang w:val="en-US" w:eastAsia="zh-CN" w:bidi="ar"/>
                    </w:rPr>
                    <w:t>生产车间</w:t>
                  </w:r>
                </w:p>
              </w:tc>
              <w:tc>
                <w:tcPr>
                  <w:tcW w:w="984" w:type="dxa"/>
                  <w:tcBorders>
                    <w:tl2br w:val="nil"/>
                    <w:tr2bl w:val="nil"/>
                  </w:tcBorders>
                  <w:vAlign w:val="center"/>
                </w:tcPr>
                <w:p w14:paraId="58818AB8">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lang w:val="en-US"/>
                    </w:rPr>
                  </w:pPr>
                  <w:r>
                    <w:rPr>
                      <w:rFonts w:hint="eastAsia" w:cs="Times New Roman"/>
                      <w:b w:val="0"/>
                      <w:bCs w:val="0"/>
                      <w:i w:val="0"/>
                      <w:iCs w:val="0"/>
                      <w:color w:val="auto"/>
                      <w:kern w:val="0"/>
                      <w:sz w:val="18"/>
                      <w:szCs w:val="18"/>
                      <w:highlight w:val="none"/>
                      <w:u w:val="none"/>
                      <w:lang w:val="en-US" w:eastAsia="zh-CN" w:bidi="ar"/>
                    </w:rPr>
                    <w:t>30天</w:t>
                  </w:r>
                </w:p>
              </w:tc>
            </w:tr>
            <w:tr w14:paraId="5BC3CC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tcBorders>
                    <w:tl2br w:val="nil"/>
                    <w:tr2bl w:val="nil"/>
                  </w:tcBorders>
                  <w:vAlign w:val="center"/>
                </w:tcPr>
                <w:p w14:paraId="4AD01AF6">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7</w:t>
                  </w:r>
                </w:p>
              </w:tc>
              <w:tc>
                <w:tcPr>
                  <w:tcW w:w="1664" w:type="dxa"/>
                  <w:tcBorders>
                    <w:tl2br w:val="nil"/>
                    <w:tr2bl w:val="nil"/>
                  </w:tcBorders>
                  <w:vAlign w:val="center"/>
                </w:tcPr>
                <w:p w14:paraId="66A71FE5">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钢筋</w:t>
                  </w:r>
                </w:p>
              </w:tc>
              <w:tc>
                <w:tcPr>
                  <w:tcW w:w="1213" w:type="dxa"/>
                  <w:tcBorders>
                    <w:tl2br w:val="nil"/>
                    <w:tr2bl w:val="nil"/>
                  </w:tcBorders>
                  <w:vAlign w:val="center"/>
                </w:tcPr>
                <w:p w14:paraId="3B062DF7">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9450</w:t>
                  </w:r>
                </w:p>
              </w:tc>
              <w:tc>
                <w:tcPr>
                  <w:tcW w:w="1555" w:type="dxa"/>
                  <w:tcBorders>
                    <w:tl2br w:val="nil"/>
                    <w:tr2bl w:val="nil"/>
                  </w:tcBorders>
                  <w:vAlign w:val="center"/>
                </w:tcPr>
                <w:p w14:paraId="39BEA186">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2</w:t>
                  </w:r>
                  <w:r>
                    <w:rPr>
                      <w:rFonts w:hint="default" w:ascii="Times New Roman" w:hAnsi="Times New Roman" w:cs="Times New Roman"/>
                      <w:b w:val="0"/>
                      <w:bCs w:val="0"/>
                      <w:color w:val="auto"/>
                      <w:sz w:val="18"/>
                      <w:szCs w:val="18"/>
                      <w:highlight w:val="none"/>
                      <w:vertAlign w:val="baseline"/>
                      <w:lang w:val="en-US" w:eastAsia="zh-CN"/>
                    </w:rPr>
                    <w:t>000</w:t>
                  </w:r>
                </w:p>
              </w:tc>
              <w:tc>
                <w:tcPr>
                  <w:tcW w:w="1773" w:type="dxa"/>
                  <w:tcBorders>
                    <w:tl2br w:val="nil"/>
                    <w:tr2bl w:val="nil"/>
                  </w:tcBorders>
                  <w:vAlign w:val="center"/>
                </w:tcPr>
                <w:p w14:paraId="62E9B84C">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2#生产厂房</w:t>
                  </w:r>
                </w:p>
              </w:tc>
              <w:tc>
                <w:tcPr>
                  <w:tcW w:w="984" w:type="dxa"/>
                  <w:tcBorders>
                    <w:tl2br w:val="nil"/>
                    <w:tr2bl w:val="nil"/>
                  </w:tcBorders>
                  <w:vAlign w:val="center"/>
                </w:tcPr>
                <w:p w14:paraId="11EA3043">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eastAsia" w:cs="Times New Roman"/>
                      <w:b w:val="0"/>
                      <w:bCs w:val="0"/>
                      <w:i w:val="0"/>
                      <w:iCs w:val="0"/>
                      <w:color w:val="auto"/>
                      <w:kern w:val="0"/>
                      <w:sz w:val="18"/>
                      <w:szCs w:val="18"/>
                      <w:highlight w:val="none"/>
                      <w:u w:val="none"/>
                      <w:lang w:val="en-US" w:eastAsia="zh-CN" w:bidi="ar"/>
                    </w:rPr>
                    <w:t>60</w:t>
                  </w:r>
                  <w:r>
                    <w:rPr>
                      <w:rFonts w:hint="default" w:ascii="Times New Roman" w:hAnsi="Times New Roman" w:eastAsia="宋体" w:cs="Times New Roman"/>
                      <w:b w:val="0"/>
                      <w:bCs w:val="0"/>
                      <w:i w:val="0"/>
                      <w:iCs w:val="0"/>
                      <w:color w:val="auto"/>
                      <w:kern w:val="0"/>
                      <w:sz w:val="18"/>
                      <w:szCs w:val="18"/>
                      <w:highlight w:val="none"/>
                      <w:u w:val="none"/>
                      <w:lang w:val="en-US" w:eastAsia="zh-CN" w:bidi="ar"/>
                    </w:rPr>
                    <w:t>天</w:t>
                  </w:r>
                </w:p>
              </w:tc>
            </w:tr>
            <w:tr w14:paraId="53D401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jc w:val="center"/>
              </w:trPr>
              <w:tc>
                <w:tcPr>
                  <w:tcW w:w="682" w:type="dxa"/>
                  <w:tcBorders>
                    <w:tl2br w:val="nil"/>
                    <w:tr2bl w:val="nil"/>
                  </w:tcBorders>
                  <w:vAlign w:val="center"/>
                </w:tcPr>
                <w:p w14:paraId="1E6A580A">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8</w:t>
                  </w:r>
                </w:p>
              </w:tc>
              <w:tc>
                <w:tcPr>
                  <w:tcW w:w="1664" w:type="dxa"/>
                  <w:tcBorders>
                    <w:tl2br w:val="nil"/>
                    <w:tr2bl w:val="nil"/>
                  </w:tcBorders>
                  <w:shd w:val="clear" w:color="auto" w:fill="auto"/>
                  <w:vAlign w:val="center"/>
                </w:tcPr>
                <w:p w14:paraId="5D37365B">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i w:val="0"/>
                      <w:iCs w:val="0"/>
                      <w:color w:val="auto"/>
                      <w:kern w:val="0"/>
                      <w:sz w:val="18"/>
                      <w:szCs w:val="18"/>
                      <w:highlight w:val="none"/>
                      <w:u w:val="none"/>
                      <w:lang w:val="en-US" w:eastAsia="zh-CN" w:bidi="ar"/>
                    </w:rPr>
                    <w:t>生物质颗粒</w:t>
                  </w:r>
                </w:p>
              </w:tc>
              <w:tc>
                <w:tcPr>
                  <w:tcW w:w="1213" w:type="dxa"/>
                  <w:tcBorders>
                    <w:tl2br w:val="nil"/>
                    <w:tr2bl w:val="nil"/>
                  </w:tcBorders>
                  <w:shd w:val="clear" w:color="auto" w:fill="auto"/>
                  <w:vAlign w:val="center"/>
                </w:tcPr>
                <w:p w14:paraId="757490C1">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11904</w:t>
                  </w:r>
                </w:p>
              </w:tc>
              <w:tc>
                <w:tcPr>
                  <w:tcW w:w="1555" w:type="dxa"/>
                  <w:tcBorders>
                    <w:tl2br w:val="nil"/>
                    <w:tr2bl w:val="nil"/>
                  </w:tcBorders>
                  <w:shd w:val="clear" w:color="auto" w:fill="auto"/>
                  <w:vAlign w:val="center"/>
                </w:tcPr>
                <w:p w14:paraId="75810F56">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color w:val="auto"/>
                      <w:sz w:val="18"/>
                      <w:szCs w:val="18"/>
                      <w:highlight w:val="none"/>
                      <w:vertAlign w:val="baseline"/>
                      <w:lang w:val="en-US" w:eastAsia="zh-CN"/>
                    </w:rPr>
                    <w:t>1</w:t>
                  </w:r>
                  <w:r>
                    <w:rPr>
                      <w:rFonts w:hint="default" w:ascii="Times New Roman" w:hAnsi="Times New Roman" w:cs="Times New Roman"/>
                      <w:b w:val="0"/>
                      <w:bCs w:val="0"/>
                      <w:color w:val="auto"/>
                      <w:sz w:val="18"/>
                      <w:szCs w:val="18"/>
                      <w:highlight w:val="none"/>
                      <w:vertAlign w:val="baseline"/>
                      <w:lang w:val="en-US" w:eastAsia="zh-CN"/>
                    </w:rPr>
                    <w:t>000</w:t>
                  </w:r>
                </w:p>
              </w:tc>
              <w:tc>
                <w:tcPr>
                  <w:tcW w:w="1773" w:type="dxa"/>
                  <w:tcBorders>
                    <w:tl2br w:val="nil"/>
                    <w:tr2bl w:val="nil"/>
                  </w:tcBorders>
                  <w:shd w:val="clear" w:color="auto" w:fill="auto"/>
                  <w:vAlign w:val="center"/>
                </w:tcPr>
                <w:p w14:paraId="47FF3F7C">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i w:val="0"/>
                      <w:iCs w:val="0"/>
                      <w:color w:val="auto"/>
                      <w:kern w:val="0"/>
                      <w:sz w:val="18"/>
                      <w:szCs w:val="18"/>
                      <w:highlight w:val="none"/>
                      <w:u w:val="none"/>
                      <w:lang w:val="en-US" w:eastAsia="zh-CN" w:bidi="ar"/>
                    </w:rPr>
                    <w:t>锅炉房</w:t>
                  </w:r>
                </w:p>
              </w:tc>
              <w:tc>
                <w:tcPr>
                  <w:tcW w:w="984" w:type="dxa"/>
                  <w:tcBorders>
                    <w:tl2br w:val="nil"/>
                    <w:tr2bl w:val="nil"/>
                  </w:tcBorders>
                  <w:shd w:val="clear" w:color="auto" w:fill="auto"/>
                  <w:vAlign w:val="center"/>
                </w:tcPr>
                <w:p w14:paraId="368E9000">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cs="Times New Roman"/>
                      <w:b w:val="0"/>
                      <w:bCs w:val="0"/>
                      <w:i w:val="0"/>
                      <w:iCs w:val="0"/>
                      <w:color w:val="auto"/>
                      <w:kern w:val="0"/>
                      <w:sz w:val="18"/>
                      <w:szCs w:val="18"/>
                      <w:highlight w:val="none"/>
                      <w:u w:val="none"/>
                      <w:lang w:val="en-US" w:eastAsia="zh-CN" w:bidi="ar"/>
                    </w:rPr>
                    <w:t>25</w:t>
                  </w:r>
                  <w:r>
                    <w:rPr>
                      <w:rFonts w:hint="default" w:ascii="Times New Roman" w:hAnsi="Times New Roman" w:eastAsia="宋体" w:cs="Times New Roman"/>
                      <w:b w:val="0"/>
                      <w:bCs w:val="0"/>
                      <w:i w:val="0"/>
                      <w:iCs w:val="0"/>
                      <w:color w:val="auto"/>
                      <w:kern w:val="0"/>
                      <w:sz w:val="18"/>
                      <w:szCs w:val="18"/>
                      <w:highlight w:val="none"/>
                      <w:u w:val="none"/>
                      <w:lang w:val="en-US" w:eastAsia="zh-CN" w:bidi="ar"/>
                    </w:rPr>
                    <w:t>天</w:t>
                  </w:r>
                </w:p>
              </w:tc>
            </w:tr>
            <w:tr w14:paraId="7F78C9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tcBorders>
                    <w:tl2br w:val="nil"/>
                    <w:tr2bl w:val="nil"/>
                  </w:tcBorders>
                  <w:vAlign w:val="center"/>
                </w:tcPr>
                <w:p w14:paraId="58D1C7F3">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9</w:t>
                  </w:r>
                </w:p>
              </w:tc>
              <w:tc>
                <w:tcPr>
                  <w:tcW w:w="1664" w:type="dxa"/>
                  <w:tcBorders>
                    <w:tl2br w:val="nil"/>
                    <w:tr2bl w:val="nil"/>
                  </w:tcBorders>
                  <w:vAlign w:val="center"/>
                </w:tcPr>
                <w:p w14:paraId="07A222BE">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防腐剂</w:t>
                  </w:r>
                </w:p>
              </w:tc>
              <w:tc>
                <w:tcPr>
                  <w:tcW w:w="1213" w:type="dxa"/>
                  <w:tcBorders>
                    <w:tl2br w:val="nil"/>
                    <w:tr2bl w:val="nil"/>
                  </w:tcBorders>
                  <w:vAlign w:val="center"/>
                </w:tcPr>
                <w:p w14:paraId="2338EACE">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328</w:t>
                  </w:r>
                  <w:r>
                    <w:rPr>
                      <w:rFonts w:hint="default" w:ascii="Times New Roman" w:hAnsi="Times New Roman" w:eastAsia="宋体" w:cs="Times New Roman"/>
                      <w:b w:val="0"/>
                      <w:bCs w:val="0"/>
                      <w:color w:val="auto"/>
                      <w:sz w:val="18"/>
                      <w:szCs w:val="18"/>
                      <w:highlight w:val="none"/>
                      <w:vertAlign w:val="baseline"/>
                      <w:lang w:val="en-US" w:eastAsia="zh-CN"/>
                    </w:rPr>
                    <w:t>.</w:t>
                  </w:r>
                  <w:r>
                    <w:rPr>
                      <w:rFonts w:hint="default" w:ascii="Times New Roman" w:hAnsi="Times New Roman" w:eastAsia="宋体" w:cs="Times New Roman"/>
                      <w:b w:val="0"/>
                      <w:bCs w:val="0"/>
                      <w:color w:val="auto"/>
                      <w:sz w:val="18"/>
                      <w:szCs w:val="18"/>
                      <w:highlight w:val="none"/>
                      <w:vertAlign w:val="baseline"/>
                    </w:rPr>
                    <w:t>050</w:t>
                  </w:r>
                </w:p>
              </w:tc>
              <w:tc>
                <w:tcPr>
                  <w:tcW w:w="1555" w:type="dxa"/>
                  <w:tcBorders>
                    <w:tl2br w:val="nil"/>
                    <w:tr2bl w:val="nil"/>
                  </w:tcBorders>
                  <w:vAlign w:val="center"/>
                </w:tcPr>
                <w:p w14:paraId="136CA0B5">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cs="Times New Roman"/>
                      <w:b w:val="0"/>
                      <w:bCs w:val="0"/>
                      <w:color w:val="auto"/>
                      <w:sz w:val="18"/>
                      <w:szCs w:val="18"/>
                      <w:highlight w:val="none"/>
                      <w:vertAlign w:val="baseline"/>
                      <w:lang w:val="en-US" w:eastAsia="zh-CN"/>
                    </w:rPr>
                    <w:t>100</w:t>
                  </w:r>
                </w:p>
              </w:tc>
              <w:tc>
                <w:tcPr>
                  <w:tcW w:w="1773" w:type="dxa"/>
                  <w:tcBorders>
                    <w:tl2br w:val="nil"/>
                    <w:tr2bl w:val="nil"/>
                  </w:tcBorders>
                  <w:vAlign w:val="center"/>
                </w:tcPr>
                <w:p w14:paraId="073FF8E4">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i w:val="0"/>
                      <w:iCs w:val="0"/>
                      <w:color w:val="auto"/>
                      <w:kern w:val="0"/>
                      <w:sz w:val="18"/>
                      <w:szCs w:val="18"/>
                      <w:highlight w:val="none"/>
                      <w:u w:val="none"/>
                      <w:lang w:val="en-US" w:eastAsia="zh-CN" w:bidi="ar"/>
                    </w:rPr>
                    <w:t>防腐剂专用桶</w:t>
                  </w:r>
                </w:p>
              </w:tc>
              <w:tc>
                <w:tcPr>
                  <w:tcW w:w="984" w:type="dxa"/>
                  <w:tcBorders>
                    <w:tl2br w:val="nil"/>
                    <w:tr2bl w:val="nil"/>
                  </w:tcBorders>
                  <w:vAlign w:val="center"/>
                </w:tcPr>
                <w:p w14:paraId="60FEFA44">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color w:val="auto"/>
                      <w:sz w:val="18"/>
                      <w:szCs w:val="18"/>
                      <w:highlight w:val="none"/>
                      <w:vertAlign w:val="baseline"/>
                      <w:lang w:val="en-US"/>
                    </w:rPr>
                  </w:pPr>
                  <w:r>
                    <w:rPr>
                      <w:rFonts w:hint="eastAsia" w:cs="Times New Roman"/>
                      <w:b w:val="0"/>
                      <w:bCs w:val="0"/>
                      <w:i w:val="0"/>
                      <w:iCs w:val="0"/>
                      <w:color w:val="auto"/>
                      <w:kern w:val="0"/>
                      <w:sz w:val="18"/>
                      <w:szCs w:val="18"/>
                      <w:highlight w:val="none"/>
                      <w:u w:val="none"/>
                      <w:lang w:val="en-US" w:eastAsia="zh-CN" w:bidi="ar"/>
                    </w:rPr>
                    <w:t>100天</w:t>
                  </w:r>
                </w:p>
              </w:tc>
            </w:tr>
            <w:tr w14:paraId="413F09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tcBorders>
                    <w:tl2br w:val="nil"/>
                    <w:tr2bl w:val="nil"/>
                  </w:tcBorders>
                  <w:vAlign w:val="center"/>
                </w:tcPr>
                <w:p w14:paraId="1BFF14F4">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10</w:t>
                  </w:r>
                </w:p>
              </w:tc>
              <w:tc>
                <w:tcPr>
                  <w:tcW w:w="1664" w:type="dxa"/>
                  <w:tcBorders>
                    <w:tl2br w:val="nil"/>
                    <w:tr2bl w:val="nil"/>
                  </w:tcBorders>
                  <w:vAlign w:val="center"/>
                </w:tcPr>
                <w:p w14:paraId="0FDE5AFB">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活性炭</w:t>
                  </w:r>
                </w:p>
              </w:tc>
              <w:tc>
                <w:tcPr>
                  <w:tcW w:w="1213" w:type="dxa"/>
                  <w:tcBorders>
                    <w:tl2br w:val="nil"/>
                    <w:tr2bl w:val="nil"/>
                  </w:tcBorders>
                  <w:vAlign w:val="center"/>
                </w:tcPr>
                <w:p w14:paraId="34270D2F">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0.657</w:t>
                  </w:r>
                </w:p>
              </w:tc>
              <w:tc>
                <w:tcPr>
                  <w:tcW w:w="1555" w:type="dxa"/>
                  <w:tcBorders>
                    <w:tl2br w:val="nil"/>
                    <w:tr2bl w:val="nil"/>
                  </w:tcBorders>
                  <w:vAlign w:val="center"/>
                </w:tcPr>
                <w:p w14:paraId="400F2B37">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0.5</w:t>
                  </w:r>
                </w:p>
              </w:tc>
              <w:tc>
                <w:tcPr>
                  <w:tcW w:w="1773" w:type="dxa"/>
                  <w:tcBorders>
                    <w:tl2br w:val="nil"/>
                    <w:tr2bl w:val="nil"/>
                  </w:tcBorders>
                  <w:vAlign w:val="center"/>
                </w:tcPr>
                <w:p w14:paraId="7F95B7D9">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活性炭箱</w:t>
                  </w:r>
                </w:p>
              </w:tc>
              <w:tc>
                <w:tcPr>
                  <w:tcW w:w="984" w:type="dxa"/>
                  <w:tcBorders>
                    <w:tl2br w:val="nil"/>
                    <w:tr2bl w:val="nil"/>
                  </w:tcBorders>
                  <w:vAlign w:val="center"/>
                </w:tcPr>
                <w:p w14:paraId="3C6E4CB8">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150天</w:t>
                  </w:r>
                </w:p>
              </w:tc>
            </w:tr>
            <w:tr w14:paraId="5F3A33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tcBorders>
                    <w:tl2br w:val="nil"/>
                    <w:tr2bl w:val="nil"/>
                  </w:tcBorders>
                  <w:vAlign w:val="center"/>
                </w:tcPr>
                <w:p w14:paraId="6B8A7B16">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11</w:t>
                  </w:r>
                </w:p>
              </w:tc>
              <w:tc>
                <w:tcPr>
                  <w:tcW w:w="1664" w:type="dxa"/>
                  <w:tcBorders>
                    <w:tl2br w:val="nil"/>
                    <w:tr2bl w:val="nil"/>
                  </w:tcBorders>
                  <w:vAlign w:val="center"/>
                </w:tcPr>
                <w:p w14:paraId="3A6129DA">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矿物油</w:t>
                  </w:r>
                </w:p>
              </w:tc>
              <w:tc>
                <w:tcPr>
                  <w:tcW w:w="1213" w:type="dxa"/>
                  <w:tcBorders>
                    <w:tl2br w:val="nil"/>
                    <w:tr2bl w:val="nil"/>
                  </w:tcBorders>
                  <w:vAlign w:val="center"/>
                </w:tcPr>
                <w:p w14:paraId="3A174380">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0.05</w:t>
                  </w:r>
                </w:p>
              </w:tc>
              <w:tc>
                <w:tcPr>
                  <w:tcW w:w="1555" w:type="dxa"/>
                  <w:tcBorders>
                    <w:tl2br w:val="nil"/>
                    <w:tr2bl w:val="nil"/>
                  </w:tcBorders>
                  <w:vAlign w:val="center"/>
                </w:tcPr>
                <w:p w14:paraId="70FEB541">
                  <w:pPr>
                    <w:keepNext w:val="0"/>
                    <w:keepLines w:val="0"/>
                    <w:pageBreakBefore w:val="0"/>
                    <w:kinsoku/>
                    <w:wordWrap/>
                    <w:overflowPunct/>
                    <w:topLinePunct w:val="0"/>
                    <w:autoSpaceDE w:val="0"/>
                    <w:autoSpaceDN w:val="0"/>
                    <w:bidi w:val="0"/>
                    <w:adjustRightInd w:val="0"/>
                    <w:snapToGrid w:val="0"/>
                    <w:jc w:val="center"/>
                    <w:rPr>
                      <w:rFonts w:hint="default" w:ascii="Times New Roman" w:hAnsi="Times New Roman"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0.05</w:t>
                  </w:r>
                </w:p>
              </w:tc>
              <w:tc>
                <w:tcPr>
                  <w:tcW w:w="1773" w:type="dxa"/>
                  <w:tcBorders>
                    <w:tl2br w:val="nil"/>
                    <w:tr2bl w:val="nil"/>
                  </w:tcBorders>
                  <w:vAlign w:val="center"/>
                </w:tcPr>
                <w:p w14:paraId="078340F3">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c>
                <w:tcPr>
                  <w:tcW w:w="984" w:type="dxa"/>
                  <w:tcBorders>
                    <w:tl2br w:val="nil"/>
                    <w:tr2bl w:val="nil"/>
                  </w:tcBorders>
                  <w:vAlign w:val="center"/>
                </w:tcPr>
                <w:p w14:paraId="07391D9F">
                  <w:pPr>
                    <w:keepNext w:val="0"/>
                    <w:keepLines w:val="0"/>
                    <w:pageBreakBefore w:val="0"/>
                    <w:widowControl/>
                    <w:suppressLineNumbers w:val="0"/>
                    <w:kinsoku/>
                    <w:wordWrap/>
                    <w:overflowPunct/>
                    <w:topLinePunct w:val="0"/>
                    <w:bidi w:val="0"/>
                    <w:jc w:val="center"/>
                    <w:textAlignment w:val="center"/>
                    <w:rPr>
                      <w:rFonts w:hint="default" w:ascii="Times New Roman" w:hAnsi="Times New Roman" w:eastAsia="宋体"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1年</w:t>
                  </w:r>
                </w:p>
              </w:tc>
            </w:tr>
            <w:tr w14:paraId="729DD4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2" w:type="dxa"/>
                  <w:tcBorders>
                    <w:tl2br w:val="nil"/>
                    <w:tr2bl w:val="nil"/>
                  </w:tcBorders>
                  <w:vAlign w:val="center"/>
                </w:tcPr>
                <w:p w14:paraId="7B87F71E">
                  <w:pPr>
                    <w:keepNext w:val="0"/>
                    <w:keepLines w:val="0"/>
                    <w:pageBreakBefore w:val="0"/>
                    <w:widowControl/>
                    <w:suppressLineNumbers w:val="0"/>
                    <w:kinsoku/>
                    <w:wordWrap/>
                    <w:overflowPunct/>
                    <w:topLinePunct w:val="0"/>
                    <w:bidi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12</w:t>
                  </w:r>
                </w:p>
              </w:tc>
              <w:tc>
                <w:tcPr>
                  <w:tcW w:w="1664" w:type="dxa"/>
                  <w:tcBorders>
                    <w:tl2br w:val="nil"/>
                    <w:tr2bl w:val="nil"/>
                  </w:tcBorders>
                  <w:vAlign w:val="center"/>
                </w:tcPr>
                <w:p w14:paraId="11ACE6D8">
                  <w:pPr>
                    <w:keepNext w:val="0"/>
                    <w:keepLines w:val="0"/>
                    <w:pageBreakBefore w:val="0"/>
                    <w:widowControl/>
                    <w:suppressLineNumbers w:val="0"/>
                    <w:kinsoku/>
                    <w:wordWrap/>
                    <w:overflowPunct/>
                    <w:topLinePunct w:val="0"/>
                    <w:bidi w:val="0"/>
                    <w:jc w:val="center"/>
                    <w:textAlignment w:val="center"/>
                    <w:rPr>
                      <w:rFonts w:hint="eastAsia"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脱模剂</w:t>
                  </w:r>
                </w:p>
              </w:tc>
              <w:tc>
                <w:tcPr>
                  <w:tcW w:w="1213" w:type="dxa"/>
                  <w:tcBorders>
                    <w:tl2br w:val="nil"/>
                    <w:tr2bl w:val="nil"/>
                  </w:tcBorders>
                  <w:vAlign w:val="center"/>
                </w:tcPr>
                <w:p w14:paraId="0DEEBB65">
                  <w:pPr>
                    <w:keepNext w:val="0"/>
                    <w:keepLines w:val="0"/>
                    <w:pageBreakBefore w:val="0"/>
                    <w:kinsoku/>
                    <w:wordWrap/>
                    <w:overflowPunct/>
                    <w:topLinePunct w:val="0"/>
                    <w:autoSpaceDE w:val="0"/>
                    <w:autoSpaceDN w:val="0"/>
                    <w:bidi w:val="0"/>
                    <w:adjustRightInd w:val="0"/>
                    <w:snapToGrid w:val="0"/>
                    <w:jc w:val="center"/>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90</w:t>
                  </w:r>
                </w:p>
              </w:tc>
              <w:tc>
                <w:tcPr>
                  <w:tcW w:w="1555" w:type="dxa"/>
                  <w:tcBorders>
                    <w:tl2br w:val="nil"/>
                    <w:tr2bl w:val="nil"/>
                  </w:tcBorders>
                  <w:vAlign w:val="center"/>
                </w:tcPr>
                <w:p w14:paraId="749D366B">
                  <w:pPr>
                    <w:keepNext w:val="0"/>
                    <w:keepLines w:val="0"/>
                    <w:pageBreakBefore w:val="0"/>
                    <w:kinsoku/>
                    <w:wordWrap/>
                    <w:overflowPunct/>
                    <w:topLinePunct w:val="0"/>
                    <w:autoSpaceDE w:val="0"/>
                    <w:autoSpaceDN w:val="0"/>
                    <w:bidi w:val="0"/>
                    <w:adjustRightInd w:val="0"/>
                    <w:snapToGrid w:val="0"/>
                    <w:jc w:val="center"/>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30</w:t>
                  </w:r>
                </w:p>
              </w:tc>
              <w:tc>
                <w:tcPr>
                  <w:tcW w:w="1773" w:type="dxa"/>
                  <w:tcBorders>
                    <w:tl2br w:val="nil"/>
                    <w:tr2bl w:val="nil"/>
                  </w:tcBorders>
                  <w:vAlign w:val="center"/>
                </w:tcPr>
                <w:p w14:paraId="7E4A9540">
                  <w:pPr>
                    <w:keepNext w:val="0"/>
                    <w:keepLines w:val="0"/>
                    <w:pageBreakBefore w:val="0"/>
                    <w:widowControl/>
                    <w:suppressLineNumbers w:val="0"/>
                    <w:kinsoku/>
                    <w:wordWrap/>
                    <w:overflowPunct/>
                    <w:topLinePunct w:val="0"/>
                    <w:bidi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c>
                <w:tcPr>
                  <w:tcW w:w="984" w:type="dxa"/>
                  <w:tcBorders>
                    <w:tl2br w:val="nil"/>
                    <w:tr2bl w:val="nil"/>
                  </w:tcBorders>
                  <w:vAlign w:val="center"/>
                </w:tcPr>
                <w:p w14:paraId="1E5C7C9E">
                  <w:pPr>
                    <w:keepNext w:val="0"/>
                    <w:keepLines w:val="0"/>
                    <w:pageBreakBefore w:val="0"/>
                    <w:widowControl/>
                    <w:suppressLineNumbers w:val="0"/>
                    <w:kinsoku/>
                    <w:wordWrap/>
                    <w:overflowPunct/>
                    <w:topLinePunct w:val="0"/>
                    <w:bidi w:val="0"/>
                    <w:jc w:val="center"/>
                    <w:textAlignment w:val="center"/>
                    <w:rPr>
                      <w:rFonts w:hint="default" w:cs="Times New Roman"/>
                      <w:b w:val="0"/>
                      <w:bCs w:val="0"/>
                      <w:i w:val="0"/>
                      <w:iCs w:val="0"/>
                      <w:color w:val="auto"/>
                      <w:kern w:val="0"/>
                      <w:sz w:val="18"/>
                      <w:szCs w:val="18"/>
                      <w:highlight w:val="none"/>
                      <w:u w:val="none"/>
                      <w:lang w:val="en-US" w:eastAsia="zh-CN" w:bidi="ar"/>
                    </w:rPr>
                  </w:pPr>
                  <w:r>
                    <w:rPr>
                      <w:rFonts w:hint="eastAsia" w:cs="Times New Roman"/>
                      <w:b w:val="0"/>
                      <w:bCs w:val="0"/>
                      <w:i w:val="0"/>
                      <w:iCs w:val="0"/>
                      <w:color w:val="auto"/>
                      <w:kern w:val="0"/>
                      <w:sz w:val="18"/>
                      <w:szCs w:val="18"/>
                      <w:highlight w:val="none"/>
                      <w:u w:val="none"/>
                      <w:lang w:val="en-US" w:eastAsia="zh-CN" w:bidi="ar"/>
                    </w:rPr>
                    <w:t>-</w:t>
                  </w:r>
                </w:p>
              </w:tc>
            </w:tr>
          </w:tbl>
          <w:p w14:paraId="505BB9C3">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项目防腐剂由羧基丁苯乳胶、消石灰、氧化铁红、消泡剂、石英砂、纤维素醚、水组成，防腐剂成分报告详见附件5。羧基丁苯胶乳，属于水基型胶黏剂。</w:t>
            </w:r>
          </w:p>
          <w:p w14:paraId="022F7428">
            <w:pPr>
              <w:pStyle w:val="11"/>
              <w:keepNext w:val="0"/>
              <w:keepLines w:val="0"/>
              <w:pageBreakBefore w:val="0"/>
              <w:widowControl w:val="0"/>
              <w:kinsoku/>
              <w:wordWrap/>
              <w:overflowPunct/>
              <w:topLinePunct w:val="0"/>
              <w:bidi w:val="0"/>
              <w:spacing w:line="360" w:lineRule="auto"/>
              <w:ind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项目采用的钢筋自动点焊机钢筋网片自动多点焊机为电阻点焊，靠大电流、加压，利用钢筋接触面电阻发热熔化母材自身，熔合连成一体，无填充焊材、无焊条、无焊丝。</w:t>
            </w:r>
          </w:p>
          <w:p w14:paraId="21F2243A">
            <w:pPr>
              <w:pStyle w:val="12"/>
              <w:keepNext w:val="0"/>
              <w:keepLines w:val="0"/>
              <w:pageBreakBefore w:val="0"/>
              <w:kinsoku/>
              <w:wordWrap/>
              <w:overflowPunct/>
              <w:topLinePunct w:val="0"/>
              <w:bidi w:val="0"/>
              <w:spacing w:line="360" w:lineRule="auto"/>
              <w:ind w:firstLine="408" w:firstLineChars="200"/>
              <w:textAlignment w:val="auto"/>
              <w:rPr>
                <w:rFonts w:hint="eastAsia"/>
                <w:color w:val="auto"/>
                <w:sz w:val="21"/>
                <w:szCs w:val="21"/>
                <w:highlight w:val="none"/>
                <w:lang w:val="en-US" w:eastAsia="zh-CN"/>
              </w:rPr>
            </w:pPr>
            <w:r>
              <w:rPr>
                <w:color w:val="auto"/>
                <w:spacing w:val="-3"/>
                <w:sz w:val="21"/>
                <w:szCs w:val="21"/>
                <w:highlight w:val="none"/>
              </w:rPr>
              <w:t>脱模剂成分：白色乳性液体，</w:t>
            </w:r>
            <w:r>
              <w:rPr>
                <w:rFonts w:ascii="Times New Roman" w:hAnsi="Times New Roman" w:eastAsia="Times New Roman" w:cs="Times New Roman"/>
                <w:color w:val="auto"/>
                <w:spacing w:val="-3"/>
                <w:sz w:val="21"/>
                <w:szCs w:val="21"/>
                <w:highlight w:val="none"/>
              </w:rPr>
              <w:t>pH</w:t>
            </w:r>
            <w:r>
              <w:rPr>
                <w:color w:val="auto"/>
                <w:spacing w:val="-3"/>
                <w:sz w:val="21"/>
                <w:szCs w:val="21"/>
                <w:highlight w:val="none"/>
              </w:rPr>
              <w:t>为</w:t>
            </w:r>
            <w:r>
              <w:rPr>
                <w:rFonts w:hint="default" w:ascii="Times New Roman" w:hAnsi="Times New Roman" w:cs="Times New Roman"/>
                <w:color w:val="auto"/>
                <w:spacing w:val="-3"/>
                <w:sz w:val="21"/>
                <w:szCs w:val="21"/>
                <w:highlight w:val="none"/>
                <w:lang w:val="en-US" w:eastAsia="zh-CN"/>
              </w:rPr>
              <w:t>7</w:t>
            </w:r>
            <w:r>
              <w:rPr>
                <w:rFonts w:hint="default" w:ascii="Times New Roman" w:hAnsi="Times New Roman" w:eastAsia="Times New Roman" w:cs="Times New Roman"/>
                <w:color w:val="auto"/>
                <w:spacing w:val="-3"/>
                <w:sz w:val="21"/>
                <w:szCs w:val="21"/>
                <w:highlight w:val="none"/>
              </w:rPr>
              <w:t>-8</w:t>
            </w:r>
            <w:r>
              <w:rPr>
                <w:rFonts w:hint="eastAsia" w:ascii="Times New Roman" w:eastAsia="宋体" w:cs="Times New Roman"/>
                <w:color w:val="auto"/>
                <w:spacing w:val="-31"/>
                <w:sz w:val="21"/>
                <w:szCs w:val="21"/>
                <w:highlight w:val="none"/>
                <w:lang w:eastAsia="zh-CN"/>
              </w:rPr>
              <w:t>，</w:t>
            </w:r>
            <w:r>
              <w:rPr>
                <w:color w:val="auto"/>
                <w:spacing w:val="-3"/>
                <w:sz w:val="21"/>
                <w:szCs w:val="21"/>
                <w:highlight w:val="none"/>
              </w:rPr>
              <w:t>主要成分是矿物油，无毒无腐蚀性，</w:t>
            </w:r>
            <w:r>
              <w:rPr>
                <w:color w:val="auto"/>
                <w:spacing w:val="-2"/>
                <w:sz w:val="21"/>
                <w:szCs w:val="21"/>
                <w:highlight w:val="none"/>
              </w:rPr>
              <w:t>无污染，对皮肤无刺激性，具有良好的隔离性能，能使</w:t>
            </w:r>
            <w:r>
              <w:rPr>
                <w:color w:val="auto"/>
                <w:spacing w:val="-3"/>
                <w:sz w:val="21"/>
                <w:szCs w:val="21"/>
                <w:highlight w:val="none"/>
              </w:rPr>
              <w:t>混凝土加气块轻松完整地脱</w:t>
            </w:r>
            <w:r>
              <w:rPr>
                <w:color w:val="auto"/>
                <w:sz w:val="21"/>
                <w:szCs w:val="21"/>
                <w:highlight w:val="none"/>
              </w:rPr>
              <w:t>离模框，项目采用刷油机涂刷的方式让脱模油附着在模板</w:t>
            </w:r>
            <w:r>
              <w:rPr>
                <w:color w:val="auto"/>
                <w:spacing w:val="-1"/>
                <w:sz w:val="21"/>
                <w:szCs w:val="21"/>
                <w:highlight w:val="none"/>
              </w:rPr>
              <w:t>上，脱模油挥发温度在</w:t>
            </w:r>
            <w:r>
              <w:rPr>
                <w:rFonts w:ascii="Times New Roman" w:hAnsi="Times New Roman" w:eastAsia="Times New Roman" w:cs="Times New Roman"/>
                <w:color w:val="auto"/>
                <w:sz w:val="21"/>
                <w:szCs w:val="21"/>
                <w:highlight w:val="none"/>
              </w:rPr>
              <w:t>100</w:t>
            </w:r>
            <w:r>
              <w:rPr>
                <w:color w:val="auto"/>
                <w:sz w:val="21"/>
                <w:szCs w:val="21"/>
                <w:highlight w:val="none"/>
              </w:rPr>
              <w:t>℃左右具有耐化学性，耐热及盈利性能，不易分解或磨</w:t>
            </w:r>
            <w:r>
              <w:rPr>
                <w:color w:val="auto"/>
                <w:spacing w:val="-1"/>
                <w:sz w:val="21"/>
                <w:szCs w:val="21"/>
                <w:highlight w:val="none"/>
              </w:rPr>
              <w:t>损，使用时粘合到模具</w:t>
            </w:r>
            <w:r>
              <w:rPr>
                <w:color w:val="auto"/>
                <w:spacing w:val="-2"/>
                <w:sz w:val="21"/>
                <w:szCs w:val="21"/>
                <w:highlight w:val="none"/>
              </w:rPr>
              <w:t>上而不转移到被加工的工件上。本项目模具刷脱模剂过</w:t>
            </w:r>
            <w:r>
              <w:rPr>
                <w:color w:val="auto"/>
                <w:spacing w:val="-3"/>
                <w:sz w:val="21"/>
                <w:szCs w:val="21"/>
                <w:highlight w:val="none"/>
              </w:rPr>
              <w:t>程很短，且脱模剂会发温度</w:t>
            </w:r>
            <w:r>
              <w:rPr>
                <w:color w:val="auto"/>
                <w:spacing w:val="-1"/>
                <w:sz w:val="21"/>
                <w:szCs w:val="21"/>
                <w:highlight w:val="none"/>
              </w:rPr>
              <w:t>在</w:t>
            </w:r>
            <w:r>
              <w:rPr>
                <w:rFonts w:ascii="Times New Roman" w:hAnsi="Times New Roman" w:eastAsia="Times New Roman" w:cs="Times New Roman"/>
                <w:color w:val="auto"/>
                <w:spacing w:val="-1"/>
                <w:sz w:val="21"/>
                <w:szCs w:val="21"/>
                <w:highlight w:val="none"/>
              </w:rPr>
              <w:t>100</w:t>
            </w:r>
            <w:r>
              <w:rPr>
                <w:color w:val="auto"/>
                <w:spacing w:val="-1"/>
                <w:sz w:val="21"/>
                <w:szCs w:val="21"/>
                <w:highlight w:val="none"/>
              </w:rPr>
              <w:t>℃左右，常温情况下不易挥发，产生非甲</w:t>
            </w:r>
            <w:r>
              <w:rPr>
                <w:color w:val="auto"/>
                <w:spacing w:val="-2"/>
                <w:sz w:val="21"/>
                <w:szCs w:val="21"/>
                <w:highlight w:val="none"/>
              </w:rPr>
              <w:t>烷总烃量极少，无组织排放于封闭</w:t>
            </w:r>
            <w:r>
              <w:rPr>
                <w:color w:val="auto"/>
                <w:spacing w:val="-1"/>
                <w:sz w:val="21"/>
                <w:szCs w:val="21"/>
                <w:highlight w:val="none"/>
              </w:rPr>
              <w:t>厂房内，不会对周围环境造成较大影响。</w:t>
            </w:r>
          </w:p>
          <w:p w14:paraId="50CFF235">
            <w:pPr>
              <w:autoSpaceDE w:val="0"/>
              <w:autoSpaceDN w:val="0"/>
              <w:adjustRightInd w:val="0"/>
              <w:snapToGrid w:val="0"/>
              <w:jc w:val="center"/>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表2-</w:t>
            </w:r>
            <w:r>
              <w:rPr>
                <w:rFonts w:hint="default"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rPr>
              <w:t xml:space="preserve">  </w:t>
            </w:r>
            <w:r>
              <w:rPr>
                <w:rFonts w:hint="default" w:ascii="Times New Roman" w:hAnsi="Times New Roman" w:cs="Times New Roman"/>
                <w:b/>
                <w:bCs/>
                <w:color w:val="auto"/>
                <w:highlight w:val="none"/>
                <w:lang w:eastAsia="zh-CN"/>
              </w:rPr>
              <w:t>本项目产品方案</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64"/>
              <w:gridCol w:w="1168"/>
              <w:gridCol w:w="1684"/>
              <w:gridCol w:w="2826"/>
            </w:tblGrid>
            <w:tr w14:paraId="1B8E3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1425" w:type="pct"/>
                  <w:vAlign w:val="center"/>
                </w:tcPr>
                <w:p w14:paraId="2FF2E622">
                  <w:pPr>
                    <w:widowControl/>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名称</w:t>
                  </w:r>
                </w:p>
              </w:tc>
              <w:tc>
                <w:tcPr>
                  <w:tcW w:w="735" w:type="pct"/>
                  <w:vAlign w:val="center"/>
                </w:tcPr>
                <w:p w14:paraId="6D9458AC">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bidi="ar"/>
                    </w:rPr>
                    <w:t>年</w:t>
                  </w:r>
                  <w:r>
                    <w:rPr>
                      <w:rFonts w:hint="default" w:ascii="Times New Roman" w:hAnsi="Times New Roman" w:cs="Times New Roman"/>
                      <w:color w:val="auto"/>
                      <w:kern w:val="0"/>
                      <w:sz w:val="18"/>
                      <w:szCs w:val="18"/>
                      <w:highlight w:val="none"/>
                      <w:lang w:eastAsia="zh-CN" w:bidi="ar"/>
                    </w:rPr>
                    <w:t>产量</w:t>
                  </w:r>
                </w:p>
              </w:tc>
              <w:tc>
                <w:tcPr>
                  <w:tcW w:w="1060" w:type="pct"/>
                  <w:vAlign w:val="center"/>
                </w:tcPr>
                <w:p w14:paraId="7A336810">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eastAsia="zh-CN" w:bidi="ar"/>
                    </w:rPr>
                    <w:t>产品规格</w:t>
                  </w:r>
                </w:p>
              </w:tc>
              <w:tc>
                <w:tcPr>
                  <w:tcW w:w="1779" w:type="pct"/>
                  <w:vAlign w:val="center"/>
                </w:tcPr>
                <w:p w14:paraId="655ECE70">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质量标准</w:t>
                  </w:r>
                </w:p>
              </w:tc>
            </w:tr>
            <w:tr w14:paraId="649916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425" w:type="pct"/>
                  <w:vAlign w:val="center"/>
                </w:tcPr>
                <w:p w14:paraId="3E8D24DD">
                  <w:pPr>
                    <w:widowControl/>
                    <w:jc w:val="center"/>
                    <w:textAlignment w:val="center"/>
                    <w:rPr>
                      <w:rFonts w:hint="default" w:ascii="Times New Roman" w:hAnsi="Times New Roman" w:cs="Times New Roman"/>
                      <w:color w:val="auto"/>
                      <w:kern w:val="0"/>
                      <w:sz w:val="18"/>
                      <w:szCs w:val="18"/>
                      <w:highlight w:val="none"/>
                      <w:lang w:bidi="ar"/>
                    </w:rPr>
                  </w:pPr>
                  <w:r>
                    <w:rPr>
                      <w:rFonts w:hint="eastAsia" w:cs="Times New Roman"/>
                      <w:color w:val="auto"/>
                      <w:kern w:val="0"/>
                      <w:sz w:val="18"/>
                      <w:szCs w:val="18"/>
                      <w:highlight w:val="none"/>
                      <w:lang w:eastAsia="zh-CN" w:bidi="ar"/>
                    </w:rPr>
                    <w:t>蒸压</w:t>
                  </w:r>
                  <w:r>
                    <w:rPr>
                      <w:rFonts w:hint="default" w:ascii="Times New Roman" w:hAnsi="Times New Roman" w:cs="Times New Roman"/>
                      <w:color w:val="auto"/>
                      <w:kern w:val="0"/>
                      <w:sz w:val="18"/>
                      <w:szCs w:val="18"/>
                      <w:highlight w:val="none"/>
                      <w:lang w:bidi="ar"/>
                    </w:rPr>
                    <w:t>加气混凝土砌块</w:t>
                  </w:r>
                </w:p>
              </w:tc>
              <w:tc>
                <w:tcPr>
                  <w:tcW w:w="735" w:type="pct"/>
                  <w:vAlign w:val="center"/>
                </w:tcPr>
                <w:p w14:paraId="03AB50A4">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30万m</w:t>
                  </w:r>
                  <w:r>
                    <w:rPr>
                      <w:rFonts w:hint="default" w:ascii="Times New Roman" w:hAnsi="Times New Roman" w:cs="Times New Roman"/>
                      <w:color w:val="auto"/>
                      <w:kern w:val="0"/>
                      <w:sz w:val="18"/>
                      <w:szCs w:val="18"/>
                      <w:highlight w:val="none"/>
                      <w:vertAlign w:val="superscript"/>
                      <w:lang w:val="en-US" w:eastAsia="zh-CN" w:bidi="ar"/>
                    </w:rPr>
                    <w:t>3</w:t>
                  </w:r>
                </w:p>
              </w:tc>
              <w:tc>
                <w:tcPr>
                  <w:tcW w:w="1060" w:type="pct"/>
                  <w:vAlign w:val="center"/>
                </w:tcPr>
                <w:p w14:paraId="7BACAB0C">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4.2m</w:t>
                  </w:r>
                  <w:r>
                    <w:rPr>
                      <w:rFonts w:hint="eastAsia"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eastAsia="zh-CN" w:bidi="ar"/>
                    </w:rPr>
                    <w:t>1.2m</w:t>
                  </w:r>
                  <w:r>
                    <w:rPr>
                      <w:rFonts w:hint="eastAsia"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eastAsia="zh-CN" w:bidi="ar"/>
                    </w:rPr>
                    <w:t>0.6m</w:t>
                  </w:r>
                </w:p>
              </w:tc>
              <w:tc>
                <w:tcPr>
                  <w:tcW w:w="1779" w:type="pct"/>
                  <w:vAlign w:val="center"/>
                </w:tcPr>
                <w:p w14:paraId="78BFEB72">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eastAsia="zh-CN" w:bidi="ar"/>
                    </w:rPr>
                    <w:t>《蒸压加气混凝土砌块》（GB/T11968-2020）</w:t>
                  </w:r>
                  <w:r>
                    <w:rPr>
                      <w:rFonts w:hint="eastAsia" w:cs="Times New Roman"/>
                      <w:color w:val="auto"/>
                      <w:kern w:val="0"/>
                      <w:sz w:val="18"/>
                      <w:szCs w:val="18"/>
                      <w:highlight w:val="none"/>
                      <w:lang w:eastAsia="zh-CN" w:bidi="ar"/>
                    </w:rPr>
                    <w:t>，</w:t>
                  </w:r>
                  <w:r>
                    <w:rPr>
                      <w:rFonts w:hint="eastAsia" w:cs="Times New Roman"/>
                      <w:color w:val="auto"/>
                      <w:kern w:val="0"/>
                      <w:sz w:val="18"/>
                      <w:szCs w:val="18"/>
                      <w:highlight w:val="none"/>
                      <w:lang w:val="en-US" w:eastAsia="zh-CN" w:bidi="ar"/>
                    </w:rPr>
                    <w:t>0.55t/m</w:t>
                  </w:r>
                  <w:r>
                    <w:rPr>
                      <w:rFonts w:hint="eastAsia" w:cs="Times New Roman"/>
                      <w:color w:val="auto"/>
                      <w:kern w:val="0"/>
                      <w:sz w:val="18"/>
                      <w:szCs w:val="18"/>
                      <w:highlight w:val="none"/>
                      <w:vertAlign w:val="superscript"/>
                      <w:lang w:val="en-US" w:eastAsia="zh-CN" w:bidi="ar"/>
                    </w:rPr>
                    <w:t>3</w:t>
                  </w:r>
                </w:p>
              </w:tc>
            </w:tr>
            <w:tr w14:paraId="5B0698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425" w:type="pct"/>
                  <w:vAlign w:val="center"/>
                </w:tcPr>
                <w:p w14:paraId="10956215">
                  <w:pPr>
                    <w:widowControl/>
                    <w:jc w:val="center"/>
                    <w:textAlignment w:val="center"/>
                    <w:rPr>
                      <w:rFonts w:hint="default" w:ascii="Times New Roman" w:hAnsi="Times New Roman" w:cs="Times New Roman"/>
                      <w:color w:val="auto"/>
                      <w:kern w:val="0"/>
                      <w:sz w:val="18"/>
                      <w:szCs w:val="18"/>
                      <w:highlight w:val="none"/>
                      <w:lang w:eastAsia="zh-CN" w:bidi="ar"/>
                    </w:rPr>
                  </w:pPr>
                  <w:r>
                    <w:rPr>
                      <w:rFonts w:hint="eastAsia" w:cs="Times New Roman"/>
                      <w:color w:val="auto"/>
                      <w:kern w:val="0"/>
                      <w:sz w:val="18"/>
                      <w:szCs w:val="18"/>
                      <w:highlight w:val="none"/>
                      <w:lang w:eastAsia="zh-CN" w:bidi="ar"/>
                    </w:rPr>
                    <w:t>蒸压</w:t>
                  </w:r>
                  <w:r>
                    <w:rPr>
                      <w:rFonts w:hint="default" w:ascii="Times New Roman" w:hAnsi="Times New Roman" w:cs="Times New Roman"/>
                      <w:color w:val="auto"/>
                      <w:kern w:val="0"/>
                      <w:sz w:val="18"/>
                      <w:szCs w:val="18"/>
                      <w:highlight w:val="none"/>
                      <w:lang w:eastAsia="zh-CN" w:bidi="ar"/>
                    </w:rPr>
                    <w:t>加气混凝土板材</w:t>
                  </w:r>
                </w:p>
              </w:tc>
              <w:tc>
                <w:tcPr>
                  <w:tcW w:w="735" w:type="pct"/>
                  <w:vAlign w:val="center"/>
                </w:tcPr>
                <w:p w14:paraId="1B3A9003">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30万m</w:t>
                  </w:r>
                  <w:r>
                    <w:rPr>
                      <w:rFonts w:hint="default" w:ascii="Times New Roman" w:hAnsi="Times New Roman" w:cs="Times New Roman"/>
                      <w:color w:val="auto"/>
                      <w:kern w:val="0"/>
                      <w:sz w:val="18"/>
                      <w:szCs w:val="18"/>
                      <w:highlight w:val="none"/>
                      <w:vertAlign w:val="superscript"/>
                      <w:lang w:val="en-US" w:eastAsia="zh-CN" w:bidi="ar"/>
                    </w:rPr>
                    <w:t>3</w:t>
                  </w:r>
                </w:p>
              </w:tc>
              <w:tc>
                <w:tcPr>
                  <w:tcW w:w="1060" w:type="pct"/>
                  <w:vAlign w:val="center"/>
                </w:tcPr>
                <w:p w14:paraId="3BAEACF1">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4.2m</w:t>
                  </w:r>
                  <w:r>
                    <w:rPr>
                      <w:rFonts w:hint="eastAsia"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eastAsia="zh-CN" w:bidi="ar"/>
                    </w:rPr>
                    <w:t>1.2m</w:t>
                  </w:r>
                  <w:r>
                    <w:rPr>
                      <w:rFonts w:hint="eastAsia" w:cs="Times New Roman"/>
                      <w:color w:val="auto"/>
                      <w:kern w:val="0"/>
                      <w:sz w:val="18"/>
                      <w:szCs w:val="18"/>
                      <w:highlight w:val="none"/>
                      <w:lang w:val="en-US" w:eastAsia="zh-CN" w:bidi="ar"/>
                    </w:rPr>
                    <w:t>×</w:t>
                  </w:r>
                  <w:r>
                    <w:rPr>
                      <w:rFonts w:hint="default" w:ascii="Times New Roman" w:hAnsi="Times New Roman" w:eastAsia="宋体" w:cs="Times New Roman"/>
                      <w:color w:val="auto"/>
                      <w:kern w:val="0"/>
                      <w:sz w:val="18"/>
                      <w:szCs w:val="18"/>
                      <w:highlight w:val="none"/>
                      <w:lang w:eastAsia="zh-CN" w:bidi="ar"/>
                    </w:rPr>
                    <w:t>0.6m</w:t>
                  </w:r>
                </w:p>
              </w:tc>
              <w:tc>
                <w:tcPr>
                  <w:tcW w:w="1779" w:type="pct"/>
                  <w:vAlign w:val="center"/>
                </w:tcPr>
                <w:p w14:paraId="74F6ECC2">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eastAsia="zh-CN" w:bidi="ar"/>
                    </w:rPr>
                    <w:t>《蒸压加气混凝土板》（GB/T15762-2020）</w:t>
                  </w:r>
                  <w:r>
                    <w:rPr>
                      <w:rFonts w:hint="eastAsia" w:ascii="Times New Roman" w:hAnsi="Times New Roman" w:eastAsia="宋体" w:cs="Times New Roman"/>
                      <w:color w:val="auto"/>
                      <w:kern w:val="0"/>
                      <w:sz w:val="18"/>
                      <w:szCs w:val="18"/>
                      <w:highlight w:val="none"/>
                      <w:lang w:eastAsia="zh-CN" w:bidi="ar"/>
                    </w:rPr>
                    <w:t>，</w:t>
                  </w:r>
                  <w:r>
                    <w:rPr>
                      <w:rFonts w:hint="eastAsia" w:cs="Times New Roman"/>
                      <w:color w:val="auto"/>
                      <w:kern w:val="0"/>
                      <w:sz w:val="18"/>
                      <w:szCs w:val="18"/>
                      <w:highlight w:val="none"/>
                      <w:lang w:val="en-US" w:eastAsia="zh-CN" w:bidi="ar"/>
                    </w:rPr>
                    <w:t>0.60t/m</w:t>
                  </w:r>
                  <w:r>
                    <w:rPr>
                      <w:rFonts w:hint="eastAsia" w:cs="Times New Roman"/>
                      <w:color w:val="auto"/>
                      <w:kern w:val="0"/>
                      <w:sz w:val="18"/>
                      <w:szCs w:val="18"/>
                      <w:highlight w:val="none"/>
                      <w:vertAlign w:val="superscript"/>
                      <w:lang w:val="en-US" w:eastAsia="zh-CN" w:bidi="ar"/>
                    </w:rPr>
                    <w:t>3</w:t>
                  </w:r>
                </w:p>
              </w:tc>
            </w:tr>
          </w:tbl>
          <w:p w14:paraId="5D5E154D">
            <w:pPr>
              <w:autoSpaceDE w:val="0"/>
              <w:autoSpaceDN w:val="0"/>
              <w:adjustRightInd w:val="0"/>
              <w:snapToGrid w:val="0"/>
              <w:jc w:val="center"/>
              <w:rPr>
                <w:rFonts w:hint="default" w:ascii="Times New Roman" w:hAnsi="Times New Roman" w:cs="Times New Roman"/>
                <w:b/>
                <w:bCs/>
                <w:color w:val="auto"/>
                <w:highlight w:val="none"/>
              </w:rPr>
            </w:pPr>
          </w:p>
          <w:p w14:paraId="6EC455D1">
            <w:pPr>
              <w:autoSpaceDE w:val="0"/>
              <w:autoSpaceDN w:val="0"/>
              <w:adjustRightInd w:val="0"/>
              <w:snapToGrid w:val="0"/>
              <w:jc w:val="center"/>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表2-</w:t>
            </w:r>
            <w:r>
              <w:rPr>
                <w:rFonts w:hint="eastAsia" w:cs="Times New Roman"/>
                <w:b/>
                <w:bCs/>
                <w:color w:val="auto"/>
                <w:highlight w:val="none"/>
                <w:lang w:val="en-US" w:eastAsia="zh-CN"/>
              </w:rPr>
              <w:t>4</w:t>
            </w:r>
            <w:r>
              <w:rPr>
                <w:rFonts w:hint="default" w:ascii="Times New Roman" w:hAnsi="Times New Roman" w:cs="Times New Roman"/>
                <w:b/>
                <w:bCs/>
                <w:color w:val="auto"/>
                <w:highlight w:val="none"/>
              </w:rPr>
              <w:t xml:space="preserve">  </w:t>
            </w:r>
            <w:r>
              <w:rPr>
                <w:rFonts w:hint="eastAsia" w:cs="Times New Roman"/>
                <w:b/>
                <w:bCs/>
                <w:color w:val="auto"/>
                <w:highlight w:val="none"/>
                <w:lang w:eastAsia="zh-CN"/>
              </w:rPr>
              <w:t>加压蒸汽混凝土砌块物料平衡一览表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1737"/>
              <w:gridCol w:w="2138"/>
              <w:gridCol w:w="2492"/>
            </w:tblGrid>
            <w:tr w14:paraId="79EA14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2085" w:type="pct"/>
                  <w:gridSpan w:val="2"/>
                  <w:vAlign w:val="center"/>
                </w:tcPr>
                <w:p w14:paraId="279A2DB2">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eastAsia="zh-CN" w:bidi="ar"/>
                    </w:rPr>
                    <w:t>投入</w:t>
                  </w:r>
                </w:p>
              </w:tc>
              <w:tc>
                <w:tcPr>
                  <w:tcW w:w="2914" w:type="pct"/>
                  <w:gridSpan w:val="2"/>
                  <w:vAlign w:val="center"/>
                </w:tcPr>
                <w:p w14:paraId="5259817A">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eastAsia="zh-CN" w:bidi="ar"/>
                    </w:rPr>
                    <w:t>产出</w:t>
                  </w:r>
                </w:p>
              </w:tc>
            </w:tr>
            <w:tr w14:paraId="4FEAA8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1" w:type="pct"/>
                  <w:vAlign w:val="center"/>
                </w:tcPr>
                <w:p w14:paraId="516F48AC">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名称</w:t>
                  </w:r>
                </w:p>
              </w:tc>
              <w:tc>
                <w:tcPr>
                  <w:tcW w:w="1093" w:type="pct"/>
                  <w:vAlign w:val="center"/>
                </w:tcPr>
                <w:p w14:paraId="0FFEF463">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eastAsia="zh-CN" w:bidi="ar"/>
                    </w:rPr>
                    <w:t>用</w:t>
                  </w:r>
                  <w:r>
                    <w:rPr>
                      <w:rFonts w:hint="default" w:ascii="Times New Roman" w:hAnsi="Times New Roman" w:eastAsia="宋体" w:cs="Times New Roman"/>
                      <w:color w:val="auto"/>
                      <w:kern w:val="0"/>
                      <w:sz w:val="18"/>
                      <w:szCs w:val="18"/>
                      <w:highlight w:val="none"/>
                      <w:lang w:eastAsia="zh-CN" w:bidi="ar"/>
                    </w:rPr>
                    <w:t>量</w:t>
                  </w:r>
                </w:p>
              </w:tc>
              <w:tc>
                <w:tcPr>
                  <w:tcW w:w="1346" w:type="pct"/>
                  <w:vAlign w:val="center"/>
                </w:tcPr>
                <w:p w14:paraId="2B73C2EB">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名称</w:t>
                  </w:r>
                </w:p>
              </w:tc>
              <w:tc>
                <w:tcPr>
                  <w:tcW w:w="1568" w:type="pct"/>
                  <w:vAlign w:val="center"/>
                </w:tcPr>
                <w:p w14:paraId="18816D64">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eastAsia="zh-CN" w:bidi="ar"/>
                    </w:rPr>
                    <w:t>产</w:t>
                  </w:r>
                  <w:r>
                    <w:rPr>
                      <w:rFonts w:hint="default" w:ascii="Times New Roman" w:hAnsi="Times New Roman" w:eastAsia="宋体" w:cs="Times New Roman"/>
                      <w:color w:val="auto"/>
                      <w:kern w:val="0"/>
                      <w:sz w:val="18"/>
                      <w:szCs w:val="18"/>
                      <w:highlight w:val="none"/>
                      <w:lang w:eastAsia="zh-CN" w:bidi="ar"/>
                    </w:rPr>
                    <w:t>量</w:t>
                  </w:r>
                </w:p>
              </w:tc>
            </w:tr>
            <w:tr w14:paraId="0DDA08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991" w:type="pct"/>
                  <w:vAlign w:val="center"/>
                </w:tcPr>
                <w:p w14:paraId="2A25C0F4">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val="en-US" w:eastAsia="zh-CN" w:bidi="ar"/>
                    </w:rPr>
                    <w:t>粉煤灰</w:t>
                  </w:r>
                </w:p>
              </w:tc>
              <w:tc>
                <w:tcPr>
                  <w:tcW w:w="1093" w:type="pct"/>
                  <w:vAlign w:val="center"/>
                </w:tcPr>
                <w:p w14:paraId="5EF21201">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116967t</w:t>
                  </w:r>
                </w:p>
              </w:tc>
              <w:tc>
                <w:tcPr>
                  <w:tcW w:w="1346" w:type="pct"/>
                  <w:vAlign w:val="center"/>
                </w:tcPr>
                <w:p w14:paraId="019C83BE">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val="en-US" w:eastAsia="zh-CN" w:bidi="ar"/>
                    </w:rPr>
                    <w:t>蒸压加气混凝土砌块</w:t>
                  </w:r>
                </w:p>
              </w:tc>
              <w:tc>
                <w:tcPr>
                  <w:tcW w:w="1568" w:type="pct"/>
                  <w:vAlign w:val="center"/>
                </w:tcPr>
                <w:p w14:paraId="49A808F9">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val="en-US" w:eastAsia="zh-CN" w:bidi="ar"/>
                    </w:rPr>
                    <w:t>165000t（30万m</w:t>
                  </w:r>
                  <w:r>
                    <w:rPr>
                      <w:rFonts w:hint="eastAsia" w:ascii="Times New Roman" w:hAnsi="Times New Roman" w:eastAsia="宋体" w:cs="Times New Roman"/>
                      <w:color w:val="auto"/>
                      <w:kern w:val="0"/>
                      <w:sz w:val="18"/>
                      <w:szCs w:val="18"/>
                      <w:highlight w:val="none"/>
                      <w:vertAlign w:val="superscript"/>
                      <w:lang w:val="en-US" w:eastAsia="zh-CN" w:bidi="ar"/>
                    </w:rPr>
                    <w:t>3</w:t>
                  </w:r>
                  <w:r>
                    <w:rPr>
                      <w:rFonts w:hint="eastAsia" w:ascii="Times New Roman" w:hAnsi="Times New Roman" w:eastAsia="宋体" w:cs="Times New Roman"/>
                      <w:color w:val="auto"/>
                      <w:kern w:val="0"/>
                      <w:sz w:val="18"/>
                      <w:szCs w:val="18"/>
                      <w:highlight w:val="none"/>
                      <w:lang w:val="en-US" w:eastAsia="zh-CN" w:bidi="ar"/>
                    </w:rPr>
                    <w:t>，</w:t>
                  </w:r>
                  <w:r>
                    <w:rPr>
                      <w:rFonts w:hint="eastAsia" w:cs="Times New Roman"/>
                      <w:color w:val="auto"/>
                      <w:kern w:val="0"/>
                      <w:sz w:val="18"/>
                      <w:szCs w:val="18"/>
                      <w:highlight w:val="none"/>
                      <w:lang w:val="en-US" w:eastAsia="zh-CN" w:bidi="ar"/>
                    </w:rPr>
                    <w:t>0.55t/m</w:t>
                  </w:r>
                  <w:r>
                    <w:rPr>
                      <w:rFonts w:hint="eastAsia" w:cs="Times New Roman"/>
                      <w:color w:val="auto"/>
                      <w:kern w:val="0"/>
                      <w:sz w:val="18"/>
                      <w:szCs w:val="18"/>
                      <w:highlight w:val="none"/>
                      <w:vertAlign w:val="superscript"/>
                      <w:lang w:val="en-US" w:eastAsia="zh-CN" w:bidi="ar"/>
                    </w:rPr>
                    <w:t>3</w:t>
                  </w:r>
                  <w:r>
                    <w:rPr>
                      <w:rFonts w:hint="eastAsia" w:ascii="Times New Roman" w:hAnsi="Times New Roman" w:eastAsia="宋体" w:cs="Times New Roman"/>
                      <w:color w:val="auto"/>
                      <w:kern w:val="0"/>
                      <w:sz w:val="18"/>
                      <w:szCs w:val="18"/>
                      <w:highlight w:val="none"/>
                      <w:lang w:val="en-US" w:eastAsia="zh-CN" w:bidi="ar"/>
                    </w:rPr>
                    <w:t>）</w:t>
                  </w:r>
                </w:p>
              </w:tc>
            </w:tr>
            <w:tr w14:paraId="20FB27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1" w:type="pct"/>
                  <w:vAlign w:val="center"/>
                </w:tcPr>
                <w:p w14:paraId="43431566">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生石灰</w:t>
                  </w:r>
                </w:p>
              </w:tc>
              <w:tc>
                <w:tcPr>
                  <w:tcW w:w="1093" w:type="pct"/>
                  <w:vAlign w:val="center"/>
                </w:tcPr>
                <w:p w14:paraId="784847F3">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28688t</w:t>
                  </w:r>
                </w:p>
              </w:tc>
              <w:tc>
                <w:tcPr>
                  <w:tcW w:w="1346" w:type="pct"/>
                  <w:shd w:val="clear" w:color="auto" w:fill="auto"/>
                  <w:vAlign w:val="center"/>
                </w:tcPr>
                <w:p w14:paraId="6554822C">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不合格品、废边角料</w:t>
                  </w:r>
                </w:p>
              </w:tc>
              <w:tc>
                <w:tcPr>
                  <w:tcW w:w="1568" w:type="pct"/>
                  <w:shd w:val="clear" w:color="auto" w:fill="auto"/>
                  <w:vAlign w:val="center"/>
                </w:tcPr>
                <w:p w14:paraId="020895CB">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49</w:t>
                  </w:r>
                  <w:r>
                    <w:rPr>
                      <w:rFonts w:hint="eastAsia" w:ascii="Times New Roman" w:hAnsi="Times New Roman" w:eastAsia="宋体" w:cs="Times New Roman"/>
                      <w:color w:val="auto"/>
                      <w:kern w:val="0"/>
                      <w:sz w:val="18"/>
                      <w:szCs w:val="18"/>
                      <w:highlight w:val="none"/>
                      <w:lang w:val="en-US" w:eastAsia="zh-CN" w:bidi="ar"/>
                    </w:rPr>
                    <w:t>77.58t</w:t>
                  </w:r>
                </w:p>
              </w:tc>
            </w:tr>
            <w:tr w14:paraId="603561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991" w:type="pct"/>
                  <w:vAlign w:val="center"/>
                </w:tcPr>
                <w:p w14:paraId="713D057C">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val="en-US" w:eastAsia="zh-CN" w:bidi="ar"/>
                    </w:rPr>
                    <w:t>水泥</w:t>
                  </w:r>
                </w:p>
              </w:tc>
              <w:tc>
                <w:tcPr>
                  <w:tcW w:w="1093" w:type="pct"/>
                  <w:vAlign w:val="center"/>
                </w:tcPr>
                <w:p w14:paraId="12DA7FA2">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16065t</w:t>
                  </w:r>
                </w:p>
              </w:tc>
              <w:tc>
                <w:tcPr>
                  <w:tcW w:w="1346" w:type="pct"/>
                  <w:shd w:val="clear" w:color="auto" w:fill="auto"/>
                  <w:vAlign w:val="center"/>
                </w:tcPr>
                <w:p w14:paraId="05AF4B9F">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粉尘</w:t>
                  </w:r>
                </w:p>
              </w:tc>
              <w:tc>
                <w:tcPr>
                  <w:tcW w:w="1568" w:type="pct"/>
                  <w:shd w:val="clear" w:color="auto" w:fill="auto"/>
                  <w:vAlign w:val="center"/>
                </w:tcPr>
                <w:p w14:paraId="7B03E205">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37.79t</w:t>
                  </w:r>
                </w:p>
              </w:tc>
            </w:tr>
            <w:tr w14:paraId="513229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991" w:type="pct"/>
                  <w:shd w:val="clear" w:color="auto" w:fill="auto"/>
                  <w:vAlign w:val="center"/>
                </w:tcPr>
                <w:p w14:paraId="1B3033F2">
                  <w:pPr>
                    <w:widowControl/>
                    <w:jc w:val="center"/>
                    <w:textAlignment w:val="center"/>
                    <w:rPr>
                      <w:rFonts w:hint="eastAsia"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石膏</w:t>
                  </w:r>
                </w:p>
              </w:tc>
              <w:tc>
                <w:tcPr>
                  <w:tcW w:w="1093" w:type="pct"/>
                  <w:shd w:val="clear" w:color="auto" w:fill="auto"/>
                  <w:vAlign w:val="center"/>
                </w:tcPr>
                <w:p w14:paraId="3428F17A">
                  <w:pPr>
                    <w:widowControl/>
                    <w:jc w:val="center"/>
                    <w:textAlignment w:val="center"/>
                    <w:rPr>
                      <w:rFonts w:hint="eastAsia"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5410t</w:t>
                  </w:r>
                </w:p>
              </w:tc>
              <w:tc>
                <w:tcPr>
                  <w:tcW w:w="1346" w:type="pct"/>
                  <w:shd w:val="clear" w:color="auto" w:fill="auto"/>
                  <w:vAlign w:val="center"/>
                </w:tcPr>
                <w:p w14:paraId="227E81DA">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val="en-US" w:eastAsia="zh-CN" w:bidi="ar"/>
                    </w:rPr>
                    <w:t>排水</w:t>
                  </w:r>
                </w:p>
              </w:tc>
              <w:tc>
                <w:tcPr>
                  <w:tcW w:w="1568" w:type="pct"/>
                  <w:shd w:val="clear" w:color="auto" w:fill="auto"/>
                  <w:vAlign w:val="center"/>
                </w:tcPr>
                <w:p w14:paraId="5B3299A5">
                  <w:pPr>
                    <w:widowControl/>
                    <w:jc w:val="center"/>
                    <w:textAlignment w:val="center"/>
                    <w:rPr>
                      <w:rFonts w:hint="eastAsia"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4992t</w:t>
                  </w:r>
                </w:p>
              </w:tc>
            </w:tr>
            <w:tr w14:paraId="4DC80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991" w:type="pct"/>
                  <w:shd w:val="clear" w:color="auto" w:fill="auto"/>
                  <w:vAlign w:val="center"/>
                </w:tcPr>
                <w:p w14:paraId="51C8928A">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铝粉膏</w:t>
                  </w:r>
                </w:p>
              </w:tc>
              <w:tc>
                <w:tcPr>
                  <w:tcW w:w="1093" w:type="pct"/>
                  <w:shd w:val="clear" w:color="auto" w:fill="auto"/>
                  <w:vAlign w:val="center"/>
                </w:tcPr>
                <w:p w14:paraId="2D5B5D06">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197.37t</w:t>
                  </w:r>
                </w:p>
              </w:tc>
              <w:tc>
                <w:tcPr>
                  <w:tcW w:w="2914" w:type="pct"/>
                  <w:gridSpan w:val="2"/>
                  <w:vMerge w:val="restart"/>
                  <w:vAlign w:val="center"/>
                </w:tcPr>
                <w:p w14:paraId="34211138">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w:t>
                  </w:r>
                </w:p>
              </w:tc>
            </w:tr>
            <w:tr w14:paraId="571183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991" w:type="pct"/>
                  <w:shd w:val="clear" w:color="auto" w:fill="auto"/>
                  <w:vAlign w:val="center"/>
                </w:tcPr>
                <w:p w14:paraId="3CA6424B">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水</w:t>
                  </w:r>
                </w:p>
              </w:tc>
              <w:tc>
                <w:tcPr>
                  <w:tcW w:w="1093" w:type="pct"/>
                  <w:shd w:val="clear" w:color="auto" w:fill="auto"/>
                  <w:vAlign w:val="center"/>
                </w:tcPr>
                <w:p w14:paraId="73737E3A">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7680t</w:t>
                  </w:r>
                </w:p>
              </w:tc>
              <w:tc>
                <w:tcPr>
                  <w:tcW w:w="2914" w:type="pct"/>
                  <w:gridSpan w:val="2"/>
                  <w:vMerge w:val="continue"/>
                  <w:vAlign w:val="center"/>
                </w:tcPr>
                <w:p w14:paraId="27D92F67">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p>
              </w:tc>
            </w:tr>
            <w:tr w14:paraId="1C6A0E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0" w:hRule="atLeast"/>
                <w:jc w:val="center"/>
              </w:trPr>
              <w:tc>
                <w:tcPr>
                  <w:tcW w:w="991" w:type="pct"/>
                  <w:vAlign w:val="center"/>
                </w:tcPr>
                <w:p w14:paraId="433AA80B">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合计</w:t>
                  </w:r>
                </w:p>
              </w:tc>
              <w:tc>
                <w:tcPr>
                  <w:tcW w:w="1093" w:type="pct"/>
                  <w:vAlign w:val="center"/>
                </w:tcPr>
                <w:p w14:paraId="7034F2CC">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175007.37t</w:t>
                  </w:r>
                </w:p>
              </w:tc>
              <w:tc>
                <w:tcPr>
                  <w:tcW w:w="1346" w:type="pct"/>
                  <w:vAlign w:val="center"/>
                </w:tcPr>
                <w:p w14:paraId="705185A0">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eastAsia="zh-CN" w:bidi="ar"/>
                    </w:rPr>
                    <w:t>合计</w:t>
                  </w:r>
                </w:p>
              </w:tc>
              <w:tc>
                <w:tcPr>
                  <w:tcW w:w="1568" w:type="pct"/>
                  <w:vAlign w:val="center"/>
                </w:tcPr>
                <w:p w14:paraId="0D16F1DB">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175007.37t</w:t>
                  </w:r>
                </w:p>
              </w:tc>
            </w:tr>
          </w:tbl>
          <w:p w14:paraId="48F6CA89">
            <w:pPr>
              <w:autoSpaceDE w:val="0"/>
              <w:autoSpaceDN w:val="0"/>
              <w:adjustRightInd w:val="0"/>
              <w:snapToGrid w:val="0"/>
              <w:jc w:val="center"/>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表2-</w:t>
            </w:r>
            <w:r>
              <w:rPr>
                <w:rFonts w:hint="eastAsia" w:cs="Times New Roman"/>
                <w:b/>
                <w:bCs/>
                <w:color w:val="auto"/>
                <w:highlight w:val="none"/>
                <w:lang w:val="en-US" w:eastAsia="zh-CN"/>
              </w:rPr>
              <w:t>5</w:t>
            </w:r>
            <w:r>
              <w:rPr>
                <w:rFonts w:hint="default" w:ascii="Times New Roman" w:hAnsi="Times New Roman" w:cs="Times New Roman"/>
                <w:b/>
                <w:bCs/>
                <w:color w:val="auto"/>
                <w:highlight w:val="none"/>
              </w:rPr>
              <w:t xml:space="preserve">  </w:t>
            </w:r>
            <w:r>
              <w:rPr>
                <w:rFonts w:hint="eastAsia" w:cs="Times New Roman"/>
                <w:b/>
                <w:bCs/>
                <w:color w:val="auto"/>
                <w:highlight w:val="none"/>
                <w:lang w:eastAsia="zh-CN"/>
              </w:rPr>
              <w:t>加压蒸汽混凝土板材物料平衡一览表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12"/>
              <w:gridCol w:w="1788"/>
              <w:gridCol w:w="1862"/>
              <w:gridCol w:w="2480"/>
            </w:tblGrid>
            <w:tr w14:paraId="0EB86F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2266" w:type="pct"/>
                  <w:gridSpan w:val="2"/>
                  <w:vAlign w:val="center"/>
                </w:tcPr>
                <w:p w14:paraId="54156269">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eastAsia="zh-CN" w:bidi="ar"/>
                    </w:rPr>
                    <w:t>投入</w:t>
                  </w:r>
                </w:p>
              </w:tc>
              <w:tc>
                <w:tcPr>
                  <w:tcW w:w="2733" w:type="pct"/>
                  <w:gridSpan w:val="2"/>
                  <w:vAlign w:val="center"/>
                </w:tcPr>
                <w:p w14:paraId="050BE1FA">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eastAsia="zh-CN" w:bidi="ar"/>
                    </w:rPr>
                    <w:t>产出</w:t>
                  </w:r>
                </w:p>
              </w:tc>
            </w:tr>
            <w:tr w14:paraId="17D51A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1140" w:type="pct"/>
                  <w:vAlign w:val="center"/>
                </w:tcPr>
                <w:p w14:paraId="1FD17976">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名称</w:t>
                  </w:r>
                </w:p>
              </w:tc>
              <w:tc>
                <w:tcPr>
                  <w:tcW w:w="1125" w:type="pct"/>
                  <w:vAlign w:val="center"/>
                </w:tcPr>
                <w:p w14:paraId="75B4EBEE">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eastAsia="zh-CN" w:bidi="ar"/>
                    </w:rPr>
                    <w:t>用</w:t>
                  </w:r>
                  <w:r>
                    <w:rPr>
                      <w:rFonts w:hint="default" w:ascii="Times New Roman" w:hAnsi="Times New Roman" w:eastAsia="宋体" w:cs="Times New Roman"/>
                      <w:color w:val="auto"/>
                      <w:kern w:val="0"/>
                      <w:sz w:val="18"/>
                      <w:szCs w:val="18"/>
                      <w:highlight w:val="none"/>
                      <w:lang w:eastAsia="zh-CN" w:bidi="ar"/>
                    </w:rPr>
                    <w:t>量</w:t>
                  </w:r>
                </w:p>
              </w:tc>
              <w:tc>
                <w:tcPr>
                  <w:tcW w:w="1172" w:type="pct"/>
                  <w:vAlign w:val="center"/>
                </w:tcPr>
                <w:p w14:paraId="7973EE68">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名称</w:t>
                  </w:r>
                </w:p>
              </w:tc>
              <w:tc>
                <w:tcPr>
                  <w:tcW w:w="1561" w:type="pct"/>
                  <w:vAlign w:val="center"/>
                </w:tcPr>
                <w:p w14:paraId="530C30C7">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eastAsia="zh-CN" w:bidi="ar"/>
                    </w:rPr>
                    <w:t>产</w:t>
                  </w:r>
                  <w:r>
                    <w:rPr>
                      <w:rFonts w:hint="default" w:ascii="Times New Roman" w:hAnsi="Times New Roman" w:eastAsia="宋体" w:cs="Times New Roman"/>
                      <w:color w:val="auto"/>
                      <w:kern w:val="0"/>
                      <w:sz w:val="18"/>
                      <w:szCs w:val="18"/>
                      <w:highlight w:val="none"/>
                      <w:lang w:eastAsia="zh-CN" w:bidi="ar"/>
                    </w:rPr>
                    <w:t>量</w:t>
                  </w:r>
                </w:p>
              </w:tc>
            </w:tr>
            <w:tr w14:paraId="064F42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140" w:type="pct"/>
                  <w:vAlign w:val="center"/>
                </w:tcPr>
                <w:p w14:paraId="4CE3730F">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val="en-US" w:eastAsia="zh-CN" w:bidi="ar"/>
                    </w:rPr>
                    <w:t>砂</w:t>
                  </w:r>
                </w:p>
              </w:tc>
              <w:tc>
                <w:tcPr>
                  <w:tcW w:w="1125" w:type="pct"/>
                  <w:vAlign w:val="center"/>
                </w:tcPr>
                <w:p w14:paraId="409478F9">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104083t</w:t>
                  </w:r>
                </w:p>
              </w:tc>
              <w:tc>
                <w:tcPr>
                  <w:tcW w:w="1172" w:type="pct"/>
                  <w:shd w:val="clear" w:color="auto" w:fill="auto"/>
                  <w:vAlign w:val="center"/>
                </w:tcPr>
                <w:p w14:paraId="1DD5172D">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蒸压加气混凝土板材</w:t>
                  </w:r>
                </w:p>
              </w:tc>
              <w:tc>
                <w:tcPr>
                  <w:tcW w:w="1561" w:type="pct"/>
                  <w:shd w:val="clear" w:color="auto" w:fill="auto"/>
                  <w:vAlign w:val="center"/>
                </w:tcPr>
                <w:p w14:paraId="2CD737AC">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180000</w:t>
                  </w:r>
                  <w:r>
                    <w:rPr>
                      <w:rFonts w:hint="eastAsia" w:ascii="Times New Roman" w:hAnsi="Times New Roman" w:eastAsia="宋体" w:cs="Times New Roman"/>
                      <w:color w:val="auto"/>
                      <w:kern w:val="0"/>
                      <w:sz w:val="18"/>
                      <w:szCs w:val="18"/>
                      <w:highlight w:val="none"/>
                      <w:lang w:val="en-US" w:eastAsia="zh-CN" w:bidi="ar"/>
                    </w:rPr>
                    <w:t>t（30万m</w:t>
                  </w:r>
                  <w:r>
                    <w:rPr>
                      <w:rFonts w:hint="eastAsia" w:ascii="Times New Roman" w:hAnsi="Times New Roman" w:eastAsia="宋体" w:cs="Times New Roman"/>
                      <w:color w:val="auto"/>
                      <w:kern w:val="0"/>
                      <w:sz w:val="18"/>
                      <w:szCs w:val="18"/>
                      <w:highlight w:val="none"/>
                      <w:vertAlign w:val="superscript"/>
                      <w:lang w:val="en-US" w:eastAsia="zh-CN" w:bidi="ar"/>
                    </w:rPr>
                    <w:t>3</w:t>
                  </w:r>
                  <w:r>
                    <w:rPr>
                      <w:rFonts w:hint="eastAsia" w:ascii="Times New Roman" w:hAnsi="Times New Roman" w:eastAsia="宋体" w:cs="Times New Roman"/>
                      <w:color w:val="auto"/>
                      <w:kern w:val="0"/>
                      <w:sz w:val="18"/>
                      <w:szCs w:val="18"/>
                      <w:highlight w:val="none"/>
                      <w:lang w:val="en-US" w:eastAsia="zh-CN" w:bidi="ar"/>
                    </w:rPr>
                    <w:t>，</w:t>
                  </w:r>
                  <w:r>
                    <w:rPr>
                      <w:rFonts w:hint="eastAsia" w:cs="Times New Roman"/>
                      <w:color w:val="auto"/>
                      <w:kern w:val="0"/>
                      <w:sz w:val="18"/>
                      <w:szCs w:val="18"/>
                      <w:highlight w:val="none"/>
                      <w:lang w:val="en-US" w:eastAsia="zh-CN" w:bidi="ar"/>
                    </w:rPr>
                    <w:t>0.60t/m</w:t>
                  </w:r>
                  <w:r>
                    <w:rPr>
                      <w:rFonts w:hint="eastAsia" w:cs="Times New Roman"/>
                      <w:color w:val="auto"/>
                      <w:kern w:val="0"/>
                      <w:sz w:val="18"/>
                      <w:szCs w:val="18"/>
                      <w:highlight w:val="none"/>
                      <w:vertAlign w:val="superscript"/>
                      <w:lang w:val="en-US" w:eastAsia="zh-CN" w:bidi="ar"/>
                    </w:rPr>
                    <w:t>3</w:t>
                  </w:r>
                  <w:r>
                    <w:rPr>
                      <w:rFonts w:hint="eastAsia" w:ascii="Times New Roman" w:hAnsi="Times New Roman" w:eastAsia="宋体" w:cs="Times New Roman"/>
                      <w:color w:val="auto"/>
                      <w:kern w:val="0"/>
                      <w:sz w:val="18"/>
                      <w:szCs w:val="18"/>
                      <w:highlight w:val="none"/>
                      <w:lang w:val="en-US" w:eastAsia="zh-CN" w:bidi="ar"/>
                    </w:rPr>
                    <w:t>）</w:t>
                  </w:r>
                </w:p>
              </w:tc>
            </w:tr>
            <w:tr w14:paraId="5969AE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140" w:type="pct"/>
                  <w:vAlign w:val="center"/>
                </w:tcPr>
                <w:p w14:paraId="66A8FA47">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val="en-US" w:eastAsia="zh-CN" w:bidi="ar"/>
                    </w:rPr>
                    <w:t>生石灰</w:t>
                  </w:r>
                </w:p>
              </w:tc>
              <w:tc>
                <w:tcPr>
                  <w:tcW w:w="1125" w:type="pct"/>
                  <w:vAlign w:val="center"/>
                </w:tcPr>
                <w:p w14:paraId="10BAF60E">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33750t</w:t>
                  </w:r>
                </w:p>
              </w:tc>
              <w:tc>
                <w:tcPr>
                  <w:tcW w:w="1172" w:type="pct"/>
                  <w:shd w:val="clear" w:color="auto" w:fill="auto"/>
                  <w:vAlign w:val="center"/>
                </w:tcPr>
                <w:p w14:paraId="400F145D">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不合格品、废边角料</w:t>
                  </w:r>
                </w:p>
              </w:tc>
              <w:tc>
                <w:tcPr>
                  <w:tcW w:w="1561" w:type="pct"/>
                  <w:shd w:val="clear" w:color="auto" w:fill="auto"/>
                  <w:vAlign w:val="center"/>
                </w:tcPr>
                <w:p w14:paraId="65F000DA">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84</w:t>
                  </w:r>
                  <w:r>
                    <w:rPr>
                      <w:rFonts w:hint="eastAsia" w:ascii="Times New Roman" w:hAnsi="Times New Roman" w:eastAsia="宋体" w:cs="Times New Roman"/>
                      <w:color w:val="auto"/>
                      <w:kern w:val="0"/>
                      <w:sz w:val="18"/>
                      <w:szCs w:val="18"/>
                      <w:highlight w:val="none"/>
                      <w:lang w:val="en-US" w:eastAsia="zh-CN" w:bidi="ar"/>
                    </w:rPr>
                    <w:t>81.26t</w:t>
                  </w:r>
                </w:p>
              </w:tc>
            </w:tr>
            <w:tr w14:paraId="2F3A00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140" w:type="pct"/>
                  <w:vAlign w:val="center"/>
                </w:tcPr>
                <w:p w14:paraId="02549E0E">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val="en-US" w:eastAsia="zh-CN" w:bidi="ar"/>
                    </w:rPr>
                    <w:t>水泥</w:t>
                  </w:r>
                </w:p>
              </w:tc>
              <w:tc>
                <w:tcPr>
                  <w:tcW w:w="1125" w:type="pct"/>
                  <w:vAlign w:val="center"/>
                </w:tcPr>
                <w:p w14:paraId="6E4EF1C5">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29667t</w:t>
                  </w:r>
                </w:p>
              </w:tc>
              <w:tc>
                <w:tcPr>
                  <w:tcW w:w="1172" w:type="pct"/>
                  <w:shd w:val="clear" w:color="auto" w:fill="auto"/>
                  <w:vAlign w:val="center"/>
                </w:tcPr>
                <w:p w14:paraId="08276DFB">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粉尘</w:t>
                  </w:r>
                </w:p>
              </w:tc>
              <w:tc>
                <w:tcPr>
                  <w:tcW w:w="1561" w:type="pct"/>
                  <w:shd w:val="clear" w:color="auto" w:fill="auto"/>
                  <w:vAlign w:val="center"/>
                </w:tcPr>
                <w:p w14:paraId="01032439">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37.79</w:t>
                  </w:r>
                  <w:r>
                    <w:rPr>
                      <w:rFonts w:hint="eastAsia" w:ascii="Times New Roman" w:hAnsi="Times New Roman" w:eastAsia="宋体" w:cs="Times New Roman"/>
                      <w:color w:val="auto"/>
                      <w:kern w:val="0"/>
                      <w:sz w:val="18"/>
                      <w:szCs w:val="18"/>
                      <w:highlight w:val="none"/>
                      <w:lang w:val="en-US" w:eastAsia="zh-CN" w:bidi="ar"/>
                    </w:rPr>
                    <w:t>t</w:t>
                  </w:r>
                </w:p>
              </w:tc>
            </w:tr>
            <w:tr w14:paraId="6E376B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140" w:type="pct"/>
                  <w:vAlign w:val="center"/>
                </w:tcPr>
                <w:p w14:paraId="649941AC">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石膏</w:t>
                  </w:r>
                </w:p>
              </w:tc>
              <w:tc>
                <w:tcPr>
                  <w:tcW w:w="1125" w:type="pct"/>
                  <w:vAlign w:val="center"/>
                </w:tcPr>
                <w:p w14:paraId="572A0319">
                  <w:pPr>
                    <w:widowControl/>
                    <w:jc w:val="center"/>
                    <w:textAlignment w:val="center"/>
                    <w:rPr>
                      <w:rFonts w:hint="eastAsia"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4725t</w:t>
                  </w:r>
                </w:p>
              </w:tc>
              <w:tc>
                <w:tcPr>
                  <w:tcW w:w="1172" w:type="pct"/>
                  <w:shd w:val="clear" w:color="auto" w:fill="auto"/>
                  <w:vAlign w:val="center"/>
                </w:tcPr>
                <w:p w14:paraId="0F682242">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val="en-US" w:eastAsia="zh-CN" w:bidi="ar"/>
                    </w:rPr>
                    <w:t>排水</w:t>
                  </w:r>
                </w:p>
              </w:tc>
              <w:tc>
                <w:tcPr>
                  <w:tcW w:w="1561" w:type="pct"/>
                  <w:shd w:val="clear" w:color="auto" w:fill="auto"/>
                  <w:vAlign w:val="center"/>
                </w:tcPr>
                <w:p w14:paraId="3802D951">
                  <w:pPr>
                    <w:widowControl/>
                    <w:jc w:val="center"/>
                    <w:textAlignment w:val="center"/>
                    <w:rPr>
                      <w:rFonts w:hint="eastAsia"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12314.25t</w:t>
                  </w:r>
                </w:p>
              </w:tc>
            </w:tr>
            <w:tr w14:paraId="1ED288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140" w:type="pct"/>
                  <w:vAlign w:val="center"/>
                </w:tcPr>
                <w:p w14:paraId="5AC22FB6">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val="en-US" w:eastAsia="zh-CN" w:bidi="ar"/>
                    </w:rPr>
                    <w:t>铝粉膏</w:t>
                  </w:r>
                </w:p>
              </w:tc>
              <w:tc>
                <w:tcPr>
                  <w:tcW w:w="1125" w:type="pct"/>
                  <w:vAlign w:val="center"/>
                </w:tcPr>
                <w:p w14:paraId="0CD5EEB2">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213.3t</w:t>
                  </w:r>
                </w:p>
              </w:tc>
              <w:tc>
                <w:tcPr>
                  <w:tcW w:w="2733" w:type="pct"/>
                  <w:gridSpan w:val="2"/>
                  <w:vMerge w:val="restart"/>
                  <w:vAlign w:val="center"/>
                </w:tcPr>
                <w:p w14:paraId="06A43DBF">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w:t>
                  </w:r>
                </w:p>
              </w:tc>
            </w:tr>
            <w:tr w14:paraId="5ADFB2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140" w:type="pct"/>
                  <w:vAlign w:val="center"/>
                </w:tcPr>
                <w:p w14:paraId="4D679B0F">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val="en-US" w:eastAsia="zh-CN" w:bidi="ar"/>
                    </w:rPr>
                    <w:t>水</w:t>
                  </w:r>
                </w:p>
              </w:tc>
              <w:tc>
                <w:tcPr>
                  <w:tcW w:w="1125" w:type="pct"/>
                  <w:vAlign w:val="center"/>
                </w:tcPr>
                <w:p w14:paraId="1274B3D4">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18945t</w:t>
                  </w:r>
                </w:p>
              </w:tc>
              <w:tc>
                <w:tcPr>
                  <w:tcW w:w="2733" w:type="pct"/>
                  <w:gridSpan w:val="2"/>
                  <w:vMerge w:val="continue"/>
                  <w:vAlign w:val="center"/>
                </w:tcPr>
                <w:p w14:paraId="4D15BD56">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p>
              </w:tc>
            </w:tr>
            <w:tr w14:paraId="4E175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140" w:type="pct"/>
                  <w:vAlign w:val="center"/>
                </w:tcPr>
                <w:p w14:paraId="369F986C">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钢筋</w:t>
                  </w:r>
                </w:p>
              </w:tc>
              <w:tc>
                <w:tcPr>
                  <w:tcW w:w="1125" w:type="pct"/>
                  <w:vAlign w:val="center"/>
                </w:tcPr>
                <w:p w14:paraId="34FDD3D8">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9450t</w:t>
                  </w:r>
                </w:p>
              </w:tc>
              <w:tc>
                <w:tcPr>
                  <w:tcW w:w="2733" w:type="pct"/>
                  <w:gridSpan w:val="2"/>
                  <w:vMerge w:val="continue"/>
                  <w:vAlign w:val="center"/>
                </w:tcPr>
                <w:p w14:paraId="3A0BCE4A">
                  <w:pPr>
                    <w:widowControl/>
                    <w:jc w:val="center"/>
                    <w:textAlignment w:val="center"/>
                    <w:rPr>
                      <w:rFonts w:hint="eastAsia" w:ascii="Times New Roman" w:hAnsi="Times New Roman" w:eastAsia="宋体" w:cs="Times New Roman"/>
                      <w:color w:val="auto"/>
                      <w:kern w:val="0"/>
                      <w:sz w:val="18"/>
                      <w:szCs w:val="18"/>
                      <w:highlight w:val="none"/>
                      <w:lang w:val="en-US" w:eastAsia="zh-CN" w:bidi="ar"/>
                    </w:rPr>
                  </w:pPr>
                </w:p>
              </w:tc>
            </w:tr>
            <w:tr w14:paraId="746F6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1140" w:type="pct"/>
                  <w:vAlign w:val="center"/>
                </w:tcPr>
                <w:p w14:paraId="297FCACC">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合计</w:t>
                  </w:r>
                </w:p>
              </w:tc>
              <w:tc>
                <w:tcPr>
                  <w:tcW w:w="1125" w:type="pct"/>
                  <w:vAlign w:val="center"/>
                </w:tcPr>
                <w:p w14:paraId="0910DC98">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200833.3t</w:t>
                  </w:r>
                </w:p>
              </w:tc>
              <w:tc>
                <w:tcPr>
                  <w:tcW w:w="1172" w:type="pct"/>
                  <w:vAlign w:val="center"/>
                </w:tcPr>
                <w:p w14:paraId="3DB2D622">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eastAsia" w:ascii="Times New Roman" w:hAnsi="Times New Roman" w:eastAsia="宋体" w:cs="Times New Roman"/>
                      <w:color w:val="auto"/>
                      <w:kern w:val="0"/>
                      <w:sz w:val="18"/>
                      <w:szCs w:val="18"/>
                      <w:highlight w:val="none"/>
                      <w:lang w:eastAsia="zh-CN" w:bidi="ar"/>
                    </w:rPr>
                    <w:t>合计</w:t>
                  </w:r>
                </w:p>
              </w:tc>
              <w:tc>
                <w:tcPr>
                  <w:tcW w:w="1561" w:type="pct"/>
                  <w:vAlign w:val="center"/>
                </w:tcPr>
                <w:p w14:paraId="7B8ADBB0">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ascii="Times New Roman" w:hAnsi="Times New Roman" w:eastAsia="宋体" w:cs="Times New Roman"/>
                      <w:color w:val="auto"/>
                      <w:kern w:val="0"/>
                      <w:sz w:val="18"/>
                      <w:szCs w:val="18"/>
                      <w:highlight w:val="none"/>
                      <w:lang w:val="en-US" w:eastAsia="zh-CN" w:bidi="ar"/>
                    </w:rPr>
                    <w:t>200833.3t</w:t>
                  </w:r>
                </w:p>
              </w:tc>
            </w:tr>
          </w:tbl>
          <w:p w14:paraId="4BE4173C">
            <w:pPr>
              <w:pStyle w:val="50"/>
              <w:spacing w:line="360" w:lineRule="auto"/>
              <w:ind w:firstLine="422"/>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3.主要设备</w:t>
            </w:r>
          </w:p>
          <w:p w14:paraId="115116E3">
            <w:pPr>
              <w:pStyle w:val="50"/>
              <w:spacing w:line="360" w:lineRule="auto"/>
              <w:ind w:firstLine="420"/>
              <w:rPr>
                <w:rFonts w:hint="default" w:ascii="Times New Roman" w:hAnsi="Times New Roman" w:cs="Times New Roman"/>
                <w:b/>
                <w:bCs/>
                <w:color w:val="auto"/>
                <w:highlight w:val="none"/>
              </w:rPr>
            </w:pPr>
            <w:r>
              <w:rPr>
                <w:rFonts w:hint="default" w:ascii="Times New Roman" w:hAnsi="Times New Roman" w:eastAsia="宋体" w:cs="Times New Roman"/>
                <w:color w:val="auto"/>
                <w:sz w:val="21"/>
                <w:szCs w:val="21"/>
                <w:highlight w:val="none"/>
              </w:rPr>
              <w:t>本项目主要设备见表2-</w:t>
            </w:r>
            <w:r>
              <w:rPr>
                <w:rFonts w:hint="eastAsia"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w:t>
            </w:r>
          </w:p>
          <w:p w14:paraId="7AC76094">
            <w:pPr>
              <w:autoSpaceDE w:val="0"/>
              <w:autoSpaceDN w:val="0"/>
              <w:adjustRightInd w:val="0"/>
              <w:snapToGrid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表2-</w:t>
            </w:r>
            <w:r>
              <w:rPr>
                <w:rFonts w:hint="eastAsia" w:cs="Times New Roman"/>
                <w:b/>
                <w:bCs/>
                <w:color w:val="auto"/>
                <w:highlight w:val="none"/>
                <w:lang w:val="en-US" w:eastAsia="zh-CN"/>
              </w:rPr>
              <w:t>6</w:t>
            </w:r>
            <w:r>
              <w:rPr>
                <w:rFonts w:hint="default" w:ascii="Times New Roman" w:hAnsi="Times New Roman" w:cs="Times New Roman"/>
                <w:b/>
                <w:bCs/>
                <w:color w:val="auto"/>
                <w:highlight w:val="none"/>
              </w:rPr>
              <w:t xml:space="preserve">  主要设备表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2"/>
              <w:gridCol w:w="2414"/>
              <w:gridCol w:w="1057"/>
              <w:gridCol w:w="1215"/>
              <w:gridCol w:w="2034"/>
            </w:tblGrid>
            <w:tr w14:paraId="5A9436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 w:hRule="atLeast"/>
                <w:jc w:val="center"/>
              </w:trPr>
              <w:tc>
                <w:tcPr>
                  <w:tcW w:w="769" w:type="pct"/>
                  <w:vAlign w:val="center"/>
                </w:tcPr>
                <w:p w14:paraId="6CE3659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序号</w:t>
                  </w:r>
                </w:p>
              </w:tc>
              <w:tc>
                <w:tcPr>
                  <w:tcW w:w="1519" w:type="pct"/>
                  <w:vAlign w:val="center"/>
                </w:tcPr>
                <w:p w14:paraId="5CCF06CC">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名称</w:t>
                  </w:r>
                </w:p>
              </w:tc>
              <w:tc>
                <w:tcPr>
                  <w:tcW w:w="665" w:type="pct"/>
                  <w:vAlign w:val="center"/>
                </w:tcPr>
                <w:p w14:paraId="2A0F154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单位</w:t>
                  </w:r>
                </w:p>
              </w:tc>
              <w:tc>
                <w:tcPr>
                  <w:tcW w:w="764" w:type="pct"/>
                  <w:vAlign w:val="center"/>
                </w:tcPr>
                <w:p w14:paraId="1BA5096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数量</w:t>
                  </w:r>
                </w:p>
              </w:tc>
              <w:tc>
                <w:tcPr>
                  <w:tcW w:w="1280" w:type="pct"/>
                  <w:vAlign w:val="center"/>
                </w:tcPr>
                <w:p w14:paraId="7774630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规格</w:t>
                  </w:r>
                </w:p>
              </w:tc>
            </w:tr>
            <w:tr w14:paraId="499B8B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69" w:type="pct"/>
                  <w:vAlign w:val="center"/>
                </w:tcPr>
                <w:p w14:paraId="4ED975BD">
                  <w:pPr>
                    <w:widowControl/>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1</w:t>
                  </w:r>
                </w:p>
              </w:tc>
              <w:tc>
                <w:tcPr>
                  <w:tcW w:w="1519" w:type="pct"/>
                  <w:vAlign w:val="center"/>
                </w:tcPr>
                <w:p w14:paraId="2EEC2D47">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磨机</w:t>
                  </w:r>
                </w:p>
              </w:tc>
              <w:tc>
                <w:tcPr>
                  <w:tcW w:w="665" w:type="pct"/>
                  <w:vAlign w:val="center"/>
                </w:tcPr>
                <w:p w14:paraId="31C52A33">
                  <w:pPr>
                    <w:widowControl/>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台</w:t>
                  </w:r>
                </w:p>
              </w:tc>
              <w:tc>
                <w:tcPr>
                  <w:tcW w:w="764" w:type="pct"/>
                  <w:vAlign w:val="center"/>
                </w:tcPr>
                <w:p w14:paraId="549517EF">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val="en-US" w:eastAsia="zh-CN" w:bidi="ar"/>
                    </w:rPr>
                    <w:t>1</w:t>
                  </w:r>
                </w:p>
              </w:tc>
              <w:tc>
                <w:tcPr>
                  <w:tcW w:w="1280" w:type="pct"/>
                  <w:vAlign w:val="center"/>
                </w:tcPr>
                <w:p w14:paraId="154F7AE5">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Ф2.2×8m，20t/h</w:t>
                  </w:r>
                </w:p>
              </w:tc>
            </w:tr>
            <w:tr w14:paraId="6C786E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69" w:type="pct"/>
                  <w:shd w:val="clear" w:color="auto" w:fill="auto"/>
                  <w:vAlign w:val="center"/>
                </w:tcPr>
                <w:p w14:paraId="4A3D1D77">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bidi="ar"/>
                    </w:rPr>
                    <w:t>2</w:t>
                  </w:r>
                </w:p>
              </w:tc>
              <w:tc>
                <w:tcPr>
                  <w:tcW w:w="1519" w:type="pct"/>
                  <w:vAlign w:val="center"/>
                </w:tcPr>
                <w:p w14:paraId="762EAE6C">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磨机</w:t>
                  </w:r>
                </w:p>
              </w:tc>
              <w:tc>
                <w:tcPr>
                  <w:tcW w:w="665" w:type="pct"/>
                  <w:vAlign w:val="center"/>
                </w:tcPr>
                <w:p w14:paraId="241C651E">
                  <w:pPr>
                    <w:widowControl/>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台</w:t>
                  </w:r>
                </w:p>
              </w:tc>
              <w:tc>
                <w:tcPr>
                  <w:tcW w:w="764" w:type="pct"/>
                  <w:vAlign w:val="center"/>
                </w:tcPr>
                <w:p w14:paraId="67E76C4E">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w:t>
                  </w:r>
                </w:p>
              </w:tc>
              <w:tc>
                <w:tcPr>
                  <w:tcW w:w="1280" w:type="pct"/>
                  <w:vAlign w:val="center"/>
                </w:tcPr>
                <w:p w14:paraId="017A6B72">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Ф2.2×8m，30t/h</w:t>
                  </w:r>
                </w:p>
              </w:tc>
            </w:tr>
            <w:tr w14:paraId="595A33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69" w:type="pct"/>
                  <w:shd w:val="clear" w:color="auto" w:fill="auto"/>
                  <w:vAlign w:val="center"/>
                </w:tcPr>
                <w:p w14:paraId="113D2205">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bidi="ar"/>
                    </w:rPr>
                    <w:t>3</w:t>
                  </w:r>
                </w:p>
              </w:tc>
              <w:tc>
                <w:tcPr>
                  <w:tcW w:w="1519" w:type="pct"/>
                  <w:vAlign w:val="center"/>
                </w:tcPr>
                <w:p w14:paraId="2570575B">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高速浇注搅拌机</w:t>
                  </w:r>
                </w:p>
              </w:tc>
              <w:tc>
                <w:tcPr>
                  <w:tcW w:w="665" w:type="pct"/>
                  <w:vAlign w:val="center"/>
                </w:tcPr>
                <w:p w14:paraId="3D8EBBB4">
                  <w:pPr>
                    <w:widowControl/>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台</w:t>
                  </w:r>
                </w:p>
              </w:tc>
              <w:tc>
                <w:tcPr>
                  <w:tcW w:w="764" w:type="pct"/>
                  <w:vAlign w:val="center"/>
                </w:tcPr>
                <w:p w14:paraId="409FA2DD">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val="en-US" w:eastAsia="zh-CN" w:bidi="ar"/>
                    </w:rPr>
                    <w:t>4</w:t>
                  </w:r>
                </w:p>
              </w:tc>
              <w:tc>
                <w:tcPr>
                  <w:tcW w:w="1280" w:type="pct"/>
                  <w:vAlign w:val="center"/>
                </w:tcPr>
                <w:p w14:paraId="2AA00140">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有效容积6.0m³</w:t>
                  </w:r>
                </w:p>
              </w:tc>
            </w:tr>
            <w:tr w14:paraId="0BCFEE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69" w:type="pct"/>
                  <w:shd w:val="clear" w:color="auto" w:fill="auto"/>
                  <w:vAlign w:val="center"/>
                </w:tcPr>
                <w:p w14:paraId="5C0265BA">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bidi="ar"/>
                    </w:rPr>
                    <w:t>4</w:t>
                  </w:r>
                </w:p>
              </w:tc>
              <w:tc>
                <w:tcPr>
                  <w:tcW w:w="1519" w:type="pct"/>
                  <w:vAlign w:val="center"/>
                </w:tcPr>
                <w:p w14:paraId="694C949E">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切割机组</w:t>
                  </w:r>
                </w:p>
              </w:tc>
              <w:tc>
                <w:tcPr>
                  <w:tcW w:w="665" w:type="pct"/>
                  <w:vAlign w:val="center"/>
                </w:tcPr>
                <w:p w14:paraId="3C38C6EF">
                  <w:pPr>
                    <w:widowControl/>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台</w:t>
                  </w:r>
                </w:p>
              </w:tc>
              <w:tc>
                <w:tcPr>
                  <w:tcW w:w="764" w:type="pct"/>
                  <w:vAlign w:val="center"/>
                </w:tcPr>
                <w:p w14:paraId="31574A7C">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val="en-US" w:eastAsia="zh-CN" w:bidi="ar"/>
                    </w:rPr>
                    <w:t>2</w:t>
                  </w:r>
                </w:p>
              </w:tc>
              <w:tc>
                <w:tcPr>
                  <w:tcW w:w="1280" w:type="pct"/>
                  <w:vAlign w:val="center"/>
                </w:tcPr>
                <w:p w14:paraId="7D5F8FEA">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国产JQF6.0M，22模/h</w:t>
                  </w:r>
                </w:p>
              </w:tc>
            </w:tr>
            <w:tr w14:paraId="34DBB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769" w:type="pct"/>
                  <w:shd w:val="clear" w:color="auto" w:fill="auto"/>
                  <w:vAlign w:val="center"/>
                </w:tcPr>
                <w:p w14:paraId="74B70795">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5</w:t>
                  </w:r>
                </w:p>
              </w:tc>
              <w:tc>
                <w:tcPr>
                  <w:tcW w:w="1519" w:type="pct"/>
                  <w:vAlign w:val="center"/>
                </w:tcPr>
                <w:p w14:paraId="06101996">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eastAsia="宋体" w:cs="Times New Roman"/>
                      <w:color w:val="auto"/>
                      <w:kern w:val="0"/>
                      <w:sz w:val="18"/>
                      <w:szCs w:val="18"/>
                      <w:highlight w:val="none"/>
                      <w:lang w:eastAsia="zh-CN" w:bidi="ar"/>
                    </w:rPr>
                    <w:t>蒸压釜</w:t>
                  </w:r>
                </w:p>
              </w:tc>
              <w:tc>
                <w:tcPr>
                  <w:tcW w:w="665" w:type="pct"/>
                  <w:vAlign w:val="center"/>
                </w:tcPr>
                <w:p w14:paraId="613E0062">
                  <w:pPr>
                    <w:widowControl/>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台</w:t>
                  </w:r>
                </w:p>
              </w:tc>
              <w:tc>
                <w:tcPr>
                  <w:tcW w:w="764" w:type="pct"/>
                  <w:vAlign w:val="center"/>
                </w:tcPr>
                <w:p w14:paraId="6748CEDB">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10</w:t>
                  </w:r>
                </w:p>
              </w:tc>
              <w:tc>
                <w:tcPr>
                  <w:tcW w:w="1280" w:type="pct"/>
                  <w:vAlign w:val="center"/>
                </w:tcPr>
                <w:p w14:paraId="4BB4FE72">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Ф2.68×38M</w:t>
                  </w:r>
                </w:p>
              </w:tc>
            </w:tr>
            <w:tr w14:paraId="560B03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shd w:val="clear" w:color="auto" w:fill="auto"/>
                  <w:vAlign w:val="center"/>
                </w:tcPr>
                <w:p w14:paraId="133D632A">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6</w:t>
                  </w:r>
                </w:p>
              </w:tc>
              <w:tc>
                <w:tcPr>
                  <w:tcW w:w="1519" w:type="pct"/>
                  <w:vAlign w:val="center"/>
                </w:tcPr>
                <w:p w14:paraId="51D6F250">
                  <w:pPr>
                    <w:widowControl/>
                    <w:jc w:val="center"/>
                    <w:textAlignment w:val="center"/>
                    <w:rPr>
                      <w:rFonts w:hint="default" w:ascii="Times New Roman" w:hAnsi="Times New Roman"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eastAsia="zh-CN" w:bidi="ar"/>
                    </w:rPr>
                    <w:t>布袋除尘器</w:t>
                  </w:r>
                </w:p>
              </w:tc>
              <w:tc>
                <w:tcPr>
                  <w:tcW w:w="665" w:type="pct"/>
                  <w:vAlign w:val="center"/>
                </w:tcPr>
                <w:p w14:paraId="39BE26AB">
                  <w:pPr>
                    <w:widowControl/>
                    <w:jc w:val="center"/>
                    <w:textAlignment w:val="center"/>
                    <w:rPr>
                      <w:rFonts w:hint="default" w:ascii="Times New Roman" w:hAnsi="Times New Roman" w:eastAsia="宋体"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eastAsia="zh-CN" w:bidi="ar"/>
                    </w:rPr>
                    <w:t>套</w:t>
                  </w:r>
                </w:p>
              </w:tc>
              <w:tc>
                <w:tcPr>
                  <w:tcW w:w="764" w:type="pct"/>
                  <w:vAlign w:val="center"/>
                </w:tcPr>
                <w:p w14:paraId="4C623319">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5</w:t>
                  </w:r>
                </w:p>
              </w:tc>
              <w:tc>
                <w:tcPr>
                  <w:tcW w:w="1280" w:type="pct"/>
                  <w:vAlign w:val="center"/>
                </w:tcPr>
                <w:p w14:paraId="2A3496E8">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MC-96型</w:t>
                  </w:r>
                </w:p>
              </w:tc>
            </w:tr>
            <w:tr w14:paraId="4311CB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shd w:val="clear" w:color="auto" w:fill="auto"/>
                  <w:vAlign w:val="center"/>
                </w:tcPr>
                <w:p w14:paraId="2D6C05A6">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7</w:t>
                  </w:r>
                </w:p>
              </w:tc>
              <w:tc>
                <w:tcPr>
                  <w:tcW w:w="1519" w:type="pct"/>
                  <w:vAlign w:val="center"/>
                </w:tcPr>
                <w:p w14:paraId="24C7F503">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旋风除尘</w:t>
                  </w:r>
                </w:p>
              </w:tc>
              <w:tc>
                <w:tcPr>
                  <w:tcW w:w="665" w:type="pct"/>
                  <w:vAlign w:val="center"/>
                </w:tcPr>
                <w:p w14:paraId="0B54419D">
                  <w:pPr>
                    <w:widowControl/>
                    <w:jc w:val="center"/>
                    <w:textAlignment w:val="center"/>
                    <w:rPr>
                      <w:rFonts w:hint="default" w:ascii="Times New Roman" w:hAnsi="Times New Roman"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eastAsia="zh-CN" w:bidi="ar"/>
                    </w:rPr>
                    <w:t>套</w:t>
                  </w:r>
                </w:p>
              </w:tc>
              <w:tc>
                <w:tcPr>
                  <w:tcW w:w="764" w:type="pct"/>
                  <w:vAlign w:val="center"/>
                </w:tcPr>
                <w:p w14:paraId="675C8D64">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1</w:t>
                  </w:r>
                </w:p>
              </w:tc>
              <w:tc>
                <w:tcPr>
                  <w:tcW w:w="1280" w:type="pct"/>
                  <w:vAlign w:val="center"/>
                </w:tcPr>
                <w:p w14:paraId="66C5D89D">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XTD-20型</w:t>
                  </w:r>
                </w:p>
              </w:tc>
            </w:tr>
            <w:tr w14:paraId="1FEE44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shd w:val="clear" w:color="auto" w:fill="auto"/>
                  <w:vAlign w:val="center"/>
                </w:tcPr>
                <w:p w14:paraId="69EC2253">
                  <w:pPr>
                    <w:widowControl/>
                    <w:jc w:val="center"/>
                    <w:textAlignment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8</w:t>
                  </w:r>
                </w:p>
              </w:tc>
              <w:tc>
                <w:tcPr>
                  <w:tcW w:w="1519" w:type="pct"/>
                  <w:vAlign w:val="center"/>
                </w:tcPr>
                <w:p w14:paraId="0A183994">
                  <w:pPr>
                    <w:widowControl/>
                    <w:jc w:val="center"/>
                    <w:textAlignment w:val="center"/>
                    <w:rPr>
                      <w:rFonts w:hint="default" w:ascii="Times New Roman" w:hAnsi="Times New Roman"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eastAsia="zh-CN" w:bidi="ar"/>
                    </w:rPr>
                    <w:t>引风机</w:t>
                  </w:r>
                </w:p>
              </w:tc>
              <w:tc>
                <w:tcPr>
                  <w:tcW w:w="665" w:type="pct"/>
                  <w:vAlign w:val="center"/>
                </w:tcPr>
                <w:p w14:paraId="05FA900C">
                  <w:pPr>
                    <w:widowControl/>
                    <w:jc w:val="center"/>
                    <w:textAlignment w:val="center"/>
                    <w:rPr>
                      <w:rFonts w:hint="default" w:ascii="Times New Roman" w:hAnsi="Times New Roman"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eastAsia="zh-CN" w:bidi="ar"/>
                    </w:rPr>
                    <w:t>台</w:t>
                  </w:r>
                </w:p>
              </w:tc>
              <w:tc>
                <w:tcPr>
                  <w:tcW w:w="764" w:type="pct"/>
                  <w:vAlign w:val="center"/>
                </w:tcPr>
                <w:p w14:paraId="00F2BF9E">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5</w:t>
                  </w:r>
                </w:p>
              </w:tc>
              <w:tc>
                <w:tcPr>
                  <w:tcW w:w="1280" w:type="pct"/>
                  <w:vAlign w:val="center"/>
                </w:tcPr>
                <w:p w14:paraId="38045786">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Y5-48型</w:t>
                  </w:r>
                </w:p>
              </w:tc>
            </w:tr>
            <w:tr w14:paraId="1661D3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vAlign w:val="center"/>
                </w:tcPr>
                <w:p w14:paraId="21685E86">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9</w:t>
                  </w:r>
                </w:p>
              </w:tc>
              <w:tc>
                <w:tcPr>
                  <w:tcW w:w="1519" w:type="pct"/>
                  <w:vAlign w:val="center"/>
                </w:tcPr>
                <w:p w14:paraId="402EFFC8">
                  <w:pPr>
                    <w:widowControl/>
                    <w:jc w:val="center"/>
                    <w:textAlignment w:val="center"/>
                    <w:rPr>
                      <w:rFonts w:hint="default" w:ascii="Times New Roman" w:hAnsi="Times New Roman"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eastAsia="zh-CN" w:bidi="ar"/>
                    </w:rPr>
                    <w:t>喷雾抑尘设备</w:t>
                  </w:r>
                </w:p>
              </w:tc>
              <w:tc>
                <w:tcPr>
                  <w:tcW w:w="665" w:type="pct"/>
                  <w:vAlign w:val="center"/>
                </w:tcPr>
                <w:p w14:paraId="7BF4A5FF">
                  <w:pPr>
                    <w:widowControl/>
                    <w:jc w:val="center"/>
                    <w:textAlignment w:val="center"/>
                    <w:rPr>
                      <w:rFonts w:hint="default" w:ascii="Times New Roman" w:hAnsi="Times New Roman" w:cs="Times New Roman"/>
                      <w:color w:val="auto"/>
                      <w:kern w:val="0"/>
                      <w:sz w:val="18"/>
                      <w:szCs w:val="18"/>
                      <w:highlight w:val="none"/>
                      <w:lang w:eastAsia="zh-CN" w:bidi="ar"/>
                    </w:rPr>
                  </w:pPr>
                  <w:r>
                    <w:rPr>
                      <w:rFonts w:hint="default" w:ascii="Times New Roman" w:hAnsi="Times New Roman" w:cs="Times New Roman"/>
                      <w:color w:val="auto"/>
                      <w:kern w:val="0"/>
                      <w:sz w:val="18"/>
                      <w:szCs w:val="18"/>
                      <w:highlight w:val="none"/>
                      <w:lang w:eastAsia="zh-CN" w:bidi="ar"/>
                    </w:rPr>
                    <w:t>套</w:t>
                  </w:r>
                </w:p>
              </w:tc>
              <w:tc>
                <w:tcPr>
                  <w:tcW w:w="764" w:type="pct"/>
                  <w:vAlign w:val="center"/>
                </w:tcPr>
                <w:p w14:paraId="2E431CDF">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2</w:t>
                  </w:r>
                </w:p>
              </w:tc>
              <w:tc>
                <w:tcPr>
                  <w:tcW w:w="1280" w:type="pct"/>
                  <w:vAlign w:val="center"/>
                </w:tcPr>
                <w:p w14:paraId="400FB0C9">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w:t>
                  </w:r>
                </w:p>
              </w:tc>
            </w:tr>
            <w:tr w14:paraId="0CA6A4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769" w:type="pct"/>
                  <w:vAlign w:val="center"/>
                </w:tcPr>
                <w:p w14:paraId="6E68C01A">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10</w:t>
                  </w:r>
                </w:p>
              </w:tc>
              <w:tc>
                <w:tcPr>
                  <w:tcW w:w="1519" w:type="pct"/>
                  <w:vAlign w:val="center"/>
                </w:tcPr>
                <w:p w14:paraId="4D1A3248">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锤式</w:t>
                  </w:r>
                  <w:r>
                    <w:rPr>
                      <w:rFonts w:hint="default" w:ascii="Times New Roman" w:hAnsi="Times New Roman" w:cs="Times New Roman"/>
                      <w:color w:val="auto"/>
                      <w:kern w:val="0"/>
                      <w:sz w:val="18"/>
                      <w:szCs w:val="18"/>
                      <w:highlight w:val="none"/>
                      <w:lang w:val="en-US" w:eastAsia="zh-CN" w:bidi="ar"/>
                    </w:rPr>
                    <w:t>破碎机</w:t>
                  </w:r>
                </w:p>
              </w:tc>
              <w:tc>
                <w:tcPr>
                  <w:tcW w:w="665" w:type="pct"/>
                  <w:vAlign w:val="center"/>
                </w:tcPr>
                <w:p w14:paraId="2CE412BD">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台</w:t>
                  </w:r>
                </w:p>
              </w:tc>
              <w:tc>
                <w:tcPr>
                  <w:tcW w:w="764" w:type="pct"/>
                  <w:vAlign w:val="center"/>
                </w:tcPr>
                <w:p w14:paraId="5461F8D5">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1</w:t>
                  </w:r>
                </w:p>
              </w:tc>
              <w:tc>
                <w:tcPr>
                  <w:tcW w:w="1280" w:type="pct"/>
                  <w:vAlign w:val="center"/>
                </w:tcPr>
                <w:p w14:paraId="483DFA99">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PC800×600型</w:t>
                  </w:r>
                </w:p>
              </w:tc>
            </w:tr>
            <w:tr w14:paraId="1213EB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769" w:type="pct"/>
                  <w:vAlign w:val="center"/>
                </w:tcPr>
                <w:p w14:paraId="60FAFB7C">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11</w:t>
                  </w:r>
                </w:p>
              </w:tc>
              <w:tc>
                <w:tcPr>
                  <w:tcW w:w="1519" w:type="pct"/>
                  <w:vAlign w:val="center"/>
                </w:tcPr>
                <w:p w14:paraId="7C6CBD04">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螺旋输送机</w:t>
                  </w:r>
                </w:p>
              </w:tc>
              <w:tc>
                <w:tcPr>
                  <w:tcW w:w="665" w:type="pct"/>
                  <w:vAlign w:val="center"/>
                </w:tcPr>
                <w:p w14:paraId="0746A8F4">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台</w:t>
                  </w:r>
                </w:p>
              </w:tc>
              <w:tc>
                <w:tcPr>
                  <w:tcW w:w="764" w:type="pct"/>
                  <w:vAlign w:val="center"/>
                </w:tcPr>
                <w:p w14:paraId="4882BCFE">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1</w:t>
                  </w:r>
                </w:p>
              </w:tc>
              <w:tc>
                <w:tcPr>
                  <w:tcW w:w="1280" w:type="pct"/>
                  <w:vAlign w:val="center"/>
                </w:tcPr>
                <w:p w14:paraId="1122FC44">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LS315×10m</w:t>
                  </w:r>
                </w:p>
              </w:tc>
            </w:tr>
            <w:tr w14:paraId="4290E9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vAlign w:val="center"/>
                </w:tcPr>
                <w:p w14:paraId="0C7F823B">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12</w:t>
                  </w:r>
                </w:p>
              </w:tc>
              <w:tc>
                <w:tcPr>
                  <w:tcW w:w="1519" w:type="pct"/>
                  <w:vAlign w:val="center"/>
                </w:tcPr>
                <w:p w14:paraId="64F914F9">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斗提机</w:t>
                  </w:r>
                </w:p>
              </w:tc>
              <w:tc>
                <w:tcPr>
                  <w:tcW w:w="665" w:type="pct"/>
                  <w:vAlign w:val="center"/>
                </w:tcPr>
                <w:p w14:paraId="4AFBF9A1">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台</w:t>
                  </w:r>
                </w:p>
              </w:tc>
              <w:tc>
                <w:tcPr>
                  <w:tcW w:w="764" w:type="pct"/>
                  <w:vAlign w:val="center"/>
                </w:tcPr>
                <w:p w14:paraId="2454BE18">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1</w:t>
                  </w:r>
                </w:p>
              </w:tc>
              <w:tc>
                <w:tcPr>
                  <w:tcW w:w="1280" w:type="pct"/>
                  <w:vAlign w:val="center"/>
                </w:tcPr>
                <w:p w14:paraId="23B0D69B">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TD250型</w:t>
                  </w:r>
                </w:p>
              </w:tc>
            </w:tr>
            <w:tr w14:paraId="6E639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vAlign w:val="center"/>
                </w:tcPr>
                <w:p w14:paraId="5F1411A3">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13</w:t>
                  </w:r>
                </w:p>
              </w:tc>
              <w:tc>
                <w:tcPr>
                  <w:tcW w:w="1519" w:type="pct"/>
                  <w:vAlign w:val="center"/>
                </w:tcPr>
                <w:p w14:paraId="695E252A">
                  <w:pPr>
                    <w:widowControl/>
                    <w:jc w:val="center"/>
                    <w:textAlignment w:val="center"/>
                    <w:rPr>
                      <w:rFonts w:hint="default"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密闭式皮带输送机</w:t>
                  </w:r>
                </w:p>
              </w:tc>
              <w:tc>
                <w:tcPr>
                  <w:tcW w:w="665" w:type="pct"/>
                  <w:vAlign w:val="center"/>
                </w:tcPr>
                <w:p w14:paraId="7A3E7723">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台</w:t>
                  </w:r>
                </w:p>
              </w:tc>
              <w:tc>
                <w:tcPr>
                  <w:tcW w:w="764" w:type="pct"/>
                  <w:vAlign w:val="center"/>
                </w:tcPr>
                <w:p w14:paraId="774FA78D">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1</w:t>
                  </w:r>
                </w:p>
              </w:tc>
              <w:tc>
                <w:tcPr>
                  <w:tcW w:w="1280" w:type="pct"/>
                  <w:vAlign w:val="center"/>
                </w:tcPr>
                <w:p w14:paraId="161245E1">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B650×30m</w:t>
                  </w:r>
                </w:p>
              </w:tc>
            </w:tr>
            <w:tr w14:paraId="6FFFFC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vAlign w:val="center"/>
                </w:tcPr>
                <w:p w14:paraId="50D628B9">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14</w:t>
                  </w:r>
                </w:p>
              </w:tc>
              <w:tc>
                <w:tcPr>
                  <w:tcW w:w="1519" w:type="pct"/>
                  <w:vAlign w:val="center"/>
                </w:tcPr>
                <w:p w14:paraId="1177165E">
                  <w:pPr>
                    <w:widowControl/>
                    <w:jc w:val="center"/>
                    <w:textAlignment w:val="center"/>
                    <w:rPr>
                      <w:rFonts w:hint="default"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摆渡车</w:t>
                  </w:r>
                </w:p>
              </w:tc>
              <w:tc>
                <w:tcPr>
                  <w:tcW w:w="665" w:type="pct"/>
                  <w:vAlign w:val="center"/>
                </w:tcPr>
                <w:p w14:paraId="4BC4EF03">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台</w:t>
                  </w:r>
                </w:p>
              </w:tc>
              <w:tc>
                <w:tcPr>
                  <w:tcW w:w="764" w:type="pct"/>
                  <w:vAlign w:val="center"/>
                </w:tcPr>
                <w:p w14:paraId="68D06E6F">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1</w:t>
                  </w:r>
                </w:p>
              </w:tc>
              <w:tc>
                <w:tcPr>
                  <w:tcW w:w="1280" w:type="pct"/>
                  <w:vAlign w:val="center"/>
                </w:tcPr>
                <w:p w14:paraId="0FE6B515">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BD-6型</w:t>
                  </w:r>
                </w:p>
              </w:tc>
            </w:tr>
            <w:tr w14:paraId="50BD77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vAlign w:val="center"/>
                </w:tcPr>
                <w:p w14:paraId="49F2DE83">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15</w:t>
                  </w:r>
                </w:p>
              </w:tc>
              <w:tc>
                <w:tcPr>
                  <w:tcW w:w="1519" w:type="pct"/>
                  <w:vAlign w:val="center"/>
                </w:tcPr>
                <w:p w14:paraId="6F1CAA0F">
                  <w:pPr>
                    <w:widowControl/>
                    <w:jc w:val="center"/>
                    <w:textAlignment w:val="center"/>
                    <w:rPr>
                      <w:rFonts w:hint="eastAsia"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桁车（10t）</w:t>
                  </w:r>
                </w:p>
              </w:tc>
              <w:tc>
                <w:tcPr>
                  <w:tcW w:w="665" w:type="pct"/>
                  <w:vAlign w:val="center"/>
                </w:tcPr>
                <w:p w14:paraId="4660E812">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台</w:t>
                  </w:r>
                </w:p>
              </w:tc>
              <w:tc>
                <w:tcPr>
                  <w:tcW w:w="764" w:type="pct"/>
                  <w:vAlign w:val="center"/>
                </w:tcPr>
                <w:p w14:paraId="24D9D781">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1</w:t>
                  </w:r>
                </w:p>
              </w:tc>
              <w:tc>
                <w:tcPr>
                  <w:tcW w:w="1280" w:type="pct"/>
                  <w:vAlign w:val="center"/>
                </w:tcPr>
                <w:p w14:paraId="26527DBA">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LD10t-16.5m</w:t>
                  </w:r>
                </w:p>
              </w:tc>
            </w:tr>
            <w:tr w14:paraId="5DC3D3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vAlign w:val="center"/>
                </w:tcPr>
                <w:p w14:paraId="73F054F5">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16</w:t>
                  </w:r>
                </w:p>
              </w:tc>
              <w:tc>
                <w:tcPr>
                  <w:tcW w:w="1519" w:type="pct"/>
                  <w:vAlign w:val="center"/>
                </w:tcPr>
                <w:p w14:paraId="12DC8A0B">
                  <w:pPr>
                    <w:widowControl/>
                    <w:jc w:val="center"/>
                    <w:textAlignment w:val="center"/>
                    <w:rPr>
                      <w:rFonts w:hint="eastAsia"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桁车（12t）</w:t>
                  </w:r>
                </w:p>
              </w:tc>
              <w:tc>
                <w:tcPr>
                  <w:tcW w:w="665" w:type="pct"/>
                  <w:vAlign w:val="center"/>
                </w:tcPr>
                <w:p w14:paraId="5492560A">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台</w:t>
                  </w:r>
                </w:p>
              </w:tc>
              <w:tc>
                <w:tcPr>
                  <w:tcW w:w="764" w:type="pct"/>
                  <w:vAlign w:val="center"/>
                </w:tcPr>
                <w:p w14:paraId="4C87A985">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1</w:t>
                  </w:r>
                </w:p>
              </w:tc>
              <w:tc>
                <w:tcPr>
                  <w:tcW w:w="1280" w:type="pct"/>
                  <w:vAlign w:val="center"/>
                </w:tcPr>
                <w:p w14:paraId="0E8C8652">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LD12t-16.5m</w:t>
                  </w:r>
                </w:p>
              </w:tc>
            </w:tr>
            <w:tr w14:paraId="697BE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vAlign w:val="center"/>
                </w:tcPr>
                <w:p w14:paraId="4D943803">
                  <w:pPr>
                    <w:widowControl/>
                    <w:jc w:val="center"/>
                    <w:textAlignment w:val="center"/>
                    <w:rPr>
                      <w:rFonts w:hint="default"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17</w:t>
                  </w:r>
                </w:p>
              </w:tc>
              <w:tc>
                <w:tcPr>
                  <w:tcW w:w="1519" w:type="pct"/>
                  <w:vAlign w:val="center"/>
                </w:tcPr>
                <w:p w14:paraId="1AF65E88">
                  <w:pPr>
                    <w:widowControl/>
                    <w:jc w:val="center"/>
                    <w:textAlignment w:val="center"/>
                    <w:rPr>
                      <w:rFonts w:hint="eastAsia"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装载机</w:t>
                  </w:r>
                </w:p>
              </w:tc>
              <w:tc>
                <w:tcPr>
                  <w:tcW w:w="665" w:type="pct"/>
                  <w:vAlign w:val="center"/>
                </w:tcPr>
                <w:p w14:paraId="173F6B5C">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台</w:t>
                  </w:r>
                </w:p>
              </w:tc>
              <w:tc>
                <w:tcPr>
                  <w:tcW w:w="764" w:type="pct"/>
                  <w:vAlign w:val="center"/>
                </w:tcPr>
                <w:p w14:paraId="46D546AE">
                  <w:pPr>
                    <w:widowControl/>
                    <w:jc w:val="center"/>
                    <w:textAlignment w:val="center"/>
                    <w:rPr>
                      <w:rFonts w:hint="default" w:ascii="Times New Roman" w:hAnsi="Times New Roman"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5</w:t>
                  </w:r>
                </w:p>
              </w:tc>
              <w:tc>
                <w:tcPr>
                  <w:tcW w:w="1280" w:type="pct"/>
                  <w:vAlign w:val="center"/>
                </w:tcPr>
                <w:p w14:paraId="3737EC16">
                  <w:pPr>
                    <w:widowControl/>
                    <w:jc w:val="center"/>
                    <w:textAlignment w:val="center"/>
                    <w:rPr>
                      <w:rFonts w:hint="default"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ZL50型</w:t>
                  </w:r>
                </w:p>
              </w:tc>
            </w:tr>
            <w:tr w14:paraId="6B344D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vAlign w:val="center"/>
                </w:tcPr>
                <w:p w14:paraId="02F8F963">
                  <w:pPr>
                    <w:widowControl/>
                    <w:jc w:val="center"/>
                    <w:textAlignment w:val="center"/>
                    <w:rPr>
                      <w:rFonts w:hint="default"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18</w:t>
                  </w:r>
                </w:p>
              </w:tc>
              <w:tc>
                <w:tcPr>
                  <w:tcW w:w="1519" w:type="pct"/>
                  <w:vAlign w:val="center"/>
                </w:tcPr>
                <w:p w14:paraId="39512BA3">
                  <w:pPr>
                    <w:widowControl/>
                    <w:jc w:val="center"/>
                    <w:textAlignment w:val="center"/>
                    <w:rPr>
                      <w:rFonts w:hint="eastAsia"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电烘干箱</w:t>
                  </w:r>
                </w:p>
              </w:tc>
              <w:tc>
                <w:tcPr>
                  <w:tcW w:w="665" w:type="pct"/>
                  <w:vAlign w:val="center"/>
                </w:tcPr>
                <w:p w14:paraId="0D604518">
                  <w:pPr>
                    <w:widowControl/>
                    <w:jc w:val="center"/>
                    <w:textAlignment w:val="center"/>
                    <w:rPr>
                      <w:rFonts w:hint="eastAsia"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套</w:t>
                  </w:r>
                </w:p>
              </w:tc>
              <w:tc>
                <w:tcPr>
                  <w:tcW w:w="764" w:type="pct"/>
                  <w:vAlign w:val="center"/>
                </w:tcPr>
                <w:p w14:paraId="6D13FE22">
                  <w:pPr>
                    <w:widowControl/>
                    <w:jc w:val="center"/>
                    <w:textAlignment w:val="center"/>
                    <w:rPr>
                      <w:rFonts w:hint="default"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w:t>
                  </w:r>
                </w:p>
              </w:tc>
              <w:tc>
                <w:tcPr>
                  <w:tcW w:w="1280" w:type="pct"/>
                  <w:vAlign w:val="center"/>
                </w:tcPr>
                <w:p w14:paraId="682968B6">
                  <w:pPr>
                    <w:widowControl/>
                    <w:jc w:val="center"/>
                    <w:textAlignment w:val="center"/>
                    <w:rPr>
                      <w:rFonts w:hint="default" w:cs="Times New Roman"/>
                      <w:color w:val="auto"/>
                      <w:kern w:val="0"/>
                      <w:sz w:val="18"/>
                      <w:szCs w:val="18"/>
                      <w:highlight w:val="none"/>
                      <w:lang w:val="en-US" w:eastAsia="zh-CN" w:bidi="ar"/>
                    </w:rPr>
                  </w:pPr>
                  <w:r>
                    <w:rPr>
                      <w:rFonts w:hint="default" w:cs="Times New Roman"/>
                      <w:color w:val="auto"/>
                      <w:kern w:val="0"/>
                      <w:sz w:val="18"/>
                      <w:szCs w:val="18"/>
                      <w:highlight w:val="none"/>
                      <w:lang w:val="en-US" w:eastAsia="zh-CN" w:bidi="ar"/>
                    </w:rPr>
                    <w:t>DHG-9920A</w:t>
                  </w:r>
                </w:p>
              </w:tc>
            </w:tr>
            <w:tr w14:paraId="275574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69" w:type="pct"/>
                  <w:vAlign w:val="center"/>
                </w:tcPr>
                <w:p w14:paraId="2FFDEDE0">
                  <w:pPr>
                    <w:widowControl/>
                    <w:jc w:val="center"/>
                    <w:textAlignment w:val="center"/>
                    <w:rPr>
                      <w:rFonts w:hint="default"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19</w:t>
                  </w:r>
                </w:p>
              </w:tc>
              <w:tc>
                <w:tcPr>
                  <w:tcW w:w="1519" w:type="pct"/>
                  <w:vAlign w:val="center"/>
                </w:tcPr>
                <w:p w14:paraId="383654C6">
                  <w:pPr>
                    <w:widowControl/>
                    <w:jc w:val="center"/>
                    <w:textAlignment w:val="center"/>
                    <w:rPr>
                      <w:rFonts w:hint="default"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低氮燃烧器</w:t>
                  </w:r>
                </w:p>
              </w:tc>
              <w:tc>
                <w:tcPr>
                  <w:tcW w:w="1057" w:type="dxa"/>
                  <w:vAlign w:val="center"/>
                </w:tcPr>
                <w:p w14:paraId="1A389F8D">
                  <w:pPr>
                    <w:widowControl/>
                    <w:jc w:val="center"/>
                    <w:textAlignment w:val="center"/>
                    <w:rPr>
                      <w:rFonts w:hint="default"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台</w:t>
                  </w:r>
                </w:p>
              </w:tc>
              <w:tc>
                <w:tcPr>
                  <w:tcW w:w="1215" w:type="dxa"/>
                  <w:vAlign w:val="center"/>
                </w:tcPr>
                <w:p w14:paraId="22B75AD9">
                  <w:pPr>
                    <w:widowControl/>
                    <w:jc w:val="center"/>
                    <w:textAlignment w:val="center"/>
                    <w:rPr>
                      <w:rFonts w:hint="eastAsia"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1</w:t>
                  </w:r>
                </w:p>
              </w:tc>
              <w:tc>
                <w:tcPr>
                  <w:tcW w:w="1280" w:type="pct"/>
                  <w:vAlign w:val="center"/>
                </w:tcPr>
                <w:p w14:paraId="5B61515C">
                  <w:pPr>
                    <w:widowControl/>
                    <w:jc w:val="center"/>
                    <w:textAlignment w:val="center"/>
                    <w:rPr>
                      <w:rFonts w:hint="default"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w:t>
                  </w:r>
                </w:p>
              </w:tc>
            </w:tr>
          </w:tbl>
          <w:p w14:paraId="76E9D17A">
            <w:pPr>
              <w:pStyle w:val="50"/>
              <w:spacing w:line="360" w:lineRule="auto"/>
              <w:ind w:firstLine="422"/>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4.公用工程</w:t>
            </w:r>
          </w:p>
          <w:p w14:paraId="100EA10B">
            <w:pPr>
              <w:adjustRightInd w:val="0"/>
              <w:snapToGrid w:val="0"/>
              <w:spacing w:line="460" w:lineRule="exact"/>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 xml:space="preserve">（1）给水 </w:t>
            </w:r>
          </w:p>
          <w:p w14:paraId="75443291">
            <w:pPr>
              <w:adjustRightInd w:val="0"/>
              <w:snapToGrid w:val="0"/>
              <w:spacing w:line="460" w:lineRule="exact"/>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本项目运营期用水</w:t>
            </w:r>
            <w:r>
              <w:rPr>
                <w:rFonts w:hint="default" w:ascii="Times New Roman" w:hAnsi="Times New Roman" w:cs="Times New Roman"/>
                <w:color w:val="auto"/>
                <w:szCs w:val="21"/>
                <w:highlight w:val="none"/>
                <w:lang w:val="en-US" w:eastAsia="zh-CN"/>
              </w:rPr>
              <w:t>主要为生活用水及生产用水，均</w:t>
            </w:r>
            <w:r>
              <w:rPr>
                <w:rFonts w:hint="default" w:ascii="Times New Roman" w:hAnsi="Times New Roman" w:cs="Times New Roman"/>
                <w:color w:val="auto"/>
                <w:szCs w:val="21"/>
                <w:highlight w:val="none"/>
              </w:rPr>
              <w:t xml:space="preserve">由市政供水管网提供。 </w:t>
            </w:r>
          </w:p>
          <w:p w14:paraId="6767C68F">
            <w:pPr>
              <w:adjustRightInd w:val="0"/>
              <w:snapToGrid w:val="0"/>
              <w:spacing w:line="460" w:lineRule="exact"/>
              <w:ind w:firstLine="420" w:firstLineChars="200"/>
              <w:rPr>
                <w:rFonts w:hint="default" w:ascii="Times New Roman" w:hAnsi="Times New Roman" w:eastAsia="宋体" w:cs="Times New Roman"/>
                <w:b w:val="0"/>
                <w:bCs w:val="0"/>
                <w:color w:val="auto"/>
                <w:szCs w:val="21"/>
                <w:highlight w:val="none"/>
                <w:lang w:eastAsia="zh-CN"/>
              </w:rPr>
            </w:pPr>
            <w:r>
              <w:rPr>
                <w:rFonts w:hint="default" w:ascii="Times New Roman" w:hAnsi="Times New Roman" w:cs="Times New Roman"/>
                <w:b w:val="0"/>
                <w:bCs w:val="0"/>
                <w:color w:val="auto"/>
                <w:szCs w:val="21"/>
                <w:highlight w:val="none"/>
              </w:rPr>
              <w:t>生活</w:t>
            </w:r>
            <w:r>
              <w:rPr>
                <w:rFonts w:hint="default" w:ascii="Times New Roman" w:hAnsi="Times New Roman" w:cs="Times New Roman"/>
                <w:b w:val="0"/>
                <w:bCs w:val="0"/>
                <w:color w:val="auto"/>
                <w:szCs w:val="21"/>
                <w:highlight w:val="none"/>
                <w:lang w:eastAsia="zh-CN"/>
              </w:rPr>
              <w:t>用</w:t>
            </w:r>
            <w:r>
              <w:rPr>
                <w:rFonts w:hint="default" w:ascii="Times New Roman" w:hAnsi="Times New Roman" w:cs="Times New Roman"/>
                <w:b w:val="0"/>
                <w:bCs w:val="0"/>
                <w:color w:val="auto"/>
                <w:szCs w:val="21"/>
                <w:highlight w:val="none"/>
              </w:rPr>
              <w:t>水</w:t>
            </w:r>
            <w:r>
              <w:rPr>
                <w:rFonts w:hint="default" w:ascii="Times New Roman" w:hAnsi="Times New Roman" w:cs="Times New Roman"/>
                <w:b w:val="0"/>
                <w:bCs w:val="0"/>
                <w:color w:val="auto"/>
                <w:szCs w:val="21"/>
                <w:highlight w:val="none"/>
                <w:lang w:eastAsia="zh-CN"/>
              </w:rPr>
              <w:t>：</w:t>
            </w:r>
          </w:p>
          <w:p w14:paraId="5A1BF9B9">
            <w:pPr>
              <w:adjustRightInd w:val="0"/>
              <w:snapToGrid w:val="0"/>
              <w:spacing w:line="460" w:lineRule="exact"/>
              <w:ind w:firstLine="420" w:firstLineChars="200"/>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根据</w:t>
            </w:r>
            <w:r>
              <w:rPr>
                <w:rFonts w:hint="default" w:ascii="Times New Roman" w:hAnsi="Times New Roman" w:cs="Times New Roman"/>
                <w:color w:val="auto"/>
                <w:szCs w:val="21"/>
                <w:highlight w:val="none"/>
              </w:rPr>
              <w:t>黑龙江省地方标准《黑龙江省地方标准 用水定额》（DB23/T727-2025），</w:t>
            </w:r>
            <w:r>
              <w:rPr>
                <w:rFonts w:hint="default" w:ascii="Times New Roman" w:hAnsi="Times New Roman" w:cs="Times New Roman"/>
                <w:color w:val="auto"/>
                <w:szCs w:val="21"/>
                <w:highlight w:val="none"/>
                <w:lang w:eastAsia="zh-CN"/>
              </w:rPr>
              <w:t>厂内工作人员</w:t>
            </w:r>
            <w:r>
              <w:rPr>
                <w:rFonts w:hint="default" w:ascii="Times New Roman" w:hAnsi="Times New Roman" w:cs="Times New Roman"/>
                <w:color w:val="auto"/>
                <w:szCs w:val="21"/>
                <w:highlight w:val="none"/>
              </w:rPr>
              <w:t>的生活用水宜采用</w:t>
            </w:r>
            <w:r>
              <w:rPr>
                <w:rFonts w:hint="default" w:ascii="Times New Roman" w:hAnsi="Times New Roman" w:cs="Times New Roman"/>
                <w:color w:val="auto"/>
                <w:szCs w:val="21"/>
                <w:highlight w:val="none"/>
                <w:lang w:val="en-US" w:eastAsia="zh-CN"/>
              </w:rPr>
              <w:t>8</w:t>
            </w:r>
            <w:r>
              <w:rPr>
                <w:rFonts w:hint="default" w:ascii="Times New Roman" w:hAnsi="Times New Roman" w:cs="Times New Roman"/>
                <w:color w:val="auto"/>
                <w:szCs w:val="21"/>
                <w:highlight w:val="none"/>
              </w:rPr>
              <w:t>0L/人·d</w:t>
            </w:r>
            <w:r>
              <w:rPr>
                <w:rFonts w:hint="eastAsia" w:cs="Times New Roman"/>
                <w:color w:val="auto"/>
                <w:szCs w:val="21"/>
                <w:highlight w:val="none"/>
                <w:lang w:eastAsia="zh-CN"/>
              </w:rPr>
              <w:t>，</w:t>
            </w:r>
            <w:r>
              <w:rPr>
                <w:rFonts w:hint="eastAsia" w:cs="Times New Roman"/>
                <w:color w:val="auto"/>
                <w:szCs w:val="21"/>
                <w:highlight w:val="none"/>
                <w:lang w:val="en-US" w:eastAsia="zh-CN"/>
              </w:rPr>
              <w:t>由于本项目不涉及食堂用水，因此本项目员工生活用水按</w:t>
            </w:r>
            <w:r>
              <w:rPr>
                <w:rFonts w:hint="eastAsia" w:ascii="Times New Roman" w:hAnsi="Times New Roman" w:cs="Times New Roman"/>
                <w:color w:val="auto"/>
                <w:szCs w:val="21"/>
                <w:highlight w:val="none"/>
                <w:lang w:val="en-US" w:eastAsia="zh-CN"/>
              </w:rPr>
              <w:t>5</w:t>
            </w:r>
            <w:r>
              <w:rPr>
                <w:rFonts w:hint="default" w:ascii="Times New Roman" w:hAnsi="Times New Roman" w:cs="Times New Roman"/>
                <w:color w:val="auto"/>
                <w:szCs w:val="21"/>
                <w:highlight w:val="none"/>
              </w:rPr>
              <w:t>0L/人·d</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本项目职工</w:t>
            </w:r>
            <w:r>
              <w:rPr>
                <w:rFonts w:hint="default" w:ascii="Times New Roman" w:hAnsi="Times New Roman" w:cs="Times New Roman"/>
                <w:color w:val="auto"/>
                <w:szCs w:val="21"/>
                <w:highlight w:val="none"/>
                <w:lang w:val="en-US" w:eastAsia="zh-CN"/>
              </w:rPr>
              <w:t>113</w:t>
            </w:r>
            <w:r>
              <w:rPr>
                <w:rFonts w:hint="default" w:ascii="Times New Roman" w:hAnsi="Times New Roman" w:cs="Times New Roman"/>
                <w:color w:val="auto"/>
                <w:szCs w:val="21"/>
                <w:highlight w:val="none"/>
              </w:rPr>
              <w:t>人，年运行</w:t>
            </w:r>
            <w:r>
              <w:rPr>
                <w:rFonts w:hint="default" w:ascii="Times New Roman" w:hAnsi="Times New Roman" w:cs="Times New Roman"/>
                <w:color w:val="auto"/>
                <w:szCs w:val="21"/>
                <w:highlight w:val="none"/>
                <w:lang w:val="en-US" w:eastAsia="zh-CN"/>
              </w:rPr>
              <w:t>300</w:t>
            </w:r>
            <w:r>
              <w:rPr>
                <w:rFonts w:hint="default" w:ascii="Times New Roman" w:hAnsi="Times New Roman" w:cs="Times New Roman"/>
                <w:color w:val="auto"/>
                <w:szCs w:val="21"/>
                <w:highlight w:val="none"/>
              </w:rPr>
              <w:t>天，则生活用水量为</w:t>
            </w:r>
            <w:r>
              <w:rPr>
                <w:rFonts w:hint="eastAsia" w:cs="Times New Roman"/>
                <w:color w:val="auto"/>
                <w:szCs w:val="21"/>
                <w:highlight w:val="none"/>
                <w:lang w:val="en-US" w:eastAsia="zh-CN"/>
              </w:rPr>
              <w:t>5.65</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rPr>
              <w:t>/d</w:t>
            </w:r>
            <w:r>
              <w:rPr>
                <w:rFonts w:hint="default" w:ascii="Times New Roman" w:hAnsi="Times New Roman" w:cs="Times New Roman"/>
                <w:color w:val="auto"/>
                <w:szCs w:val="21"/>
                <w:highlight w:val="none"/>
                <w:lang w:eastAsia="zh-CN"/>
              </w:rPr>
              <w:t>，</w:t>
            </w:r>
            <w:r>
              <w:rPr>
                <w:rFonts w:hint="eastAsia" w:cs="Times New Roman"/>
                <w:color w:val="auto"/>
                <w:szCs w:val="21"/>
                <w:highlight w:val="none"/>
                <w:lang w:val="en-US" w:eastAsia="zh-CN"/>
              </w:rPr>
              <w:t>1695</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rPr>
              <w:t xml:space="preserve">/a。 </w:t>
            </w:r>
          </w:p>
          <w:p w14:paraId="09D8FF85">
            <w:pPr>
              <w:adjustRightInd w:val="0"/>
              <w:snapToGrid w:val="0"/>
              <w:spacing w:line="460" w:lineRule="exact"/>
              <w:ind w:firstLine="420" w:firstLineChars="200"/>
              <w:rPr>
                <w:rFonts w:hint="default" w:ascii="Times New Roman" w:hAnsi="Times New Roman" w:eastAsia="宋体" w:cs="Times New Roman"/>
                <w:b w:val="0"/>
                <w:bCs w:val="0"/>
                <w:color w:val="auto"/>
                <w:szCs w:val="21"/>
                <w:highlight w:val="none"/>
                <w:lang w:val="en-US" w:eastAsia="zh-CN"/>
              </w:rPr>
            </w:pPr>
            <w:r>
              <w:rPr>
                <w:rFonts w:hint="default" w:ascii="Times New Roman" w:hAnsi="Times New Roman" w:cs="Times New Roman"/>
                <w:b w:val="0"/>
                <w:bCs w:val="0"/>
                <w:color w:val="auto"/>
                <w:szCs w:val="21"/>
                <w:highlight w:val="none"/>
                <w:lang w:val="en-US" w:eastAsia="zh-CN"/>
              </w:rPr>
              <w:t>生产用水：</w:t>
            </w:r>
          </w:p>
          <w:p w14:paraId="261F5F91">
            <w:pPr>
              <w:adjustRightInd w:val="0"/>
              <w:snapToGrid w:val="0"/>
              <w:spacing w:line="460" w:lineRule="exact"/>
              <w:ind w:firstLine="42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1）制浆用水：</w:t>
            </w:r>
            <w:r>
              <w:rPr>
                <w:rFonts w:hint="eastAsia" w:cs="Times New Roman"/>
                <w:color w:val="auto"/>
                <w:szCs w:val="21"/>
                <w:highlight w:val="none"/>
                <w:lang w:eastAsia="zh-CN"/>
              </w:rPr>
              <w:t>根据</w:t>
            </w:r>
            <w:r>
              <w:rPr>
                <w:rFonts w:hint="default" w:ascii="Times New Roman" w:hAnsi="Times New Roman" w:cs="Times New Roman"/>
                <w:color w:val="auto"/>
                <w:szCs w:val="21"/>
                <w:highlight w:val="none"/>
              </w:rPr>
              <w:t>《黑龙江省地方标准 用水定额》（DB23/T727-2025）</w:t>
            </w:r>
            <w:r>
              <w:rPr>
                <w:rFonts w:hint="eastAsia" w:cs="Times New Roman"/>
                <w:color w:val="auto"/>
                <w:szCs w:val="21"/>
                <w:highlight w:val="none"/>
                <w:lang w:eastAsia="zh-CN"/>
              </w:rPr>
              <w:t>表</w:t>
            </w:r>
            <w:r>
              <w:rPr>
                <w:rFonts w:hint="eastAsia" w:cs="Times New Roman"/>
                <w:color w:val="auto"/>
                <w:szCs w:val="21"/>
                <w:highlight w:val="none"/>
                <w:lang w:val="en-US" w:eastAsia="zh-CN"/>
              </w:rPr>
              <w:t>31</w:t>
            </w:r>
            <w:r>
              <w:rPr>
                <w:rFonts w:hint="eastAsia" w:cs="Times New Roman"/>
                <w:b w:val="0"/>
                <w:bCs w:val="0"/>
                <w:color w:val="auto"/>
                <w:szCs w:val="21"/>
                <w:highlight w:val="none"/>
                <w:lang w:val="en-US" w:eastAsia="zh-CN"/>
              </w:rPr>
              <w:t>中C3031可知，砌块用水量1m</w:t>
            </w:r>
            <w:r>
              <w:rPr>
                <w:rFonts w:hint="eastAsia" w:cs="Times New Roman"/>
                <w:b w:val="0"/>
                <w:bCs w:val="0"/>
                <w:color w:val="auto"/>
                <w:szCs w:val="21"/>
                <w:highlight w:val="none"/>
                <w:vertAlign w:val="superscript"/>
                <w:lang w:val="en-US" w:eastAsia="zh-CN"/>
              </w:rPr>
              <w:t>3</w:t>
            </w:r>
            <w:r>
              <w:rPr>
                <w:rFonts w:hint="eastAsia" w:cs="Times New Roman"/>
                <w:b w:val="0"/>
                <w:bCs w:val="0"/>
                <w:color w:val="auto"/>
                <w:szCs w:val="21"/>
                <w:highlight w:val="none"/>
                <w:lang w:val="en-US" w:eastAsia="zh-CN"/>
              </w:rPr>
              <w:t>/万块粉煤灰制砖，由于本项目不属于常规的砖瓦，因此本项目制浆用水参照该标准执行，砌块制浆用水量按0.5m</w:t>
            </w:r>
            <w:r>
              <w:rPr>
                <w:rFonts w:hint="eastAsia" w:cs="Times New Roman"/>
                <w:b w:val="0"/>
                <w:bCs w:val="0"/>
                <w:color w:val="auto"/>
                <w:szCs w:val="21"/>
                <w:highlight w:val="none"/>
                <w:vertAlign w:val="superscript"/>
                <w:lang w:val="en-US" w:eastAsia="zh-CN"/>
              </w:rPr>
              <w:t>3</w:t>
            </w:r>
            <w:r>
              <w:rPr>
                <w:rFonts w:hint="eastAsia" w:cs="Times New Roman"/>
                <w:b w:val="0"/>
                <w:bCs w:val="0"/>
                <w:color w:val="auto"/>
                <w:szCs w:val="21"/>
                <w:highlight w:val="none"/>
                <w:lang w:val="en-US" w:eastAsia="zh-CN"/>
              </w:rPr>
              <w:t>/万块计算，</w:t>
            </w:r>
            <w:r>
              <w:rPr>
                <w:rFonts w:hint="default" w:ascii="Times New Roman" w:hAnsi="Times New Roman" w:eastAsia="宋体" w:cs="Times New Roman"/>
                <w:color w:val="auto"/>
                <w:szCs w:val="21"/>
                <w:highlight w:val="none"/>
              </w:rPr>
              <w:t>项目生产规模</w:t>
            </w:r>
            <w:r>
              <w:rPr>
                <w:rFonts w:hint="default" w:ascii="Times New Roman" w:hAnsi="Times New Roman" w:eastAsia="宋体" w:cs="Times New Roman"/>
                <w:color w:val="auto"/>
                <w:szCs w:val="21"/>
                <w:highlight w:val="none"/>
                <w:lang w:val="en-US" w:eastAsia="zh-CN"/>
              </w:rPr>
              <w:t>为</w:t>
            </w:r>
            <w:r>
              <w:rPr>
                <w:rFonts w:hint="eastAsia" w:cs="Times New Roman"/>
                <w:color w:val="auto"/>
                <w:szCs w:val="21"/>
                <w:highlight w:val="none"/>
                <w:lang w:val="en-US" w:eastAsia="zh-CN"/>
              </w:rPr>
              <w:t>30</w:t>
            </w:r>
            <w:r>
              <w:rPr>
                <w:rFonts w:hint="default" w:ascii="Times New Roman" w:hAnsi="Times New Roman" w:eastAsia="宋体" w:cs="Times New Roman"/>
                <w:color w:val="auto"/>
                <w:szCs w:val="21"/>
                <w:highlight w:val="none"/>
              </w:rPr>
              <w:t>万m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蒸压加气混凝土</w:t>
            </w:r>
            <w:r>
              <w:rPr>
                <w:rFonts w:hint="default" w:ascii="Times New Roman" w:hAnsi="Times New Roman" w:eastAsia="宋体" w:cs="Times New Roman"/>
                <w:color w:val="auto"/>
                <w:szCs w:val="21"/>
                <w:highlight w:val="none"/>
                <w:lang w:val="en-US" w:eastAsia="zh-CN"/>
              </w:rPr>
              <w:t>砌砖</w:t>
            </w:r>
            <w:r>
              <w:rPr>
                <w:rFonts w:hint="default" w:ascii="Times New Roman" w:hAnsi="Times New Roman" w:eastAsia="宋体" w:cs="Times New Roman"/>
                <w:color w:val="auto"/>
                <w:szCs w:val="21"/>
                <w:highlight w:val="none"/>
              </w:rPr>
              <w:t>生产线，根据建设方提供的资料，</w:t>
            </w:r>
            <w:r>
              <w:rPr>
                <w:rFonts w:hint="default" w:ascii="Times New Roman" w:hAnsi="Times New Roman" w:eastAsia="宋体" w:cs="Times New Roman"/>
                <w:color w:val="auto"/>
                <w:spacing w:val="-3"/>
                <w:sz w:val="21"/>
                <w:szCs w:val="21"/>
                <w:highlight w:val="none"/>
                <w:lang w:val="en-US" w:eastAsia="zh-CN"/>
              </w:rPr>
              <w:t>1m</w:t>
            </w:r>
            <w:r>
              <w:rPr>
                <w:rFonts w:hint="default" w:ascii="Times New Roman" w:hAnsi="Times New Roman" w:eastAsia="宋体" w:cs="Times New Roman"/>
                <w:color w:val="auto"/>
                <w:spacing w:val="-3"/>
                <w:sz w:val="21"/>
                <w:szCs w:val="21"/>
                <w:highlight w:val="none"/>
                <w:vertAlign w:val="superscript"/>
                <w:lang w:val="en-US" w:eastAsia="zh-CN"/>
              </w:rPr>
              <w:t>3</w:t>
            </w:r>
            <w:r>
              <w:rPr>
                <w:rFonts w:hint="default" w:ascii="Times New Roman" w:hAnsi="Times New Roman" w:eastAsia="宋体" w:cs="Times New Roman"/>
                <w:color w:val="auto"/>
                <w:spacing w:val="-3"/>
                <w:sz w:val="21"/>
                <w:szCs w:val="21"/>
                <w:highlight w:val="none"/>
              </w:rPr>
              <w:t>建筑砌块约为</w:t>
            </w:r>
            <w:r>
              <w:rPr>
                <w:rFonts w:hint="default" w:ascii="Times New Roman" w:hAnsi="Times New Roman" w:eastAsia="宋体" w:cs="Times New Roman"/>
                <w:color w:val="auto"/>
                <w:spacing w:val="-48"/>
                <w:sz w:val="21"/>
                <w:szCs w:val="21"/>
                <w:highlight w:val="none"/>
              </w:rPr>
              <w:t xml:space="preserve"> </w:t>
            </w:r>
            <w:r>
              <w:rPr>
                <w:rFonts w:hint="default" w:ascii="Times New Roman" w:hAnsi="Times New Roman" w:eastAsia="宋体" w:cs="Times New Roman"/>
                <w:color w:val="auto"/>
                <w:spacing w:val="-3"/>
                <w:sz w:val="21"/>
                <w:szCs w:val="21"/>
                <w:highlight w:val="none"/>
              </w:rPr>
              <w:t>512</w:t>
            </w:r>
            <w:r>
              <w:rPr>
                <w:rFonts w:hint="default" w:ascii="Times New Roman" w:hAnsi="Times New Roman" w:eastAsia="宋体" w:cs="Times New Roman"/>
                <w:color w:val="auto"/>
                <w:spacing w:val="-4"/>
                <w:sz w:val="21"/>
                <w:szCs w:val="21"/>
                <w:highlight w:val="none"/>
              </w:rPr>
              <w:t>块标砖，则本项目量约</w:t>
            </w:r>
            <w:r>
              <w:rPr>
                <w:rFonts w:hint="default" w:ascii="Times New Roman" w:hAnsi="Times New Roman" w:eastAsia="宋体" w:cs="Times New Roman"/>
                <w:color w:val="auto"/>
                <w:spacing w:val="-1"/>
                <w:sz w:val="21"/>
                <w:szCs w:val="21"/>
                <w:highlight w:val="none"/>
              </w:rPr>
              <w:t>为</w:t>
            </w:r>
            <w:r>
              <w:rPr>
                <w:rFonts w:hint="default" w:ascii="Times New Roman" w:hAnsi="Times New Roman" w:eastAsia="宋体" w:cs="Times New Roman"/>
                <w:color w:val="auto"/>
                <w:spacing w:val="-51"/>
                <w:sz w:val="21"/>
                <w:szCs w:val="21"/>
                <w:highlight w:val="none"/>
              </w:rPr>
              <w:t xml:space="preserve"> </w:t>
            </w:r>
            <w:r>
              <w:rPr>
                <w:rFonts w:hint="eastAsia" w:cs="Times New Roman"/>
                <w:color w:val="auto"/>
                <w:spacing w:val="-1"/>
                <w:sz w:val="21"/>
                <w:szCs w:val="21"/>
                <w:highlight w:val="none"/>
                <w:lang w:val="en-US" w:eastAsia="zh-CN"/>
              </w:rPr>
              <w:t>15360</w:t>
            </w:r>
            <w:r>
              <w:rPr>
                <w:rFonts w:hint="default" w:ascii="Times New Roman" w:hAnsi="Times New Roman" w:eastAsia="宋体" w:cs="Times New Roman"/>
                <w:color w:val="auto"/>
                <w:spacing w:val="-1"/>
                <w:sz w:val="21"/>
                <w:szCs w:val="21"/>
                <w:highlight w:val="none"/>
              </w:rPr>
              <w:t>万块</w:t>
            </w:r>
            <w:r>
              <w:rPr>
                <w:rFonts w:hint="eastAsia" w:cs="Times New Roman"/>
                <w:color w:val="auto"/>
                <w:spacing w:val="-1"/>
                <w:sz w:val="21"/>
                <w:szCs w:val="21"/>
                <w:highlight w:val="none"/>
                <w:lang w:val="en-US" w:eastAsia="zh-CN"/>
              </w:rPr>
              <w:t>砌块</w:t>
            </w:r>
            <w:r>
              <w:rPr>
                <w:rFonts w:hint="default" w:ascii="Times New Roman" w:hAnsi="Times New Roman" w:eastAsia="宋体" w:cs="Times New Roman"/>
                <w:color w:val="auto"/>
                <w:szCs w:val="21"/>
                <w:highlight w:val="none"/>
              </w:rPr>
              <w:t>，则</w:t>
            </w:r>
            <w:r>
              <w:rPr>
                <w:rFonts w:hint="eastAsia" w:cs="Times New Roman"/>
                <w:color w:val="auto"/>
                <w:spacing w:val="-1"/>
                <w:sz w:val="21"/>
                <w:szCs w:val="21"/>
                <w:highlight w:val="none"/>
                <w:lang w:val="en-US" w:eastAsia="zh-CN"/>
              </w:rPr>
              <w:t>砌块</w:t>
            </w:r>
            <w:r>
              <w:rPr>
                <w:rFonts w:hint="eastAsia" w:cs="Times New Roman"/>
                <w:color w:val="auto"/>
                <w:szCs w:val="21"/>
                <w:highlight w:val="none"/>
                <w:lang w:val="en-US" w:eastAsia="zh-CN"/>
              </w:rPr>
              <w:t>制浆</w:t>
            </w:r>
            <w:r>
              <w:rPr>
                <w:rFonts w:hint="default" w:ascii="Times New Roman" w:hAnsi="Times New Roman" w:eastAsia="宋体" w:cs="Times New Roman"/>
                <w:color w:val="auto"/>
                <w:szCs w:val="21"/>
                <w:highlight w:val="none"/>
              </w:rPr>
              <w:t>用水量为</w:t>
            </w:r>
            <w:r>
              <w:rPr>
                <w:rFonts w:hint="eastAsia" w:cs="Times New Roman"/>
                <w:color w:val="auto"/>
                <w:szCs w:val="21"/>
                <w:highlight w:val="none"/>
                <w:lang w:val="en-US" w:eastAsia="zh-CN"/>
              </w:rPr>
              <w:t>25.6</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/d</w:t>
            </w:r>
            <w:r>
              <w:rPr>
                <w:rFonts w:hint="default" w:ascii="Times New Roman" w:hAnsi="Times New Roman" w:eastAsia="宋体" w:cs="Times New Roman"/>
                <w:color w:val="auto"/>
                <w:szCs w:val="21"/>
                <w:highlight w:val="none"/>
                <w:lang w:eastAsia="zh-CN"/>
              </w:rPr>
              <w:t>，</w:t>
            </w:r>
            <w:r>
              <w:rPr>
                <w:rFonts w:hint="eastAsia" w:cs="Times New Roman"/>
                <w:color w:val="auto"/>
                <w:szCs w:val="21"/>
                <w:highlight w:val="none"/>
                <w:lang w:val="en-US" w:eastAsia="zh-CN"/>
              </w:rPr>
              <w:t>7680</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/a。</w:t>
            </w:r>
            <w:r>
              <w:rPr>
                <w:rFonts w:hint="eastAsia" w:cs="Times New Roman"/>
                <w:color w:val="auto"/>
                <w:szCs w:val="21"/>
                <w:highlight w:val="none"/>
                <w:lang w:eastAsia="zh-CN"/>
              </w:rPr>
              <w:t>根据</w:t>
            </w:r>
            <w:r>
              <w:rPr>
                <w:rFonts w:hint="default" w:ascii="Times New Roman" w:hAnsi="Times New Roman" w:cs="Times New Roman"/>
                <w:color w:val="auto"/>
                <w:szCs w:val="21"/>
                <w:highlight w:val="none"/>
              </w:rPr>
              <w:t>《黑龙江省地方标准 用水定额》（DB23/T727-2025）</w:t>
            </w:r>
            <w:r>
              <w:rPr>
                <w:rFonts w:hint="eastAsia" w:cs="Times New Roman"/>
                <w:color w:val="auto"/>
                <w:szCs w:val="21"/>
                <w:highlight w:val="none"/>
                <w:lang w:eastAsia="zh-CN"/>
              </w:rPr>
              <w:t>表</w:t>
            </w:r>
            <w:r>
              <w:rPr>
                <w:rFonts w:hint="eastAsia" w:cs="Times New Roman"/>
                <w:color w:val="auto"/>
                <w:szCs w:val="21"/>
                <w:highlight w:val="none"/>
                <w:lang w:val="en-US" w:eastAsia="zh-CN"/>
              </w:rPr>
              <w:t>31</w:t>
            </w:r>
            <w:r>
              <w:rPr>
                <w:rFonts w:hint="eastAsia" w:cs="Times New Roman"/>
                <w:b w:val="0"/>
                <w:bCs w:val="0"/>
                <w:color w:val="auto"/>
                <w:szCs w:val="21"/>
                <w:highlight w:val="none"/>
                <w:lang w:val="en-US" w:eastAsia="zh-CN"/>
              </w:rPr>
              <w:t>中C3024可知，项目用水量0.1m</w:t>
            </w:r>
            <w:r>
              <w:rPr>
                <w:rFonts w:hint="eastAsia" w:cs="Times New Roman"/>
                <w:b w:val="0"/>
                <w:bCs w:val="0"/>
                <w:color w:val="auto"/>
                <w:szCs w:val="21"/>
                <w:highlight w:val="none"/>
                <w:vertAlign w:val="superscript"/>
                <w:lang w:val="en-US" w:eastAsia="zh-CN"/>
              </w:rPr>
              <w:t>3</w:t>
            </w:r>
            <w:r>
              <w:rPr>
                <w:rFonts w:hint="eastAsia" w:cs="Times New Roman"/>
                <w:b w:val="0"/>
                <w:bCs w:val="0"/>
                <w:color w:val="auto"/>
                <w:szCs w:val="21"/>
                <w:highlight w:val="none"/>
                <w:lang w:val="en-US" w:eastAsia="zh-CN"/>
              </w:rPr>
              <w:t>/t石膏板，</w:t>
            </w:r>
            <w:r>
              <w:rPr>
                <w:rFonts w:hint="default" w:ascii="Times New Roman" w:hAnsi="Times New Roman" w:eastAsia="宋体" w:cs="Times New Roman"/>
                <w:color w:val="auto"/>
                <w:szCs w:val="21"/>
                <w:highlight w:val="none"/>
              </w:rPr>
              <w:t>项目生产规模</w:t>
            </w:r>
            <w:r>
              <w:rPr>
                <w:rFonts w:hint="default" w:ascii="Times New Roman" w:hAnsi="Times New Roman" w:eastAsia="宋体" w:cs="Times New Roman"/>
                <w:color w:val="auto"/>
                <w:szCs w:val="21"/>
                <w:highlight w:val="none"/>
                <w:lang w:val="en-US" w:eastAsia="zh-CN"/>
              </w:rPr>
              <w:t>为</w:t>
            </w:r>
            <w:r>
              <w:rPr>
                <w:rFonts w:hint="eastAsia" w:cs="Times New Roman"/>
                <w:color w:val="auto"/>
                <w:szCs w:val="21"/>
                <w:highlight w:val="none"/>
                <w:lang w:val="en-US" w:eastAsia="zh-CN"/>
              </w:rPr>
              <w:t>30</w:t>
            </w:r>
            <w:r>
              <w:rPr>
                <w:rFonts w:hint="default" w:ascii="Times New Roman" w:hAnsi="Times New Roman" w:eastAsia="宋体" w:cs="Times New Roman"/>
                <w:color w:val="auto"/>
                <w:szCs w:val="21"/>
                <w:highlight w:val="none"/>
              </w:rPr>
              <w:t>万m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蒸压加气混凝土</w:t>
            </w:r>
            <w:r>
              <w:rPr>
                <w:rFonts w:hint="eastAsia" w:ascii="Times New Roman" w:hAnsi="Times New Roman" w:eastAsia="宋体" w:cs="Times New Roman"/>
                <w:color w:val="auto"/>
                <w:szCs w:val="21"/>
                <w:highlight w:val="none"/>
                <w:lang w:val="en-US" w:eastAsia="zh-CN"/>
              </w:rPr>
              <w:t>板材</w:t>
            </w:r>
            <w:r>
              <w:rPr>
                <w:rFonts w:hint="default" w:ascii="Times New Roman" w:hAnsi="Times New Roman" w:eastAsia="宋体" w:cs="Times New Roman"/>
                <w:color w:val="auto"/>
                <w:szCs w:val="21"/>
                <w:highlight w:val="none"/>
              </w:rPr>
              <w:t>生产线，根据建设方提供的资料，</w:t>
            </w:r>
            <w:r>
              <w:rPr>
                <w:rFonts w:hint="default" w:ascii="Times New Roman" w:hAnsi="Times New Roman" w:eastAsia="宋体" w:cs="Times New Roman"/>
                <w:color w:val="auto"/>
                <w:spacing w:val="-3"/>
                <w:sz w:val="21"/>
                <w:szCs w:val="21"/>
                <w:highlight w:val="none"/>
                <w:lang w:val="en-US" w:eastAsia="zh-CN"/>
              </w:rPr>
              <w:t>1m</w:t>
            </w:r>
            <w:r>
              <w:rPr>
                <w:rFonts w:hint="default" w:ascii="Times New Roman" w:hAnsi="Times New Roman" w:eastAsia="宋体" w:cs="Times New Roman"/>
                <w:color w:val="auto"/>
                <w:spacing w:val="-3"/>
                <w:sz w:val="21"/>
                <w:szCs w:val="21"/>
                <w:highlight w:val="none"/>
                <w:vertAlign w:val="superscript"/>
                <w:lang w:val="en-US" w:eastAsia="zh-CN"/>
              </w:rPr>
              <w:t>3</w:t>
            </w:r>
            <w:r>
              <w:rPr>
                <w:rFonts w:hint="default" w:ascii="Times New Roman" w:hAnsi="Times New Roman" w:eastAsia="宋体" w:cs="Times New Roman"/>
                <w:color w:val="auto"/>
                <w:spacing w:val="-3"/>
                <w:sz w:val="21"/>
                <w:szCs w:val="21"/>
                <w:highlight w:val="none"/>
              </w:rPr>
              <w:t>蒸压混凝土板材</w:t>
            </w:r>
            <w:r>
              <w:rPr>
                <w:rFonts w:hint="eastAsia" w:ascii="Times New Roman" w:hAnsi="Times New Roman" w:eastAsia="宋体" w:cs="Times New Roman"/>
                <w:color w:val="auto"/>
                <w:spacing w:val="-3"/>
                <w:sz w:val="21"/>
                <w:szCs w:val="21"/>
                <w:highlight w:val="none"/>
                <w:lang w:val="en-US" w:eastAsia="zh-CN"/>
              </w:rPr>
              <w:t>约为</w:t>
            </w:r>
            <w:r>
              <w:rPr>
                <w:rFonts w:hint="default" w:ascii="Times New Roman" w:hAnsi="Times New Roman" w:eastAsia="宋体" w:cs="Times New Roman"/>
                <w:color w:val="auto"/>
                <w:spacing w:val="-3"/>
                <w:sz w:val="21"/>
                <w:szCs w:val="21"/>
                <w:highlight w:val="none"/>
              </w:rPr>
              <w:t>0.50～0.65吨</w:t>
            </w:r>
            <w:r>
              <w:rPr>
                <w:rFonts w:hint="default" w:ascii="Times New Roman" w:hAnsi="Times New Roman" w:eastAsia="宋体" w:cs="Times New Roman"/>
                <w:color w:val="auto"/>
                <w:spacing w:val="-4"/>
                <w:sz w:val="21"/>
                <w:szCs w:val="21"/>
                <w:highlight w:val="none"/>
              </w:rPr>
              <w:t>，</w:t>
            </w:r>
            <w:r>
              <w:rPr>
                <w:rFonts w:hint="eastAsia" w:ascii="Times New Roman" w:hAnsi="Times New Roman" w:eastAsia="宋体" w:cs="Times New Roman"/>
                <w:color w:val="auto"/>
                <w:spacing w:val="-4"/>
                <w:sz w:val="21"/>
                <w:szCs w:val="21"/>
                <w:highlight w:val="none"/>
                <w:lang w:val="en-US" w:eastAsia="zh-CN"/>
              </w:rPr>
              <w:t>本项目取值0.6315t，</w:t>
            </w:r>
            <w:r>
              <w:rPr>
                <w:rFonts w:hint="default" w:ascii="Times New Roman" w:hAnsi="Times New Roman" w:eastAsia="宋体" w:cs="Times New Roman"/>
                <w:color w:val="auto"/>
                <w:spacing w:val="-4"/>
                <w:sz w:val="21"/>
                <w:szCs w:val="21"/>
                <w:highlight w:val="none"/>
              </w:rPr>
              <w:t>则本项目量约</w:t>
            </w:r>
            <w:r>
              <w:rPr>
                <w:rFonts w:hint="default" w:ascii="Times New Roman" w:hAnsi="Times New Roman" w:eastAsia="宋体" w:cs="Times New Roman"/>
                <w:color w:val="auto"/>
                <w:spacing w:val="-1"/>
                <w:sz w:val="21"/>
                <w:szCs w:val="21"/>
                <w:highlight w:val="none"/>
              </w:rPr>
              <w:t>为</w:t>
            </w:r>
            <w:r>
              <w:rPr>
                <w:rFonts w:hint="default" w:ascii="Times New Roman" w:hAnsi="Times New Roman" w:eastAsia="宋体" w:cs="Times New Roman"/>
                <w:color w:val="auto"/>
                <w:spacing w:val="-51"/>
                <w:sz w:val="21"/>
                <w:szCs w:val="21"/>
                <w:highlight w:val="none"/>
              </w:rPr>
              <w:t xml:space="preserve"> </w:t>
            </w:r>
            <w:r>
              <w:rPr>
                <w:rFonts w:hint="eastAsia" w:cs="Times New Roman"/>
                <w:color w:val="auto"/>
                <w:spacing w:val="-1"/>
                <w:sz w:val="21"/>
                <w:szCs w:val="21"/>
                <w:highlight w:val="none"/>
                <w:lang w:val="en-US" w:eastAsia="zh-CN"/>
              </w:rPr>
              <w:t>189450</w:t>
            </w:r>
            <w:r>
              <w:rPr>
                <w:rFonts w:hint="eastAsia" w:ascii="Times New Roman" w:hAnsi="Times New Roman" w:eastAsia="宋体" w:cs="Times New Roman"/>
                <w:color w:val="auto"/>
                <w:spacing w:val="-1"/>
                <w:sz w:val="21"/>
                <w:szCs w:val="21"/>
                <w:highlight w:val="none"/>
                <w:lang w:val="en-US" w:eastAsia="zh-CN"/>
              </w:rPr>
              <w:t>t</w:t>
            </w:r>
            <w:r>
              <w:rPr>
                <w:rFonts w:hint="default" w:ascii="Times New Roman" w:hAnsi="Times New Roman" w:eastAsia="宋体" w:cs="Times New Roman"/>
                <w:color w:val="auto"/>
                <w:szCs w:val="21"/>
                <w:highlight w:val="none"/>
              </w:rPr>
              <w:t>，则</w:t>
            </w:r>
            <w:r>
              <w:rPr>
                <w:rFonts w:hint="eastAsia" w:cs="Times New Roman"/>
                <w:color w:val="auto"/>
                <w:spacing w:val="-1"/>
                <w:sz w:val="21"/>
                <w:szCs w:val="21"/>
                <w:highlight w:val="none"/>
                <w:lang w:val="en-US" w:eastAsia="zh-CN"/>
              </w:rPr>
              <w:t>板材</w:t>
            </w:r>
            <w:r>
              <w:rPr>
                <w:rFonts w:hint="eastAsia" w:cs="Times New Roman"/>
                <w:color w:val="auto"/>
                <w:szCs w:val="21"/>
                <w:highlight w:val="none"/>
                <w:lang w:val="en-US" w:eastAsia="zh-CN"/>
              </w:rPr>
              <w:t>制浆</w:t>
            </w:r>
            <w:r>
              <w:rPr>
                <w:rFonts w:hint="default" w:ascii="Times New Roman" w:hAnsi="Times New Roman" w:eastAsia="宋体" w:cs="Times New Roman"/>
                <w:color w:val="auto"/>
                <w:szCs w:val="21"/>
                <w:highlight w:val="none"/>
              </w:rPr>
              <w:t>用水量为</w:t>
            </w:r>
            <w:r>
              <w:rPr>
                <w:rFonts w:hint="eastAsia" w:cs="Times New Roman"/>
                <w:color w:val="auto"/>
                <w:szCs w:val="21"/>
                <w:highlight w:val="none"/>
                <w:lang w:val="en-US" w:eastAsia="zh-CN"/>
              </w:rPr>
              <w:t>63.15</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/d</w:t>
            </w:r>
            <w:r>
              <w:rPr>
                <w:rFonts w:hint="default" w:ascii="Times New Roman" w:hAnsi="Times New Roman" w:eastAsia="宋体" w:cs="Times New Roman"/>
                <w:color w:val="auto"/>
                <w:szCs w:val="21"/>
                <w:highlight w:val="none"/>
                <w:lang w:eastAsia="zh-CN"/>
              </w:rPr>
              <w:t>，</w:t>
            </w:r>
            <w:r>
              <w:rPr>
                <w:rFonts w:hint="eastAsia" w:cs="Times New Roman"/>
                <w:color w:val="auto"/>
                <w:szCs w:val="21"/>
                <w:highlight w:val="none"/>
                <w:lang w:val="en-US" w:eastAsia="zh-CN"/>
              </w:rPr>
              <w:t>18945</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/a。</w:t>
            </w:r>
            <w:r>
              <w:rPr>
                <w:rFonts w:hint="eastAsia" w:ascii="Times New Roman" w:hAnsi="Times New Roman" w:eastAsia="宋体" w:cs="Times New Roman"/>
                <w:color w:val="auto"/>
                <w:szCs w:val="21"/>
                <w:highlight w:val="none"/>
                <w:lang w:val="en-US" w:eastAsia="zh-CN"/>
              </w:rPr>
              <w:t>本项目制浆用水量为</w:t>
            </w:r>
            <w:r>
              <w:rPr>
                <w:rFonts w:hint="eastAsia" w:cs="Times New Roman"/>
                <w:color w:val="auto"/>
                <w:szCs w:val="21"/>
                <w:highlight w:val="none"/>
                <w:lang w:val="en-US" w:eastAsia="zh-CN"/>
              </w:rPr>
              <w:t>88.75</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/d</w:t>
            </w:r>
            <w:r>
              <w:rPr>
                <w:rFonts w:hint="default" w:ascii="Times New Roman" w:hAnsi="Times New Roman" w:eastAsia="宋体" w:cs="Times New Roman"/>
                <w:color w:val="auto"/>
                <w:szCs w:val="21"/>
                <w:highlight w:val="none"/>
                <w:lang w:eastAsia="zh-CN"/>
              </w:rPr>
              <w:t>，</w:t>
            </w:r>
            <w:r>
              <w:rPr>
                <w:rFonts w:hint="eastAsia" w:cs="Times New Roman"/>
                <w:color w:val="auto"/>
                <w:szCs w:val="21"/>
                <w:highlight w:val="none"/>
                <w:lang w:val="en-US" w:eastAsia="zh-CN"/>
              </w:rPr>
              <w:t>26625</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/a。</w:t>
            </w:r>
          </w:p>
          <w:p w14:paraId="49E61756">
            <w:pPr>
              <w:adjustRightInd w:val="0"/>
              <w:snapToGrid w:val="0"/>
              <w:spacing w:line="460" w:lineRule="exact"/>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2）设备清洗用水：在设备停止生产及检修期间，需对搅拌机等设备进行冲洗。搅拌机等设备平均每三天冲洗一次，设备冲洗每次用水量约1m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/次，100m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/a。</w:t>
            </w:r>
          </w:p>
          <w:p w14:paraId="4B5BB917">
            <w:pPr>
              <w:adjustRightInd w:val="0"/>
              <w:snapToGrid w:val="0"/>
              <w:spacing w:line="460" w:lineRule="exact"/>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Cs w:val="21"/>
                <w:highlight w:val="none"/>
              </w:rPr>
              <w:t>3）蒸压釜冷凝水</w:t>
            </w:r>
            <w:r>
              <w:rPr>
                <w:rFonts w:hint="eastAsia" w:ascii="Times New Roman" w:hAnsi="Times New Roman" w:eastAsia="宋体" w:cs="Times New Roman"/>
                <w:color w:val="auto"/>
                <w:szCs w:val="21"/>
                <w:highlight w:val="none"/>
                <w:lang w:val="en-US" w:eastAsia="zh-CN"/>
              </w:rPr>
              <w:t>及</w:t>
            </w:r>
            <w:r>
              <w:rPr>
                <w:rFonts w:hint="default" w:ascii="Times New Roman" w:hAnsi="Times New Roman" w:eastAsia="宋体" w:cs="Times New Roman"/>
                <w:color w:val="auto"/>
                <w:sz w:val="21"/>
                <w:szCs w:val="21"/>
                <w:highlight w:val="none"/>
              </w:rPr>
              <w:t>锅炉软水制备用水</w:t>
            </w:r>
          </w:p>
          <w:p w14:paraId="03577E6F">
            <w:pPr>
              <w:adjustRightInd w:val="0"/>
              <w:snapToGrid w:val="0"/>
              <w:spacing w:line="460" w:lineRule="exact"/>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本项目1台12t/h燃</w:t>
            </w:r>
            <w:r>
              <w:rPr>
                <w:rFonts w:hint="default" w:ascii="Times New Roman" w:hAnsi="Times New Roman" w:cs="Times New Roman"/>
                <w:color w:val="auto"/>
                <w:sz w:val="21"/>
                <w:szCs w:val="21"/>
                <w:highlight w:val="none"/>
                <w:lang w:val="en-US" w:eastAsia="zh-CN"/>
              </w:rPr>
              <w:t>生物质</w:t>
            </w:r>
            <w:r>
              <w:rPr>
                <w:rFonts w:hint="default" w:ascii="Times New Roman" w:hAnsi="Times New Roman" w:eastAsia="宋体" w:cs="Times New Roman"/>
                <w:color w:val="auto"/>
                <w:sz w:val="21"/>
                <w:szCs w:val="21"/>
                <w:highlight w:val="none"/>
                <w:lang w:val="en-US" w:eastAsia="zh-CN"/>
              </w:rPr>
              <w:t>蒸汽锅炉，年运行4800h，蒸压釜冷凝水及锅炉软水用水</w:t>
            </w:r>
            <w:r>
              <w:rPr>
                <w:rFonts w:hint="eastAsia" w:cs="Times New Roman"/>
                <w:color w:val="auto"/>
                <w:sz w:val="21"/>
                <w:szCs w:val="21"/>
                <w:highlight w:val="none"/>
                <w:lang w:val="en-US" w:eastAsia="zh-CN"/>
              </w:rPr>
              <w:t>均</w:t>
            </w:r>
            <w:r>
              <w:rPr>
                <w:rFonts w:hint="default" w:ascii="Times New Roman" w:hAnsi="Times New Roman" w:eastAsia="宋体" w:cs="Times New Roman"/>
                <w:color w:val="auto"/>
                <w:sz w:val="21"/>
                <w:szCs w:val="21"/>
                <w:highlight w:val="none"/>
                <w:lang w:val="en-US" w:eastAsia="zh-CN"/>
              </w:rPr>
              <w:t>采用软化水处理装置进行水质软化处理，制水效率为90%，则软化水制备用水为</w:t>
            </w:r>
            <w:r>
              <w:rPr>
                <w:rFonts w:hint="eastAsia" w:cs="Times New Roman"/>
                <w:color w:val="auto"/>
                <w:sz w:val="21"/>
                <w:szCs w:val="21"/>
                <w:highlight w:val="none"/>
                <w:lang w:val="en-US" w:eastAsia="zh-CN"/>
              </w:rPr>
              <w:t>265.7</w:t>
            </w:r>
            <w:r>
              <w:rPr>
                <w:rFonts w:hint="default" w:ascii="Times New Roman" w:hAnsi="Times New Roman" w:eastAsia="宋体" w:cs="Times New Roman"/>
                <w:color w:val="auto"/>
                <w:sz w:val="21"/>
                <w:szCs w:val="21"/>
                <w:highlight w:val="none"/>
                <w:lang w:val="en-US" w:eastAsia="zh-CN"/>
              </w:rPr>
              <w:t>t/d，</w:t>
            </w:r>
            <w:r>
              <w:rPr>
                <w:rFonts w:hint="eastAsia" w:cs="Times New Roman"/>
                <w:color w:val="auto"/>
                <w:sz w:val="21"/>
                <w:szCs w:val="21"/>
                <w:highlight w:val="none"/>
                <w:lang w:val="en-US" w:eastAsia="zh-CN"/>
              </w:rPr>
              <w:t>79710</w:t>
            </w:r>
            <w:r>
              <w:rPr>
                <w:rFonts w:hint="default" w:ascii="Times New Roman" w:hAnsi="Times New Roman" w:eastAsia="宋体" w:cs="Times New Roman"/>
                <w:color w:val="auto"/>
                <w:sz w:val="21"/>
                <w:szCs w:val="21"/>
                <w:highlight w:val="none"/>
                <w:lang w:val="en-US" w:eastAsia="zh-CN"/>
              </w:rPr>
              <w:t>t/a。</w:t>
            </w:r>
          </w:p>
          <w:p w14:paraId="78460743">
            <w:pPr>
              <w:adjustRightInd w:val="0"/>
              <w:snapToGrid w:val="0"/>
              <w:spacing w:line="460" w:lineRule="exact"/>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软化水处理水根据《排放源统计调查产排污核算方法和系数手册》工业锅炉（热力生产和供应行业）产排污系数，生物质蒸汽锅炉排污水＋软化处理废水产污系数为0.356吨/吨－原料，本项目燃烧</w:t>
            </w:r>
            <w:r>
              <w:rPr>
                <w:rFonts w:hint="eastAsia" w:cs="Times New Roman"/>
                <w:color w:val="auto"/>
                <w:sz w:val="21"/>
                <w:szCs w:val="21"/>
                <w:highlight w:val="none"/>
                <w:lang w:val="en-US" w:eastAsia="zh-CN"/>
              </w:rPr>
              <w:t>生物质颗粒</w:t>
            </w:r>
            <w:r>
              <w:rPr>
                <w:rFonts w:hint="default" w:ascii="Times New Roman" w:hAnsi="Times New Roman" w:cs="Times New Roman"/>
                <w:color w:val="auto"/>
                <w:sz w:val="21"/>
                <w:szCs w:val="21"/>
                <w:highlight w:val="none"/>
                <w:lang w:val="en-US" w:eastAsia="zh-CN"/>
              </w:rPr>
              <w:t>量总量1</w:t>
            </w:r>
            <w:r>
              <w:rPr>
                <w:rFonts w:hint="eastAsia" w:cs="Times New Roman"/>
                <w:color w:val="auto"/>
                <w:sz w:val="21"/>
                <w:szCs w:val="21"/>
                <w:highlight w:val="none"/>
                <w:lang w:val="en-US" w:eastAsia="zh-CN"/>
              </w:rPr>
              <w:t>1904</w:t>
            </w:r>
            <w:r>
              <w:rPr>
                <w:rFonts w:hint="default" w:ascii="Times New Roman" w:hAnsi="Times New Roman" w:cs="Times New Roman"/>
                <w:color w:val="auto"/>
                <w:sz w:val="21"/>
                <w:szCs w:val="21"/>
                <w:highlight w:val="none"/>
                <w:lang w:val="en-US" w:eastAsia="zh-CN"/>
              </w:rPr>
              <w:t>t/a，则锅炉排污水及软化处理废水总量为1</w:t>
            </w:r>
            <w:r>
              <w:rPr>
                <w:rFonts w:hint="eastAsia" w:cs="Times New Roman"/>
                <w:color w:val="auto"/>
                <w:sz w:val="21"/>
                <w:szCs w:val="21"/>
                <w:highlight w:val="none"/>
                <w:lang w:val="en-US" w:eastAsia="zh-CN"/>
              </w:rPr>
              <w:t>4.13</w:t>
            </w:r>
            <w:r>
              <w:rPr>
                <w:rFonts w:hint="default" w:ascii="Times New Roman" w:hAnsi="Times New Roman" w:cs="Times New Roman"/>
                <w:color w:val="auto"/>
                <w:sz w:val="21"/>
                <w:szCs w:val="21"/>
                <w:highlight w:val="none"/>
                <w:lang w:val="en-US" w:eastAsia="zh-CN"/>
              </w:rPr>
              <w:t>t/d，4</w:t>
            </w:r>
            <w:r>
              <w:rPr>
                <w:rFonts w:hint="eastAsia" w:cs="Times New Roman"/>
                <w:color w:val="auto"/>
                <w:sz w:val="21"/>
                <w:szCs w:val="21"/>
                <w:highlight w:val="none"/>
                <w:lang w:val="en-US" w:eastAsia="zh-CN"/>
              </w:rPr>
              <w:t>237.824</w:t>
            </w:r>
            <w:r>
              <w:rPr>
                <w:rFonts w:hint="default" w:ascii="Times New Roman" w:hAnsi="Times New Roman" w:cs="Times New Roman"/>
                <w:color w:val="auto"/>
                <w:sz w:val="21"/>
                <w:szCs w:val="21"/>
                <w:highlight w:val="none"/>
                <w:lang w:val="en-US" w:eastAsia="zh-CN"/>
              </w:rPr>
              <w:t>t/a。锅炉排污水及软化处理废水夏季用于锅炉房及厂区内洒水降尘，不外排。冬季进入沉淀池，再由水泵抽入废浆</w:t>
            </w:r>
            <w:r>
              <w:rPr>
                <w:rFonts w:hint="eastAsia" w:cs="Times New Roman"/>
                <w:color w:val="auto"/>
                <w:szCs w:val="21"/>
                <w:highlight w:val="none"/>
                <w:lang w:eastAsia="zh-CN"/>
              </w:rPr>
              <w:t>池内</w:t>
            </w:r>
            <w:r>
              <w:rPr>
                <w:rFonts w:hint="default" w:ascii="Times New Roman" w:hAnsi="Times New Roman" w:cs="Times New Roman"/>
                <w:color w:val="auto"/>
                <w:sz w:val="21"/>
                <w:szCs w:val="21"/>
                <w:highlight w:val="none"/>
                <w:lang w:val="en-US" w:eastAsia="zh-CN"/>
              </w:rPr>
              <w:t>，最后回用于制浆用水，不外排。</w:t>
            </w:r>
          </w:p>
          <w:p w14:paraId="56E8A990">
            <w:pPr>
              <w:adjustRightInd w:val="0"/>
              <w:snapToGrid w:val="0"/>
              <w:spacing w:line="460" w:lineRule="exact"/>
              <w:ind w:firstLine="420" w:firstLineChars="200"/>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项目蒸压蒸汽由</w:t>
            </w:r>
            <w:r>
              <w:rPr>
                <w:rFonts w:hint="default" w:ascii="Times New Roman" w:hAnsi="Times New Roman" w:eastAsia="宋体"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rPr>
              <w:t>t/h锅炉供给。项目生产规模</w:t>
            </w:r>
            <w:r>
              <w:rPr>
                <w:rFonts w:hint="default" w:ascii="Times New Roman" w:hAnsi="Times New Roman" w:eastAsia="宋体" w:cs="Times New Roman"/>
                <w:color w:val="auto"/>
                <w:sz w:val="21"/>
                <w:szCs w:val="21"/>
                <w:highlight w:val="none"/>
                <w:lang w:val="en-US" w:eastAsia="zh-CN"/>
              </w:rPr>
              <w:t>60</w:t>
            </w:r>
            <w:r>
              <w:rPr>
                <w:rFonts w:hint="default" w:ascii="Times New Roman" w:hAnsi="Times New Roman" w:eastAsia="宋体" w:cs="Times New Roman"/>
                <w:color w:val="auto"/>
                <w:sz w:val="21"/>
                <w:szCs w:val="21"/>
                <w:highlight w:val="none"/>
              </w:rPr>
              <w:t>万m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蒸压加气混凝土板（ALC），年工作时间为300天，每天</w:t>
            </w:r>
            <w:r>
              <w:rPr>
                <w:rFonts w:hint="default" w:ascii="Times New Roman" w:hAnsi="Times New Roman" w:eastAsia="宋体" w:cs="Times New Roman"/>
                <w:color w:val="auto"/>
                <w:sz w:val="21"/>
                <w:szCs w:val="21"/>
                <w:highlight w:val="none"/>
                <w:lang w:val="en-US" w:eastAsia="zh-CN"/>
              </w:rPr>
              <w:t>16</w:t>
            </w:r>
            <w:r>
              <w:rPr>
                <w:rFonts w:hint="default" w:ascii="Times New Roman" w:hAnsi="Times New Roman" w:eastAsia="宋体" w:cs="Times New Roman"/>
                <w:color w:val="auto"/>
                <w:sz w:val="21"/>
                <w:szCs w:val="21"/>
                <w:highlight w:val="none"/>
              </w:rPr>
              <w:t>h，根据资料，每生产1m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产品需蒸汽量为125kg，则每天需蒸汽量约为</w:t>
            </w:r>
            <w:r>
              <w:rPr>
                <w:rFonts w:hint="default" w:ascii="Times New Roman" w:hAnsi="Times New Roman" w:eastAsia="宋体" w:cs="Times New Roman"/>
                <w:color w:val="auto"/>
                <w:sz w:val="21"/>
                <w:szCs w:val="21"/>
                <w:highlight w:val="none"/>
                <w:lang w:val="en-US" w:eastAsia="zh-CN"/>
              </w:rPr>
              <w:t>250</w:t>
            </w:r>
            <w:r>
              <w:rPr>
                <w:rFonts w:hint="default" w:ascii="Times New Roman" w:hAnsi="Times New Roman" w:eastAsia="宋体" w:cs="Times New Roman"/>
                <w:color w:val="auto"/>
                <w:sz w:val="21"/>
                <w:szCs w:val="21"/>
                <w:highlight w:val="none"/>
              </w:rPr>
              <w:t>t。</w:t>
            </w:r>
          </w:p>
          <w:p w14:paraId="2F2F0CE1">
            <w:pPr>
              <w:adjustRightInd w:val="0"/>
              <w:snapToGrid w:val="0"/>
              <w:spacing w:line="460" w:lineRule="exact"/>
              <w:ind w:firstLine="420" w:firstLineChars="200"/>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）钢筋防锈浸泡用水</w:t>
            </w:r>
          </w:p>
          <w:p w14:paraId="639661C1">
            <w:pPr>
              <w:adjustRightInd w:val="0"/>
              <w:snapToGrid w:val="0"/>
              <w:spacing w:line="460" w:lineRule="exact"/>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本项目钢筋采用防腐剂浸泡防锈，防腐剂失去药性后产生浸泡废水，根据建设单位提供资料，防腐剂用量约为</w:t>
            </w:r>
            <w:r>
              <w:rPr>
                <w:rFonts w:hint="default" w:ascii="Times New Roman" w:hAnsi="Times New Roman" w:eastAsia="宋体" w:cs="Times New Roman"/>
                <w:color w:val="auto"/>
                <w:sz w:val="21"/>
                <w:szCs w:val="21"/>
                <w:highlight w:val="none"/>
                <w:lang w:val="en-US" w:eastAsia="zh-CN"/>
              </w:rPr>
              <w:t>328.05</w:t>
            </w:r>
            <w:r>
              <w:rPr>
                <w:rFonts w:hint="default" w:ascii="Times New Roman" w:hAnsi="Times New Roman" w:eastAsia="宋体" w:cs="Times New Roman"/>
                <w:color w:val="auto"/>
                <w:sz w:val="21"/>
                <w:szCs w:val="21"/>
                <w:highlight w:val="none"/>
              </w:rPr>
              <w:t>t/a，兑水比例为5:1，则钢筋浸泡用水量约为0.</w:t>
            </w:r>
            <w:r>
              <w:rPr>
                <w:rFonts w:hint="eastAsia" w:cs="Times New Roman"/>
                <w:color w:val="auto"/>
                <w:sz w:val="21"/>
                <w:szCs w:val="21"/>
                <w:highlight w:val="none"/>
                <w:lang w:val="en-US" w:eastAsia="zh-CN"/>
              </w:rPr>
              <w:t>22</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lang w:val="en-US" w:eastAsia="zh-CN"/>
              </w:rPr>
              <w:t>65.61</w:t>
            </w:r>
            <w:r>
              <w:rPr>
                <w:rFonts w:hint="default" w:ascii="Times New Roman" w:hAnsi="Times New Roman" w:eastAsia="宋体" w:cs="Times New Roman"/>
                <w:color w:val="auto"/>
                <w:sz w:val="21"/>
                <w:szCs w:val="21"/>
                <w:highlight w:val="none"/>
              </w:rPr>
              <w:t>t/a。</w:t>
            </w:r>
          </w:p>
          <w:p w14:paraId="50F5176E">
            <w:pPr>
              <w:adjustRightInd w:val="0"/>
              <w:snapToGrid w:val="0"/>
              <w:spacing w:line="460" w:lineRule="exact"/>
              <w:ind w:firstLine="420" w:firstLineChars="200"/>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）切割工序用水</w:t>
            </w:r>
          </w:p>
          <w:p w14:paraId="380367C4">
            <w:pPr>
              <w:adjustRightInd w:val="0"/>
              <w:snapToGrid w:val="0"/>
              <w:spacing w:line="460" w:lineRule="exact"/>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本项目生产时，需对成品进行切割，切割为湿法切割，项目切割用水量约为0.5m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r>
              <w:rPr>
                <w:rFonts w:hint="eastAsia" w:cs="Times New Roman"/>
                <w:color w:val="auto"/>
                <w:sz w:val="21"/>
                <w:szCs w:val="21"/>
                <w:highlight w:val="none"/>
                <w:lang w:val="en-US" w:eastAsia="zh-CN"/>
              </w:rPr>
              <w:t>150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a</w:t>
            </w:r>
            <w:r>
              <w:rPr>
                <w:rFonts w:hint="default" w:ascii="Times New Roman" w:hAnsi="Times New Roman" w:eastAsia="宋体" w:cs="Times New Roman"/>
                <w:color w:val="auto"/>
                <w:sz w:val="21"/>
                <w:szCs w:val="21"/>
                <w:highlight w:val="none"/>
              </w:rPr>
              <w:t>。</w:t>
            </w:r>
          </w:p>
          <w:p w14:paraId="0EAB6C32">
            <w:pPr>
              <w:pStyle w:val="63"/>
              <w:ind w:firstLine="42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（2）排水</w:t>
            </w:r>
          </w:p>
          <w:p w14:paraId="7C81278E">
            <w:pPr>
              <w:adjustRightInd w:val="0"/>
              <w:snapToGrid w:val="0"/>
              <w:spacing w:line="360" w:lineRule="auto"/>
              <w:ind w:firstLine="420" w:firstLineChars="200"/>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1）生活污水</w:t>
            </w:r>
          </w:p>
          <w:p w14:paraId="239B7F74">
            <w:pPr>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生活用水量为</w:t>
            </w:r>
            <w:r>
              <w:rPr>
                <w:rFonts w:hint="eastAsia" w:cs="Times New Roman"/>
                <w:color w:val="auto"/>
                <w:szCs w:val="21"/>
                <w:highlight w:val="none"/>
                <w:lang w:val="en-US" w:eastAsia="zh-CN"/>
              </w:rPr>
              <w:t>5.65</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rPr>
              <w:t>/d</w:t>
            </w:r>
            <w:r>
              <w:rPr>
                <w:rFonts w:hint="default" w:ascii="Times New Roman" w:hAnsi="Times New Roman" w:cs="Times New Roman"/>
                <w:color w:val="auto"/>
                <w:szCs w:val="21"/>
                <w:highlight w:val="none"/>
                <w:lang w:eastAsia="zh-CN"/>
              </w:rPr>
              <w:t>，</w:t>
            </w:r>
            <w:r>
              <w:rPr>
                <w:rFonts w:hint="eastAsia" w:cs="Times New Roman"/>
                <w:color w:val="auto"/>
                <w:szCs w:val="21"/>
                <w:highlight w:val="none"/>
                <w:lang w:val="en-US" w:eastAsia="zh-CN"/>
              </w:rPr>
              <w:t>1695</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vertAlign w:val="superscript"/>
                <w:lang w:val="en-US" w:eastAsia="zh-CN"/>
              </w:rPr>
              <w:t>3</w:t>
            </w:r>
            <w:r>
              <w:rPr>
                <w:rFonts w:hint="default" w:ascii="Times New Roman" w:hAnsi="Times New Roman" w:cs="Times New Roman"/>
                <w:color w:val="auto"/>
                <w:szCs w:val="21"/>
                <w:highlight w:val="none"/>
              </w:rPr>
              <w:t>/a</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排水量按用水量的80%计，则生活污水排放量为</w:t>
            </w:r>
            <w:r>
              <w:rPr>
                <w:rFonts w:hint="eastAsia" w:cs="Times New Roman"/>
                <w:color w:val="auto"/>
                <w:sz w:val="21"/>
                <w:szCs w:val="21"/>
                <w:highlight w:val="none"/>
                <w:lang w:val="en-US" w:eastAsia="zh-CN"/>
              </w:rPr>
              <w:t>4.52</w:t>
            </w:r>
            <w:r>
              <w:rPr>
                <w:rFonts w:hint="default" w:ascii="Times New Roman" w:hAnsi="Times New Roman" w:cs="Times New Roman"/>
                <w:color w:val="auto"/>
                <w:sz w:val="21"/>
                <w:szCs w:val="21"/>
                <w:highlight w:val="none"/>
                <w:lang w:val="en-US" w:eastAsia="zh-CN"/>
              </w:rPr>
              <w:t>t/d，</w:t>
            </w:r>
            <w:r>
              <w:rPr>
                <w:rFonts w:hint="eastAsia" w:cs="Times New Roman"/>
                <w:color w:val="auto"/>
                <w:sz w:val="21"/>
                <w:szCs w:val="21"/>
                <w:highlight w:val="none"/>
                <w:lang w:val="en-US" w:eastAsia="zh-CN"/>
              </w:rPr>
              <w:t>1356</w:t>
            </w:r>
            <w:r>
              <w:rPr>
                <w:rFonts w:hint="default" w:ascii="Times New Roman" w:hAnsi="Times New Roman" w:cs="Times New Roman"/>
                <w:color w:val="auto"/>
                <w:sz w:val="21"/>
                <w:szCs w:val="21"/>
                <w:highlight w:val="none"/>
                <w:lang w:val="en-US" w:eastAsia="zh-CN"/>
              </w:rPr>
              <w:t>t/a。</w:t>
            </w:r>
            <w:r>
              <w:rPr>
                <w:rFonts w:hint="default" w:ascii="Times New Roman" w:hAnsi="Times New Roman" w:cs="Times New Roman"/>
                <w:color w:val="auto"/>
                <w:sz w:val="21"/>
                <w:szCs w:val="21"/>
                <w:highlight w:val="none"/>
              </w:rPr>
              <w:t>生活污水排入厂区化粪池</w:t>
            </w:r>
            <w:r>
              <w:rPr>
                <w:rFonts w:hint="default" w:ascii="Times New Roman" w:hAnsi="Times New Roman" w:cs="Times New Roman"/>
                <w:color w:val="auto"/>
                <w:sz w:val="21"/>
                <w:szCs w:val="21"/>
                <w:highlight w:val="none"/>
                <w:lang w:val="en-US" w:eastAsia="zh-CN"/>
              </w:rPr>
              <w:t>后</w:t>
            </w:r>
            <w:r>
              <w:rPr>
                <w:rFonts w:hint="eastAsia" w:cs="Times New Roman"/>
                <w:color w:val="auto"/>
                <w:sz w:val="21"/>
                <w:szCs w:val="21"/>
                <w:highlight w:val="none"/>
                <w:lang w:val="en-US" w:eastAsia="zh-CN"/>
              </w:rPr>
              <w:t>经</w:t>
            </w:r>
            <w:r>
              <w:rPr>
                <w:rFonts w:hint="default" w:ascii="Times New Roman" w:hAnsi="Times New Roman" w:cs="Times New Roman"/>
                <w:color w:val="auto"/>
                <w:sz w:val="21"/>
                <w:szCs w:val="21"/>
                <w:highlight w:val="none"/>
              </w:rPr>
              <w:t>园区污水管网</w:t>
            </w:r>
            <w:r>
              <w:rPr>
                <w:rFonts w:hint="default" w:ascii="Times New Roman" w:hAnsi="Times New Roman" w:cs="Times New Roman"/>
                <w:color w:val="auto"/>
                <w:sz w:val="21"/>
                <w:szCs w:val="21"/>
                <w:highlight w:val="none"/>
                <w:lang w:val="en-US" w:eastAsia="zh-CN"/>
              </w:rPr>
              <w:t>排入铁力市</w:t>
            </w:r>
            <w:r>
              <w:rPr>
                <w:rFonts w:hint="eastAsia" w:cs="Times New Roman"/>
                <w:color w:val="auto"/>
                <w:sz w:val="21"/>
                <w:szCs w:val="21"/>
                <w:highlight w:val="none"/>
                <w:lang w:val="en-US" w:eastAsia="zh-CN"/>
              </w:rPr>
              <w:t>依吉</w:t>
            </w:r>
            <w:r>
              <w:rPr>
                <w:rFonts w:hint="default" w:ascii="Times New Roman" w:hAnsi="Times New Roman" w:cs="Times New Roman"/>
                <w:color w:val="auto"/>
                <w:sz w:val="21"/>
                <w:szCs w:val="21"/>
                <w:highlight w:val="none"/>
                <w:lang w:val="en-US" w:eastAsia="zh-CN"/>
              </w:rPr>
              <w:t>污水处理厂深度处理。</w:t>
            </w:r>
          </w:p>
          <w:p w14:paraId="4249CC88">
            <w:pPr>
              <w:adjustRightInd w:val="0"/>
              <w:snapToGrid w:val="0"/>
              <w:spacing w:line="460" w:lineRule="exact"/>
              <w:ind w:firstLine="420" w:firstLineChars="200"/>
              <w:rPr>
                <w:rFonts w:hint="default" w:ascii="Times New Roman" w:hAnsi="Times New Roman" w:eastAsia="宋体" w:cs="Times New Roman"/>
                <w:color w:val="auto"/>
                <w:szCs w:val="21"/>
                <w:highlight w:val="none"/>
              </w:rPr>
            </w:pPr>
            <w:r>
              <w:rPr>
                <w:rFonts w:hint="eastAsia" w:cs="Times New Roman"/>
                <w:color w:val="auto"/>
                <w:highlight w:val="none"/>
                <w:lang w:val="en-US" w:eastAsia="zh-CN"/>
              </w:rPr>
              <w:t>2</w:t>
            </w:r>
            <w:r>
              <w:rPr>
                <w:rFonts w:hint="eastAsia" w:cs="Times New Roman"/>
                <w:color w:val="auto"/>
                <w:highlight w:val="none"/>
                <w:lang w:eastAsia="zh-CN"/>
              </w:rPr>
              <w:t>）</w:t>
            </w:r>
            <w:r>
              <w:rPr>
                <w:rFonts w:hint="default" w:ascii="Times New Roman" w:hAnsi="Times New Roman" w:eastAsia="宋体" w:cs="Times New Roman"/>
                <w:color w:val="auto"/>
                <w:szCs w:val="21"/>
                <w:highlight w:val="none"/>
              </w:rPr>
              <w:t>制浆</w:t>
            </w:r>
            <w:r>
              <w:rPr>
                <w:rFonts w:hint="eastAsia" w:ascii="Times New Roman" w:hAnsi="Times New Roman" w:eastAsia="宋体" w:cs="Times New Roman"/>
                <w:color w:val="auto"/>
                <w:szCs w:val="21"/>
                <w:highlight w:val="none"/>
                <w:lang w:val="en-US" w:eastAsia="zh-CN"/>
              </w:rPr>
              <w:t>排</w:t>
            </w:r>
            <w:r>
              <w:rPr>
                <w:rFonts w:hint="default" w:ascii="Times New Roman" w:hAnsi="Times New Roman" w:eastAsia="宋体" w:cs="Times New Roman"/>
                <w:color w:val="auto"/>
                <w:szCs w:val="21"/>
                <w:highlight w:val="none"/>
              </w:rPr>
              <w:t>水：</w:t>
            </w:r>
            <w:r>
              <w:rPr>
                <w:rFonts w:hint="eastAsia" w:ascii="Times New Roman" w:hAnsi="Times New Roman" w:eastAsia="宋体" w:cs="Times New Roman"/>
                <w:color w:val="auto"/>
                <w:szCs w:val="21"/>
                <w:highlight w:val="none"/>
                <w:lang w:val="en-US" w:eastAsia="zh-CN"/>
              </w:rPr>
              <w:t>项目制浆</w:t>
            </w:r>
            <w:r>
              <w:rPr>
                <w:rFonts w:hint="default" w:ascii="Times New Roman" w:hAnsi="Times New Roman" w:eastAsia="宋体" w:cs="Times New Roman"/>
                <w:color w:val="auto"/>
                <w:szCs w:val="21"/>
                <w:highlight w:val="none"/>
              </w:rPr>
              <w:t>用水量为</w:t>
            </w:r>
            <w:r>
              <w:rPr>
                <w:rFonts w:hint="eastAsia" w:cs="Times New Roman"/>
                <w:color w:val="auto"/>
                <w:szCs w:val="21"/>
                <w:highlight w:val="none"/>
                <w:lang w:val="en-US" w:eastAsia="zh-CN"/>
              </w:rPr>
              <w:t>88.75</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/d</w:t>
            </w:r>
            <w:r>
              <w:rPr>
                <w:rFonts w:hint="default" w:ascii="Times New Roman" w:hAnsi="Times New Roman" w:eastAsia="宋体" w:cs="Times New Roman"/>
                <w:color w:val="auto"/>
                <w:szCs w:val="21"/>
                <w:highlight w:val="none"/>
                <w:lang w:eastAsia="zh-CN"/>
              </w:rPr>
              <w:t>，</w:t>
            </w:r>
            <w:r>
              <w:rPr>
                <w:rFonts w:hint="eastAsia" w:cs="Times New Roman"/>
                <w:color w:val="auto"/>
                <w:szCs w:val="21"/>
                <w:highlight w:val="none"/>
                <w:lang w:val="en-US" w:eastAsia="zh-CN"/>
              </w:rPr>
              <w:t>26625</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/a。制浆用水中，约25%～35%为化合水，留存于制品中</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rPr>
              <w:t>60%～75%为游离水，在蒸压釜内随蒸汽冷凝，以冷凝水形式排出，</w:t>
            </w:r>
            <w:r>
              <w:rPr>
                <w:rFonts w:hint="eastAsia" w:ascii="Times New Roman" w:hAnsi="Times New Roman" w:eastAsia="宋体" w:cs="Times New Roman"/>
                <w:color w:val="auto"/>
                <w:szCs w:val="21"/>
                <w:highlight w:val="none"/>
                <w:lang w:val="en-US" w:eastAsia="zh-CN"/>
              </w:rPr>
              <w:t>以冷凝水形式排出的水</w:t>
            </w:r>
            <w:r>
              <w:rPr>
                <w:rFonts w:hint="default" w:ascii="Times New Roman" w:hAnsi="Times New Roman" w:eastAsia="宋体" w:cs="Times New Roman"/>
                <w:color w:val="auto"/>
                <w:szCs w:val="21"/>
                <w:highlight w:val="none"/>
              </w:rPr>
              <w:t>占比约65%。</w:t>
            </w:r>
            <w:r>
              <w:rPr>
                <w:rFonts w:hint="eastAsia" w:ascii="Times New Roman" w:hAnsi="Times New Roman" w:eastAsia="宋体" w:cs="Times New Roman"/>
                <w:color w:val="auto"/>
                <w:szCs w:val="21"/>
                <w:highlight w:val="none"/>
                <w:lang w:val="en-US" w:eastAsia="zh-CN"/>
              </w:rPr>
              <w:t>则排</w:t>
            </w:r>
            <w:r>
              <w:rPr>
                <w:rFonts w:hint="default" w:ascii="Times New Roman" w:hAnsi="Times New Roman" w:eastAsia="宋体" w:cs="Times New Roman"/>
                <w:color w:val="auto"/>
                <w:szCs w:val="21"/>
                <w:highlight w:val="none"/>
              </w:rPr>
              <w:t>水量为</w:t>
            </w:r>
            <w:r>
              <w:rPr>
                <w:rFonts w:hint="eastAsia" w:cs="Times New Roman"/>
                <w:color w:val="auto"/>
                <w:szCs w:val="21"/>
                <w:highlight w:val="none"/>
                <w:lang w:val="en-US" w:eastAsia="zh-CN"/>
              </w:rPr>
              <w:t>57.69</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/d</w:t>
            </w:r>
            <w:r>
              <w:rPr>
                <w:rFonts w:hint="default" w:ascii="Times New Roman" w:hAnsi="Times New Roman" w:eastAsia="宋体" w:cs="Times New Roman"/>
                <w:color w:val="auto"/>
                <w:szCs w:val="21"/>
                <w:highlight w:val="none"/>
                <w:lang w:eastAsia="zh-CN"/>
              </w:rPr>
              <w:t>，</w:t>
            </w:r>
            <w:r>
              <w:rPr>
                <w:rFonts w:hint="eastAsia" w:cs="Times New Roman"/>
                <w:color w:val="auto"/>
                <w:szCs w:val="21"/>
                <w:highlight w:val="none"/>
                <w:lang w:val="en-US" w:eastAsia="zh-CN"/>
              </w:rPr>
              <w:t>17306.25</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/a。</w:t>
            </w:r>
          </w:p>
          <w:p w14:paraId="21805396">
            <w:pPr>
              <w:adjustRightInd w:val="0"/>
              <w:snapToGrid w:val="0"/>
              <w:spacing w:line="460" w:lineRule="exact"/>
              <w:ind w:firstLine="420" w:firstLineChars="200"/>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3</w:t>
            </w:r>
            <w:r>
              <w:rPr>
                <w:rFonts w:hint="default" w:ascii="Times New Roman" w:hAnsi="Times New Roman" w:eastAsia="宋体" w:cs="Times New Roman"/>
                <w:color w:val="auto"/>
                <w:szCs w:val="21"/>
                <w:highlight w:val="none"/>
              </w:rPr>
              <w:t>）设备清洗</w:t>
            </w:r>
            <w:r>
              <w:rPr>
                <w:rFonts w:hint="eastAsia" w:ascii="Times New Roman" w:hAnsi="Times New Roman" w:eastAsia="宋体" w:cs="Times New Roman"/>
                <w:color w:val="auto"/>
                <w:szCs w:val="21"/>
                <w:highlight w:val="none"/>
                <w:lang w:val="en-US" w:eastAsia="zh-CN"/>
              </w:rPr>
              <w:t>废</w:t>
            </w:r>
            <w:r>
              <w:rPr>
                <w:rFonts w:hint="default" w:ascii="Times New Roman" w:hAnsi="Times New Roman" w:eastAsia="宋体" w:cs="Times New Roman"/>
                <w:color w:val="auto"/>
                <w:szCs w:val="21"/>
                <w:highlight w:val="none"/>
              </w:rPr>
              <w:t>水：设备冲洗</w:t>
            </w:r>
            <w:r>
              <w:rPr>
                <w:rFonts w:hint="default" w:ascii="Times New Roman" w:hAnsi="Times New Roman" w:eastAsia="宋体" w:cs="Times New Roman"/>
                <w:color w:val="auto"/>
                <w:szCs w:val="21"/>
                <w:highlight w:val="none"/>
                <w:lang w:val="en-US" w:eastAsia="zh-CN"/>
              </w:rPr>
              <w:t>排水量按用水量80%计</w:t>
            </w:r>
            <w:r>
              <w:rPr>
                <w:rFonts w:hint="default" w:ascii="Times New Roman" w:hAnsi="Times New Roman" w:eastAsia="宋体" w:cs="Times New Roman"/>
                <w:color w:val="auto"/>
                <w:szCs w:val="21"/>
                <w:highlight w:val="none"/>
              </w:rPr>
              <w:t>，则设备清洗废水产生量为0.</w:t>
            </w:r>
            <w:r>
              <w:rPr>
                <w:rFonts w:hint="default"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/d</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80</w:t>
            </w: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/a。设备清洗废水经</w:t>
            </w:r>
            <w:r>
              <w:rPr>
                <w:rFonts w:hint="default" w:ascii="Times New Roman" w:hAnsi="Times New Roman" w:eastAsia="宋体" w:cs="Times New Roman"/>
                <w:color w:val="auto"/>
                <w:szCs w:val="21"/>
                <w:highlight w:val="none"/>
                <w:lang w:val="en-US" w:eastAsia="zh-CN"/>
              </w:rPr>
              <w:t>1</w:t>
            </w:r>
            <w:r>
              <w:rPr>
                <w:rFonts w:hint="default" w:ascii="Times New Roman" w:hAnsi="Times New Roman" w:eastAsia="宋体" w:cs="Times New Roman"/>
                <w:color w:val="auto"/>
                <w:szCs w:val="21"/>
                <w:highlight w:val="none"/>
              </w:rPr>
              <w:t>0m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沉淀池沉淀后，再由水泵抽入废浆</w:t>
            </w:r>
            <w:r>
              <w:rPr>
                <w:rFonts w:hint="eastAsia" w:cs="Times New Roman"/>
                <w:color w:val="auto"/>
                <w:szCs w:val="21"/>
                <w:highlight w:val="none"/>
                <w:lang w:eastAsia="zh-CN"/>
              </w:rPr>
              <w:t>池内</w:t>
            </w:r>
            <w:r>
              <w:rPr>
                <w:rFonts w:hint="default" w:ascii="Times New Roman" w:hAnsi="Times New Roman" w:eastAsia="宋体" w:cs="Times New Roman"/>
                <w:color w:val="auto"/>
                <w:szCs w:val="21"/>
                <w:highlight w:val="none"/>
              </w:rPr>
              <w:t>，最后回用于制浆用水，不外排。</w:t>
            </w:r>
          </w:p>
          <w:p w14:paraId="1E5D3C0C">
            <w:pPr>
              <w:adjustRightInd w:val="0"/>
              <w:snapToGrid w:val="0"/>
              <w:spacing w:line="460" w:lineRule="exact"/>
              <w:ind w:firstLine="420" w:firstLineChars="200"/>
              <w:rPr>
                <w:rFonts w:hint="default"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val="en-US" w:eastAsia="zh-CN"/>
              </w:rPr>
              <w:t>4</w:t>
            </w:r>
            <w:r>
              <w:rPr>
                <w:rFonts w:hint="default" w:ascii="Times New Roman" w:hAnsi="Times New Roman" w:eastAsia="宋体" w:cs="Times New Roman"/>
                <w:color w:val="auto"/>
                <w:szCs w:val="21"/>
                <w:highlight w:val="none"/>
              </w:rPr>
              <w:t>）蒸压釜冷凝水</w:t>
            </w:r>
          </w:p>
          <w:p w14:paraId="2F24FFD6">
            <w:pPr>
              <w:adjustRightInd w:val="0"/>
              <w:snapToGrid w:val="0"/>
              <w:spacing w:line="460" w:lineRule="exact"/>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项目每天需蒸汽量约为</w:t>
            </w:r>
            <w:r>
              <w:rPr>
                <w:rFonts w:hint="default" w:ascii="Times New Roman" w:hAnsi="Times New Roman" w:eastAsia="宋体" w:cs="Times New Roman"/>
                <w:color w:val="auto"/>
                <w:sz w:val="21"/>
                <w:szCs w:val="21"/>
                <w:highlight w:val="none"/>
                <w:lang w:val="en-US" w:eastAsia="zh-CN"/>
              </w:rPr>
              <w:t>250</w:t>
            </w:r>
            <w:r>
              <w:rPr>
                <w:rFonts w:hint="default" w:ascii="Times New Roman" w:hAnsi="Times New Roman" w:eastAsia="宋体" w:cs="Times New Roman"/>
                <w:color w:val="auto"/>
                <w:sz w:val="21"/>
                <w:szCs w:val="21"/>
                <w:highlight w:val="none"/>
              </w:rPr>
              <w:t>t，在蒸压养护及静停养护过程中会有部分蒸汽耗散，冷凝收集过程中也有部分蒸汽损耗，损耗约为30%，则蒸压釜冷凝水量约为</w:t>
            </w:r>
            <w:r>
              <w:rPr>
                <w:rFonts w:hint="default" w:ascii="Times New Roman" w:hAnsi="Times New Roman" w:eastAsia="宋体" w:cs="Times New Roman"/>
                <w:color w:val="auto"/>
                <w:sz w:val="21"/>
                <w:szCs w:val="21"/>
                <w:highlight w:val="none"/>
                <w:lang w:val="en-US" w:eastAsia="zh-CN"/>
              </w:rPr>
              <w:t>175</w:t>
            </w:r>
            <w:r>
              <w:rPr>
                <w:rFonts w:hint="eastAsia"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/d，蒸压釜冷凝水经沉淀池沉淀后，再由水泵抽入废浆</w:t>
            </w:r>
            <w:r>
              <w:rPr>
                <w:rFonts w:hint="eastAsia" w:cs="Times New Roman"/>
                <w:color w:val="auto"/>
                <w:szCs w:val="21"/>
                <w:highlight w:val="none"/>
                <w:lang w:eastAsia="zh-CN"/>
              </w:rPr>
              <w:t>池内</w:t>
            </w:r>
            <w:r>
              <w:rPr>
                <w:rFonts w:hint="default" w:ascii="Times New Roman" w:hAnsi="Times New Roman" w:eastAsia="宋体" w:cs="Times New Roman"/>
                <w:color w:val="auto"/>
                <w:sz w:val="21"/>
                <w:szCs w:val="21"/>
                <w:highlight w:val="none"/>
              </w:rPr>
              <w:t>，最后回用于制浆用水，不外排。</w:t>
            </w:r>
          </w:p>
          <w:p w14:paraId="5479ACE5">
            <w:pPr>
              <w:adjustRightInd w:val="0"/>
              <w:snapToGrid w:val="0"/>
              <w:spacing w:line="460" w:lineRule="exact"/>
              <w:ind w:firstLine="420" w:firstLineChars="200"/>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）锅炉软水制备</w:t>
            </w:r>
            <w:r>
              <w:rPr>
                <w:rFonts w:hint="eastAsia" w:ascii="Times New Roman" w:hAnsi="Times New Roman" w:eastAsia="宋体"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rPr>
              <w:t>水</w:t>
            </w:r>
            <w:r>
              <w:rPr>
                <w:rFonts w:hint="eastAsia" w:ascii="Times New Roman" w:hAnsi="Times New Roman" w:eastAsia="宋体" w:cs="Times New Roman"/>
                <w:color w:val="auto"/>
                <w:sz w:val="21"/>
                <w:szCs w:val="21"/>
                <w:highlight w:val="none"/>
                <w:lang w:val="en-US" w:eastAsia="zh-CN"/>
              </w:rPr>
              <w:t>及锅炉排污水</w:t>
            </w:r>
          </w:p>
          <w:p w14:paraId="1161E5A9">
            <w:pPr>
              <w:adjustRightInd w:val="0"/>
              <w:snapToGrid w:val="0"/>
              <w:spacing w:line="460" w:lineRule="exact"/>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锅炉软水制备废水及锅炉排污水根据《排放源统计调查产排污核算方法和系数手册》工业锅炉（热力生产和供应行业）产排污系数，生物质蒸汽锅炉排污水＋软化处理废水产污系数为0.356吨/吨－原料，本项目燃烧</w:t>
            </w:r>
            <w:r>
              <w:rPr>
                <w:rFonts w:hint="eastAsia" w:cs="Times New Roman"/>
                <w:color w:val="auto"/>
                <w:sz w:val="21"/>
                <w:szCs w:val="21"/>
                <w:highlight w:val="none"/>
                <w:lang w:val="en-US" w:eastAsia="zh-CN"/>
              </w:rPr>
              <w:t>生物质颗粒</w:t>
            </w:r>
            <w:r>
              <w:rPr>
                <w:rFonts w:hint="default" w:ascii="Times New Roman" w:hAnsi="Times New Roman" w:cs="Times New Roman"/>
                <w:color w:val="auto"/>
                <w:sz w:val="21"/>
                <w:szCs w:val="21"/>
                <w:highlight w:val="none"/>
                <w:lang w:val="en-US" w:eastAsia="zh-CN"/>
              </w:rPr>
              <w:t>量总量1</w:t>
            </w:r>
            <w:r>
              <w:rPr>
                <w:rFonts w:hint="eastAsia" w:cs="Times New Roman"/>
                <w:color w:val="auto"/>
                <w:sz w:val="21"/>
                <w:szCs w:val="21"/>
                <w:highlight w:val="none"/>
                <w:lang w:val="en-US" w:eastAsia="zh-CN"/>
              </w:rPr>
              <w:t>1904</w:t>
            </w:r>
            <w:r>
              <w:rPr>
                <w:rFonts w:hint="default" w:ascii="Times New Roman" w:hAnsi="Times New Roman" w:cs="Times New Roman"/>
                <w:color w:val="auto"/>
                <w:sz w:val="21"/>
                <w:szCs w:val="21"/>
                <w:highlight w:val="none"/>
                <w:lang w:val="en-US" w:eastAsia="zh-CN"/>
              </w:rPr>
              <w:t>t/a，则锅炉排污水及软化处理废水总量为1</w:t>
            </w:r>
            <w:r>
              <w:rPr>
                <w:rFonts w:hint="eastAsia" w:cs="Times New Roman"/>
                <w:color w:val="auto"/>
                <w:sz w:val="21"/>
                <w:szCs w:val="21"/>
                <w:highlight w:val="none"/>
                <w:lang w:val="en-US" w:eastAsia="zh-CN"/>
              </w:rPr>
              <w:t>4.13</w:t>
            </w:r>
            <w:r>
              <w:rPr>
                <w:rFonts w:hint="default" w:ascii="Times New Roman" w:hAnsi="Times New Roman" w:cs="Times New Roman"/>
                <w:color w:val="auto"/>
                <w:sz w:val="21"/>
                <w:szCs w:val="21"/>
                <w:highlight w:val="none"/>
                <w:lang w:val="en-US" w:eastAsia="zh-CN"/>
              </w:rPr>
              <w:t>t/d，4</w:t>
            </w:r>
            <w:r>
              <w:rPr>
                <w:rFonts w:hint="eastAsia" w:cs="Times New Roman"/>
                <w:color w:val="auto"/>
                <w:sz w:val="21"/>
                <w:szCs w:val="21"/>
                <w:highlight w:val="none"/>
                <w:lang w:val="en-US" w:eastAsia="zh-CN"/>
              </w:rPr>
              <w:t>237.824</w:t>
            </w:r>
            <w:r>
              <w:rPr>
                <w:rFonts w:hint="default" w:ascii="Times New Roman" w:hAnsi="Times New Roman" w:cs="Times New Roman"/>
                <w:color w:val="auto"/>
                <w:sz w:val="21"/>
                <w:szCs w:val="21"/>
                <w:highlight w:val="none"/>
                <w:lang w:val="en-US" w:eastAsia="zh-CN"/>
              </w:rPr>
              <w:t>t/a。锅炉排污水及软化处理废水夏季用于锅炉房及厂区内洒水降尘，不外排。冬季进入沉淀池，再由水泵抽入废浆</w:t>
            </w:r>
            <w:r>
              <w:rPr>
                <w:rFonts w:hint="eastAsia" w:cs="Times New Roman"/>
                <w:color w:val="auto"/>
                <w:szCs w:val="21"/>
                <w:highlight w:val="none"/>
                <w:lang w:eastAsia="zh-CN"/>
              </w:rPr>
              <w:t>池内</w:t>
            </w:r>
            <w:r>
              <w:rPr>
                <w:rFonts w:hint="default" w:ascii="Times New Roman" w:hAnsi="Times New Roman" w:cs="Times New Roman"/>
                <w:color w:val="auto"/>
                <w:sz w:val="21"/>
                <w:szCs w:val="21"/>
                <w:highlight w:val="none"/>
                <w:lang w:val="en-US" w:eastAsia="zh-CN"/>
              </w:rPr>
              <w:t>，最后回用于制浆用水，不外排。</w:t>
            </w:r>
          </w:p>
          <w:p w14:paraId="584D9EC7">
            <w:pPr>
              <w:adjustRightInd w:val="0"/>
              <w:snapToGrid w:val="0"/>
              <w:spacing w:line="460" w:lineRule="exact"/>
              <w:ind w:firstLine="420" w:firstLineChars="200"/>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）钢筋防锈浸泡</w:t>
            </w:r>
            <w:r>
              <w:rPr>
                <w:rFonts w:hint="eastAsia" w:ascii="Times New Roman" w:hAnsi="Times New Roman" w:eastAsia="宋体"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rPr>
              <w:t>水</w:t>
            </w:r>
          </w:p>
          <w:p w14:paraId="58DA04FD">
            <w:pPr>
              <w:adjustRightInd w:val="0"/>
              <w:snapToGrid w:val="0"/>
              <w:spacing w:line="460" w:lineRule="exact"/>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本项目钢筋采用防腐剂浸泡防锈，防腐剂失去药性后产生浸泡废水，根据建设单位提供资料，防腐剂用量约为</w:t>
            </w:r>
            <w:r>
              <w:rPr>
                <w:rFonts w:hint="default" w:ascii="Times New Roman" w:hAnsi="Times New Roman" w:eastAsia="宋体" w:cs="Times New Roman"/>
                <w:color w:val="auto"/>
                <w:sz w:val="21"/>
                <w:szCs w:val="21"/>
                <w:highlight w:val="none"/>
                <w:lang w:val="en-US" w:eastAsia="zh-CN"/>
              </w:rPr>
              <w:t>328.05</w:t>
            </w:r>
            <w:r>
              <w:rPr>
                <w:rFonts w:hint="default" w:ascii="Times New Roman" w:hAnsi="Times New Roman" w:eastAsia="宋体" w:cs="Times New Roman"/>
                <w:color w:val="auto"/>
                <w:sz w:val="21"/>
                <w:szCs w:val="21"/>
                <w:highlight w:val="none"/>
              </w:rPr>
              <w:t>t/a，兑水比例为5:1，则钢筋浸泡用水量约为</w:t>
            </w:r>
            <w:r>
              <w:rPr>
                <w:rFonts w:hint="default" w:ascii="Times New Roman" w:hAnsi="Times New Roman" w:eastAsia="宋体" w:cs="Times New Roman"/>
                <w:color w:val="auto"/>
                <w:sz w:val="21"/>
                <w:szCs w:val="21"/>
                <w:highlight w:val="none"/>
                <w:lang w:val="en-US" w:eastAsia="zh-CN"/>
              </w:rPr>
              <w:t>65.61</w:t>
            </w:r>
            <w:r>
              <w:rPr>
                <w:rFonts w:hint="default" w:ascii="Times New Roman" w:hAnsi="Times New Roman" w:eastAsia="宋体" w:cs="Times New Roman"/>
                <w:color w:val="auto"/>
                <w:sz w:val="21"/>
                <w:szCs w:val="21"/>
                <w:highlight w:val="none"/>
              </w:rPr>
              <w:t>t/a，浸泡损耗约为30%，则浸泡废水产生量为0.</w:t>
            </w:r>
            <w:r>
              <w:rPr>
                <w:rFonts w:hint="eastAsia" w:cs="Times New Roman"/>
                <w:color w:val="auto"/>
                <w:sz w:val="21"/>
                <w:szCs w:val="21"/>
                <w:highlight w:val="none"/>
                <w:lang w:val="en-US" w:eastAsia="zh-CN"/>
              </w:rPr>
              <w:t>154</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lang w:val="en-US" w:eastAsia="zh-CN"/>
              </w:rPr>
              <w:t>45.927</w:t>
            </w:r>
            <w:r>
              <w:rPr>
                <w:rFonts w:hint="default" w:ascii="Times New Roman" w:hAnsi="Times New Roman" w:eastAsia="宋体" w:cs="Times New Roman"/>
                <w:color w:val="auto"/>
                <w:sz w:val="21"/>
                <w:szCs w:val="21"/>
                <w:highlight w:val="none"/>
              </w:rPr>
              <w:t>t/a，该废水属于危险废物，采用耐腐蚀的容器收集后，暂存于危废暂存间定期交由资质单位进处置，不外排。</w:t>
            </w:r>
          </w:p>
          <w:p w14:paraId="5BB02ED8">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）切割工序</w:t>
            </w:r>
            <w:r>
              <w:rPr>
                <w:rFonts w:hint="eastAsia" w:ascii="Times New Roman" w:hAnsi="Times New Roman" w:eastAsia="宋体" w:cs="Times New Roman"/>
                <w:color w:val="auto"/>
                <w:sz w:val="21"/>
                <w:szCs w:val="21"/>
                <w:highlight w:val="none"/>
                <w:lang w:val="en-US" w:eastAsia="zh-CN"/>
              </w:rPr>
              <w:t>废</w:t>
            </w:r>
            <w:r>
              <w:rPr>
                <w:rFonts w:hint="default" w:ascii="Times New Roman" w:hAnsi="Times New Roman" w:eastAsia="宋体" w:cs="Times New Roman"/>
                <w:color w:val="auto"/>
                <w:sz w:val="21"/>
                <w:szCs w:val="21"/>
                <w:highlight w:val="none"/>
              </w:rPr>
              <w:t>水</w:t>
            </w:r>
          </w:p>
          <w:p w14:paraId="7B8CF86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sz w:val="21"/>
                <w:szCs w:val="21"/>
                <w:highlight w:val="none"/>
              </w:rPr>
              <w:t>本项目生产时，需对成品进行切割，切割为湿法切割，项目切割用水量约为0.5m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r>
              <w:rPr>
                <w:rFonts w:hint="eastAsia" w:cs="Times New Roman"/>
                <w:color w:val="auto"/>
                <w:sz w:val="21"/>
                <w:szCs w:val="21"/>
                <w:highlight w:val="none"/>
                <w:lang w:val="en-US" w:eastAsia="zh-CN"/>
              </w:rPr>
              <w:t>150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a</w:t>
            </w:r>
            <w:r>
              <w:rPr>
                <w:rFonts w:hint="default" w:ascii="Times New Roman" w:hAnsi="Times New Roman" w:eastAsia="宋体" w:cs="Times New Roman"/>
                <w:color w:val="auto"/>
                <w:sz w:val="21"/>
                <w:szCs w:val="21"/>
                <w:highlight w:val="none"/>
              </w:rPr>
              <w:t>。污水产生系数取0.7，则切割废水量为0.35m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/d</w:t>
            </w:r>
            <w:r>
              <w:rPr>
                <w:rFonts w:hint="eastAsia"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105</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a</w:t>
            </w:r>
            <w:r>
              <w:rPr>
                <w:rFonts w:hint="default" w:ascii="Times New Roman" w:hAnsi="Times New Roman" w:eastAsia="宋体" w:cs="Times New Roman"/>
                <w:color w:val="auto"/>
                <w:sz w:val="21"/>
                <w:szCs w:val="21"/>
                <w:highlight w:val="none"/>
              </w:rPr>
              <w:t>。切割废水进入沉淀池，再由水泵抽入废浆</w:t>
            </w:r>
            <w:r>
              <w:rPr>
                <w:rFonts w:hint="eastAsia" w:cs="Times New Roman"/>
                <w:color w:val="auto"/>
                <w:szCs w:val="21"/>
                <w:highlight w:val="none"/>
                <w:lang w:eastAsia="zh-CN"/>
              </w:rPr>
              <w:t>池内</w:t>
            </w:r>
            <w:r>
              <w:rPr>
                <w:rFonts w:hint="default" w:ascii="Times New Roman" w:hAnsi="Times New Roman" w:eastAsia="宋体" w:cs="Times New Roman"/>
                <w:color w:val="auto"/>
                <w:sz w:val="21"/>
                <w:szCs w:val="21"/>
                <w:highlight w:val="none"/>
              </w:rPr>
              <w:t>，最后回用于制浆用水，不外排。</w:t>
            </w:r>
          </w:p>
          <w:p w14:paraId="0E30C92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生产过程中产生的废浆、废水均汇</w:t>
            </w:r>
            <w:r>
              <w:rPr>
                <w:rFonts w:hint="default" w:ascii="Times New Roman" w:hAnsi="Times New Roman" w:cs="Times New Roman"/>
                <w:color w:val="auto"/>
                <w:sz w:val="21"/>
                <w:szCs w:val="21"/>
                <w:highlight w:val="none"/>
              </w:rPr>
              <w:t>入</w:t>
            </w:r>
            <w:r>
              <w:rPr>
                <w:rFonts w:hint="eastAsia" w:cs="Times New Roman"/>
                <w:color w:val="auto"/>
                <w:sz w:val="21"/>
                <w:szCs w:val="21"/>
                <w:highlight w:val="none"/>
                <w:lang w:val="en-US" w:eastAsia="zh-CN"/>
              </w:rPr>
              <w:t>3</w:t>
            </w:r>
            <w:r>
              <w:rPr>
                <w:rFonts w:hint="eastAsia" w:eastAsia="宋体" w:cs="Times New Roman"/>
                <w:color w:val="auto"/>
                <w:sz w:val="21"/>
                <w:szCs w:val="21"/>
                <w:highlight w:val="none"/>
                <w:lang w:val="en-US" w:eastAsia="zh-CN"/>
              </w:rPr>
              <w:t>00m</w:t>
            </w:r>
            <w:r>
              <w:rPr>
                <w:rFonts w:hint="eastAsia"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rPr>
              <w:t>废浆池</w:t>
            </w:r>
            <w:r>
              <w:rPr>
                <w:rFonts w:hint="default" w:ascii="Times New Roman" w:hAnsi="Times New Roman" w:cs="Times New Roman"/>
                <w:color w:val="auto"/>
                <w:highlight w:val="none"/>
              </w:rPr>
              <w:t>，然后用泵打入切割机下废浆搅拌</w:t>
            </w:r>
            <w:r>
              <w:rPr>
                <w:rFonts w:hint="default" w:ascii="Times New Roman" w:hAnsi="Times New Roman" w:cs="Times New Roman"/>
                <w:color w:val="auto"/>
                <w:sz w:val="21"/>
                <w:szCs w:val="21"/>
                <w:highlight w:val="none"/>
              </w:rPr>
              <w:t>池</w:t>
            </w:r>
            <w:r>
              <w:rPr>
                <w:rFonts w:hint="eastAsia" w:eastAsia="宋体" w:cs="Times New Roman"/>
                <w:color w:val="auto"/>
                <w:sz w:val="21"/>
                <w:szCs w:val="21"/>
                <w:highlight w:val="none"/>
                <w:lang w:val="en-US" w:eastAsia="zh-CN"/>
              </w:rPr>
              <w:t>200m</w:t>
            </w:r>
            <w:r>
              <w:rPr>
                <w:rFonts w:hint="eastAsia" w:eastAsia="宋体"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rPr>
              <w:t>作制</w:t>
            </w:r>
            <w:r>
              <w:rPr>
                <w:rFonts w:hint="default" w:ascii="Times New Roman" w:hAnsi="Times New Roman" w:cs="Times New Roman"/>
                <w:color w:val="auto"/>
                <w:highlight w:val="none"/>
              </w:rPr>
              <w:t>浆用水。锅炉排污水及软化处理废水夏季用于锅炉房及厂区内洒水降尘，不外排。冬季进入沉淀池，再由水泵抽入废浆储备罐，最后回用于制浆用水，不外排。项目沉淀池、废浆池、废浆液搅拌池均设置在车间内部，冬季不影响使用</w:t>
            </w:r>
            <w:r>
              <w:rPr>
                <w:rFonts w:hint="eastAsia" w:cs="Times New Roman"/>
                <w:color w:val="auto"/>
                <w:highlight w:val="none"/>
                <w:lang w:eastAsia="zh-CN"/>
              </w:rPr>
              <w:t>。</w:t>
            </w:r>
          </w:p>
          <w:p w14:paraId="700B1899">
            <w:pPr>
              <w:adjustRightInd w:val="0"/>
              <w:snapToGrid w:val="0"/>
              <w:spacing w:line="360" w:lineRule="auto"/>
              <w:ind w:firstLine="422" w:firstLineChars="200"/>
              <w:jc w:val="center"/>
              <w:rPr>
                <w:rFonts w:hint="eastAsia" w:cs="Times New Roman"/>
                <w:b/>
                <w:bCs/>
                <w:color w:val="auto"/>
                <w:highlight w:val="none"/>
                <w:lang w:eastAsia="zh-CN"/>
              </w:rPr>
            </w:pPr>
            <w:r>
              <w:rPr>
                <w:rFonts w:hint="eastAsia" w:cs="Times New Roman"/>
                <w:b/>
                <w:bCs/>
                <w:color w:val="auto"/>
                <w:highlight w:val="none"/>
                <w:lang w:eastAsia="zh-CN"/>
              </w:rPr>
              <w:object>
                <v:shape id="_x0000_i1025" o:spt="75" type="#_x0000_t75" style="height:377.5pt;width:311.8pt;" o:ole="t" filled="f" o:preferrelative="t" stroked="f" coordsize="21600,21600">
                  <v:path/>
                  <v:fill on="f" focussize="0,0"/>
                  <v:stroke on="f"/>
                  <v:imagedata r:id="rId13" o:title=""/>
                  <o:lock v:ext="edit" aspectratio="f"/>
                  <w10:wrap type="none"/>
                  <w10:anchorlock/>
                </v:shape>
                <o:OLEObject Type="Embed" ProgID="Visio.Drawing.11" ShapeID="_x0000_i1025" DrawAspect="Content" ObjectID="_1468075725" r:id="rId12">
                  <o:LockedField>false</o:LockedField>
                </o:OLEObject>
              </w:object>
            </w:r>
          </w:p>
          <w:p w14:paraId="51A9217C">
            <w:pPr>
              <w:adjustRightInd w:val="0"/>
              <w:snapToGrid w:val="0"/>
              <w:spacing w:line="360" w:lineRule="auto"/>
              <w:ind w:firstLine="422" w:firstLineChars="200"/>
              <w:jc w:val="center"/>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eastAsia="zh-CN"/>
              </w:rPr>
              <w:t>图</w:t>
            </w:r>
            <w:r>
              <w:rPr>
                <w:rFonts w:hint="eastAsia" w:cs="Times New Roman"/>
                <w:b/>
                <w:bCs/>
                <w:color w:val="auto"/>
                <w:highlight w:val="none"/>
                <w:lang w:val="en-US" w:eastAsia="zh-CN"/>
              </w:rPr>
              <w:t>2-1水平衡图 （t/d）</w:t>
            </w:r>
          </w:p>
          <w:p w14:paraId="7A298789">
            <w:pPr>
              <w:adjustRightInd w:val="0"/>
              <w:snapToGrid w:val="0"/>
              <w:spacing w:line="360" w:lineRule="auto"/>
              <w:ind w:firstLine="422" w:firstLineChars="20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初期雨水</w:t>
            </w:r>
            <w:r>
              <w:rPr>
                <w:rFonts w:hint="default" w:ascii="Times New Roman" w:hAnsi="Times New Roman" w:cs="Times New Roman"/>
                <w:b/>
                <w:bCs/>
                <w:color w:val="auto"/>
                <w:highlight w:val="none"/>
                <w:lang w:eastAsia="zh-CN"/>
              </w:rPr>
              <w:t>：</w:t>
            </w:r>
          </w:p>
          <w:p w14:paraId="505B0D35">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生产车间、库房均为封闭结构</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料仓均位于车间内，主要受污染区域为厂内转运区，</w:t>
            </w:r>
            <w:r>
              <w:rPr>
                <w:rFonts w:hint="default" w:ascii="Times New Roman" w:hAnsi="Times New Roman" w:cs="Times New Roman"/>
                <w:color w:val="auto"/>
                <w:highlight w:val="none"/>
              </w:rPr>
              <w:t>根据企业提供资料，该污染区面积约为</w:t>
            </w:r>
            <w:r>
              <w:rPr>
                <w:rFonts w:hint="default" w:ascii="Times New Roman" w:hAnsi="Times New Roman" w:cs="Times New Roman"/>
                <w:color w:val="auto"/>
                <w:highlight w:val="none"/>
                <w:lang w:val="en-US" w:eastAsia="zh-CN"/>
              </w:rPr>
              <w:t>30067.6</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p>
          <w:p w14:paraId="225B306C">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初期雨水的估算方法，以暴雨量的前15min雨量作为初期雨水量。本评价采用暴雨强度及雨水流量计算公式进行估算，计算公式如下：</w:t>
            </w:r>
          </w:p>
          <w:p w14:paraId="48C128BA">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V=q×ψ×F×t×60/1000</w:t>
            </w:r>
          </w:p>
          <w:p w14:paraId="5CF99859">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式中：</w:t>
            </w:r>
          </w:p>
          <w:p w14:paraId="2B0505AD">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t——降雨历时，min，取15；</w:t>
            </w:r>
          </w:p>
          <w:p w14:paraId="7DB91506">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F——汇水面积，hm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，本项目汇水面积</w:t>
            </w:r>
            <w:r>
              <w:rPr>
                <w:rFonts w:hint="default" w:ascii="Times New Roman" w:hAnsi="Times New Roman" w:cs="Times New Roman"/>
                <w:color w:val="auto"/>
                <w:highlight w:val="none"/>
                <w:lang w:val="en-US" w:eastAsia="zh-CN"/>
              </w:rPr>
              <w:t>3.0</w:t>
            </w:r>
            <w:r>
              <w:rPr>
                <w:rFonts w:hint="default" w:ascii="Times New Roman" w:hAnsi="Times New Roman" w:cs="Times New Roman"/>
                <w:color w:val="auto"/>
                <w:highlight w:val="none"/>
              </w:rPr>
              <w:t>；</w:t>
            </w:r>
          </w:p>
          <w:p w14:paraId="4844E5AD">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ψ——径流系数，取0.5；</w:t>
            </w:r>
          </w:p>
          <w:p w14:paraId="6B2F0406">
            <w:pPr>
              <w:adjustRightInd w:val="0"/>
              <w:snapToGrid w:val="0"/>
              <w:spacing w:line="360" w:lineRule="auto"/>
              <w:ind w:firstLine="42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q——设计暴雨强度，L/</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s·hm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lang w:eastAsia="zh-CN"/>
              </w:rPr>
              <w:t>）；</w:t>
            </w:r>
          </w:p>
          <w:p w14:paraId="5DF40345">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当地暴雨强度：q＝2889（1+0.9·lgP）/（t+10）</w:t>
            </w:r>
            <w:r>
              <w:rPr>
                <w:rFonts w:hint="default" w:ascii="Times New Roman" w:hAnsi="Times New Roman" w:cs="Times New Roman"/>
                <w:color w:val="auto"/>
                <w:highlight w:val="none"/>
                <w:vertAlign w:val="superscript"/>
              </w:rPr>
              <w:t>0.88</w:t>
            </w:r>
            <w:r>
              <w:rPr>
                <w:rFonts w:hint="default" w:ascii="Times New Roman" w:hAnsi="Times New Roman" w:cs="Times New Roman"/>
                <w:color w:val="auto"/>
                <w:highlight w:val="none"/>
              </w:rPr>
              <w:t>，其中P为设计重现期，取1a，t为降雨历时，取15min，计算可得q值为</w:t>
            </w:r>
            <w:r>
              <w:rPr>
                <w:rFonts w:hint="default" w:ascii="Times New Roman" w:hAnsi="Times New Roman" w:cs="Times New Roman"/>
                <w:color w:val="auto"/>
                <w:highlight w:val="none"/>
                <w:lang w:val="en-US" w:eastAsia="zh-CN"/>
              </w:rPr>
              <w:t>216.11</w:t>
            </w:r>
            <w:r>
              <w:rPr>
                <w:rFonts w:hint="default" w:ascii="Times New Roman" w:hAnsi="Times New Roman" w:cs="Times New Roman"/>
                <w:color w:val="auto"/>
                <w:highlight w:val="none"/>
              </w:rPr>
              <w:t>L/</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s·hm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53D4D198">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经以上公式计算得出厂区场地15min内收集的初期雨水量为</w:t>
            </w:r>
            <w:r>
              <w:rPr>
                <w:rFonts w:hint="default" w:ascii="Times New Roman" w:hAnsi="Times New Roman" w:cs="Times New Roman"/>
                <w:color w:val="auto"/>
                <w:highlight w:val="none"/>
                <w:lang w:val="en-US" w:eastAsia="zh-CN"/>
              </w:rPr>
              <w:t>145.87</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，则初期雨水经排水沟汇入新建</w:t>
            </w:r>
            <w:r>
              <w:rPr>
                <w:rFonts w:hint="default" w:ascii="Times New Roman" w:hAnsi="Times New Roman" w:cs="Times New Roman"/>
                <w:color w:val="auto"/>
                <w:highlight w:val="none"/>
                <w:lang w:val="en-US" w:eastAsia="zh-CN"/>
              </w:rPr>
              <w:t>200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lang w:eastAsia="zh-CN"/>
              </w:rPr>
              <w:t>收集池</w:t>
            </w:r>
            <w:r>
              <w:rPr>
                <w:rFonts w:hint="default" w:ascii="Times New Roman" w:hAnsi="Times New Roman" w:cs="Times New Roman"/>
                <w:color w:val="auto"/>
                <w:highlight w:val="none"/>
              </w:rPr>
              <w:t>内，雨水收集后用于</w:t>
            </w:r>
            <w:r>
              <w:rPr>
                <w:rFonts w:hint="default" w:ascii="Times New Roman" w:hAnsi="Times New Roman" w:cs="Times New Roman"/>
                <w:color w:val="auto"/>
                <w:highlight w:val="none"/>
                <w:lang w:eastAsia="zh-CN"/>
              </w:rPr>
              <w:t>厂内转运区抑尘</w:t>
            </w:r>
            <w:r>
              <w:rPr>
                <w:rFonts w:hint="default" w:ascii="Times New Roman" w:hAnsi="Times New Roman" w:cs="Times New Roman"/>
                <w:color w:val="auto"/>
                <w:highlight w:val="none"/>
              </w:rPr>
              <w:t>，不外排。</w:t>
            </w:r>
          </w:p>
          <w:p w14:paraId="010FC758">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（3）供电</w:t>
            </w:r>
          </w:p>
          <w:p w14:paraId="19E53E26">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本项目供电由国家电网提供。</w:t>
            </w:r>
          </w:p>
          <w:p w14:paraId="00D7720B">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（4）供暖</w:t>
            </w:r>
          </w:p>
          <w:p w14:paraId="1E9DB609">
            <w:pPr>
              <w:pStyle w:val="63"/>
              <w:ind w:firstLine="422"/>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项目厂房冬季取暖采用锅炉蒸汽余热，办公楼采暖采用空调取暖</w:t>
            </w:r>
            <w:r>
              <w:rPr>
                <w:rFonts w:hint="eastAsia" w:cs="Times New Roman"/>
                <w:color w:val="auto"/>
                <w:kern w:val="2"/>
                <w:sz w:val="21"/>
                <w:szCs w:val="24"/>
                <w:highlight w:val="none"/>
                <w:lang w:val="en-US" w:eastAsia="zh-CN" w:bidi="ar-SA"/>
              </w:rPr>
              <w:t>。</w:t>
            </w:r>
          </w:p>
          <w:p w14:paraId="104A5926">
            <w:pPr>
              <w:pStyle w:val="63"/>
              <w:ind w:firstLine="422"/>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5、工作人员与工作制度</w:t>
            </w:r>
          </w:p>
          <w:p w14:paraId="1580B79C">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本项目劳动定员113人，年工作</w:t>
            </w:r>
            <w:r>
              <w:rPr>
                <w:rFonts w:hint="default" w:ascii="Times New Roman" w:hAnsi="Times New Roman" w:cs="Times New Roman"/>
                <w:color w:val="auto"/>
                <w:highlight w:val="none"/>
                <w:lang w:val="en-US" w:eastAsia="zh-CN"/>
              </w:rPr>
              <w:t>300</w:t>
            </w:r>
            <w:r>
              <w:rPr>
                <w:rFonts w:hint="default" w:ascii="Times New Roman" w:hAnsi="Times New Roman" w:cs="Times New Roman"/>
                <w:color w:val="auto"/>
                <w:highlight w:val="none"/>
              </w:rPr>
              <w:t>天，通常采用2班制（每班8小时）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共计运行</w:t>
            </w:r>
            <w:r>
              <w:rPr>
                <w:rFonts w:hint="default" w:ascii="Times New Roman" w:hAnsi="Times New Roman" w:cs="Times New Roman"/>
                <w:color w:val="auto"/>
                <w:highlight w:val="none"/>
                <w:lang w:val="en-US" w:eastAsia="zh-CN"/>
              </w:rPr>
              <w:t>4800</w:t>
            </w:r>
            <w:r>
              <w:rPr>
                <w:rFonts w:hint="default" w:ascii="Times New Roman" w:hAnsi="Times New Roman" w:cs="Times New Roman"/>
                <w:color w:val="auto"/>
                <w:highlight w:val="none"/>
              </w:rPr>
              <w:t>h。</w:t>
            </w:r>
          </w:p>
          <w:p w14:paraId="4CE181E5">
            <w:pPr>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6、环保投资</w:t>
            </w:r>
          </w:p>
          <w:p w14:paraId="38F057C8">
            <w:pPr>
              <w:widowControl/>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本项目总投资15493.23万元，环保投资</w:t>
            </w:r>
            <w:r>
              <w:rPr>
                <w:rFonts w:hint="eastAsia" w:cs="Times New Roman"/>
                <w:color w:val="auto"/>
                <w:szCs w:val="21"/>
                <w:highlight w:val="none"/>
                <w:lang w:val="en-US" w:eastAsia="zh-CN"/>
              </w:rPr>
              <w:t>75</w:t>
            </w:r>
            <w:r>
              <w:rPr>
                <w:rFonts w:hint="default" w:ascii="Times New Roman" w:hAnsi="Times New Roman" w:cs="Times New Roman"/>
                <w:color w:val="auto"/>
                <w:szCs w:val="21"/>
                <w:highlight w:val="none"/>
              </w:rPr>
              <w:t>万元，占总投资的</w:t>
            </w:r>
            <w:r>
              <w:rPr>
                <w:rFonts w:hint="default" w:ascii="Times New Roman" w:hAnsi="Times New Roman" w:cs="Times New Roman"/>
                <w:color w:val="auto"/>
                <w:szCs w:val="21"/>
                <w:highlight w:val="none"/>
                <w:lang w:val="en-US" w:eastAsia="zh-CN"/>
              </w:rPr>
              <w:t>0.</w:t>
            </w:r>
            <w:r>
              <w:rPr>
                <w:rFonts w:hint="eastAsia" w:cs="Times New Roman"/>
                <w:color w:val="auto"/>
                <w:szCs w:val="21"/>
                <w:highlight w:val="none"/>
                <w:lang w:val="en-US" w:eastAsia="zh-CN"/>
              </w:rPr>
              <w:t>48</w:t>
            </w:r>
            <w:r>
              <w:rPr>
                <w:rFonts w:hint="default" w:ascii="Times New Roman" w:hAnsi="Times New Roman" w:cs="Times New Roman"/>
                <w:color w:val="auto"/>
                <w:szCs w:val="21"/>
                <w:highlight w:val="none"/>
              </w:rPr>
              <w:t>%。环保投资估算见表2-</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w:t>
            </w:r>
          </w:p>
          <w:p w14:paraId="040AD2CC">
            <w:pPr>
              <w:adjustRightInd w:val="0"/>
              <w:jc w:val="center"/>
              <w:textAlignment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表2-</w:t>
            </w:r>
            <w:r>
              <w:rPr>
                <w:rFonts w:hint="eastAsia" w:cs="Times New Roman"/>
                <w:b/>
                <w:color w:val="auto"/>
                <w:szCs w:val="21"/>
                <w:highlight w:val="none"/>
                <w:lang w:val="en-US" w:eastAsia="zh-CN"/>
              </w:rPr>
              <w:t>7</w:t>
            </w:r>
            <w:r>
              <w:rPr>
                <w:rFonts w:hint="default" w:ascii="Times New Roman" w:hAnsi="Times New Roman" w:cs="Times New Roman"/>
                <w:b/>
                <w:color w:val="auto"/>
                <w:szCs w:val="21"/>
                <w:highlight w:val="none"/>
              </w:rPr>
              <w:t xml:space="preserve">  环保投资估算      </w:t>
            </w:r>
          </w:p>
          <w:tbl>
            <w:tblPr>
              <w:tblStyle w:val="32"/>
              <w:tblW w:w="800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3"/>
              <w:gridCol w:w="1027"/>
              <w:gridCol w:w="2305"/>
              <w:gridCol w:w="2948"/>
              <w:gridCol w:w="1136"/>
            </w:tblGrid>
            <w:tr w14:paraId="09066C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3" w:type="dxa"/>
                  <w:vAlign w:val="center"/>
                </w:tcPr>
                <w:p w14:paraId="2121D34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序号</w:t>
                  </w:r>
                </w:p>
              </w:tc>
              <w:tc>
                <w:tcPr>
                  <w:tcW w:w="1027" w:type="dxa"/>
                  <w:vAlign w:val="center"/>
                </w:tcPr>
                <w:p w14:paraId="0D60909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处理项目</w:t>
                  </w:r>
                </w:p>
              </w:tc>
              <w:tc>
                <w:tcPr>
                  <w:tcW w:w="2305" w:type="dxa"/>
                  <w:vAlign w:val="center"/>
                </w:tcPr>
                <w:p w14:paraId="3437685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处理工序</w:t>
                  </w:r>
                </w:p>
              </w:tc>
              <w:tc>
                <w:tcPr>
                  <w:tcW w:w="2948" w:type="dxa"/>
                  <w:vAlign w:val="center"/>
                </w:tcPr>
                <w:p w14:paraId="578D4BC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处理措施</w:t>
                  </w:r>
                </w:p>
              </w:tc>
              <w:tc>
                <w:tcPr>
                  <w:tcW w:w="1136" w:type="dxa"/>
                  <w:vAlign w:val="center"/>
                </w:tcPr>
                <w:p w14:paraId="49D0BB8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投资（万元）</w:t>
                  </w:r>
                </w:p>
              </w:tc>
            </w:tr>
            <w:tr w14:paraId="2C5D96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3" w:type="dxa"/>
                  <w:vMerge w:val="restart"/>
                  <w:vAlign w:val="center"/>
                </w:tcPr>
                <w:p w14:paraId="676F567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1027" w:type="dxa"/>
                  <w:vMerge w:val="restart"/>
                  <w:vAlign w:val="center"/>
                </w:tcPr>
                <w:p w14:paraId="16F248F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大气污染</w:t>
                  </w:r>
                </w:p>
              </w:tc>
              <w:tc>
                <w:tcPr>
                  <w:tcW w:w="2305" w:type="dxa"/>
                  <w:vAlign w:val="center"/>
                </w:tcPr>
                <w:p w14:paraId="046DF931">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bCs w:val="0"/>
                      <w:color w:val="auto"/>
                      <w:sz w:val="18"/>
                      <w:szCs w:val="18"/>
                      <w:highlight w:val="none"/>
                      <w:lang w:val="en-US" w:eastAsia="zh-CN"/>
                    </w:rPr>
                    <w:t>燃生物质蒸汽锅炉</w:t>
                  </w:r>
                </w:p>
              </w:tc>
              <w:tc>
                <w:tcPr>
                  <w:tcW w:w="2948" w:type="dxa"/>
                  <w:vAlign w:val="center"/>
                </w:tcPr>
                <w:p w14:paraId="39551D1C">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低氮燃烧</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旋风除尘+</w:t>
                  </w:r>
                  <w:r>
                    <w:rPr>
                      <w:rFonts w:hint="default" w:ascii="Times New Roman" w:hAnsi="Times New Roman" w:cs="Times New Roman"/>
                      <w:color w:val="auto"/>
                      <w:sz w:val="18"/>
                      <w:szCs w:val="18"/>
                      <w:highlight w:val="none"/>
                      <w:lang w:val="en-US" w:eastAsia="zh-CN"/>
                    </w:rPr>
                    <w:t>布袋除尘器+40m高排气筒</w:t>
                  </w:r>
                </w:p>
              </w:tc>
              <w:tc>
                <w:tcPr>
                  <w:tcW w:w="1136" w:type="dxa"/>
                  <w:vAlign w:val="center"/>
                </w:tcPr>
                <w:p w14:paraId="4E482F60">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20</w:t>
                  </w:r>
                </w:p>
              </w:tc>
            </w:tr>
            <w:tr w14:paraId="433684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593" w:type="dxa"/>
                  <w:vMerge w:val="continue"/>
                  <w:vAlign w:val="center"/>
                </w:tcPr>
                <w:p w14:paraId="05948E48">
                  <w:pPr>
                    <w:jc w:val="center"/>
                    <w:rPr>
                      <w:rFonts w:hint="default" w:ascii="Times New Roman" w:hAnsi="Times New Roman" w:cs="Times New Roman"/>
                      <w:color w:val="auto"/>
                      <w:sz w:val="18"/>
                      <w:szCs w:val="18"/>
                      <w:highlight w:val="none"/>
                    </w:rPr>
                  </w:pPr>
                </w:p>
              </w:tc>
              <w:tc>
                <w:tcPr>
                  <w:tcW w:w="1027" w:type="dxa"/>
                  <w:vMerge w:val="continue"/>
                  <w:vAlign w:val="center"/>
                </w:tcPr>
                <w:p w14:paraId="4C1100BC">
                  <w:pPr>
                    <w:jc w:val="center"/>
                    <w:rPr>
                      <w:rFonts w:hint="default" w:ascii="Times New Roman" w:hAnsi="Times New Roman" w:cs="Times New Roman"/>
                      <w:color w:val="auto"/>
                      <w:sz w:val="18"/>
                      <w:szCs w:val="18"/>
                      <w:highlight w:val="none"/>
                    </w:rPr>
                  </w:pPr>
                </w:p>
              </w:tc>
              <w:tc>
                <w:tcPr>
                  <w:tcW w:w="2305" w:type="dxa"/>
                  <w:vAlign w:val="center"/>
                </w:tcPr>
                <w:p w14:paraId="1062F451">
                  <w:pPr>
                    <w:jc w:val="center"/>
                    <w:rPr>
                      <w:rFonts w:hint="default" w:ascii="Times New Roman" w:hAnsi="Times New Roman" w:eastAsia="宋体" w:cs="Times New Roman"/>
                      <w:color w:val="auto"/>
                      <w:sz w:val="18"/>
                      <w:szCs w:val="18"/>
                      <w:highlight w:val="none"/>
                      <w:lang w:eastAsia="zh-CN"/>
                    </w:rPr>
                  </w:pPr>
                  <w:r>
                    <w:rPr>
                      <w:rFonts w:hint="eastAsia" w:cs="Times New Roman"/>
                      <w:bCs w:val="0"/>
                      <w:color w:val="auto"/>
                      <w:sz w:val="18"/>
                      <w:szCs w:val="18"/>
                      <w:highlight w:val="none"/>
                      <w:lang w:val="en-US" w:eastAsia="zh-CN"/>
                    </w:rPr>
                    <w:t>1#生产车间（投料、</w:t>
                  </w:r>
                  <w:r>
                    <w:rPr>
                      <w:rFonts w:hint="default" w:ascii="Times New Roman" w:hAnsi="Times New Roman" w:eastAsia="宋体" w:cs="Times New Roman"/>
                      <w:bCs w:val="0"/>
                      <w:color w:val="auto"/>
                      <w:kern w:val="2"/>
                      <w:sz w:val="18"/>
                      <w:szCs w:val="18"/>
                      <w:highlight w:val="none"/>
                      <w:lang w:val="en-US" w:eastAsia="zh-CN" w:bidi="ar-SA"/>
                    </w:rPr>
                    <w:t>破碎、球磨、搅拌</w:t>
                  </w:r>
                  <w:r>
                    <w:rPr>
                      <w:rFonts w:hint="eastAsia" w:cs="Times New Roman"/>
                      <w:bCs w:val="0"/>
                      <w:color w:val="auto"/>
                      <w:sz w:val="18"/>
                      <w:szCs w:val="18"/>
                      <w:highlight w:val="none"/>
                      <w:lang w:val="en-US" w:eastAsia="zh-CN"/>
                    </w:rPr>
                    <w:t>）</w:t>
                  </w:r>
                </w:p>
              </w:tc>
              <w:tc>
                <w:tcPr>
                  <w:tcW w:w="2948" w:type="dxa"/>
                  <w:vAlign w:val="center"/>
                </w:tcPr>
                <w:p w14:paraId="0A9E62D2">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eastAsia="zh-CN"/>
                    </w:rPr>
                  </w:pPr>
                  <w:r>
                    <w:rPr>
                      <w:rFonts w:hint="eastAsia" w:cs="Times New Roman"/>
                      <w:bCs w:val="0"/>
                      <w:color w:val="auto"/>
                      <w:sz w:val="18"/>
                      <w:szCs w:val="18"/>
                      <w:highlight w:val="none"/>
                      <w:lang w:val="en-US" w:eastAsia="zh-CN"/>
                    </w:rPr>
                    <w:t>集气罩、</w:t>
                  </w:r>
                  <w:r>
                    <w:rPr>
                      <w:rFonts w:hint="default" w:ascii="Times New Roman" w:hAnsi="Times New Roman" w:cs="Times New Roman"/>
                      <w:bCs w:val="0"/>
                      <w:color w:val="auto"/>
                      <w:sz w:val="18"/>
                      <w:szCs w:val="18"/>
                      <w:highlight w:val="none"/>
                      <w:lang w:val="en-US" w:eastAsia="zh-CN"/>
                    </w:rPr>
                    <w:t>布袋除尘器</w:t>
                  </w:r>
                  <w:r>
                    <w:rPr>
                      <w:rFonts w:hint="eastAsia" w:cs="Times New Roman"/>
                      <w:bCs w:val="0"/>
                      <w:color w:val="auto"/>
                      <w:sz w:val="18"/>
                      <w:szCs w:val="18"/>
                      <w:highlight w:val="none"/>
                      <w:lang w:val="en-US" w:eastAsia="zh-CN"/>
                    </w:rPr>
                    <w:t>、</w:t>
                  </w:r>
                  <w:r>
                    <w:rPr>
                      <w:rFonts w:hint="default" w:ascii="Times New Roman" w:hAnsi="Times New Roman" w:cs="Times New Roman"/>
                      <w:bCs w:val="0"/>
                      <w:color w:val="auto"/>
                      <w:sz w:val="18"/>
                      <w:szCs w:val="18"/>
                      <w:highlight w:val="none"/>
                      <w:lang w:val="en-US" w:eastAsia="zh-CN"/>
                    </w:rPr>
                    <w:t>1</w:t>
                  </w:r>
                  <w:r>
                    <w:rPr>
                      <w:rFonts w:hint="eastAsia" w:cs="Times New Roman"/>
                      <w:bCs w:val="0"/>
                      <w:color w:val="auto"/>
                      <w:sz w:val="18"/>
                      <w:szCs w:val="18"/>
                      <w:highlight w:val="none"/>
                      <w:lang w:val="en-US" w:eastAsia="zh-CN"/>
                    </w:rPr>
                    <w:t>7</w:t>
                  </w:r>
                  <w:r>
                    <w:rPr>
                      <w:rFonts w:hint="default" w:ascii="Times New Roman" w:hAnsi="Times New Roman" w:cs="Times New Roman"/>
                      <w:bCs w:val="0"/>
                      <w:color w:val="auto"/>
                      <w:sz w:val="18"/>
                      <w:szCs w:val="18"/>
                      <w:highlight w:val="none"/>
                      <w:lang w:val="en-US" w:eastAsia="zh-CN"/>
                    </w:rPr>
                    <w:t>m排气筒</w:t>
                  </w:r>
                </w:p>
              </w:tc>
              <w:tc>
                <w:tcPr>
                  <w:tcW w:w="1136" w:type="dxa"/>
                  <w:vAlign w:val="center"/>
                </w:tcPr>
                <w:p w14:paraId="27835B64">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20</w:t>
                  </w:r>
                </w:p>
              </w:tc>
            </w:tr>
            <w:tr w14:paraId="35E395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593" w:type="dxa"/>
                  <w:vMerge w:val="continue"/>
                  <w:vAlign w:val="center"/>
                </w:tcPr>
                <w:p w14:paraId="28BCF030">
                  <w:pPr>
                    <w:jc w:val="center"/>
                    <w:rPr>
                      <w:rFonts w:hint="default" w:ascii="Times New Roman" w:hAnsi="Times New Roman" w:cs="Times New Roman"/>
                      <w:color w:val="auto"/>
                      <w:sz w:val="18"/>
                      <w:szCs w:val="18"/>
                      <w:highlight w:val="none"/>
                    </w:rPr>
                  </w:pPr>
                </w:p>
              </w:tc>
              <w:tc>
                <w:tcPr>
                  <w:tcW w:w="1027" w:type="dxa"/>
                  <w:vMerge w:val="continue"/>
                  <w:vAlign w:val="center"/>
                </w:tcPr>
                <w:p w14:paraId="67F349DE">
                  <w:pPr>
                    <w:jc w:val="center"/>
                    <w:rPr>
                      <w:rFonts w:hint="default" w:ascii="Times New Roman" w:hAnsi="Times New Roman" w:cs="Times New Roman"/>
                      <w:color w:val="auto"/>
                      <w:sz w:val="18"/>
                      <w:szCs w:val="18"/>
                      <w:highlight w:val="none"/>
                    </w:rPr>
                  </w:pPr>
                </w:p>
              </w:tc>
              <w:tc>
                <w:tcPr>
                  <w:tcW w:w="2305" w:type="dxa"/>
                  <w:vAlign w:val="center"/>
                </w:tcPr>
                <w:p w14:paraId="75197A6E">
                  <w:pPr>
                    <w:jc w:val="center"/>
                    <w:rPr>
                      <w:rFonts w:hint="default" w:ascii="Times New Roman" w:hAnsi="Times New Roman" w:eastAsia="宋体" w:cs="Times New Roman"/>
                      <w:bCs w:val="0"/>
                      <w:color w:val="auto"/>
                      <w:kern w:val="2"/>
                      <w:sz w:val="18"/>
                      <w:szCs w:val="18"/>
                      <w:highlight w:val="none"/>
                      <w:lang w:val="en-US" w:eastAsia="zh-CN" w:bidi="ar-SA"/>
                    </w:rPr>
                  </w:pPr>
                  <w:r>
                    <w:rPr>
                      <w:rFonts w:hint="eastAsia" w:cs="Times New Roman"/>
                      <w:bCs w:val="0"/>
                      <w:color w:val="auto"/>
                      <w:sz w:val="18"/>
                      <w:szCs w:val="18"/>
                      <w:highlight w:val="none"/>
                      <w:lang w:val="en-US" w:eastAsia="zh-CN"/>
                    </w:rPr>
                    <w:t>2#生产车间（投料、</w:t>
                  </w:r>
                  <w:r>
                    <w:rPr>
                      <w:rFonts w:hint="default" w:ascii="Times New Roman" w:hAnsi="Times New Roman" w:eastAsia="宋体" w:cs="Times New Roman"/>
                      <w:bCs w:val="0"/>
                      <w:color w:val="auto"/>
                      <w:kern w:val="2"/>
                      <w:sz w:val="18"/>
                      <w:szCs w:val="18"/>
                      <w:highlight w:val="none"/>
                      <w:lang w:val="en-US" w:eastAsia="zh-CN" w:bidi="ar-SA"/>
                    </w:rPr>
                    <w:t>破碎、球磨、搅拌</w:t>
                  </w:r>
                  <w:r>
                    <w:rPr>
                      <w:rFonts w:hint="eastAsia" w:cs="Times New Roman"/>
                      <w:bCs w:val="0"/>
                      <w:color w:val="auto"/>
                      <w:sz w:val="18"/>
                      <w:szCs w:val="18"/>
                      <w:highlight w:val="none"/>
                      <w:lang w:val="en-US" w:eastAsia="zh-CN"/>
                    </w:rPr>
                    <w:t>）</w:t>
                  </w:r>
                </w:p>
              </w:tc>
              <w:tc>
                <w:tcPr>
                  <w:tcW w:w="2948" w:type="dxa"/>
                  <w:vAlign w:val="center"/>
                </w:tcPr>
                <w:p w14:paraId="59C4170D">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eastAsia" w:cs="Times New Roman"/>
                      <w:bCs w:val="0"/>
                      <w:color w:val="auto"/>
                      <w:sz w:val="18"/>
                      <w:szCs w:val="18"/>
                      <w:highlight w:val="none"/>
                      <w:lang w:val="en-US" w:eastAsia="zh-CN"/>
                    </w:rPr>
                  </w:pPr>
                  <w:r>
                    <w:rPr>
                      <w:rFonts w:hint="eastAsia" w:cs="Times New Roman"/>
                      <w:bCs w:val="0"/>
                      <w:color w:val="auto"/>
                      <w:sz w:val="18"/>
                      <w:szCs w:val="18"/>
                      <w:highlight w:val="none"/>
                      <w:lang w:val="en-US" w:eastAsia="zh-CN"/>
                    </w:rPr>
                    <w:t>集气罩、</w:t>
                  </w:r>
                  <w:r>
                    <w:rPr>
                      <w:rFonts w:hint="default" w:ascii="Times New Roman" w:hAnsi="Times New Roman" w:cs="Times New Roman"/>
                      <w:bCs w:val="0"/>
                      <w:color w:val="auto"/>
                      <w:sz w:val="18"/>
                      <w:szCs w:val="18"/>
                      <w:highlight w:val="none"/>
                      <w:lang w:val="en-US" w:eastAsia="zh-CN"/>
                    </w:rPr>
                    <w:t>布袋除尘器</w:t>
                  </w:r>
                  <w:r>
                    <w:rPr>
                      <w:rFonts w:hint="eastAsia" w:cs="Times New Roman"/>
                      <w:bCs w:val="0"/>
                      <w:color w:val="auto"/>
                      <w:sz w:val="18"/>
                      <w:szCs w:val="18"/>
                      <w:highlight w:val="none"/>
                      <w:lang w:val="en-US" w:eastAsia="zh-CN"/>
                    </w:rPr>
                    <w:t>、</w:t>
                  </w:r>
                  <w:r>
                    <w:rPr>
                      <w:rFonts w:hint="default" w:ascii="Times New Roman" w:hAnsi="Times New Roman" w:cs="Times New Roman"/>
                      <w:bCs w:val="0"/>
                      <w:color w:val="auto"/>
                      <w:sz w:val="18"/>
                      <w:szCs w:val="18"/>
                      <w:highlight w:val="none"/>
                      <w:lang w:val="en-US" w:eastAsia="zh-CN"/>
                    </w:rPr>
                    <w:t>1</w:t>
                  </w:r>
                  <w:r>
                    <w:rPr>
                      <w:rFonts w:hint="eastAsia" w:cs="Times New Roman"/>
                      <w:bCs w:val="0"/>
                      <w:color w:val="auto"/>
                      <w:sz w:val="18"/>
                      <w:szCs w:val="18"/>
                      <w:highlight w:val="none"/>
                      <w:lang w:val="en-US" w:eastAsia="zh-CN"/>
                    </w:rPr>
                    <w:t>7</w:t>
                  </w:r>
                  <w:r>
                    <w:rPr>
                      <w:rFonts w:hint="default" w:ascii="Times New Roman" w:hAnsi="Times New Roman" w:cs="Times New Roman"/>
                      <w:bCs w:val="0"/>
                      <w:color w:val="auto"/>
                      <w:sz w:val="18"/>
                      <w:szCs w:val="18"/>
                      <w:highlight w:val="none"/>
                      <w:lang w:val="en-US" w:eastAsia="zh-CN"/>
                    </w:rPr>
                    <w:t>m排气筒</w:t>
                  </w:r>
                </w:p>
              </w:tc>
              <w:tc>
                <w:tcPr>
                  <w:tcW w:w="1136" w:type="dxa"/>
                  <w:vAlign w:val="center"/>
                </w:tcPr>
                <w:p w14:paraId="0CE5A41B">
                  <w:pPr>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20</w:t>
                  </w:r>
                </w:p>
              </w:tc>
            </w:tr>
            <w:tr w14:paraId="07768E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593" w:type="dxa"/>
                  <w:vMerge w:val="continue"/>
                  <w:vAlign w:val="center"/>
                </w:tcPr>
                <w:p w14:paraId="17CD2279">
                  <w:pPr>
                    <w:jc w:val="center"/>
                    <w:rPr>
                      <w:rFonts w:hint="default" w:ascii="Times New Roman" w:hAnsi="Times New Roman" w:cs="Times New Roman"/>
                      <w:color w:val="auto"/>
                      <w:highlight w:val="none"/>
                    </w:rPr>
                  </w:pPr>
                </w:p>
              </w:tc>
              <w:tc>
                <w:tcPr>
                  <w:tcW w:w="1027" w:type="dxa"/>
                  <w:vMerge w:val="continue"/>
                  <w:vAlign w:val="center"/>
                </w:tcPr>
                <w:p w14:paraId="3A0815F8">
                  <w:pPr>
                    <w:jc w:val="center"/>
                    <w:rPr>
                      <w:rFonts w:hint="default" w:ascii="Times New Roman" w:hAnsi="Times New Roman" w:cs="Times New Roman"/>
                      <w:color w:val="auto"/>
                      <w:highlight w:val="none"/>
                    </w:rPr>
                  </w:pPr>
                </w:p>
              </w:tc>
              <w:tc>
                <w:tcPr>
                  <w:tcW w:w="2305" w:type="dxa"/>
                  <w:vAlign w:val="center"/>
                </w:tcPr>
                <w:p w14:paraId="252CEF90">
                  <w:pPr>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bCs w:val="0"/>
                      <w:color w:val="auto"/>
                      <w:kern w:val="2"/>
                      <w:sz w:val="18"/>
                      <w:szCs w:val="18"/>
                      <w:highlight w:val="none"/>
                      <w:lang w:val="en-US" w:eastAsia="zh-CN" w:bidi="ar-SA"/>
                    </w:rPr>
                    <w:t>焊接</w:t>
                  </w:r>
                  <w:r>
                    <w:rPr>
                      <w:rFonts w:hint="eastAsia" w:cs="Times New Roman"/>
                      <w:bCs w:val="0"/>
                      <w:color w:val="auto"/>
                      <w:kern w:val="2"/>
                      <w:sz w:val="18"/>
                      <w:szCs w:val="18"/>
                      <w:highlight w:val="none"/>
                      <w:lang w:val="en-US" w:eastAsia="zh-CN" w:bidi="ar-SA"/>
                    </w:rPr>
                    <w:t>废气</w:t>
                  </w:r>
                </w:p>
              </w:tc>
              <w:tc>
                <w:tcPr>
                  <w:tcW w:w="2948" w:type="dxa"/>
                  <w:vAlign w:val="center"/>
                </w:tcPr>
                <w:p w14:paraId="2B470684">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bCs w:val="0"/>
                      <w:color w:val="auto"/>
                      <w:sz w:val="18"/>
                      <w:szCs w:val="18"/>
                      <w:highlight w:val="none"/>
                      <w:lang w:val="en-US" w:eastAsia="zh-CN"/>
                    </w:rPr>
                    <w:t>移动式焊接烟尘净化器</w:t>
                  </w:r>
                </w:p>
              </w:tc>
              <w:tc>
                <w:tcPr>
                  <w:tcW w:w="1136" w:type="dxa"/>
                  <w:vAlign w:val="center"/>
                </w:tcPr>
                <w:p w14:paraId="1DFA5509">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0.5</w:t>
                  </w:r>
                </w:p>
              </w:tc>
            </w:tr>
            <w:tr w14:paraId="6815FD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593" w:type="dxa"/>
                  <w:vMerge w:val="continue"/>
                  <w:vAlign w:val="center"/>
                </w:tcPr>
                <w:p w14:paraId="73D3155A">
                  <w:pPr>
                    <w:jc w:val="center"/>
                    <w:rPr>
                      <w:rFonts w:hint="default" w:ascii="Times New Roman" w:hAnsi="Times New Roman" w:cs="Times New Roman"/>
                      <w:color w:val="auto"/>
                      <w:highlight w:val="none"/>
                    </w:rPr>
                  </w:pPr>
                </w:p>
              </w:tc>
              <w:tc>
                <w:tcPr>
                  <w:tcW w:w="1027" w:type="dxa"/>
                  <w:vMerge w:val="continue"/>
                  <w:vAlign w:val="center"/>
                </w:tcPr>
                <w:p w14:paraId="5EBF6697">
                  <w:pPr>
                    <w:jc w:val="center"/>
                    <w:rPr>
                      <w:rFonts w:hint="default" w:ascii="Times New Roman" w:hAnsi="Times New Roman" w:cs="Times New Roman"/>
                      <w:color w:val="auto"/>
                      <w:highlight w:val="none"/>
                    </w:rPr>
                  </w:pPr>
                </w:p>
              </w:tc>
              <w:tc>
                <w:tcPr>
                  <w:tcW w:w="2305" w:type="dxa"/>
                  <w:vAlign w:val="center"/>
                </w:tcPr>
                <w:p w14:paraId="6AC13560">
                  <w:pPr>
                    <w:jc w:val="center"/>
                    <w:rPr>
                      <w:rFonts w:hint="default" w:ascii="Times New Roman" w:hAnsi="Times New Roman" w:cs="Times New Roman"/>
                      <w:bCs w:val="0"/>
                      <w:color w:val="auto"/>
                      <w:kern w:val="2"/>
                      <w:sz w:val="18"/>
                      <w:szCs w:val="18"/>
                      <w:highlight w:val="none"/>
                      <w:lang w:val="en-US" w:eastAsia="zh-CN" w:bidi="ar-SA"/>
                    </w:rPr>
                  </w:pPr>
                  <w:r>
                    <w:rPr>
                      <w:rFonts w:hint="default" w:ascii="Times New Roman" w:hAnsi="Times New Roman" w:cs="Times New Roman"/>
                      <w:bCs w:val="0"/>
                      <w:color w:val="auto"/>
                      <w:sz w:val="18"/>
                      <w:szCs w:val="18"/>
                      <w:highlight w:val="none"/>
                      <w:lang w:val="en-US" w:eastAsia="zh-CN"/>
                    </w:rPr>
                    <w:t>钢筋防腐浸泡、</w:t>
                  </w:r>
                  <w:r>
                    <w:rPr>
                      <w:rFonts w:hint="eastAsia" w:cs="Times New Roman"/>
                      <w:bCs w:val="0"/>
                      <w:color w:val="auto"/>
                      <w:sz w:val="18"/>
                      <w:szCs w:val="18"/>
                      <w:highlight w:val="none"/>
                      <w:lang w:val="en-US" w:eastAsia="zh-CN"/>
                    </w:rPr>
                    <w:t>烘干工序有机废气</w:t>
                  </w:r>
                </w:p>
              </w:tc>
              <w:tc>
                <w:tcPr>
                  <w:tcW w:w="2948" w:type="dxa"/>
                  <w:vAlign w:val="center"/>
                </w:tcPr>
                <w:p w14:paraId="6238FD71">
                  <w:pPr>
                    <w:keepNext w:val="0"/>
                    <w:keepLines w:val="0"/>
                    <w:pageBreakBefore w:val="0"/>
                    <w:kinsoku/>
                    <w:wordWrap/>
                    <w:overflowPunct/>
                    <w:topLinePunct w:val="0"/>
                    <w:autoSpaceDE/>
                    <w:autoSpaceDN/>
                    <w:bidi w:val="0"/>
                    <w:snapToGrid/>
                    <w:spacing w:line="240" w:lineRule="auto"/>
                    <w:ind w:left="0" w:leftChars="0" w:right="0" w:rightChars="0" w:firstLine="0" w:firstLineChars="0"/>
                    <w:jc w:val="center"/>
                    <w:textAlignment w:val="center"/>
                    <w:rPr>
                      <w:rFonts w:hint="default" w:ascii="Times New Roman" w:hAnsi="Times New Roman" w:cs="Times New Roman"/>
                      <w:color w:val="auto"/>
                      <w:sz w:val="18"/>
                      <w:szCs w:val="18"/>
                      <w:highlight w:val="none"/>
                      <w:lang w:eastAsia="zh-CN"/>
                    </w:rPr>
                  </w:pPr>
                  <w:r>
                    <w:rPr>
                      <w:rFonts w:hint="eastAsia" w:cs="Times New Roman"/>
                      <w:bCs w:val="0"/>
                      <w:color w:val="auto"/>
                      <w:sz w:val="18"/>
                      <w:szCs w:val="18"/>
                      <w:highlight w:val="none"/>
                      <w:lang w:val="en-US" w:eastAsia="zh-CN"/>
                    </w:rPr>
                    <w:t>集气罩+</w:t>
                  </w:r>
                  <w:r>
                    <w:rPr>
                      <w:rFonts w:hint="default" w:ascii="Times New Roman" w:hAnsi="Times New Roman" w:cs="Times New Roman"/>
                      <w:bCs w:val="0"/>
                      <w:color w:val="auto"/>
                      <w:sz w:val="18"/>
                      <w:szCs w:val="18"/>
                      <w:highlight w:val="none"/>
                      <w:lang w:val="en-US" w:eastAsia="zh-CN"/>
                    </w:rPr>
                    <w:t>活性炭吸附装置+15m排气筒</w:t>
                  </w:r>
                </w:p>
              </w:tc>
              <w:tc>
                <w:tcPr>
                  <w:tcW w:w="1136" w:type="dxa"/>
                  <w:vAlign w:val="center"/>
                </w:tcPr>
                <w:p w14:paraId="0F614F70">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w:t>
                  </w:r>
                </w:p>
              </w:tc>
            </w:tr>
            <w:tr w14:paraId="1CB903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3" w:type="dxa"/>
                  <w:vMerge w:val="restart"/>
                  <w:vAlign w:val="center"/>
                </w:tcPr>
                <w:p w14:paraId="770488E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w:t>
                  </w:r>
                </w:p>
              </w:tc>
              <w:tc>
                <w:tcPr>
                  <w:tcW w:w="1027" w:type="dxa"/>
                  <w:vMerge w:val="restart"/>
                  <w:vAlign w:val="center"/>
                </w:tcPr>
                <w:p w14:paraId="220D424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w:t>
                  </w:r>
                </w:p>
              </w:tc>
              <w:tc>
                <w:tcPr>
                  <w:tcW w:w="2305" w:type="dxa"/>
                  <w:vAlign w:val="center"/>
                </w:tcPr>
                <w:p w14:paraId="02AB3BC1">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eastAsia="zh-CN"/>
                    </w:rPr>
                    <w:t>生产废水</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锅炉排污水及软化水制备废水</w:t>
                  </w:r>
                </w:p>
              </w:tc>
              <w:tc>
                <w:tcPr>
                  <w:tcW w:w="2948" w:type="dxa"/>
                  <w:vAlign w:val="center"/>
                </w:tcPr>
                <w:p w14:paraId="48368577">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沉淀池</w:t>
                  </w:r>
                </w:p>
              </w:tc>
              <w:tc>
                <w:tcPr>
                  <w:tcW w:w="1136" w:type="dxa"/>
                  <w:vAlign w:val="center"/>
                </w:tcPr>
                <w:p w14:paraId="04EC2258">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1</w:t>
                  </w:r>
                </w:p>
              </w:tc>
            </w:tr>
            <w:tr w14:paraId="39C6B7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3" w:type="dxa"/>
                  <w:vMerge w:val="continue"/>
                  <w:vAlign w:val="center"/>
                </w:tcPr>
                <w:p w14:paraId="3FB42564">
                  <w:pPr>
                    <w:jc w:val="center"/>
                    <w:rPr>
                      <w:rFonts w:hint="default" w:ascii="Times New Roman" w:hAnsi="Times New Roman" w:cs="Times New Roman"/>
                      <w:color w:val="auto"/>
                      <w:sz w:val="18"/>
                      <w:szCs w:val="18"/>
                      <w:highlight w:val="none"/>
                    </w:rPr>
                  </w:pPr>
                </w:p>
              </w:tc>
              <w:tc>
                <w:tcPr>
                  <w:tcW w:w="1027" w:type="dxa"/>
                  <w:vMerge w:val="continue"/>
                  <w:vAlign w:val="center"/>
                </w:tcPr>
                <w:p w14:paraId="3F76100B">
                  <w:pPr>
                    <w:jc w:val="center"/>
                    <w:rPr>
                      <w:rFonts w:hint="default" w:ascii="Times New Roman" w:hAnsi="Times New Roman" w:cs="Times New Roman"/>
                      <w:color w:val="auto"/>
                      <w:sz w:val="18"/>
                      <w:szCs w:val="18"/>
                      <w:highlight w:val="none"/>
                    </w:rPr>
                  </w:pPr>
                </w:p>
              </w:tc>
              <w:tc>
                <w:tcPr>
                  <w:tcW w:w="2305" w:type="dxa"/>
                  <w:vAlign w:val="center"/>
                </w:tcPr>
                <w:p w14:paraId="420E4179">
                  <w:pPr>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初期雨水</w:t>
                  </w:r>
                </w:p>
              </w:tc>
              <w:tc>
                <w:tcPr>
                  <w:tcW w:w="2948" w:type="dxa"/>
                  <w:vAlign w:val="center"/>
                </w:tcPr>
                <w:p w14:paraId="4841FFD5">
                  <w:pPr>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200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lang w:eastAsia="zh-CN"/>
                    </w:rPr>
                    <w:t>初期雨水池</w:t>
                  </w:r>
                </w:p>
              </w:tc>
              <w:tc>
                <w:tcPr>
                  <w:tcW w:w="1136" w:type="dxa"/>
                  <w:vAlign w:val="center"/>
                </w:tcPr>
                <w:p w14:paraId="00A61468">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r>
            <w:tr w14:paraId="78A47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3" w:type="dxa"/>
                  <w:vMerge w:val="continue"/>
                  <w:vAlign w:val="center"/>
                </w:tcPr>
                <w:p w14:paraId="4764E2DC">
                  <w:pPr>
                    <w:jc w:val="center"/>
                    <w:rPr>
                      <w:rFonts w:hint="default" w:ascii="Times New Roman" w:hAnsi="Times New Roman" w:cs="Times New Roman"/>
                      <w:color w:val="auto"/>
                      <w:sz w:val="18"/>
                      <w:szCs w:val="18"/>
                      <w:highlight w:val="none"/>
                    </w:rPr>
                  </w:pPr>
                </w:p>
              </w:tc>
              <w:tc>
                <w:tcPr>
                  <w:tcW w:w="1027" w:type="dxa"/>
                  <w:vMerge w:val="continue"/>
                  <w:vAlign w:val="center"/>
                </w:tcPr>
                <w:p w14:paraId="5E3DEFBB">
                  <w:pPr>
                    <w:jc w:val="center"/>
                    <w:rPr>
                      <w:rFonts w:hint="default" w:ascii="Times New Roman" w:hAnsi="Times New Roman" w:cs="Times New Roman"/>
                      <w:color w:val="auto"/>
                      <w:sz w:val="18"/>
                      <w:szCs w:val="18"/>
                      <w:highlight w:val="none"/>
                    </w:rPr>
                  </w:pPr>
                </w:p>
              </w:tc>
              <w:tc>
                <w:tcPr>
                  <w:tcW w:w="2305" w:type="dxa"/>
                  <w:vAlign w:val="center"/>
                </w:tcPr>
                <w:p w14:paraId="7D47A127">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生活污水</w:t>
                  </w:r>
                </w:p>
              </w:tc>
              <w:tc>
                <w:tcPr>
                  <w:tcW w:w="2948" w:type="dxa"/>
                  <w:vAlign w:val="center"/>
                </w:tcPr>
                <w:p w14:paraId="5023240F">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化粪池</w:t>
                  </w:r>
                </w:p>
              </w:tc>
              <w:tc>
                <w:tcPr>
                  <w:tcW w:w="1136" w:type="dxa"/>
                  <w:vAlign w:val="center"/>
                </w:tcPr>
                <w:p w14:paraId="1E35DFA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r>
            <w:tr w14:paraId="7C2F5C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3" w:type="dxa"/>
                  <w:vAlign w:val="center"/>
                </w:tcPr>
                <w:p w14:paraId="61F4224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w:t>
                  </w:r>
                </w:p>
              </w:tc>
              <w:tc>
                <w:tcPr>
                  <w:tcW w:w="1027" w:type="dxa"/>
                  <w:vAlign w:val="center"/>
                </w:tcPr>
                <w:p w14:paraId="68C3E8D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w:t>
                  </w:r>
                </w:p>
              </w:tc>
              <w:tc>
                <w:tcPr>
                  <w:tcW w:w="5253" w:type="dxa"/>
                  <w:gridSpan w:val="2"/>
                  <w:vAlign w:val="center"/>
                </w:tcPr>
                <w:p w14:paraId="421647E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减振、隔声</w:t>
                  </w:r>
                </w:p>
              </w:tc>
              <w:tc>
                <w:tcPr>
                  <w:tcW w:w="1136" w:type="dxa"/>
                  <w:vAlign w:val="center"/>
                </w:tcPr>
                <w:p w14:paraId="4FD6591F">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1</w:t>
                  </w:r>
                </w:p>
              </w:tc>
            </w:tr>
            <w:tr w14:paraId="3D2D91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593" w:type="dxa"/>
                  <w:vMerge w:val="restart"/>
                  <w:vAlign w:val="center"/>
                </w:tcPr>
                <w:p w14:paraId="0DD1910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w:t>
                  </w:r>
                </w:p>
              </w:tc>
              <w:tc>
                <w:tcPr>
                  <w:tcW w:w="1027" w:type="dxa"/>
                  <w:vMerge w:val="restart"/>
                  <w:vAlign w:val="center"/>
                </w:tcPr>
                <w:p w14:paraId="1C03688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固体废物</w:t>
                  </w:r>
                </w:p>
              </w:tc>
              <w:tc>
                <w:tcPr>
                  <w:tcW w:w="5253" w:type="dxa"/>
                  <w:gridSpan w:val="2"/>
                  <w:vAlign w:val="center"/>
                </w:tcPr>
                <w:p w14:paraId="3BAEB770">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生活垃圾收集箱</w:t>
                  </w:r>
                </w:p>
              </w:tc>
              <w:tc>
                <w:tcPr>
                  <w:tcW w:w="1136" w:type="dxa"/>
                  <w:vAlign w:val="center"/>
                </w:tcPr>
                <w:p w14:paraId="73E7D49E">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0.5</w:t>
                  </w:r>
                </w:p>
              </w:tc>
            </w:tr>
            <w:tr w14:paraId="526957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593" w:type="dxa"/>
                  <w:vMerge w:val="continue"/>
                  <w:vAlign w:val="center"/>
                </w:tcPr>
                <w:p w14:paraId="28C133F4">
                  <w:pPr>
                    <w:jc w:val="center"/>
                    <w:rPr>
                      <w:rFonts w:hint="default" w:ascii="Times New Roman" w:hAnsi="Times New Roman" w:cs="Times New Roman"/>
                      <w:color w:val="auto"/>
                      <w:highlight w:val="none"/>
                    </w:rPr>
                  </w:pPr>
                </w:p>
              </w:tc>
              <w:tc>
                <w:tcPr>
                  <w:tcW w:w="1027" w:type="dxa"/>
                  <w:vMerge w:val="continue"/>
                  <w:vAlign w:val="center"/>
                </w:tcPr>
                <w:p w14:paraId="0AFC20C3">
                  <w:pPr>
                    <w:jc w:val="center"/>
                    <w:rPr>
                      <w:rFonts w:hint="default" w:ascii="Times New Roman" w:hAnsi="Times New Roman" w:cs="Times New Roman"/>
                      <w:color w:val="auto"/>
                      <w:highlight w:val="none"/>
                    </w:rPr>
                  </w:pPr>
                </w:p>
              </w:tc>
              <w:tc>
                <w:tcPr>
                  <w:tcW w:w="5253" w:type="dxa"/>
                  <w:gridSpan w:val="2"/>
                  <w:vAlign w:val="center"/>
                </w:tcPr>
                <w:p w14:paraId="225073EE">
                  <w:pPr>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危废</w:t>
                  </w:r>
                  <w:r>
                    <w:rPr>
                      <w:rFonts w:hint="eastAsia" w:cs="Times New Roman"/>
                      <w:color w:val="auto"/>
                      <w:sz w:val="18"/>
                      <w:szCs w:val="18"/>
                      <w:highlight w:val="none"/>
                      <w:lang w:eastAsia="zh-CN"/>
                    </w:rPr>
                    <w:t>贮存点</w:t>
                  </w:r>
                  <w:r>
                    <w:rPr>
                      <w:rFonts w:hint="default" w:ascii="Times New Roman" w:hAnsi="Times New Roman" w:cs="Times New Roman"/>
                      <w:color w:val="auto"/>
                      <w:sz w:val="18"/>
                      <w:szCs w:val="18"/>
                      <w:highlight w:val="none"/>
                      <w:lang w:eastAsia="zh-CN"/>
                    </w:rPr>
                    <w:t>，重点防渗区建设</w:t>
                  </w:r>
                  <w:r>
                    <w:rPr>
                      <w:rFonts w:hint="eastAsia" w:cs="Times New Roman"/>
                      <w:color w:val="auto"/>
                      <w:sz w:val="18"/>
                      <w:szCs w:val="18"/>
                      <w:highlight w:val="none"/>
                      <w:lang w:eastAsia="zh-CN"/>
                    </w:rPr>
                    <w:t>；生产车间、粉煤灰库及沉淀池、初期雨水池、废浆池、废浆搅拌池等各池体按一般防渗区建设</w:t>
                  </w:r>
                </w:p>
              </w:tc>
              <w:tc>
                <w:tcPr>
                  <w:tcW w:w="1136" w:type="dxa"/>
                  <w:vAlign w:val="center"/>
                </w:tcPr>
                <w:p w14:paraId="452EC336">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2.5</w:t>
                  </w:r>
                </w:p>
              </w:tc>
            </w:tr>
            <w:tr w14:paraId="2F92B7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3" w:type="dxa"/>
                  <w:vAlign w:val="center"/>
                </w:tcPr>
                <w:p w14:paraId="670AE162">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w:t>
                  </w:r>
                </w:p>
              </w:tc>
              <w:tc>
                <w:tcPr>
                  <w:tcW w:w="6280" w:type="dxa"/>
                  <w:gridSpan w:val="3"/>
                  <w:vAlign w:val="center"/>
                </w:tcPr>
                <w:p w14:paraId="7635B509">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车间、库房等地面硬化，厂区绿化</w:t>
                  </w:r>
                  <w:r>
                    <w:rPr>
                      <w:rFonts w:hint="eastAsia" w:cs="Times New Roman"/>
                      <w:color w:val="auto"/>
                      <w:sz w:val="18"/>
                      <w:szCs w:val="18"/>
                      <w:highlight w:val="none"/>
                      <w:lang w:eastAsia="zh-CN"/>
                    </w:rPr>
                    <w:t>，车间密闭、堆场洒水抑尘</w:t>
                  </w:r>
                </w:p>
              </w:tc>
              <w:tc>
                <w:tcPr>
                  <w:tcW w:w="1136" w:type="dxa"/>
                  <w:vAlign w:val="center"/>
                </w:tcPr>
                <w:p w14:paraId="2BAC4980">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2.5</w:t>
                  </w:r>
                </w:p>
              </w:tc>
            </w:tr>
            <w:tr w14:paraId="1BF9A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3" w:type="dxa"/>
                  <w:vAlign w:val="center"/>
                </w:tcPr>
                <w:p w14:paraId="040AB85E">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6</w:t>
                  </w:r>
                </w:p>
              </w:tc>
              <w:tc>
                <w:tcPr>
                  <w:tcW w:w="6280" w:type="dxa"/>
                  <w:gridSpan w:val="3"/>
                  <w:vAlign w:val="center"/>
                </w:tcPr>
                <w:p w14:paraId="154C597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环保设施运行维护费用</w:t>
                  </w:r>
                </w:p>
              </w:tc>
              <w:tc>
                <w:tcPr>
                  <w:tcW w:w="1136" w:type="dxa"/>
                  <w:vAlign w:val="center"/>
                </w:tcPr>
                <w:p w14:paraId="6D6BC78C">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w:t>
                  </w:r>
                </w:p>
              </w:tc>
            </w:tr>
            <w:tr w14:paraId="3DB5B2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73" w:type="dxa"/>
                  <w:gridSpan w:val="4"/>
                  <w:vAlign w:val="center"/>
                </w:tcPr>
                <w:p w14:paraId="0AAA56E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环保投资总计</w:t>
                  </w:r>
                </w:p>
              </w:tc>
              <w:tc>
                <w:tcPr>
                  <w:tcW w:w="1136" w:type="dxa"/>
                  <w:vAlign w:val="center"/>
                </w:tcPr>
                <w:p w14:paraId="00981E78">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r>
            <w:tr w14:paraId="114ACB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73" w:type="dxa"/>
                  <w:gridSpan w:val="4"/>
                  <w:vAlign w:val="center"/>
                </w:tcPr>
                <w:p w14:paraId="4E6606BF">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项目总投资</w:t>
                  </w:r>
                </w:p>
              </w:tc>
              <w:tc>
                <w:tcPr>
                  <w:tcW w:w="1136" w:type="dxa"/>
                  <w:vAlign w:val="center"/>
                </w:tcPr>
                <w:p w14:paraId="52069F84">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kern w:val="0"/>
                      <w:sz w:val="20"/>
                      <w:szCs w:val="20"/>
                      <w:highlight w:val="none"/>
                      <w:lang w:val="en-US" w:eastAsia="zh-CN" w:bidi="ar"/>
                    </w:rPr>
                    <w:t>15493.23</w:t>
                  </w:r>
                </w:p>
              </w:tc>
            </w:tr>
            <w:tr w14:paraId="7F96C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73" w:type="dxa"/>
                  <w:gridSpan w:val="4"/>
                  <w:vAlign w:val="center"/>
                </w:tcPr>
                <w:p w14:paraId="2957BDB9">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eastAsia="zh-CN"/>
                    </w:rPr>
                    <w:t>环保投资占比</w:t>
                  </w:r>
                  <w:r>
                    <w:rPr>
                      <w:rFonts w:hint="default" w:ascii="Times New Roman" w:hAnsi="Times New Roman" w:cs="Times New Roman"/>
                      <w:color w:val="auto"/>
                      <w:sz w:val="18"/>
                      <w:szCs w:val="18"/>
                      <w:highlight w:val="none"/>
                      <w:lang w:val="en-US" w:eastAsia="zh-CN"/>
                    </w:rPr>
                    <w:t>%</w:t>
                  </w:r>
                </w:p>
              </w:tc>
              <w:tc>
                <w:tcPr>
                  <w:tcW w:w="1136" w:type="dxa"/>
                  <w:vAlign w:val="center"/>
                </w:tcPr>
                <w:p w14:paraId="2CE66ADB">
                  <w:pPr>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48</w:t>
                  </w:r>
                  <w:r>
                    <w:rPr>
                      <w:rFonts w:hint="default" w:ascii="Times New Roman" w:hAnsi="Times New Roman" w:cs="Times New Roman"/>
                      <w:color w:val="auto"/>
                      <w:sz w:val="18"/>
                      <w:szCs w:val="18"/>
                      <w:highlight w:val="none"/>
                      <w:lang w:val="en-US" w:eastAsia="zh-CN"/>
                    </w:rPr>
                    <w:t>%</w:t>
                  </w:r>
                </w:p>
              </w:tc>
            </w:tr>
          </w:tbl>
          <w:p w14:paraId="0CFF0649">
            <w:pPr>
              <w:widowControl/>
              <w:spacing w:line="360" w:lineRule="auto"/>
              <w:ind w:left="525"/>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7、平面布置简述</w:t>
            </w:r>
          </w:p>
          <w:p w14:paraId="0B093E17">
            <w:pPr>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本项目位于本工程选址位于项目选址位于黑龙江省伊春市铁力市工业园区内，</w:t>
            </w:r>
            <w:r>
              <w:rPr>
                <w:rFonts w:hint="default" w:ascii="Times New Roman" w:hAnsi="Times New Roman" w:cs="Times New Roman"/>
                <w:color w:val="auto"/>
                <w:highlight w:val="none"/>
                <w:lang w:eastAsia="zh-CN"/>
              </w:rPr>
              <w:t>整个厂区自西向东依次布置为</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生产车间、</w:t>
            </w:r>
            <w:r>
              <w:rPr>
                <w:rFonts w:hint="default" w:ascii="Times New Roman" w:hAnsi="Times New Roman" w:cs="Times New Roman"/>
                <w:color w:val="auto"/>
                <w:highlight w:val="none"/>
                <w:lang w:val="en-US" w:eastAsia="zh-CN"/>
              </w:rPr>
              <w:t>库房、办公及配套用房、产品堆场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2#生产</w:t>
            </w:r>
            <w:r>
              <w:rPr>
                <w:rFonts w:hint="default" w:ascii="Times New Roman" w:hAnsi="Times New Roman" w:cs="Times New Roman"/>
                <w:color w:val="auto"/>
                <w:highlight w:val="none"/>
                <w:lang w:eastAsia="zh-CN"/>
              </w:rPr>
              <w:t>车间、展示厅及办公室，按生产流程顺序布置，便于物料运输，厂区北侧为原料库房，生产车间位于厂内</w:t>
            </w:r>
            <w:r>
              <w:rPr>
                <w:rFonts w:hint="default" w:ascii="Times New Roman" w:hAnsi="Times New Roman" w:cs="Times New Roman"/>
                <w:color w:val="auto"/>
                <w:highlight w:val="none"/>
                <w:lang w:val="en-US" w:eastAsia="zh-CN"/>
              </w:rPr>
              <w:t>南侧及东侧，厂区</w:t>
            </w:r>
            <w:r>
              <w:rPr>
                <w:rFonts w:hint="default" w:ascii="Times New Roman" w:hAnsi="Times New Roman" w:cs="Times New Roman"/>
                <w:color w:val="auto"/>
                <w:highlight w:val="none"/>
                <w:lang w:eastAsia="zh-CN"/>
              </w:rPr>
              <w:t>中央设置有产品堆放区，堆放区中间为运输转运区，便于产品装卸和运输</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eastAsia="zh-CN"/>
              </w:rPr>
              <w:t>厂区</w:t>
            </w:r>
            <w:r>
              <w:rPr>
                <w:rFonts w:hint="default" w:ascii="Times New Roman" w:hAnsi="Times New Roman" w:cs="Times New Roman"/>
                <w:color w:val="auto"/>
                <w:szCs w:val="21"/>
                <w:highlight w:val="none"/>
                <w:lang w:val="en-US" w:eastAsia="zh-CN"/>
              </w:rPr>
              <w:t>北</w:t>
            </w:r>
            <w:r>
              <w:rPr>
                <w:rFonts w:hint="default" w:ascii="Times New Roman" w:hAnsi="Times New Roman" w:cs="Times New Roman"/>
                <w:color w:val="auto"/>
                <w:szCs w:val="21"/>
                <w:highlight w:val="none"/>
                <w:lang w:eastAsia="zh-CN"/>
              </w:rPr>
              <w:t>侧靠近道路，方便物料和产品进出</w:t>
            </w:r>
            <w:r>
              <w:rPr>
                <w:rFonts w:hint="default" w:ascii="Times New Roman" w:hAnsi="Times New Roman" w:cs="Times New Roman"/>
                <w:color w:val="auto"/>
                <w:highlight w:val="none"/>
                <w:lang w:val="en-US" w:eastAsia="zh-CN"/>
              </w:rPr>
              <w:t>。</w:t>
            </w:r>
          </w:p>
        </w:tc>
      </w:tr>
      <w:tr w14:paraId="4BAA2B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18" w:hRule="atLeast"/>
          <w:jc w:val="center"/>
        </w:trPr>
        <w:tc>
          <w:tcPr>
            <w:tcW w:w="823" w:type="dxa"/>
            <w:vAlign w:val="center"/>
          </w:tcPr>
          <w:p w14:paraId="51C9ED55">
            <w:pPr>
              <w:pStyle w:val="27"/>
              <w:adjustRightInd w:val="0"/>
              <w:snapToGrid w:val="0"/>
              <w:spacing w:before="0" w:beforeAutospacing="0" w:after="0" w:afterAutospacing="0" w:line="240" w:lineRule="auto"/>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工艺流程和产排污环节</w:t>
            </w:r>
          </w:p>
        </w:tc>
        <w:tc>
          <w:tcPr>
            <w:tcW w:w="8161" w:type="dxa"/>
          </w:tcPr>
          <w:p w14:paraId="760CCB31">
            <w:pPr>
              <w:spacing w:line="460" w:lineRule="exact"/>
              <w:ind w:firstLine="422"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1.施工期工艺流程</w:t>
            </w:r>
            <w:r>
              <w:rPr>
                <w:rFonts w:hint="eastAsia" w:cs="Times New Roman"/>
                <w:b/>
                <w:bCs/>
                <w:color w:val="auto"/>
                <w:highlight w:val="none"/>
                <w:lang w:val="en-US" w:eastAsia="zh-CN"/>
              </w:rPr>
              <w:t>及</w:t>
            </w:r>
            <w:r>
              <w:rPr>
                <w:rFonts w:hint="default" w:ascii="Times New Roman" w:hAnsi="Times New Roman" w:cs="Times New Roman"/>
                <w:b/>
                <w:bCs/>
                <w:color w:val="auto"/>
                <w:highlight w:val="none"/>
                <w:lang w:eastAsia="zh-CN"/>
              </w:rPr>
              <w:t>产污分析</w:t>
            </w:r>
          </w:p>
          <w:p w14:paraId="2D4D81C1">
            <w:pPr>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3924300" cy="1219200"/>
                  <wp:effectExtent l="0" t="0" r="0" b="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14"/>
                          <a:stretch>
                            <a:fillRect/>
                          </a:stretch>
                        </pic:blipFill>
                        <pic:spPr>
                          <a:xfrm>
                            <a:off x="0" y="0"/>
                            <a:ext cx="3924300" cy="1219200"/>
                          </a:xfrm>
                          <a:prstGeom prst="rect">
                            <a:avLst/>
                          </a:prstGeom>
                          <a:noFill/>
                          <a:ln>
                            <a:noFill/>
                          </a:ln>
                        </pic:spPr>
                      </pic:pic>
                    </a:graphicData>
                  </a:graphic>
                </wp:inline>
              </w:drawing>
            </w:r>
          </w:p>
          <w:p w14:paraId="38430535">
            <w:pPr>
              <w:jc w:val="center"/>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图2-</w:t>
            </w:r>
            <w:r>
              <w:rPr>
                <w:rFonts w:hint="eastAsia" w:cs="Times New Roman"/>
                <w:b/>
                <w:bCs/>
                <w:color w:val="auto"/>
                <w:highlight w:val="none"/>
                <w:lang w:val="en-US" w:eastAsia="zh-CN"/>
              </w:rPr>
              <w:t>2</w:t>
            </w:r>
            <w:r>
              <w:rPr>
                <w:rFonts w:hint="default" w:ascii="Times New Roman" w:hAnsi="Times New Roman" w:cs="Times New Roman"/>
                <w:b/>
                <w:bCs/>
                <w:color w:val="auto"/>
                <w:highlight w:val="none"/>
              </w:rPr>
              <w:t xml:space="preserve">  </w:t>
            </w:r>
            <w:r>
              <w:rPr>
                <w:rFonts w:hint="default" w:ascii="Times New Roman" w:hAnsi="Times New Roman" w:cs="Times New Roman"/>
                <w:b/>
                <w:bCs/>
                <w:color w:val="auto"/>
                <w:highlight w:val="none"/>
                <w:lang w:eastAsia="zh-CN"/>
              </w:rPr>
              <w:t>施工期工艺流程及产污节点图</w:t>
            </w:r>
          </w:p>
          <w:p w14:paraId="088614F2">
            <w:pPr>
              <w:spacing w:line="46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1、环境空气</w:t>
            </w:r>
          </w:p>
          <w:p w14:paraId="6893791C">
            <w:pPr>
              <w:spacing w:line="46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项目建设施工过程中，各种燃油动力机械和运输车辆排放的废气；挖土、运土、填土、夯实和汽车运输过程的扬尘，都将会造成周围环境的大气污染。污染大气的主要因素是NO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、CO、SO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和粉尘，尤其粉尘污染最为严重。</w:t>
            </w:r>
          </w:p>
          <w:p w14:paraId="7CE98E97">
            <w:pPr>
              <w:spacing w:line="46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裸露的土堆，在风吹尘扬以及车辆过往时，使大气中浮尘含量骤增，影响周围环境。施工扬尘将使附近的建筑物、植物等蒙上尘土，给环境的整洁带来麻烦。</w:t>
            </w:r>
          </w:p>
          <w:p w14:paraId="0C0E1972">
            <w:pPr>
              <w:spacing w:line="46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2、水环境</w:t>
            </w:r>
          </w:p>
          <w:p w14:paraId="093D23D8">
            <w:pPr>
              <w:spacing w:line="46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施工期的废水主要为施工驻地人员排出的生活污水以及因施工产生的生产废水。由于施工期施工人员只在白天工作，施工人员不在场地内食宿，因此产生的废水较少。</w:t>
            </w:r>
          </w:p>
          <w:p w14:paraId="36AA8A72">
            <w:pPr>
              <w:spacing w:line="46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3、噪声</w:t>
            </w:r>
          </w:p>
          <w:p w14:paraId="37AA051B">
            <w:pPr>
              <w:spacing w:line="46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施工期噪声主要来自各类施工机械及运输车辆，在5米范围内一般为70-90dB(A)，施工期间会对周围环境产生一定的影响。加强施工管理，采取措施防治施工噪声污染。夜间禁止施工，以免发生扰民现象。</w:t>
            </w:r>
          </w:p>
          <w:p w14:paraId="605E6C46">
            <w:pPr>
              <w:spacing w:line="46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4、固体废物</w:t>
            </w:r>
          </w:p>
          <w:p w14:paraId="3D3E8072">
            <w:pPr>
              <w:spacing w:line="460" w:lineRule="exact"/>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施工残土、建筑垃圾为主要固体废物，应及时清运，并按市政部门指定地点堆放。运输车辆加盖遮挡，防止产生二次扬尘。生活垃圾统一收集后，运至市政指定转运站，由市政统一处理。</w:t>
            </w:r>
          </w:p>
          <w:p w14:paraId="60FDE255">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2.运营期工艺流程</w:t>
            </w:r>
          </w:p>
          <w:p w14:paraId="20CD0C2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s="Times New Roman"/>
                <w:color w:val="auto"/>
                <w:highlight w:val="none"/>
                <w:lang w:val="en-US" w:eastAsia="zh-CN"/>
              </w:rPr>
            </w:pPr>
            <w:r>
              <w:rPr>
                <w:rFonts w:hint="default" w:ascii="Times New Roman" w:hAnsi="Times New Roman" w:eastAsia="宋体" w:cs="Times New Roman"/>
                <w:color w:val="auto"/>
                <w:highlight w:val="none"/>
              </w:rPr>
              <w:t>蒸压加气混凝土砌块</w:t>
            </w:r>
            <w:r>
              <w:rPr>
                <w:rFonts w:hint="eastAsia" w:cs="Times New Roman"/>
                <w:color w:val="auto"/>
                <w:highlight w:val="none"/>
                <w:lang w:val="en-US" w:eastAsia="zh-CN"/>
              </w:rPr>
              <w:t>生产工艺流程：</w:t>
            </w:r>
          </w:p>
          <w:p w14:paraId="7CC1A05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（1）原料制备</w:t>
            </w:r>
          </w:p>
          <w:p w14:paraId="2EFE15C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①粉煤灰</w:t>
            </w:r>
          </w:p>
          <w:p w14:paraId="296EB85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原料粉煤灰经汽车运输至生产厂区内的</w:t>
            </w:r>
            <w:r>
              <w:rPr>
                <w:rFonts w:hint="default" w:ascii="Times New Roman" w:hAnsi="Times New Roman" w:eastAsia="宋体" w:cs="Times New Roman"/>
                <w:color w:val="auto"/>
                <w:highlight w:val="none"/>
                <w:lang w:val="en-US" w:eastAsia="zh-CN"/>
              </w:rPr>
              <w:t>库房</w:t>
            </w:r>
            <w:r>
              <w:rPr>
                <w:rFonts w:hint="default" w:ascii="Times New Roman" w:hAnsi="Times New Roman" w:eastAsia="宋体" w:cs="Times New Roman"/>
                <w:color w:val="auto"/>
                <w:highlight w:val="none"/>
              </w:rPr>
              <w:t>存放。生产时经装载机铲入料斗内，经给料计量、皮带输送至湿磨机进行磨细制浆；在磨制时定量加水，初步调制合适的料浆浓度。磨细浆从磨机流入调浆池后，再加入一定量水，精确调成符合生产要求的浓度的料浆，再由液下渣浆泵泵入料浆储罐（100</w:t>
            </w:r>
            <w:r>
              <w:rPr>
                <w:rFonts w:hint="eastAsia" w:cs="Times New Roman"/>
                <w:color w:val="auto"/>
                <w:highlight w:val="none"/>
                <w:lang w:val="en-US" w:eastAsia="zh-CN"/>
              </w:rPr>
              <w:t>m</w:t>
            </w:r>
            <w:r>
              <w:rPr>
                <w:rFonts w:hint="eastAsia" w:cs="Times New Roman"/>
                <w:color w:val="auto"/>
                <w:highlight w:val="none"/>
                <w:vertAlign w:val="superscript"/>
                <w:lang w:val="en-US" w:eastAsia="zh-CN"/>
              </w:rPr>
              <w:t>3</w:t>
            </w:r>
            <w:r>
              <w:rPr>
                <w:rFonts w:hint="default" w:ascii="Times New Roman" w:hAnsi="Times New Roman" w:eastAsia="宋体" w:cs="Times New Roman"/>
                <w:color w:val="auto"/>
                <w:highlight w:val="none"/>
              </w:rPr>
              <w:t>）内备用。把石膏按一定量直接加入制浆池内进行制浆，然后泵入配料楼石膏储罐（10</w:t>
            </w:r>
            <w:r>
              <w:rPr>
                <w:rFonts w:hint="eastAsia" w:cs="Times New Roman"/>
                <w:color w:val="auto"/>
                <w:highlight w:val="none"/>
                <w:lang w:val="en-US" w:eastAsia="zh-CN"/>
              </w:rPr>
              <w:t>m</w:t>
            </w:r>
            <w:r>
              <w:rPr>
                <w:rFonts w:hint="eastAsia" w:cs="Times New Roman"/>
                <w:color w:val="auto"/>
                <w:highlight w:val="none"/>
                <w:vertAlign w:val="superscript"/>
                <w:lang w:val="en-US" w:eastAsia="zh-CN"/>
              </w:rPr>
              <w:t>3</w:t>
            </w:r>
            <w:r>
              <w:rPr>
                <w:rFonts w:hint="default" w:ascii="Times New Roman" w:hAnsi="Times New Roman" w:eastAsia="宋体" w:cs="Times New Roman"/>
                <w:color w:val="auto"/>
                <w:highlight w:val="none"/>
              </w:rPr>
              <w:t>）内备用。</w:t>
            </w:r>
          </w:p>
          <w:p w14:paraId="30B3D4B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w:t>
            </w:r>
            <w:r>
              <w:rPr>
                <w:rFonts w:hint="eastAsia" w:ascii="Times New Roman" w:hAnsi="Times New Roman" w:eastAsia="宋体" w:cs="Times New Roman"/>
                <w:color w:val="auto"/>
                <w:highlight w:val="none"/>
                <w:lang w:val="en-US" w:eastAsia="zh-CN"/>
              </w:rPr>
              <w:t>石膏、</w:t>
            </w:r>
            <w:r>
              <w:rPr>
                <w:rFonts w:hint="default" w:ascii="Times New Roman" w:hAnsi="Times New Roman" w:eastAsia="宋体" w:cs="Times New Roman"/>
                <w:color w:val="auto"/>
                <w:highlight w:val="none"/>
              </w:rPr>
              <w:t>石灰</w:t>
            </w:r>
            <w:r>
              <w:rPr>
                <w:rFonts w:hint="eastAsia" w:ascii="Times New Roman" w:hAnsi="Times New Roman" w:eastAsia="宋体" w:cs="Times New Roman"/>
                <w:color w:val="auto"/>
                <w:highlight w:val="none"/>
                <w:lang w:val="en-US" w:eastAsia="zh-CN"/>
              </w:rPr>
              <w:t>粉</w:t>
            </w:r>
            <w:r>
              <w:rPr>
                <w:rFonts w:hint="default" w:ascii="Times New Roman" w:hAnsi="Times New Roman" w:eastAsia="宋体" w:cs="Times New Roman"/>
                <w:color w:val="auto"/>
                <w:highlight w:val="none"/>
              </w:rPr>
              <w:t>和水泥</w:t>
            </w:r>
          </w:p>
          <w:p w14:paraId="70E0CF2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石膏</w:t>
            </w:r>
            <w:r>
              <w:rPr>
                <w:rFonts w:hint="default" w:ascii="Times New Roman" w:hAnsi="Times New Roman" w:eastAsia="宋体" w:cs="Times New Roman"/>
                <w:color w:val="auto"/>
                <w:highlight w:val="none"/>
              </w:rPr>
              <w:t>由汽车运至厂内，卸入</w:t>
            </w:r>
            <w:r>
              <w:rPr>
                <w:rFonts w:hint="default" w:ascii="Times New Roman" w:hAnsi="Times New Roman" w:eastAsia="宋体" w:cs="Times New Roman"/>
                <w:color w:val="auto"/>
                <w:highlight w:val="none"/>
                <w:lang w:val="en-US" w:eastAsia="zh-CN"/>
              </w:rPr>
              <w:t>车间</w:t>
            </w:r>
            <w:r>
              <w:rPr>
                <w:rFonts w:hint="default" w:ascii="Times New Roman" w:hAnsi="Times New Roman" w:eastAsia="宋体" w:cs="Times New Roman"/>
                <w:color w:val="auto"/>
                <w:highlight w:val="none"/>
              </w:rPr>
              <w:t>内堆放。</w:t>
            </w:r>
            <w:r>
              <w:rPr>
                <w:rFonts w:hint="eastAsia" w:ascii="Times New Roman" w:hAnsi="Times New Roman" w:eastAsia="宋体" w:cs="Times New Roman"/>
                <w:color w:val="auto"/>
                <w:highlight w:val="none"/>
                <w:lang w:val="en-US" w:eastAsia="zh-CN"/>
              </w:rPr>
              <w:t>石膏</w:t>
            </w:r>
            <w:r>
              <w:rPr>
                <w:rFonts w:hint="default" w:ascii="Times New Roman" w:hAnsi="Times New Roman" w:eastAsia="宋体" w:cs="Times New Roman"/>
                <w:color w:val="auto"/>
                <w:highlight w:val="none"/>
              </w:rPr>
              <w:t>经</w:t>
            </w:r>
            <w:r>
              <w:rPr>
                <w:rFonts w:hint="eastAsia" w:cs="Times New Roman"/>
                <w:color w:val="auto"/>
                <w:highlight w:val="none"/>
                <w:lang w:eastAsia="zh-CN"/>
              </w:rPr>
              <w:t>锤式</w:t>
            </w:r>
            <w:r>
              <w:rPr>
                <w:rFonts w:hint="default" w:ascii="Times New Roman" w:hAnsi="Times New Roman" w:eastAsia="宋体" w:cs="Times New Roman"/>
                <w:color w:val="auto"/>
                <w:highlight w:val="none"/>
              </w:rPr>
              <w:t>破碎机破碎后</w:t>
            </w:r>
            <w:r>
              <w:rPr>
                <w:rFonts w:hint="eastAsia" w:ascii="Times New Roman" w:hAnsi="Times New Roman" w:eastAsia="宋体" w:cs="Times New Roman"/>
                <w:color w:val="auto"/>
                <w:highlight w:val="none"/>
                <w:lang w:val="en-US" w:eastAsia="zh-CN"/>
              </w:rPr>
              <w:t>由</w:t>
            </w:r>
            <w:r>
              <w:rPr>
                <w:rFonts w:hint="default" w:ascii="Times New Roman" w:hAnsi="Times New Roman" w:eastAsia="宋体" w:cs="Times New Roman"/>
                <w:color w:val="auto"/>
                <w:highlight w:val="none"/>
              </w:rPr>
              <w:t>喂料机、密闭式皮带机送入磨机内进行粉磨。磨细后的石</w:t>
            </w:r>
            <w:r>
              <w:rPr>
                <w:rFonts w:hint="eastAsia" w:ascii="Times New Roman" w:hAnsi="Times New Roman" w:eastAsia="宋体" w:cs="Times New Roman"/>
                <w:color w:val="auto"/>
                <w:highlight w:val="none"/>
                <w:lang w:val="en-US" w:eastAsia="zh-CN"/>
              </w:rPr>
              <w:t>膏</w:t>
            </w:r>
            <w:r>
              <w:rPr>
                <w:rFonts w:hint="default" w:ascii="Times New Roman" w:hAnsi="Times New Roman" w:eastAsia="宋体" w:cs="Times New Roman"/>
                <w:color w:val="auto"/>
                <w:highlight w:val="none"/>
              </w:rPr>
              <w:t>粉料经螺旋输送机和斗提机送至</w:t>
            </w:r>
            <w:r>
              <w:rPr>
                <w:rFonts w:hint="eastAsia" w:ascii="Times New Roman" w:hAnsi="Times New Roman" w:eastAsia="宋体" w:cs="Times New Roman"/>
                <w:color w:val="auto"/>
                <w:highlight w:val="none"/>
                <w:lang w:val="en-US" w:eastAsia="zh-CN"/>
              </w:rPr>
              <w:t>计量器进行生产</w:t>
            </w:r>
            <w:r>
              <w:rPr>
                <w:rFonts w:hint="default" w:ascii="Times New Roman" w:hAnsi="Times New Roman" w:eastAsia="宋体" w:cs="Times New Roman"/>
                <w:color w:val="auto"/>
                <w:highlight w:val="none"/>
              </w:rPr>
              <w:t>。</w:t>
            </w:r>
          </w:p>
          <w:p w14:paraId="3849EC4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石灰粉料经螺旋输送机和斗提机送至石灰粉料仓中备用。水泥由散装罐车送到</w:t>
            </w:r>
            <w:r>
              <w:rPr>
                <w:rFonts w:hint="default" w:ascii="Times New Roman" w:hAnsi="Times New Roman" w:eastAsia="宋体" w:cs="Times New Roman"/>
                <w:color w:val="auto"/>
                <w:highlight w:val="none"/>
                <w:lang w:val="en-US" w:eastAsia="zh-CN"/>
              </w:rPr>
              <w:t>车间</w:t>
            </w:r>
            <w:r>
              <w:rPr>
                <w:rFonts w:hint="default" w:ascii="Times New Roman" w:hAnsi="Times New Roman" w:eastAsia="宋体" w:cs="Times New Roman"/>
                <w:color w:val="auto"/>
                <w:highlight w:val="none"/>
              </w:rPr>
              <w:t>内后，直接打入储仓内。</w:t>
            </w:r>
          </w:p>
          <w:p w14:paraId="2F3A818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③铝粉膏</w:t>
            </w:r>
          </w:p>
          <w:p w14:paraId="28C4EF1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由外地购入桶装铝粉膏，存放于</w:t>
            </w:r>
            <w:r>
              <w:rPr>
                <w:rFonts w:hint="default" w:ascii="Times New Roman" w:hAnsi="Times New Roman" w:eastAsia="宋体" w:cs="Times New Roman"/>
                <w:color w:val="auto"/>
                <w:highlight w:val="none"/>
                <w:lang w:val="en-US" w:eastAsia="zh-CN"/>
              </w:rPr>
              <w:t>车间</w:t>
            </w:r>
            <w:r>
              <w:rPr>
                <w:rFonts w:hint="default" w:ascii="Times New Roman" w:hAnsi="Times New Roman" w:eastAsia="宋体" w:cs="Times New Roman"/>
                <w:color w:val="auto"/>
                <w:highlight w:val="none"/>
              </w:rPr>
              <w:t>内。使用时由手推车运至配料楼底，由电动葫芦吊至配料楼三楼，然后由人工投入搅拌机内搅拌成5%的悬浮液备用。铝粉</w:t>
            </w:r>
            <w:r>
              <w:rPr>
                <w:rFonts w:hint="eastAsia" w:cs="Times New Roman"/>
                <w:color w:val="auto"/>
                <w:highlight w:val="none"/>
                <w:lang w:val="en-US" w:eastAsia="zh-CN"/>
              </w:rPr>
              <w:t>膏</w:t>
            </w:r>
            <w:r>
              <w:rPr>
                <w:rFonts w:hint="default" w:ascii="Times New Roman" w:hAnsi="Times New Roman" w:eastAsia="宋体" w:cs="Times New Roman"/>
                <w:color w:val="auto"/>
                <w:highlight w:val="none"/>
              </w:rPr>
              <w:t>用水由水流量机加入定量水。</w:t>
            </w:r>
          </w:p>
          <w:p w14:paraId="6544F27B">
            <w:pPr>
              <w:pStyle w:val="99"/>
              <w:keepNext/>
              <w:keepLines/>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outlineLvl w:val="9"/>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本工序污染源主要为筒仓废气</w:t>
            </w:r>
            <w:r>
              <w:rPr>
                <w:rFonts w:hint="eastAsia" w:cs="Times New Roman"/>
                <w:b w:val="0"/>
                <w:bCs/>
                <w:color w:val="auto"/>
                <w:highlight w:val="none"/>
                <w:lang w:eastAsia="zh-CN"/>
              </w:rPr>
              <w:t>，</w:t>
            </w:r>
            <w:r>
              <w:rPr>
                <w:rFonts w:hint="default" w:ascii="Times New Roman" w:hAnsi="Times New Roman" w:cs="Times New Roman"/>
                <w:b w:val="0"/>
                <w:bCs/>
                <w:color w:val="auto"/>
                <w:highlight w:val="none"/>
                <w:lang w:val="en-US" w:eastAsia="zh-CN"/>
              </w:rPr>
              <w:t>噪声</w:t>
            </w:r>
            <w:r>
              <w:rPr>
                <w:rFonts w:hint="default" w:ascii="Times New Roman" w:hAnsi="Times New Roman" w:eastAsia="宋体" w:cs="Times New Roman"/>
                <w:b w:val="0"/>
                <w:bCs/>
                <w:color w:val="auto"/>
                <w:highlight w:val="none"/>
              </w:rPr>
              <w:t>。</w:t>
            </w:r>
          </w:p>
          <w:p w14:paraId="04FA092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（2）配料、搅拌浇注、预养</w:t>
            </w:r>
          </w:p>
          <w:p w14:paraId="356DE5C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砂料浆及废浆由各自料浆储罐（100m</w:t>
            </w:r>
            <w:r>
              <w:rPr>
                <w:rFonts w:hint="eastAsia" w:cs="Times New Roman"/>
                <w:color w:val="auto"/>
                <w:highlight w:val="none"/>
                <w:vertAlign w:val="superscript"/>
                <w:lang w:val="en-US" w:eastAsia="zh-CN"/>
              </w:rPr>
              <w:t>3</w:t>
            </w:r>
            <w:r>
              <w:rPr>
                <w:rFonts w:hint="default" w:ascii="Times New Roman" w:hAnsi="Times New Roman" w:eastAsia="宋体" w:cs="Times New Roman"/>
                <w:color w:val="auto"/>
                <w:highlight w:val="none"/>
              </w:rPr>
              <w:t>和50m</w:t>
            </w:r>
            <w:r>
              <w:rPr>
                <w:rFonts w:hint="eastAsia" w:cs="Times New Roman"/>
                <w:color w:val="auto"/>
                <w:highlight w:val="none"/>
                <w:vertAlign w:val="superscript"/>
                <w:lang w:val="en-US" w:eastAsia="zh-CN"/>
              </w:rPr>
              <w:t>3</w:t>
            </w:r>
            <w:r>
              <w:rPr>
                <w:rFonts w:hint="default" w:ascii="Times New Roman" w:hAnsi="Times New Roman" w:eastAsia="宋体" w:cs="Times New Roman"/>
                <w:color w:val="auto"/>
                <w:highlight w:val="none"/>
              </w:rPr>
              <w:t>）下的阀门打开后直接放入罐旁调浆池内，经泵泵入配料楼料浆电子计量秤内进行累积计量，当料浆重量达到配料要求时，由自控系统关闭放料阀，停止放料。计量秤计量好的料浆按指令放入浇注搅拌机内。</w:t>
            </w:r>
          </w:p>
          <w:p w14:paraId="66FCBFC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铝粉</w:t>
            </w:r>
            <w:r>
              <w:rPr>
                <w:rFonts w:hint="eastAsia" w:cs="Times New Roman"/>
                <w:color w:val="auto"/>
                <w:highlight w:val="none"/>
                <w:lang w:val="en-US" w:eastAsia="zh-CN"/>
              </w:rPr>
              <w:t>膏</w:t>
            </w:r>
            <w:r>
              <w:rPr>
                <w:rFonts w:hint="default" w:ascii="Times New Roman" w:hAnsi="Times New Roman" w:eastAsia="宋体" w:cs="Times New Roman"/>
                <w:color w:val="auto"/>
                <w:highlight w:val="none"/>
              </w:rPr>
              <w:t>由人工称量后，倒入铝粉</w:t>
            </w:r>
            <w:r>
              <w:rPr>
                <w:rFonts w:hint="eastAsia" w:cs="Times New Roman"/>
                <w:color w:val="auto"/>
                <w:highlight w:val="none"/>
                <w:lang w:val="en-US" w:eastAsia="zh-CN"/>
              </w:rPr>
              <w:t>膏</w:t>
            </w:r>
            <w:r>
              <w:rPr>
                <w:rFonts w:hint="default" w:ascii="Times New Roman" w:hAnsi="Times New Roman" w:eastAsia="宋体" w:cs="Times New Roman"/>
                <w:color w:val="auto"/>
                <w:highlight w:val="none"/>
              </w:rPr>
              <w:t>搅拌机（1.5m</w:t>
            </w:r>
            <w:r>
              <w:rPr>
                <w:rFonts w:hint="eastAsia" w:cs="Times New Roman"/>
                <w:color w:val="auto"/>
                <w:highlight w:val="none"/>
                <w:vertAlign w:val="superscript"/>
                <w:lang w:val="en-US" w:eastAsia="zh-CN"/>
              </w:rPr>
              <w:t>3</w:t>
            </w:r>
            <w:r>
              <w:rPr>
                <w:rFonts w:hint="default" w:ascii="Times New Roman" w:hAnsi="Times New Roman" w:eastAsia="宋体" w:cs="Times New Roman"/>
                <w:color w:val="auto"/>
                <w:highlight w:val="none"/>
              </w:rPr>
              <w:t>）内制成悬浮液备用，每班配制一次。搅拌好的悬浮液直接放入铝粉</w:t>
            </w:r>
            <w:r>
              <w:rPr>
                <w:rFonts w:hint="eastAsia" w:cs="Times New Roman"/>
                <w:color w:val="auto"/>
                <w:highlight w:val="none"/>
                <w:lang w:val="en-US" w:eastAsia="zh-CN"/>
              </w:rPr>
              <w:t>膏</w:t>
            </w:r>
            <w:r>
              <w:rPr>
                <w:rFonts w:hint="default" w:ascii="Times New Roman" w:hAnsi="Times New Roman" w:eastAsia="宋体" w:cs="Times New Roman"/>
                <w:color w:val="auto"/>
                <w:highlight w:val="none"/>
              </w:rPr>
              <w:t>计量秤内，</w:t>
            </w:r>
          </w:p>
          <w:p w14:paraId="6BBCAAC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计量后放入浇注搅拌机内。</w:t>
            </w:r>
          </w:p>
          <w:p w14:paraId="746876C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料浆在浇注前温度应达到工艺要求。如温度不够可通过蒸汽加热。浇注时，模具通过浇注摆渡车运送至浇注搅拌机下就位，浇注搅拌机放料浇注。</w:t>
            </w:r>
          </w:p>
          <w:p w14:paraId="05FAD7F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浇注好的模具经浇注摆渡车及浇注－预养－切割循环线轨道间的摩擦轮输送至预养摆渡车上，由预养摆渡车送至预养室进行静停预养约1.5h～3h左右。</w:t>
            </w:r>
          </w:p>
          <w:p w14:paraId="697B8B4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本工序污染源主要为噪声。</w:t>
            </w:r>
          </w:p>
          <w:p w14:paraId="720FC10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3</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脱模、</w:t>
            </w:r>
            <w:r>
              <w:rPr>
                <w:rFonts w:hint="default" w:ascii="Times New Roman" w:hAnsi="Times New Roman" w:eastAsia="宋体" w:cs="Times New Roman"/>
                <w:color w:val="auto"/>
                <w:highlight w:val="none"/>
              </w:rPr>
              <w:t>切割</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编组</w:t>
            </w:r>
          </w:p>
          <w:p w14:paraId="60A59BA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坯体静停初养达到切割强度后，由预养摆渡车运出预养室至浇注－预养－切割循环线上，由摩擦轮运送至翻转行车下，由切割线翻转桁车（16t）上的翻转吊具吊运带模坯体翻转至切割机切割小车支座上，脱模使坯体侧立。切割小车带动坯体（连同侧板）行走进行纵切和横切，完成五面切割。整个切割过程由切割机操作台PLC控制，实现一键式自动化控制。</w:t>
            </w:r>
          </w:p>
          <w:p w14:paraId="7352A56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切割好的坯体连同侧板由釜前装载桁车（10t）上的半成品吊具吊运至切割机废浆坑旁的地面翻转台上，由翻转台带动坯体翻转90°；再由支撑台带动卧着的坯体脱离侧板，然后进行坯体底层底皮清理。底皮清理后再由翻转台回翻90°使坯体侧立回到原来的侧板上，再由釜前装载桁车（10t）吊运坯体连同侧板至蒸养小车上，每车堆放三模，堆放好的蒸养小车由轨道两侧的摩擦轮输送至釜前摆渡车上，摆渡输送至釜前轨道上，再由釜前轨道上的牵引机构牵引小车进行编组。</w:t>
            </w:r>
          </w:p>
          <w:p w14:paraId="40A7705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本工序污染源主要为坯体切割边角料、</w:t>
            </w:r>
            <w:r>
              <w:rPr>
                <w:rFonts w:hint="eastAsia" w:ascii="Times New Roman" w:hAnsi="Times New Roman" w:eastAsia="宋体" w:cs="Times New Roman"/>
                <w:color w:val="auto"/>
                <w:highlight w:val="none"/>
                <w:lang w:val="en-US" w:eastAsia="zh-CN"/>
              </w:rPr>
              <w:t>脱模剂桶、</w:t>
            </w:r>
            <w:r>
              <w:rPr>
                <w:rFonts w:hint="default" w:ascii="Times New Roman" w:hAnsi="Times New Roman" w:eastAsia="宋体" w:cs="Times New Roman"/>
                <w:color w:val="auto"/>
                <w:highlight w:val="none"/>
              </w:rPr>
              <w:t>噪声。</w:t>
            </w:r>
          </w:p>
          <w:p w14:paraId="0DCD61E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4</w:t>
            </w:r>
            <w:r>
              <w:rPr>
                <w:rFonts w:hint="default" w:ascii="Times New Roman" w:hAnsi="Times New Roman" w:eastAsia="宋体" w:cs="Times New Roman"/>
                <w:color w:val="auto"/>
                <w:highlight w:val="none"/>
              </w:rPr>
              <w:t>）蒸养及成品出釜</w:t>
            </w:r>
          </w:p>
          <w:p w14:paraId="46E205A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编组好的坯体由每条轨道中的牵引机构直接牵引并顶入釜中，进行蒸压养护。坯体在釜内恒压蒸养时间为10h左右，蒸汽压力1.2Mpa，温度183℃左右。</w:t>
            </w:r>
          </w:p>
          <w:p w14:paraId="6B579F9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制品经蒸压养护后由釜后摆渡车上的卷扬机钢丝绳牵引整条蒸养小车，使其拉出釜。其中端部第一辆小车脱钩后直接被拉上摆渡车上，再由摆渡车摆渡至回车线位置，由轨道两侧摩擦轮运送入回车线上。就位至釜后装载桁车（10t）下，再由釜后装载桁车（10t）上的半成品吊具吊运成品（连同侧板）至侧板辊道上。空小车继续由两侧摩擦轮输送至牵引机构牵引位，由牵引机构牵引送至釜前轨道，再由釜前轨道两侧摩擦轮运送就位至装载桁车（10t）下，去承载装载桁车吊运的切割好的坯体，然后再由釜前摆渡车摆渡至釜前轨道上进行循环编组。</w:t>
            </w:r>
          </w:p>
          <w:p w14:paraId="291E979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辊道带动成品（连同侧板）运行至掰板机下，掰板机自上而下进行砌块或板材间的分离。分离好的成品再由辊道带动运行至成品卸载桁车（12t）下，由成品夹具吊运成品。其中板材吊运至过渡区，由叉车运送去板材修补区域，进行检查修补，修补好的板材由叉车叉运至堆场存放。砌块吊运至砌块包装线上，经人工打包后再由叉车叉运至堆场存放。</w:t>
            </w:r>
          </w:p>
          <w:p w14:paraId="4B994D6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成品吊运完成后，空侧板继续由辊道运行至釜前翻转桁车（16t）下，再由翻转吊具吊运模框与侧板组合成模具，并翻转90°吊运至模具回车线上。在这里对模具进行清理涂油，然后再进行循环浇注。</w:t>
            </w:r>
          </w:p>
          <w:p w14:paraId="48AB67E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color w:val="auto"/>
                <w:highlight w:val="none"/>
                <w:lang w:val="en-US" w:eastAsia="zh-CN"/>
              </w:rPr>
            </w:pPr>
            <w:r>
              <w:rPr>
                <w:rFonts w:hint="eastAsia" w:cs="Times New Roman"/>
                <w:b w:val="0"/>
                <w:bCs/>
                <w:color w:val="auto"/>
                <w:highlight w:val="none"/>
                <w:lang w:val="en-US" w:eastAsia="zh-CN"/>
              </w:rPr>
              <w:t>蒸养出釜后的产品需经过检验主要看外观质量。观察是否有贯穿裂缝、断裂、明显分层、空鼓、大面积酥松、粉化、掉块的情况，若有即为不合格品进行外售综合利用。</w:t>
            </w:r>
          </w:p>
          <w:p w14:paraId="1B0EA2D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r>
              <w:rPr>
                <w:rFonts w:hint="default" w:ascii="Times New Roman" w:hAnsi="Times New Roman" w:eastAsia="宋体" w:cs="Times New Roman"/>
                <w:b w:val="0"/>
                <w:bCs/>
                <w:color w:val="auto"/>
                <w:highlight w:val="none"/>
              </w:rPr>
              <w:t>本工序污染源主要为</w:t>
            </w:r>
            <w:r>
              <w:rPr>
                <w:rFonts w:hint="eastAsia" w:cs="Times New Roman"/>
                <w:b w:val="0"/>
                <w:bCs/>
                <w:color w:val="auto"/>
                <w:highlight w:val="none"/>
                <w:lang w:val="en-US" w:eastAsia="zh-CN"/>
              </w:rPr>
              <w:t>不合格</w:t>
            </w:r>
            <w:r>
              <w:rPr>
                <w:rFonts w:hint="default" w:ascii="Times New Roman" w:hAnsi="Times New Roman" w:eastAsia="宋体" w:cs="Times New Roman"/>
                <w:b w:val="0"/>
                <w:bCs/>
                <w:color w:val="auto"/>
                <w:highlight w:val="none"/>
              </w:rPr>
              <w:t>品，设备运行产生的噪声</w:t>
            </w:r>
            <w:r>
              <w:rPr>
                <w:rFonts w:hint="default" w:ascii="Times New Roman" w:hAnsi="Times New Roman" w:cs="Times New Roman"/>
                <w:b w:val="0"/>
                <w:bCs/>
                <w:color w:val="auto"/>
                <w:highlight w:val="none"/>
                <w:lang w:eastAsia="zh-CN"/>
              </w:rPr>
              <w:t>、</w:t>
            </w:r>
            <w:r>
              <w:rPr>
                <w:rFonts w:hint="default" w:ascii="Times New Roman" w:hAnsi="Times New Roman" w:cs="Times New Roman"/>
                <w:b w:val="0"/>
                <w:bCs/>
                <w:color w:val="auto"/>
                <w:highlight w:val="none"/>
                <w:lang w:val="en-US" w:eastAsia="zh-CN"/>
              </w:rPr>
              <w:t>锅炉废气、锅炉排污水软</w:t>
            </w:r>
            <w:r>
              <w:rPr>
                <w:rFonts w:hint="eastAsia" w:cs="Times New Roman"/>
                <w:b w:val="0"/>
                <w:bCs/>
                <w:color w:val="auto"/>
                <w:highlight w:val="none"/>
                <w:lang w:val="en-US" w:eastAsia="zh-CN"/>
              </w:rPr>
              <w:t>化</w:t>
            </w:r>
            <w:r>
              <w:rPr>
                <w:rFonts w:hint="default" w:ascii="Times New Roman" w:hAnsi="Times New Roman" w:cs="Times New Roman"/>
                <w:b w:val="0"/>
                <w:bCs/>
                <w:color w:val="auto"/>
                <w:highlight w:val="none"/>
                <w:lang w:val="en-US" w:eastAsia="zh-CN"/>
              </w:rPr>
              <w:t>水制备废水、炉渣、除尘灰</w:t>
            </w:r>
            <w:r>
              <w:rPr>
                <w:rFonts w:hint="eastAsia" w:ascii="Times New Roman" w:hAnsi="Times New Roman" w:cs="Times New Roman"/>
                <w:b w:val="0"/>
                <w:bCs/>
                <w:color w:val="auto"/>
                <w:highlight w:val="none"/>
                <w:lang w:val="en-US" w:eastAsia="zh-CN"/>
              </w:rPr>
              <w:t>、冷凝水</w:t>
            </w:r>
            <w:r>
              <w:rPr>
                <w:rFonts w:hint="default" w:ascii="Times New Roman" w:hAnsi="Times New Roman" w:cs="Times New Roman"/>
                <w:b w:val="0"/>
                <w:bCs/>
                <w:color w:val="auto"/>
                <w:highlight w:val="none"/>
                <w:lang w:val="en-US" w:eastAsia="zh-CN"/>
              </w:rPr>
              <w:t>。</w:t>
            </w:r>
          </w:p>
          <w:p w14:paraId="5030ED4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553549E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11F1E66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782089D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cs="Times New Roman"/>
                <w:b w:val="0"/>
                <w:bCs/>
                <w:color w:val="auto"/>
                <w:highlight w:val="none"/>
                <w:lang w:val="en-US" w:eastAsia="zh-CN"/>
              </w:rPr>
            </w:pPr>
          </w:p>
          <w:p w14:paraId="78F95C75">
            <w:pPr>
              <w:jc w:val="center"/>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rPr>
              <w:object>
                <v:shape id="_x0000_i1026" o:spt="75" type="#_x0000_t75" style="height:307.3pt;width:397.15pt;" o:ole="t" filled="f" o:preferrelative="t" stroked="f" coordsize="21600,21600">
                  <v:path/>
                  <v:fill on="f" focussize="0,0"/>
                  <v:stroke on="f"/>
                  <v:imagedata r:id="rId16" o:title=""/>
                  <o:lock v:ext="edit" aspectratio="f"/>
                  <w10:wrap type="none"/>
                  <w10:anchorlock/>
                </v:shape>
                <o:OLEObject Type="Embed" ProgID="Visio.Drawing.11" ShapeID="_x0000_i1026" DrawAspect="Content" ObjectID="_1468075726" r:id="rId15">
                  <o:LockedField>false</o:LockedField>
                </o:OLEObject>
              </w:object>
            </w:r>
            <w:r>
              <w:rPr>
                <w:rFonts w:hint="default" w:ascii="Times New Roman" w:hAnsi="Times New Roman" w:cs="Times New Roman"/>
                <w:b/>
                <w:bCs/>
                <w:color w:val="auto"/>
                <w:highlight w:val="none"/>
              </w:rPr>
              <w:t>图2-</w:t>
            </w:r>
            <w:r>
              <w:rPr>
                <w:rFonts w:hint="eastAsia" w:cs="Times New Roman"/>
                <w:b/>
                <w:bCs/>
                <w:color w:val="auto"/>
                <w:highlight w:val="none"/>
                <w:lang w:val="en-US" w:eastAsia="zh-CN"/>
              </w:rPr>
              <w:t>3</w:t>
            </w:r>
            <w:r>
              <w:rPr>
                <w:rFonts w:hint="default" w:ascii="Times New Roman" w:hAnsi="Times New Roman" w:cs="Times New Roman"/>
                <w:b/>
                <w:bCs/>
                <w:color w:val="auto"/>
                <w:highlight w:val="none"/>
              </w:rPr>
              <w:t xml:space="preserve">  </w:t>
            </w:r>
            <w:r>
              <w:rPr>
                <w:rFonts w:hint="default" w:ascii="Times New Roman" w:hAnsi="Times New Roman" w:cs="Times New Roman"/>
                <w:b/>
                <w:bCs/>
                <w:color w:val="auto"/>
                <w:highlight w:val="none"/>
                <w:lang w:eastAsia="zh-CN"/>
              </w:rPr>
              <w:t>本项目运营期蒸压加气混凝土砌块生产工艺流程图</w:t>
            </w:r>
          </w:p>
          <w:p w14:paraId="039F8CFD">
            <w:pPr>
              <w:jc w:val="center"/>
              <w:rPr>
                <w:rFonts w:hint="default" w:ascii="Times New Roman" w:hAnsi="Times New Roman" w:cs="Times New Roman"/>
                <w:b/>
                <w:bCs/>
                <w:color w:val="auto"/>
                <w:highlight w:val="none"/>
                <w:lang w:eastAsia="zh-CN"/>
              </w:rPr>
            </w:pPr>
          </w:p>
          <w:p w14:paraId="297F462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蒸压加气混凝土板材（ALC板）</w:t>
            </w:r>
            <w:r>
              <w:rPr>
                <w:rFonts w:hint="eastAsia" w:cs="Times New Roman"/>
                <w:color w:val="auto"/>
                <w:highlight w:val="none"/>
                <w:lang w:val="en-US" w:eastAsia="zh-CN"/>
              </w:rPr>
              <w:t>生产工艺流程：</w:t>
            </w:r>
          </w:p>
          <w:p w14:paraId="3858229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（1）原料制备</w:t>
            </w:r>
          </w:p>
          <w:p w14:paraId="6E2D1FA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①</w:t>
            </w:r>
            <w:r>
              <w:rPr>
                <w:rFonts w:hint="default" w:ascii="Times New Roman" w:hAnsi="Times New Roman" w:eastAsia="宋体" w:cs="Times New Roman"/>
                <w:color w:val="auto"/>
                <w:highlight w:val="none"/>
                <w:lang w:val="en-US" w:eastAsia="zh-CN"/>
              </w:rPr>
              <w:t>砂</w:t>
            </w:r>
          </w:p>
          <w:p w14:paraId="257918E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原料砂经汽车运输至生产厂区内的</w:t>
            </w:r>
            <w:r>
              <w:rPr>
                <w:rFonts w:hint="default" w:ascii="Times New Roman" w:hAnsi="Times New Roman" w:eastAsia="宋体" w:cs="Times New Roman"/>
                <w:color w:val="auto"/>
                <w:highlight w:val="none"/>
                <w:lang w:val="en-US" w:eastAsia="zh-CN"/>
              </w:rPr>
              <w:t>库房</w:t>
            </w:r>
            <w:r>
              <w:rPr>
                <w:rFonts w:hint="default" w:ascii="Times New Roman" w:hAnsi="Times New Roman" w:eastAsia="宋体" w:cs="Times New Roman"/>
                <w:color w:val="auto"/>
                <w:highlight w:val="none"/>
              </w:rPr>
              <w:t>存放。生产时经装载机铲入料斗内，经给料计量、皮带输送至湿磨机进行磨细制浆；在磨制时定量加水，初步调制合适的料浆浓度。磨细浆从磨机流入调浆池后，再加入一定量水，精确调成符合生产要求的浓度的料浆，再由液下渣浆泵泵入料浆储罐（100</w:t>
            </w:r>
            <w:r>
              <w:rPr>
                <w:rFonts w:hint="eastAsia" w:cs="Times New Roman"/>
                <w:color w:val="auto"/>
                <w:highlight w:val="none"/>
                <w:lang w:val="en-US" w:eastAsia="zh-CN"/>
              </w:rPr>
              <w:t>m</w:t>
            </w:r>
            <w:r>
              <w:rPr>
                <w:rFonts w:hint="eastAsia" w:cs="Times New Roman"/>
                <w:color w:val="auto"/>
                <w:highlight w:val="none"/>
                <w:vertAlign w:val="superscript"/>
                <w:lang w:val="en-US" w:eastAsia="zh-CN"/>
              </w:rPr>
              <w:t>3</w:t>
            </w:r>
            <w:r>
              <w:rPr>
                <w:rFonts w:hint="default" w:ascii="Times New Roman" w:hAnsi="Times New Roman" w:eastAsia="宋体" w:cs="Times New Roman"/>
                <w:color w:val="auto"/>
                <w:highlight w:val="none"/>
              </w:rPr>
              <w:t>）内备用。细度适合的砂也可直接加入滚筒筛料斗，经水冲洗入制浆池进行制浆。把石膏按一定量直接加入制浆池内进行制浆，然后泵入配料楼石膏储罐（10</w:t>
            </w:r>
            <w:r>
              <w:rPr>
                <w:rFonts w:hint="eastAsia" w:cs="Times New Roman"/>
                <w:color w:val="auto"/>
                <w:highlight w:val="none"/>
                <w:lang w:val="en-US" w:eastAsia="zh-CN"/>
              </w:rPr>
              <w:t>m</w:t>
            </w:r>
            <w:r>
              <w:rPr>
                <w:rFonts w:hint="eastAsia" w:cs="Times New Roman"/>
                <w:color w:val="auto"/>
                <w:highlight w:val="none"/>
                <w:vertAlign w:val="superscript"/>
                <w:lang w:val="en-US" w:eastAsia="zh-CN"/>
              </w:rPr>
              <w:t>3</w:t>
            </w:r>
            <w:r>
              <w:rPr>
                <w:rFonts w:hint="default" w:ascii="Times New Roman" w:hAnsi="Times New Roman" w:eastAsia="宋体" w:cs="Times New Roman"/>
                <w:color w:val="auto"/>
                <w:highlight w:val="none"/>
              </w:rPr>
              <w:t>）内备用。</w:t>
            </w:r>
          </w:p>
          <w:p w14:paraId="5874209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w:t>
            </w:r>
            <w:r>
              <w:rPr>
                <w:rFonts w:hint="eastAsia" w:cs="Times New Roman"/>
                <w:color w:val="auto"/>
                <w:highlight w:val="none"/>
                <w:lang w:val="en-US" w:eastAsia="zh-CN"/>
              </w:rPr>
              <w:t>石膏、</w:t>
            </w:r>
            <w:r>
              <w:rPr>
                <w:rFonts w:hint="default" w:ascii="Times New Roman" w:hAnsi="Times New Roman" w:eastAsia="宋体" w:cs="Times New Roman"/>
                <w:color w:val="auto"/>
                <w:highlight w:val="none"/>
              </w:rPr>
              <w:t>生石灰和水泥</w:t>
            </w:r>
          </w:p>
          <w:p w14:paraId="2162406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石膏</w:t>
            </w:r>
            <w:r>
              <w:rPr>
                <w:rFonts w:hint="default" w:ascii="Times New Roman" w:hAnsi="Times New Roman" w:eastAsia="宋体" w:cs="Times New Roman"/>
                <w:color w:val="auto"/>
                <w:highlight w:val="none"/>
              </w:rPr>
              <w:t>由汽车运至厂内，卸入</w:t>
            </w:r>
            <w:r>
              <w:rPr>
                <w:rFonts w:hint="default" w:ascii="Times New Roman" w:hAnsi="Times New Roman" w:eastAsia="宋体" w:cs="Times New Roman"/>
                <w:color w:val="auto"/>
                <w:highlight w:val="none"/>
                <w:lang w:val="en-US" w:eastAsia="zh-CN"/>
              </w:rPr>
              <w:t>车间</w:t>
            </w:r>
            <w:r>
              <w:rPr>
                <w:rFonts w:hint="default" w:ascii="Times New Roman" w:hAnsi="Times New Roman" w:eastAsia="宋体" w:cs="Times New Roman"/>
                <w:color w:val="auto"/>
                <w:highlight w:val="none"/>
              </w:rPr>
              <w:t>内堆放。</w:t>
            </w:r>
            <w:r>
              <w:rPr>
                <w:rFonts w:hint="eastAsia" w:ascii="Times New Roman" w:hAnsi="Times New Roman" w:eastAsia="宋体" w:cs="Times New Roman"/>
                <w:color w:val="auto"/>
                <w:highlight w:val="none"/>
                <w:lang w:val="en-US" w:eastAsia="zh-CN"/>
              </w:rPr>
              <w:t>石膏</w:t>
            </w:r>
            <w:r>
              <w:rPr>
                <w:rFonts w:hint="default" w:ascii="Times New Roman" w:hAnsi="Times New Roman" w:eastAsia="宋体" w:cs="Times New Roman"/>
                <w:color w:val="auto"/>
                <w:highlight w:val="none"/>
              </w:rPr>
              <w:t>经</w:t>
            </w:r>
            <w:r>
              <w:rPr>
                <w:rFonts w:hint="eastAsia" w:cs="Times New Roman"/>
                <w:color w:val="auto"/>
                <w:highlight w:val="none"/>
                <w:lang w:eastAsia="zh-CN"/>
              </w:rPr>
              <w:t>锤式</w:t>
            </w:r>
            <w:r>
              <w:rPr>
                <w:rFonts w:hint="default" w:ascii="Times New Roman" w:hAnsi="Times New Roman" w:eastAsia="宋体" w:cs="Times New Roman"/>
                <w:color w:val="auto"/>
                <w:highlight w:val="none"/>
              </w:rPr>
              <w:t>破碎机破碎后</w:t>
            </w:r>
            <w:r>
              <w:rPr>
                <w:rFonts w:hint="eastAsia" w:ascii="Times New Roman" w:hAnsi="Times New Roman" w:eastAsia="宋体" w:cs="Times New Roman"/>
                <w:color w:val="auto"/>
                <w:highlight w:val="none"/>
                <w:lang w:val="en-US" w:eastAsia="zh-CN"/>
              </w:rPr>
              <w:t>由</w:t>
            </w:r>
            <w:r>
              <w:rPr>
                <w:rFonts w:hint="default" w:ascii="Times New Roman" w:hAnsi="Times New Roman" w:eastAsia="宋体" w:cs="Times New Roman"/>
                <w:color w:val="auto"/>
                <w:highlight w:val="none"/>
              </w:rPr>
              <w:t>喂料机、密闭式皮带机送入磨机内进行粉磨。磨细后的石</w:t>
            </w:r>
            <w:r>
              <w:rPr>
                <w:rFonts w:hint="eastAsia" w:ascii="Times New Roman" w:hAnsi="Times New Roman" w:eastAsia="宋体" w:cs="Times New Roman"/>
                <w:color w:val="auto"/>
                <w:highlight w:val="none"/>
                <w:lang w:val="en-US" w:eastAsia="zh-CN"/>
              </w:rPr>
              <w:t>膏</w:t>
            </w:r>
            <w:r>
              <w:rPr>
                <w:rFonts w:hint="default" w:ascii="Times New Roman" w:hAnsi="Times New Roman" w:eastAsia="宋体" w:cs="Times New Roman"/>
                <w:color w:val="auto"/>
                <w:highlight w:val="none"/>
              </w:rPr>
              <w:t>粉料经螺旋输送机和斗提机送至</w:t>
            </w:r>
            <w:r>
              <w:rPr>
                <w:rFonts w:hint="eastAsia" w:ascii="Times New Roman" w:hAnsi="Times New Roman" w:eastAsia="宋体" w:cs="Times New Roman"/>
                <w:color w:val="auto"/>
                <w:highlight w:val="none"/>
                <w:lang w:val="en-US" w:eastAsia="zh-CN"/>
              </w:rPr>
              <w:t>计量器进行生产</w:t>
            </w:r>
            <w:r>
              <w:rPr>
                <w:rFonts w:hint="default" w:ascii="Times New Roman" w:hAnsi="Times New Roman" w:eastAsia="宋体" w:cs="Times New Roman"/>
                <w:color w:val="auto"/>
                <w:highlight w:val="none"/>
              </w:rPr>
              <w:t>。块状生石灰由汽车运至厂内，卸入</w:t>
            </w:r>
            <w:r>
              <w:rPr>
                <w:rFonts w:hint="default" w:ascii="Times New Roman" w:hAnsi="Times New Roman" w:eastAsia="宋体" w:cs="Times New Roman"/>
                <w:color w:val="auto"/>
                <w:highlight w:val="none"/>
                <w:lang w:val="en-US" w:eastAsia="zh-CN"/>
              </w:rPr>
              <w:t>车间</w:t>
            </w:r>
            <w:r>
              <w:rPr>
                <w:rFonts w:hint="default" w:ascii="Times New Roman" w:hAnsi="Times New Roman" w:eastAsia="宋体" w:cs="Times New Roman"/>
                <w:color w:val="auto"/>
                <w:highlight w:val="none"/>
              </w:rPr>
              <w:t>内堆放。块石灰经</w:t>
            </w:r>
            <w:r>
              <w:rPr>
                <w:rFonts w:hint="eastAsia" w:cs="Times New Roman"/>
                <w:color w:val="auto"/>
                <w:highlight w:val="none"/>
                <w:lang w:eastAsia="zh-CN"/>
              </w:rPr>
              <w:t>锤式</w:t>
            </w:r>
            <w:r>
              <w:rPr>
                <w:rFonts w:hint="default" w:ascii="Times New Roman" w:hAnsi="Times New Roman" w:eastAsia="宋体" w:cs="Times New Roman"/>
                <w:color w:val="auto"/>
                <w:highlight w:val="none"/>
              </w:rPr>
              <w:t>破碎机破碎后，由斗式提升机送入石灰库中。粉磨制粉时，粒状石灰由库底喂料机、密闭式皮带机送入磨机内进行粉磨。磨细后的石灰粉料经螺旋输送机和斗提机送至石灰粉料仓中备用。</w:t>
            </w:r>
          </w:p>
          <w:p w14:paraId="5C9F3FB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水泥由散装罐车送到</w:t>
            </w:r>
            <w:r>
              <w:rPr>
                <w:rFonts w:hint="default" w:ascii="Times New Roman" w:hAnsi="Times New Roman" w:eastAsia="宋体" w:cs="Times New Roman"/>
                <w:color w:val="auto"/>
                <w:highlight w:val="none"/>
                <w:lang w:val="en-US" w:eastAsia="zh-CN"/>
              </w:rPr>
              <w:t>车间</w:t>
            </w:r>
            <w:r>
              <w:rPr>
                <w:rFonts w:hint="default" w:ascii="Times New Roman" w:hAnsi="Times New Roman" w:eastAsia="宋体" w:cs="Times New Roman"/>
                <w:color w:val="auto"/>
                <w:highlight w:val="none"/>
              </w:rPr>
              <w:t>内后，直接打入储仓内。</w:t>
            </w:r>
          </w:p>
          <w:p w14:paraId="65F39C1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③铝粉膏</w:t>
            </w:r>
          </w:p>
          <w:p w14:paraId="22AB640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由外地购入桶装铝粉膏，存放于</w:t>
            </w:r>
            <w:r>
              <w:rPr>
                <w:rFonts w:hint="default" w:ascii="Times New Roman" w:hAnsi="Times New Roman" w:eastAsia="宋体" w:cs="Times New Roman"/>
                <w:color w:val="auto"/>
                <w:highlight w:val="none"/>
                <w:lang w:val="en-US" w:eastAsia="zh-CN"/>
              </w:rPr>
              <w:t>车间</w:t>
            </w:r>
            <w:r>
              <w:rPr>
                <w:rFonts w:hint="default" w:ascii="Times New Roman" w:hAnsi="Times New Roman" w:eastAsia="宋体" w:cs="Times New Roman"/>
                <w:color w:val="auto"/>
                <w:highlight w:val="none"/>
              </w:rPr>
              <w:t>内。使用时由手推车运至配料楼底，由电动葫芦吊至配料楼三楼，然后由人工投入搅拌机内搅拌成5%的悬浮液备用。铝粉</w:t>
            </w:r>
            <w:r>
              <w:rPr>
                <w:rFonts w:hint="eastAsia" w:cs="Times New Roman"/>
                <w:color w:val="auto"/>
                <w:highlight w:val="none"/>
                <w:lang w:val="en-US" w:eastAsia="zh-CN"/>
              </w:rPr>
              <w:t>膏</w:t>
            </w:r>
            <w:r>
              <w:rPr>
                <w:rFonts w:hint="default" w:ascii="Times New Roman" w:hAnsi="Times New Roman" w:eastAsia="宋体" w:cs="Times New Roman"/>
                <w:color w:val="auto"/>
                <w:highlight w:val="none"/>
              </w:rPr>
              <w:t>用水由水流量机加入定量水。</w:t>
            </w:r>
          </w:p>
          <w:p w14:paraId="7D9DC89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④钢筋盘圆及</w:t>
            </w:r>
            <w:r>
              <w:rPr>
                <w:rFonts w:hint="eastAsia" w:cs="Times New Roman"/>
                <w:color w:val="auto"/>
                <w:highlight w:val="none"/>
                <w:lang w:val="en-US" w:eastAsia="zh-CN"/>
              </w:rPr>
              <w:t>防腐剂</w:t>
            </w:r>
          </w:p>
          <w:p w14:paraId="485BBD6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由外地采购来的钢筋盘圆，由卡车运入</w:t>
            </w:r>
            <w:r>
              <w:rPr>
                <w:rFonts w:hint="default" w:ascii="Times New Roman" w:hAnsi="Times New Roman" w:eastAsia="宋体" w:cs="Times New Roman"/>
                <w:color w:val="auto"/>
                <w:highlight w:val="none"/>
                <w:lang w:val="en-US" w:eastAsia="zh-CN"/>
              </w:rPr>
              <w:t>车间</w:t>
            </w:r>
            <w:r>
              <w:rPr>
                <w:rFonts w:hint="default" w:ascii="Times New Roman" w:hAnsi="Times New Roman" w:eastAsia="宋体" w:cs="Times New Roman"/>
                <w:color w:val="auto"/>
                <w:highlight w:val="none"/>
              </w:rPr>
              <w:t>内，堆放在车间内备用。由外地购入的桶装</w:t>
            </w:r>
            <w:r>
              <w:rPr>
                <w:rFonts w:hint="eastAsia" w:cs="Times New Roman"/>
                <w:color w:val="auto"/>
                <w:highlight w:val="none"/>
                <w:lang w:val="en-US" w:eastAsia="zh-CN"/>
              </w:rPr>
              <w:t>防腐剂</w:t>
            </w:r>
            <w:r>
              <w:rPr>
                <w:rFonts w:hint="default" w:ascii="Times New Roman" w:hAnsi="Times New Roman" w:eastAsia="宋体" w:cs="Times New Roman"/>
                <w:color w:val="auto"/>
                <w:highlight w:val="none"/>
              </w:rPr>
              <w:t>，由卡车运入厂内，堆放</w:t>
            </w:r>
            <w:r>
              <w:rPr>
                <w:rFonts w:hint="default" w:ascii="Times New Roman" w:hAnsi="Times New Roman" w:eastAsia="宋体" w:cs="Times New Roman"/>
                <w:color w:val="auto"/>
                <w:highlight w:val="none"/>
                <w:lang w:val="en-US" w:eastAsia="zh-CN"/>
              </w:rPr>
              <w:t>在</w:t>
            </w:r>
            <w:r>
              <w:rPr>
                <w:rFonts w:hint="default" w:ascii="Times New Roman" w:hAnsi="Times New Roman" w:eastAsia="宋体" w:cs="Times New Roman"/>
                <w:color w:val="auto"/>
                <w:highlight w:val="none"/>
              </w:rPr>
              <w:t>内备用。</w:t>
            </w:r>
          </w:p>
          <w:p w14:paraId="5CE3DBC6">
            <w:pPr>
              <w:pStyle w:val="99"/>
              <w:keepNext/>
              <w:keepLines/>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outlineLvl w:val="9"/>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本工序污染源主要为储备罐筒仓呼吸废气</w:t>
            </w:r>
            <w:r>
              <w:rPr>
                <w:rFonts w:hint="eastAsia" w:cs="Times New Roman"/>
                <w:b w:val="0"/>
                <w:bCs/>
                <w:color w:val="auto"/>
                <w:highlight w:val="none"/>
                <w:lang w:eastAsia="zh-CN"/>
              </w:rPr>
              <w:t>，</w:t>
            </w:r>
            <w:r>
              <w:rPr>
                <w:rFonts w:hint="default" w:ascii="Times New Roman" w:hAnsi="Times New Roman" w:cs="Times New Roman"/>
                <w:b w:val="0"/>
                <w:bCs/>
                <w:color w:val="auto"/>
                <w:highlight w:val="none"/>
                <w:lang w:val="en-US" w:eastAsia="zh-CN"/>
              </w:rPr>
              <w:t>噪声</w:t>
            </w:r>
            <w:r>
              <w:rPr>
                <w:rFonts w:hint="eastAsia" w:cs="Times New Roman"/>
                <w:b w:val="0"/>
                <w:bCs/>
                <w:color w:val="auto"/>
                <w:highlight w:val="none"/>
                <w:lang w:val="en-US" w:eastAsia="zh-CN"/>
              </w:rPr>
              <w:t>，原料破碎粉尘</w:t>
            </w:r>
            <w:r>
              <w:rPr>
                <w:rFonts w:hint="default" w:ascii="Times New Roman" w:hAnsi="Times New Roman" w:eastAsia="宋体" w:cs="Times New Roman"/>
                <w:b w:val="0"/>
                <w:bCs/>
                <w:color w:val="auto"/>
                <w:highlight w:val="none"/>
              </w:rPr>
              <w:t>。</w:t>
            </w:r>
          </w:p>
          <w:p w14:paraId="5393710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（2）配料、搅拌浇注、预养</w:t>
            </w:r>
          </w:p>
          <w:p w14:paraId="0615A96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砂料浆及废浆由各自料浆储罐（100m</w:t>
            </w:r>
            <w:r>
              <w:rPr>
                <w:rFonts w:hint="eastAsia" w:cs="Times New Roman"/>
                <w:color w:val="auto"/>
                <w:highlight w:val="none"/>
                <w:vertAlign w:val="superscript"/>
                <w:lang w:val="en-US" w:eastAsia="zh-CN"/>
              </w:rPr>
              <w:t>3</w:t>
            </w:r>
            <w:r>
              <w:rPr>
                <w:rFonts w:hint="default" w:ascii="Times New Roman" w:hAnsi="Times New Roman" w:eastAsia="宋体" w:cs="Times New Roman"/>
                <w:color w:val="auto"/>
                <w:highlight w:val="none"/>
              </w:rPr>
              <w:t>和50m</w:t>
            </w:r>
            <w:r>
              <w:rPr>
                <w:rFonts w:hint="eastAsia" w:cs="Times New Roman"/>
                <w:color w:val="auto"/>
                <w:highlight w:val="none"/>
                <w:vertAlign w:val="superscript"/>
                <w:lang w:val="en-US" w:eastAsia="zh-CN"/>
              </w:rPr>
              <w:t>3</w:t>
            </w:r>
            <w:r>
              <w:rPr>
                <w:rFonts w:hint="default" w:ascii="Times New Roman" w:hAnsi="Times New Roman" w:eastAsia="宋体" w:cs="Times New Roman"/>
                <w:color w:val="auto"/>
                <w:highlight w:val="none"/>
              </w:rPr>
              <w:t>）下的阀门打开后直接放入罐旁调浆池内，经泵泵入配料楼料浆电子计量秤内进行累积计量，当料浆重量达到配料要求时，由自控系统关闭放料阀，停止放料。计量秤计量好的料浆按指令放入浇注搅拌机内。</w:t>
            </w:r>
          </w:p>
          <w:p w14:paraId="79AD5B8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铝粉</w:t>
            </w:r>
            <w:r>
              <w:rPr>
                <w:rFonts w:hint="eastAsia" w:cs="Times New Roman"/>
                <w:color w:val="auto"/>
                <w:highlight w:val="none"/>
                <w:lang w:val="en-US" w:eastAsia="zh-CN"/>
              </w:rPr>
              <w:t>膏</w:t>
            </w:r>
            <w:r>
              <w:rPr>
                <w:rFonts w:hint="default" w:ascii="Times New Roman" w:hAnsi="Times New Roman" w:eastAsia="宋体" w:cs="Times New Roman"/>
                <w:color w:val="auto"/>
                <w:highlight w:val="none"/>
              </w:rPr>
              <w:t>由人工称量后，倒入铝粉</w:t>
            </w:r>
            <w:r>
              <w:rPr>
                <w:rFonts w:hint="eastAsia" w:cs="Times New Roman"/>
                <w:color w:val="auto"/>
                <w:highlight w:val="none"/>
                <w:lang w:val="en-US" w:eastAsia="zh-CN"/>
              </w:rPr>
              <w:t>膏</w:t>
            </w:r>
            <w:r>
              <w:rPr>
                <w:rFonts w:hint="default" w:ascii="Times New Roman" w:hAnsi="Times New Roman" w:eastAsia="宋体" w:cs="Times New Roman"/>
                <w:color w:val="auto"/>
                <w:highlight w:val="none"/>
              </w:rPr>
              <w:t>搅拌机（1.5m</w:t>
            </w:r>
            <w:r>
              <w:rPr>
                <w:rFonts w:hint="eastAsia" w:cs="Times New Roman"/>
                <w:color w:val="auto"/>
                <w:highlight w:val="none"/>
                <w:vertAlign w:val="superscript"/>
                <w:lang w:val="en-US" w:eastAsia="zh-CN"/>
              </w:rPr>
              <w:t>3</w:t>
            </w:r>
            <w:r>
              <w:rPr>
                <w:rFonts w:hint="default" w:ascii="Times New Roman" w:hAnsi="Times New Roman" w:eastAsia="宋体" w:cs="Times New Roman"/>
                <w:color w:val="auto"/>
                <w:highlight w:val="none"/>
              </w:rPr>
              <w:t>）内制成悬浮液备用，每班配制一次。搅拌好的悬浮液直接放入铝粉</w:t>
            </w:r>
            <w:r>
              <w:rPr>
                <w:rFonts w:hint="eastAsia" w:cs="Times New Roman"/>
                <w:color w:val="auto"/>
                <w:highlight w:val="none"/>
                <w:lang w:val="en-US" w:eastAsia="zh-CN"/>
              </w:rPr>
              <w:t>膏</w:t>
            </w:r>
            <w:r>
              <w:rPr>
                <w:rFonts w:hint="default" w:ascii="Times New Roman" w:hAnsi="Times New Roman" w:eastAsia="宋体" w:cs="Times New Roman"/>
                <w:color w:val="auto"/>
                <w:highlight w:val="none"/>
              </w:rPr>
              <w:t>计量秤内，</w:t>
            </w:r>
          </w:p>
          <w:p w14:paraId="0DE23EA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计量后放入浇注搅拌机内。</w:t>
            </w:r>
          </w:p>
          <w:p w14:paraId="6527133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料浆在浇注前温度应达到工艺要求。如温度不够可通过蒸汽加热。浇注时，模具通过浇注摆渡车运送至浇注搅拌机下就位，浇注搅拌机放料浇注。</w:t>
            </w:r>
          </w:p>
          <w:p w14:paraId="7EA7B16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浇注好的模具经浇注摆渡车及浇注－预养－切割循环线轨道间的摩擦轮输送至预养摆渡车上，由预养摆渡车送至预养室进行静停预养约1.5h～3h左右。</w:t>
            </w:r>
          </w:p>
          <w:p w14:paraId="002DDF4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本工序污染源主要为噪声。</w:t>
            </w:r>
          </w:p>
          <w:p w14:paraId="7C1CF94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3</w:t>
            </w:r>
            <w:r>
              <w:rPr>
                <w:rFonts w:hint="default" w:ascii="Times New Roman" w:hAnsi="Times New Roman" w:eastAsia="宋体" w:cs="Times New Roman"/>
                <w:color w:val="auto"/>
                <w:highlight w:val="none"/>
              </w:rPr>
              <w:t>）钢筋网片制备</w:t>
            </w:r>
          </w:p>
          <w:p w14:paraId="32CF78B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钢筋圆盘由钢筋库房运至钢筋加工区，由钢筋调直切断机调直切断成不同规格的相应长度的钢筋，并堆放在钢筋放置架上。</w:t>
            </w:r>
          </w:p>
          <w:p w14:paraId="6D715F5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制作钢筋网片时，取若干长筋和短筋放入自动多点焊机钢筋箱内，由自动多点焊机根据生产需要点焊成单片网片。自动多点焊机每次连续点焊成型两片单网片。</w:t>
            </w:r>
          </w:p>
          <w:p w14:paraId="52C5DC4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单网片成型后，根据板材上下层配筋不同，取上下层两片网片和若干连接件，由吊挂式单点焊机焊接成钢筋网笼。再由网片运输车运至烘干箱前端放置。</w:t>
            </w:r>
          </w:p>
          <w:p w14:paraId="1E509F9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桶装</w:t>
            </w:r>
            <w:r>
              <w:rPr>
                <w:rFonts w:hint="eastAsia" w:cs="Times New Roman"/>
                <w:color w:val="auto"/>
                <w:highlight w:val="none"/>
                <w:lang w:eastAsia="zh-CN"/>
              </w:rPr>
              <w:t>防腐剂</w:t>
            </w:r>
            <w:r>
              <w:rPr>
                <w:rFonts w:hint="default" w:ascii="Times New Roman" w:hAnsi="Times New Roman" w:eastAsia="宋体" w:cs="Times New Roman"/>
                <w:color w:val="auto"/>
                <w:highlight w:val="none"/>
              </w:rPr>
              <w:t>由库房运至钢筋加工区烘干箱前端，经防腐液搅拌机搅拌成液状后放入防腐浸渍搅拌槽内待用。</w:t>
            </w:r>
          </w:p>
          <w:p w14:paraId="3BAE60E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钢筋网笼由人工吊挂在网片吊梁下，再由单梁行车吊运放入防腐浸渍搅拌槽内浸渍，然后吊运放置在烘干箱输送链上。输送链输送速度1.7m/min，网笼由烘干箱前端输送至尾端，网片涂层已经烘干。如涂层厚度达不到生产要求，可以再由单梁行车吊运至烘干箱前端进行再次浸渍烘干。烘干好的钢筋网笼，由单梁行车吊运至网片放置架上备用。</w:t>
            </w:r>
            <w:r>
              <w:rPr>
                <w:color w:val="auto"/>
                <w:spacing w:val="-2"/>
                <w:highlight w:val="none"/>
              </w:rPr>
              <w:t>组装完后开动载有已清理并涂完脱模</w:t>
            </w:r>
            <w:r>
              <w:rPr>
                <w:color w:val="auto"/>
                <w:spacing w:val="-3"/>
                <w:highlight w:val="none"/>
              </w:rPr>
              <w:t>剂的模具运输车到组装架下，将网片下到模内，开动模具车到浇注位置，即可进行配料浇注。</w:t>
            </w:r>
          </w:p>
          <w:p w14:paraId="09652224">
            <w:pPr>
              <w:keepNext w:val="0"/>
              <w:keepLines w:val="0"/>
              <w:pageBreakBefore w:val="0"/>
              <w:widowControl w:val="0"/>
              <w:kinsoku/>
              <w:wordWrap/>
              <w:overflowPunct/>
              <w:topLinePunct w:val="0"/>
              <w:autoSpaceDE/>
              <w:autoSpaceDN/>
              <w:bidi w:val="0"/>
              <w:adjustRightInd/>
              <w:snapToGrid/>
              <w:spacing w:line="360" w:lineRule="auto"/>
              <w:ind w:firstLine="408" w:firstLineChars="200"/>
              <w:textAlignment w:val="auto"/>
              <w:rPr>
                <w:rFonts w:hint="default" w:ascii="Times New Roman" w:hAnsi="Times New Roman" w:eastAsia="宋体" w:cs="Times New Roman"/>
                <w:color w:val="auto"/>
                <w:highlight w:val="none"/>
              </w:rPr>
            </w:pPr>
            <w:r>
              <w:rPr>
                <w:rFonts w:hint="default" w:ascii="Times New Roman" w:hAnsi="Times New Roman" w:cs="Times New Roman"/>
                <w:b w:val="0"/>
                <w:bCs/>
                <w:color w:val="auto"/>
                <w:spacing w:val="-3"/>
                <w:highlight w:val="none"/>
              </w:rPr>
              <w:t>本工序污染源主要为</w:t>
            </w:r>
            <w:r>
              <w:rPr>
                <w:rFonts w:hint="default" w:ascii="Times New Roman" w:hAnsi="Times New Roman" w:cs="Times New Roman"/>
                <w:b w:val="0"/>
                <w:bCs/>
                <w:color w:val="auto"/>
                <w:highlight w:val="none"/>
              </w:rPr>
              <w:t>焊接</w:t>
            </w:r>
            <w:r>
              <w:rPr>
                <w:rFonts w:hint="eastAsia" w:cs="Times New Roman"/>
                <w:b w:val="0"/>
                <w:bCs/>
                <w:color w:val="auto"/>
                <w:highlight w:val="none"/>
                <w:lang w:eastAsia="zh-CN"/>
              </w:rPr>
              <w:t>烟尘</w:t>
            </w:r>
            <w:r>
              <w:rPr>
                <w:rFonts w:hint="default" w:ascii="Times New Roman" w:hAnsi="Times New Roman" w:cs="Times New Roman"/>
                <w:b w:val="0"/>
                <w:bCs/>
                <w:color w:val="auto"/>
                <w:highlight w:val="none"/>
              </w:rPr>
              <w:t>，钢筋防腐浸泡及</w:t>
            </w:r>
            <w:r>
              <w:rPr>
                <w:rFonts w:hint="eastAsia" w:cs="Times New Roman"/>
                <w:b w:val="0"/>
                <w:bCs/>
                <w:color w:val="auto"/>
                <w:highlight w:val="none"/>
                <w:lang w:eastAsia="zh-CN"/>
              </w:rPr>
              <w:t>烘干</w:t>
            </w:r>
            <w:r>
              <w:rPr>
                <w:rFonts w:hint="default" w:ascii="Times New Roman" w:hAnsi="Times New Roman" w:cs="Times New Roman"/>
                <w:b w:val="0"/>
                <w:bCs/>
                <w:color w:val="auto"/>
                <w:highlight w:val="none"/>
              </w:rPr>
              <w:t>工序会产生有机废气</w:t>
            </w:r>
            <w:r>
              <w:rPr>
                <w:rFonts w:hint="default" w:ascii="Times New Roman" w:hAnsi="Times New Roman" w:cs="Times New Roman"/>
                <w:b w:val="0"/>
                <w:bCs/>
                <w:color w:val="auto"/>
                <w:spacing w:val="-1"/>
                <w:highlight w:val="none"/>
              </w:rPr>
              <w:t>，</w:t>
            </w:r>
            <w:r>
              <w:rPr>
                <w:rFonts w:hint="eastAsia" w:cs="Times New Roman"/>
                <w:b w:val="0"/>
                <w:bCs/>
                <w:color w:val="auto"/>
                <w:spacing w:val="-1"/>
                <w:highlight w:val="none"/>
                <w:lang w:eastAsia="zh-CN"/>
              </w:rPr>
              <w:t>固废、</w:t>
            </w:r>
            <w:r>
              <w:rPr>
                <w:rFonts w:hint="default" w:ascii="Times New Roman" w:hAnsi="Times New Roman" w:cs="Times New Roman"/>
                <w:b w:val="0"/>
                <w:bCs/>
                <w:color w:val="auto"/>
                <w:spacing w:val="-1"/>
                <w:highlight w:val="none"/>
              </w:rPr>
              <w:t>设备运行产生的噪声。</w:t>
            </w:r>
          </w:p>
          <w:p w14:paraId="39BD575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项目采用的钢筋自动点焊机钢筋网片自动多点焊机为电阻点焊，靠大电流、加压，利用钢筋接触面电阻发热熔化母材自身，熔合连成一体，无填充焊材、无焊条、无焊丝。</w:t>
            </w:r>
          </w:p>
          <w:p w14:paraId="0FA1D0F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4</w:t>
            </w:r>
            <w:r>
              <w:rPr>
                <w:rFonts w:hint="default" w:ascii="Times New Roman" w:hAnsi="Times New Roman" w:eastAsia="宋体" w:cs="Times New Roman"/>
                <w:color w:val="auto"/>
                <w:highlight w:val="none"/>
              </w:rPr>
              <w:t>）网片组装及插拔钎</w:t>
            </w:r>
          </w:p>
          <w:p w14:paraId="0A8F071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产时成品网笼由运输车运至预养室网片提升架旁，由提升架提升至预养室二层楼面。在这里有两排网片框架停放架，一排用于停放拔钎后的空框架（a排），一排用于停放组合好的网片框架（b排）。由人工在b排进行网片组合，组合好后由网片组装摆渡车架摆渡至a排，在这里进行模具插钎。插钎和拔钎行车横跨预养室模具进出前后轨道，即横跨浇注－预养－切割循环线轨道。</w:t>
            </w:r>
          </w:p>
          <w:p w14:paraId="1EBF8E2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模具浇注后进行插钎，模具坯体预养好后进行拔钎。拔钎好的坯体由循环线摩擦轮输送至切割机旁，然后再上切割机进行切割。</w:t>
            </w:r>
          </w:p>
          <w:p w14:paraId="6C023A4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脱模、</w:t>
            </w:r>
            <w:r>
              <w:rPr>
                <w:rFonts w:hint="default" w:ascii="Times New Roman" w:hAnsi="Times New Roman" w:eastAsia="宋体" w:cs="Times New Roman"/>
                <w:color w:val="auto"/>
                <w:highlight w:val="none"/>
              </w:rPr>
              <w:t>切割</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编组</w:t>
            </w:r>
          </w:p>
          <w:p w14:paraId="6461F99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坯体静停初养达到切割强度后，由预养摆渡车运出预养室至浇注－预养－切割循环线上，由摩擦轮运送至翻转行车下，由切割线翻转桁车（16t）上的翻转吊具吊运带模坯体翻转至切割机切割小车支座上，脱模使坯体侧立。切割小车带动坯体（连同侧板）行走进行纵切和横切，完成五面切割。整个切割过程由切割机操作台PLC控制，实现一键式自动化控制。</w:t>
            </w:r>
          </w:p>
          <w:p w14:paraId="7B06F46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切割好的坯体连同侧板由釜前装载桁车（10t）上的半成品吊具吊运至切割机废浆坑旁的地面翻转台上，由翻转台带动坯体翻转90°；再由支撑台带动卧着的坯体脱离侧板，然后进行坯体底层底皮清理。底皮清理后再由翻转台回翻90°使坯体侧立回到原来的侧板上，再由釜前装载桁车（10t）吊运坯体连同侧板至蒸养小车上，每车堆放三模，堆放好的蒸养小车由轨道两侧的摩擦轮输送至釜前摆渡车上，摆渡输送至釜前轨道上，再由釜前轨道上的牵引机构牵引小车进行编组。</w:t>
            </w:r>
          </w:p>
          <w:p w14:paraId="27B85B8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本工序污染源主要为坯体切割边角料、噪声。</w:t>
            </w:r>
          </w:p>
          <w:p w14:paraId="1F11CD5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eastAsia" w:cs="Times New Roman"/>
                <w:color w:val="auto"/>
                <w:highlight w:val="none"/>
                <w:lang w:val="en-US" w:eastAsia="zh-CN"/>
              </w:rPr>
              <w:t>6</w:t>
            </w:r>
            <w:r>
              <w:rPr>
                <w:rFonts w:hint="default" w:ascii="Times New Roman" w:hAnsi="Times New Roman" w:eastAsia="宋体" w:cs="Times New Roman"/>
                <w:color w:val="auto"/>
                <w:highlight w:val="none"/>
              </w:rPr>
              <w:t>）蒸养及成品出釜</w:t>
            </w:r>
          </w:p>
          <w:p w14:paraId="1BB3E8E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编组好的坯体由每条轨道中的牵引机构直接牵引并顶入釜中，进行蒸压养护。坯体在釜内恒压蒸养时间为10h左右，蒸汽压力1.2Mpa，温度183℃左右。</w:t>
            </w:r>
          </w:p>
          <w:p w14:paraId="078AF9E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制品经蒸压养护后由釜后摆渡车上的卷扬机钢丝绳牵引整条蒸养小车，使其拉出釜。其中端部第一辆小车脱钩后直接被拉上摆渡车上，再由摆渡车摆渡至回车线位置，由轨道两侧摩擦轮运送入回车线上。就位至釜后装载桁车（10t）下，再由釜后装载桁车（10t）上的半成品吊具吊运成品（连同侧板）至侧板辊道上。空小车继续由两侧摩擦轮输送至牵引机构牵引位，由牵引机构牵引送至釜前轨道，再由釜前轨道两侧摩擦轮运送就位至装载桁车（10t）下，去承载装载桁车吊运的切割好的坯体，然后再由釜前摆渡车摆渡至釜前轨道上进行循环编组。</w:t>
            </w:r>
          </w:p>
          <w:p w14:paraId="4EE6337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辊道带动成品（连同侧板）运行至掰板机下，掰板机自上而下进行砌块或板材间的分离。分离好的成品再由辊道带动运行至成品卸载桁车（12t）下，由成品夹具吊运成品。其中板材吊运至过渡区，由叉车运送去板材修补区域，进行检查修补，修补好的板材由叉车叉运至堆场存放。砌块吊运至砌块包装线上，经人工打包后再由叉车叉运至堆场存放。</w:t>
            </w:r>
          </w:p>
          <w:p w14:paraId="65FB3F8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成品吊运完成后，空侧板继续由辊道运行至釜前翻转桁车（16t）下，再由翻转吊具吊运模框与侧板组合成模具，并翻转90°吊运至模具回车线上。在这里对模具进行清理涂油，然后再进行循环浇注。</w:t>
            </w:r>
          </w:p>
          <w:p w14:paraId="00994C4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color w:val="auto"/>
                <w:highlight w:val="none"/>
                <w:lang w:val="en-US" w:eastAsia="zh-CN"/>
              </w:rPr>
            </w:pPr>
            <w:r>
              <w:rPr>
                <w:rFonts w:hint="eastAsia" w:cs="Times New Roman"/>
                <w:b w:val="0"/>
                <w:bCs/>
                <w:color w:val="auto"/>
                <w:highlight w:val="none"/>
                <w:lang w:val="en-US" w:eastAsia="zh-CN"/>
              </w:rPr>
              <w:t>蒸养出釜后的产品需经过检验主要看外观质量。观察是否有贯穿裂缝、断裂、明显分层、空鼓、大面积酥松、粉化、掉块的情况，若有即为不合格品进行外售综合利用。</w:t>
            </w:r>
          </w:p>
          <w:p w14:paraId="04E793A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r>
              <w:rPr>
                <w:rFonts w:hint="default" w:ascii="Times New Roman" w:hAnsi="Times New Roman" w:eastAsia="宋体" w:cs="Times New Roman"/>
                <w:b w:val="0"/>
                <w:bCs/>
                <w:color w:val="auto"/>
                <w:highlight w:val="none"/>
              </w:rPr>
              <w:t>本工序污染源主要为</w:t>
            </w:r>
            <w:r>
              <w:rPr>
                <w:rFonts w:hint="eastAsia" w:cs="Times New Roman"/>
                <w:b w:val="0"/>
                <w:bCs/>
                <w:color w:val="auto"/>
                <w:highlight w:val="none"/>
                <w:lang w:val="en-US" w:eastAsia="zh-CN"/>
              </w:rPr>
              <w:t>不合格</w:t>
            </w:r>
            <w:r>
              <w:rPr>
                <w:rFonts w:hint="default" w:ascii="Times New Roman" w:hAnsi="Times New Roman" w:eastAsia="宋体" w:cs="Times New Roman"/>
                <w:b w:val="0"/>
                <w:bCs/>
                <w:color w:val="auto"/>
                <w:highlight w:val="none"/>
              </w:rPr>
              <w:t>品，设备运行产生的噪声</w:t>
            </w:r>
            <w:r>
              <w:rPr>
                <w:rFonts w:hint="default" w:ascii="Times New Roman" w:hAnsi="Times New Roman" w:cs="Times New Roman"/>
                <w:b w:val="0"/>
                <w:bCs/>
                <w:color w:val="auto"/>
                <w:highlight w:val="none"/>
                <w:lang w:eastAsia="zh-CN"/>
              </w:rPr>
              <w:t>、</w:t>
            </w:r>
            <w:r>
              <w:rPr>
                <w:rFonts w:hint="default" w:ascii="Times New Roman" w:hAnsi="Times New Roman" w:cs="Times New Roman"/>
                <w:b w:val="0"/>
                <w:bCs/>
                <w:color w:val="auto"/>
                <w:highlight w:val="none"/>
                <w:lang w:val="en-US" w:eastAsia="zh-CN"/>
              </w:rPr>
              <w:t>锅炉废气、锅炉排污水软</w:t>
            </w:r>
            <w:r>
              <w:rPr>
                <w:rFonts w:hint="eastAsia" w:cs="Times New Roman"/>
                <w:b w:val="0"/>
                <w:bCs/>
                <w:color w:val="auto"/>
                <w:highlight w:val="none"/>
                <w:lang w:val="en-US" w:eastAsia="zh-CN"/>
              </w:rPr>
              <w:t>化</w:t>
            </w:r>
            <w:r>
              <w:rPr>
                <w:rFonts w:hint="default" w:ascii="Times New Roman" w:hAnsi="Times New Roman" w:cs="Times New Roman"/>
                <w:b w:val="0"/>
                <w:bCs/>
                <w:color w:val="auto"/>
                <w:highlight w:val="none"/>
                <w:lang w:val="en-US" w:eastAsia="zh-CN"/>
              </w:rPr>
              <w:t>水制备废水、炉渣、除尘灰。</w:t>
            </w:r>
          </w:p>
          <w:p w14:paraId="1722A34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7374D5F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44C093D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39FF672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6FFC685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3713920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2BF6972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4176030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364C8C4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28D13AF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1240377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545EFE8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0094151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2EB6A74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7BDD556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71CF6C4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color w:val="auto"/>
                <w:highlight w:val="none"/>
                <w:lang w:val="en-US" w:eastAsia="zh-CN"/>
              </w:rPr>
            </w:pPr>
          </w:p>
          <w:p w14:paraId="781321E7">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object>
                <v:shape id="_x0000_i1027" o:spt="75" type="#_x0000_t75" style="height:307.3pt;width:397.15pt;" o:ole="t" filled="f" o:preferrelative="t" stroked="f" coordsize="21600,21600">
                  <v:path/>
                  <v:fill on="f" focussize="0,0"/>
                  <v:stroke on="f"/>
                  <v:imagedata r:id="rId18" o:title=""/>
                  <o:lock v:ext="edit" aspectratio="f"/>
                  <w10:wrap type="none"/>
                  <w10:anchorlock/>
                </v:shape>
                <o:OLEObject Type="Embed" ProgID="Visio.Drawing.11" ShapeID="_x0000_i1027" DrawAspect="Content" ObjectID="_1468075727" r:id="rId17">
                  <o:LockedField>false</o:LockedField>
                </o:OLEObject>
              </w:object>
            </w:r>
          </w:p>
          <w:p w14:paraId="287763DC">
            <w:pPr>
              <w:jc w:val="center"/>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rPr>
              <w:t>图2-</w:t>
            </w:r>
            <w:r>
              <w:rPr>
                <w:rFonts w:hint="eastAsia" w:cs="Times New Roman"/>
                <w:b/>
                <w:bCs/>
                <w:color w:val="auto"/>
                <w:highlight w:val="none"/>
                <w:lang w:val="en-US" w:eastAsia="zh-CN"/>
              </w:rPr>
              <w:t>4</w:t>
            </w:r>
            <w:r>
              <w:rPr>
                <w:rFonts w:hint="default" w:ascii="Times New Roman" w:hAnsi="Times New Roman" w:cs="Times New Roman"/>
                <w:b/>
                <w:bCs/>
                <w:color w:val="auto"/>
                <w:highlight w:val="none"/>
              </w:rPr>
              <w:t xml:space="preserve">  </w:t>
            </w:r>
            <w:r>
              <w:rPr>
                <w:rFonts w:hint="default" w:ascii="Times New Roman" w:hAnsi="Times New Roman" w:cs="Times New Roman"/>
                <w:b/>
                <w:bCs/>
                <w:color w:val="auto"/>
                <w:highlight w:val="none"/>
                <w:lang w:eastAsia="zh-CN"/>
              </w:rPr>
              <w:t>本项目运营期蒸压加气混凝土板材（ALC板）生产工艺流程图</w:t>
            </w:r>
          </w:p>
          <w:p w14:paraId="0FF5F92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s="Times New Roman"/>
                <w:color w:val="auto"/>
                <w:highlight w:val="none"/>
                <w:lang w:val="en-US" w:eastAsia="zh-CN"/>
              </w:rPr>
            </w:pPr>
          </w:p>
          <w:p w14:paraId="7AF6848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s="Times New Roman"/>
                <w:color w:val="auto"/>
                <w:highlight w:val="none"/>
                <w:lang w:val="en-US" w:eastAsia="zh-CN"/>
              </w:rPr>
            </w:pPr>
            <w:r>
              <w:rPr>
                <w:rFonts w:hint="eastAsia" w:cs="Times New Roman"/>
                <w:color w:val="auto"/>
                <w:highlight w:val="none"/>
                <w:lang w:val="en-US" w:eastAsia="zh-CN"/>
              </w:rPr>
              <w:t>蒸压釜工作过程：</w:t>
            </w:r>
          </w:p>
          <w:p w14:paraId="4FA9301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cs="Times New Roman"/>
                <w:color w:val="auto"/>
                <w:highlight w:val="none"/>
                <w:lang w:val="en-US" w:eastAsia="zh-CN"/>
              </w:rPr>
            </w:pPr>
            <w:r>
              <w:rPr>
                <w:rFonts w:hint="default" w:cs="Times New Roman"/>
                <w:color w:val="auto"/>
                <w:highlight w:val="none"/>
                <w:lang w:val="en-US" w:eastAsia="zh-CN"/>
              </w:rPr>
              <w:t>蒸压釜是一种大型压力容器，利用高温高压饱和蒸汽对物料进行养护，通过水热反应提升制品强度。</w:t>
            </w:r>
          </w:p>
          <w:p w14:paraId="13BF0FA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其工作过程分为进料、升温升压、恒温恒压、降温降压、出料五个阶段：</w:t>
            </w:r>
          </w:p>
          <w:p w14:paraId="71AEA4C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进料：将装有物料的蒸养小车推入釜内，关闭并锁紧釜门，确保密封安全。</w:t>
            </w:r>
          </w:p>
          <w:p w14:paraId="08CEC22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升温升压：缓慢通入饱和蒸汽，蒸汽从釜内蒸汽分配管喷出，直接冲刷、包裹物料，在表面冷凝放热，形成水膜并渗入表层气孔，快速均匀加热物料。釜内温度与压力逐渐升高，排出釜内空气以保证热效率。</w:t>
            </w:r>
          </w:p>
          <w:p w14:paraId="3601A22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恒温恒压：达到设定参数后，维持一段时间，使物料内部充分发生水热反应，获得高强度与稳定性。</w:t>
            </w:r>
          </w:p>
          <w:p w14:paraId="0EAF881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降温降压：养护完成后，缓慢排汽泄压，防止温度压力骤降导致制品开裂，直至釜内接近常压常温。蒸汽在釜内遇冷（釜壁、物料表面）凝结成水，及时疏水回收，避免积水腐蚀设备、影响养护质量。釜体底部设疏水</w:t>
            </w:r>
            <w:r>
              <w:rPr>
                <w:rFonts w:hint="eastAsia" w:cs="Times New Roman"/>
                <w:color w:val="auto"/>
                <w:highlight w:val="none"/>
                <w:lang w:val="en-US" w:eastAsia="zh-CN"/>
              </w:rPr>
              <w:t>阀</w:t>
            </w:r>
            <w:r>
              <w:rPr>
                <w:rFonts w:hint="default" w:ascii="Times New Roman" w:hAnsi="Times New Roman" w:eastAsia="宋体" w:cs="Times New Roman"/>
                <w:color w:val="auto"/>
                <w:highlight w:val="none"/>
                <w:lang w:eastAsia="zh-CN"/>
              </w:rPr>
              <w:t>，连续或间歇排出冷凝水，防止釜内积水。疏水阀排出的冷凝水汇入专用冷凝水管道，集中输送至回收系统。冷凝水经处理后送入</w:t>
            </w:r>
            <w:r>
              <w:rPr>
                <w:rFonts w:hint="eastAsia" w:cs="Times New Roman"/>
                <w:color w:val="auto"/>
                <w:highlight w:val="none"/>
                <w:lang w:val="en-US" w:eastAsia="zh-CN"/>
              </w:rPr>
              <w:t>废浆池中</w:t>
            </w:r>
            <w:r>
              <w:rPr>
                <w:rFonts w:hint="default" w:ascii="Times New Roman" w:hAnsi="Times New Roman" w:eastAsia="宋体" w:cs="Times New Roman"/>
                <w:color w:val="auto"/>
                <w:highlight w:val="none"/>
                <w:lang w:eastAsia="zh-CN"/>
              </w:rPr>
              <w:t>。</w:t>
            </w:r>
          </w:p>
          <w:p w14:paraId="3F13832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出料：确认无压后打开釜门，将养护好的制品拉出，完成一个周期。</w:t>
            </w:r>
          </w:p>
          <w:p w14:paraId="4A46F34C">
            <w:pPr>
              <w:pStyle w:val="27"/>
              <w:keepNext w:val="0"/>
              <w:keepLines w:val="0"/>
              <w:pageBreakBefore w:val="0"/>
              <w:widowControl/>
              <w:suppressLineNumbers w:val="0"/>
              <w:kinsoku/>
              <w:wordWrap/>
              <w:overflowPunct/>
              <w:topLinePunct w:val="0"/>
              <w:autoSpaceDE/>
              <w:autoSpaceDN/>
              <w:bidi w:val="0"/>
              <w:adjustRightInd/>
              <w:snapToGrid/>
              <w:spacing w:line="360" w:lineRule="auto"/>
              <w:ind w:left="0" w:firstLine="420" w:firstLineChars="200"/>
              <w:jc w:val="both"/>
              <w:textAlignment w:val="center"/>
              <w:rPr>
                <w:color w:val="auto"/>
                <w:sz w:val="21"/>
                <w:szCs w:val="21"/>
                <w:highlight w:val="none"/>
              </w:rPr>
            </w:pPr>
            <w:r>
              <w:rPr>
                <w:rFonts w:hint="eastAsia" w:ascii="宋体" w:hAnsi="宋体" w:eastAsia="宋体" w:cs="宋体"/>
                <w:color w:val="auto"/>
                <w:spacing w:val="0"/>
                <w:position w:val="0"/>
                <w:sz w:val="21"/>
                <w:szCs w:val="21"/>
                <w:highlight w:val="none"/>
              </w:rPr>
              <w:t>软水制备工艺流程：</w:t>
            </w:r>
          </w:p>
          <w:p w14:paraId="090A4CC4">
            <w:pPr>
              <w:pStyle w:val="99"/>
              <w:numPr>
                <w:ilvl w:val="0"/>
                <w:numId w:val="0"/>
              </w:numPr>
              <w:jc w:val="center"/>
              <w:rPr>
                <w:rFonts w:hint="default" w:ascii="Times New Roman" w:hAnsi="Times New Roman" w:eastAsia="宋体" w:cs="Times New Roman"/>
                <w:color w:val="auto"/>
                <w:highlight w:val="none"/>
              </w:rPr>
            </w:pPr>
            <w:r>
              <w:rPr>
                <w:color w:val="auto"/>
                <w:highlight w:val="none"/>
              </w:rPr>
              <w:drawing>
                <wp:inline distT="0" distB="0" distL="114300" distR="114300">
                  <wp:extent cx="2933700" cy="2733675"/>
                  <wp:effectExtent l="0" t="0" r="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9"/>
                          <a:stretch>
                            <a:fillRect/>
                          </a:stretch>
                        </pic:blipFill>
                        <pic:spPr>
                          <a:xfrm>
                            <a:off x="0" y="0"/>
                            <a:ext cx="2933700" cy="2733675"/>
                          </a:xfrm>
                          <a:prstGeom prst="rect">
                            <a:avLst/>
                          </a:prstGeom>
                          <a:noFill/>
                          <a:ln>
                            <a:noFill/>
                          </a:ln>
                        </pic:spPr>
                      </pic:pic>
                    </a:graphicData>
                  </a:graphic>
                </wp:inline>
              </w:drawing>
            </w:r>
          </w:p>
          <w:p w14:paraId="7EF2A855">
            <w:pPr>
              <w:pStyle w:val="56"/>
              <w:rPr>
                <w:rFonts w:hint="default" w:ascii="Times New Roman" w:hAnsi="Times New Roman" w:eastAsia="宋体" w:cs="Times New Roman"/>
                <w:color w:val="auto"/>
                <w:highlight w:val="none"/>
              </w:rPr>
            </w:pPr>
            <w:r>
              <w:rPr>
                <w:rFonts w:hint="default" w:ascii="Times New Roman" w:hAnsi="Times New Roman" w:cs="Times New Roman"/>
                <w:b/>
                <w:bCs/>
                <w:color w:val="auto"/>
                <w:highlight w:val="none"/>
              </w:rPr>
              <w:t>图2-</w:t>
            </w:r>
            <w:r>
              <w:rPr>
                <w:rFonts w:hint="eastAsia" w:ascii="Times New Roman" w:hAnsi="Times New Roman" w:cs="Times New Roman"/>
                <w:b/>
                <w:bCs/>
                <w:color w:val="auto"/>
                <w:highlight w:val="none"/>
                <w:lang w:val="en-US" w:eastAsia="zh-CN"/>
              </w:rPr>
              <w:t>5</w:t>
            </w:r>
            <w:r>
              <w:rPr>
                <w:rFonts w:hint="default" w:ascii="Times New Roman" w:hAnsi="Times New Roman" w:cs="Times New Roman"/>
                <w:b/>
                <w:bCs/>
                <w:color w:val="auto"/>
                <w:highlight w:val="none"/>
              </w:rPr>
              <w:t xml:space="preserve">  </w:t>
            </w:r>
            <w:r>
              <w:rPr>
                <w:rFonts w:hint="eastAsia" w:ascii="Times New Roman" w:hAnsi="Times New Roman" w:cs="Times New Roman"/>
                <w:b/>
                <w:bCs/>
                <w:color w:val="auto"/>
                <w:highlight w:val="none"/>
                <w:lang w:eastAsia="zh-CN"/>
              </w:rPr>
              <w:t>软化水制备</w:t>
            </w:r>
            <w:r>
              <w:rPr>
                <w:rFonts w:hint="default" w:ascii="Times New Roman" w:hAnsi="Times New Roman" w:cs="Times New Roman"/>
                <w:b/>
                <w:bCs/>
                <w:color w:val="auto"/>
                <w:highlight w:val="none"/>
                <w:lang w:eastAsia="zh-CN"/>
              </w:rPr>
              <w:t>流程</w:t>
            </w:r>
            <w:r>
              <w:rPr>
                <w:rFonts w:hint="eastAsia" w:ascii="Times New Roman" w:hAnsi="Times New Roman" w:cs="Times New Roman"/>
                <w:b/>
                <w:bCs/>
                <w:color w:val="auto"/>
                <w:highlight w:val="none"/>
                <w:lang w:eastAsia="zh-CN"/>
              </w:rPr>
              <w:t>图</w:t>
            </w:r>
          </w:p>
          <w:p w14:paraId="10DCFB8E">
            <w:pPr>
              <w:pStyle w:val="2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firstLine="420" w:firstLineChars="200"/>
              <w:jc w:val="left"/>
              <w:textAlignment w:val="center"/>
              <w:rPr>
                <w:color w:val="auto"/>
                <w:sz w:val="21"/>
                <w:szCs w:val="21"/>
                <w:highlight w:val="none"/>
              </w:rPr>
            </w:pPr>
            <w:r>
              <w:rPr>
                <w:rFonts w:hint="eastAsia" w:ascii="宋体" w:hAnsi="宋体" w:eastAsia="宋体" w:cs="宋体"/>
                <w:color w:val="auto"/>
                <w:spacing w:val="0"/>
                <w:position w:val="0"/>
                <w:sz w:val="21"/>
                <w:szCs w:val="21"/>
                <w:highlight w:val="none"/>
              </w:rPr>
              <w:t>工艺流程简介：</w:t>
            </w:r>
          </w:p>
          <w:p w14:paraId="34FB6F25">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firstLine="420" w:firstLineChars="200"/>
              <w:jc w:val="left"/>
              <w:rPr>
                <w:rFonts w:hint="eastAsia" w:ascii="宋体" w:hAnsi="宋体" w:eastAsia="宋体" w:cs="宋体"/>
                <w:color w:val="auto"/>
                <w:spacing w:val="0"/>
                <w:kern w:val="0"/>
                <w:position w:val="0"/>
                <w:sz w:val="21"/>
                <w:szCs w:val="21"/>
                <w:highlight w:val="none"/>
                <w:lang w:val="en-US" w:eastAsia="zh-CN" w:bidi="ar"/>
              </w:rPr>
            </w:pPr>
            <w:r>
              <w:rPr>
                <w:rFonts w:hint="eastAsia" w:ascii="宋体" w:hAnsi="宋体" w:eastAsia="宋体" w:cs="宋体"/>
                <w:color w:val="auto"/>
                <w:spacing w:val="0"/>
                <w:kern w:val="0"/>
                <w:position w:val="0"/>
                <w:sz w:val="21"/>
                <w:szCs w:val="21"/>
                <w:highlight w:val="none"/>
                <w:lang w:val="en-US" w:eastAsia="zh-CN" w:bidi="ar"/>
              </w:rPr>
              <w:t>①制软化水：原水在一定的压力（</w:t>
            </w:r>
            <w:r>
              <w:rPr>
                <w:rFonts w:hint="default" w:ascii="Times New Roman" w:hAnsi="Times New Roman" w:eastAsia="宋体" w:cs="Times New Roman"/>
                <w:color w:val="auto"/>
                <w:spacing w:val="0"/>
                <w:kern w:val="0"/>
                <w:position w:val="0"/>
                <w:sz w:val="21"/>
                <w:szCs w:val="21"/>
                <w:highlight w:val="none"/>
                <w:lang w:val="en-US" w:eastAsia="zh-CN" w:bidi="ar"/>
              </w:rPr>
              <w:t>0.2</w:t>
            </w:r>
            <w:r>
              <w:rPr>
                <w:rFonts w:hint="eastAsia" w:ascii="宋体" w:hAnsi="宋体" w:eastAsia="宋体" w:cs="宋体"/>
                <w:color w:val="auto"/>
                <w:spacing w:val="0"/>
                <w:kern w:val="0"/>
                <w:position w:val="0"/>
                <w:sz w:val="21"/>
                <w:szCs w:val="21"/>
                <w:highlight w:val="none"/>
                <w:lang w:val="en-US" w:eastAsia="zh-CN" w:bidi="ar"/>
              </w:rPr>
              <w:t>～</w:t>
            </w:r>
            <w:r>
              <w:rPr>
                <w:rFonts w:hint="default" w:ascii="Times New Roman" w:hAnsi="Times New Roman" w:eastAsia="宋体" w:cs="Times New Roman"/>
                <w:color w:val="auto"/>
                <w:spacing w:val="0"/>
                <w:kern w:val="0"/>
                <w:position w:val="0"/>
                <w:sz w:val="21"/>
                <w:szCs w:val="21"/>
                <w:highlight w:val="none"/>
                <w:lang w:val="en-US" w:eastAsia="zh-CN" w:bidi="ar"/>
              </w:rPr>
              <w:t>0</w:t>
            </w:r>
            <w:r>
              <w:rPr>
                <w:rFonts w:hint="eastAsia" w:ascii="Times New Roman" w:hAnsi="Times New Roman" w:eastAsia="宋体" w:cs="Times New Roman"/>
                <w:color w:val="auto"/>
                <w:spacing w:val="0"/>
                <w:kern w:val="0"/>
                <w:position w:val="0"/>
                <w:sz w:val="21"/>
                <w:szCs w:val="21"/>
                <w:highlight w:val="none"/>
                <w:lang w:val="en-US" w:eastAsia="zh-CN" w:bidi="ar"/>
              </w:rPr>
              <w:t>.</w:t>
            </w:r>
            <w:r>
              <w:rPr>
                <w:rFonts w:hint="default" w:ascii="Times New Roman" w:hAnsi="Times New Roman" w:eastAsia="宋体" w:cs="Times New Roman"/>
                <w:color w:val="auto"/>
                <w:spacing w:val="0"/>
                <w:kern w:val="0"/>
                <w:position w:val="0"/>
                <w:sz w:val="21"/>
                <w:szCs w:val="21"/>
                <w:highlight w:val="none"/>
                <w:lang w:val="en-US" w:eastAsia="zh-CN" w:bidi="ar"/>
              </w:rPr>
              <w:t>6Mpa</w:t>
            </w:r>
            <w:r>
              <w:rPr>
                <w:rFonts w:hint="eastAsia" w:ascii="宋体" w:hAnsi="宋体" w:eastAsia="宋体" w:cs="宋体"/>
                <w:color w:val="auto"/>
                <w:spacing w:val="0"/>
                <w:kern w:val="0"/>
                <w:position w:val="0"/>
                <w:sz w:val="21"/>
                <w:szCs w:val="21"/>
                <w:highlight w:val="none"/>
                <w:lang w:val="en-US" w:eastAsia="zh-CN" w:bidi="ar"/>
              </w:rPr>
              <w:t>）、流量下，通过控制器阀腔，进入装有离子交换树脂的容器（树脂罐），树脂中所含的</w:t>
            </w:r>
            <w:r>
              <w:rPr>
                <w:rFonts w:hint="default" w:ascii="Times New Roman" w:hAnsi="Times New Roman" w:eastAsia="宋体" w:cs="Times New Roman"/>
                <w:color w:val="auto"/>
                <w:spacing w:val="0"/>
                <w:kern w:val="0"/>
                <w:position w:val="0"/>
                <w:sz w:val="21"/>
                <w:szCs w:val="21"/>
                <w:highlight w:val="none"/>
                <w:lang w:val="en-US" w:eastAsia="zh-CN" w:bidi="ar"/>
              </w:rPr>
              <w:t>Na</w:t>
            </w:r>
            <w:r>
              <w:rPr>
                <w:rFonts w:hint="default" w:ascii="Times New Roman" w:hAnsi="Times New Roman" w:eastAsia="宋体" w:cs="Times New Roman"/>
                <w:color w:val="auto"/>
                <w:spacing w:val="0"/>
                <w:kern w:val="0"/>
                <w:position w:val="0"/>
                <w:sz w:val="21"/>
                <w:szCs w:val="21"/>
                <w:highlight w:val="none"/>
                <w:vertAlign w:val="superscript"/>
                <w:lang w:val="en-US" w:eastAsia="zh-CN" w:bidi="ar"/>
              </w:rPr>
              <w:t>+</w:t>
            </w:r>
            <w:r>
              <w:rPr>
                <w:rFonts w:hint="eastAsia" w:ascii="宋体" w:hAnsi="宋体" w:eastAsia="宋体" w:cs="宋体"/>
                <w:color w:val="auto"/>
                <w:spacing w:val="0"/>
                <w:kern w:val="0"/>
                <w:position w:val="0"/>
                <w:sz w:val="21"/>
                <w:szCs w:val="21"/>
                <w:highlight w:val="none"/>
                <w:lang w:val="en-US" w:eastAsia="zh-CN" w:bidi="ar"/>
              </w:rPr>
              <w:t>与水中的阳离子（</w:t>
            </w:r>
            <w:r>
              <w:rPr>
                <w:rFonts w:hint="default" w:ascii="Times New Roman" w:hAnsi="Times New Roman" w:eastAsia="宋体" w:cs="Times New Roman"/>
                <w:color w:val="auto"/>
                <w:spacing w:val="0"/>
                <w:kern w:val="0"/>
                <w:position w:val="0"/>
                <w:sz w:val="21"/>
                <w:szCs w:val="21"/>
                <w:highlight w:val="none"/>
                <w:lang w:val="en-US" w:eastAsia="zh-CN" w:bidi="ar"/>
              </w:rPr>
              <w:t>Ca</w:t>
            </w:r>
            <w:r>
              <w:rPr>
                <w:rFonts w:hint="default" w:ascii="Times New Roman" w:hAnsi="Times New Roman" w:eastAsia="宋体" w:cs="Times New Roman"/>
                <w:color w:val="auto"/>
                <w:spacing w:val="0"/>
                <w:kern w:val="0"/>
                <w:position w:val="0"/>
                <w:sz w:val="21"/>
                <w:szCs w:val="21"/>
                <w:highlight w:val="none"/>
                <w:vertAlign w:val="superscript"/>
                <w:lang w:val="en-US" w:eastAsia="zh-CN" w:bidi="ar"/>
              </w:rPr>
              <w:t>2+</w:t>
            </w:r>
            <w:r>
              <w:rPr>
                <w:rFonts w:hint="eastAsia" w:ascii="宋体" w:hAnsi="宋体" w:eastAsia="宋体" w:cs="宋体"/>
                <w:color w:val="auto"/>
                <w:spacing w:val="0"/>
                <w:kern w:val="0"/>
                <w:position w:val="0"/>
                <w:sz w:val="21"/>
                <w:szCs w:val="21"/>
                <w:highlight w:val="none"/>
                <w:lang w:val="en-US" w:eastAsia="zh-CN" w:bidi="ar"/>
              </w:rPr>
              <w:t>、</w:t>
            </w:r>
            <w:r>
              <w:rPr>
                <w:rFonts w:hint="default" w:ascii="Times New Roman" w:hAnsi="Times New Roman" w:eastAsia="宋体" w:cs="Times New Roman"/>
                <w:color w:val="auto"/>
                <w:spacing w:val="0"/>
                <w:kern w:val="0"/>
                <w:position w:val="0"/>
                <w:sz w:val="21"/>
                <w:szCs w:val="21"/>
                <w:highlight w:val="none"/>
                <w:lang w:val="en-US" w:eastAsia="zh-CN" w:bidi="ar"/>
              </w:rPr>
              <w:t>Mg</w:t>
            </w:r>
            <w:r>
              <w:rPr>
                <w:rFonts w:hint="default" w:ascii="Times New Roman" w:hAnsi="Times New Roman" w:eastAsia="宋体" w:cs="Times New Roman"/>
                <w:color w:val="auto"/>
                <w:spacing w:val="0"/>
                <w:kern w:val="0"/>
                <w:position w:val="0"/>
                <w:sz w:val="21"/>
                <w:szCs w:val="21"/>
                <w:highlight w:val="none"/>
                <w:vertAlign w:val="superscript"/>
                <w:lang w:val="en-US" w:eastAsia="zh-CN" w:bidi="ar"/>
              </w:rPr>
              <w:t>2+</w:t>
            </w:r>
            <w:r>
              <w:rPr>
                <w:rFonts w:hint="eastAsia" w:ascii="宋体" w:hAnsi="宋体" w:eastAsia="宋体" w:cs="宋体"/>
                <w:color w:val="auto"/>
                <w:spacing w:val="0"/>
                <w:kern w:val="0"/>
                <w:position w:val="0"/>
                <w:sz w:val="21"/>
                <w:szCs w:val="21"/>
                <w:highlight w:val="none"/>
                <w:lang w:val="en-US" w:eastAsia="zh-CN" w:bidi="ar"/>
              </w:rPr>
              <w:t>、</w:t>
            </w:r>
            <w:r>
              <w:rPr>
                <w:rFonts w:hint="default" w:ascii="Times New Roman" w:hAnsi="Times New Roman" w:eastAsia="宋体" w:cs="Times New Roman"/>
                <w:color w:val="auto"/>
                <w:spacing w:val="0"/>
                <w:kern w:val="0"/>
                <w:position w:val="0"/>
                <w:sz w:val="21"/>
                <w:szCs w:val="21"/>
                <w:highlight w:val="none"/>
                <w:lang w:val="en-US" w:eastAsia="zh-CN" w:bidi="ar"/>
              </w:rPr>
              <w:t>Fe</w:t>
            </w:r>
            <w:r>
              <w:rPr>
                <w:rFonts w:hint="default" w:ascii="Times New Roman" w:hAnsi="Times New Roman" w:eastAsia="宋体" w:cs="Times New Roman"/>
                <w:color w:val="auto"/>
                <w:spacing w:val="0"/>
                <w:kern w:val="0"/>
                <w:position w:val="0"/>
                <w:sz w:val="21"/>
                <w:szCs w:val="21"/>
                <w:highlight w:val="none"/>
                <w:vertAlign w:val="superscript"/>
                <w:lang w:val="en-US" w:eastAsia="zh-CN" w:bidi="ar"/>
              </w:rPr>
              <w:t>2+</w:t>
            </w:r>
            <w:r>
              <w:rPr>
                <w:rFonts w:hint="eastAsia" w:ascii="宋体" w:hAnsi="宋体" w:eastAsia="宋体" w:cs="宋体"/>
                <w:color w:val="auto"/>
                <w:spacing w:val="0"/>
                <w:kern w:val="0"/>
                <w:position w:val="0"/>
                <w:sz w:val="21"/>
                <w:szCs w:val="21"/>
                <w:highlight w:val="none"/>
                <w:lang w:val="en-US" w:eastAsia="zh-CN" w:bidi="ar"/>
              </w:rPr>
              <w:t>等）进行交换，使经过处理后水的</w:t>
            </w:r>
            <w:r>
              <w:rPr>
                <w:rFonts w:hint="default" w:ascii="Times New Roman" w:hAnsi="Times New Roman" w:eastAsia="宋体" w:cs="Times New Roman"/>
                <w:color w:val="auto"/>
                <w:spacing w:val="0"/>
                <w:kern w:val="0"/>
                <w:position w:val="0"/>
                <w:sz w:val="21"/>
                <w:szCs w:val="21"/>
                <w:highlight w:val="none"/>
                <w:lang w:val="en-US" w:eastAsia="zh-CN" w:bidi="ar"/>
              </w:rPr>
              <w:t>Ca</w:t>
            </w:r>
            <w:r>
              <w:rPr>
                <w:rFonts w:hint="default" w:ascii="Times New Roman" w:hAnsi="Times New Roman" w:eastAsia="宋体" w:cs="Times New Roman"/>
                <w:color w:val="auto"/>
                <w:spacing w:val="0"/>
                <w:kern w:val="0"/>
                <w:position w:val="0"/>
                <w:sz w:val="21"/>
                <w:szCs w:val="21"/>
                <w:highlight w:val="none"/>
                <w:vertAlign w:val="superscript"/>
                <w:lang w:val="en-US" w:eastAsia="zh-CN" w:bidi="ar"/>
              </w:rPr>
              <w:t>2+</w:t>
            </w:r>
            <w:r>
              <w:rPr>
                <w:rFonts w:hint="eastAsia" w:ascii="宋体" w:hAnsi="宋体" w:eastAsia="宋体" w:cs="宋体"/>
                <w:color w:val="auto"/>
                <w:spacing w:val="0"/>
                <w:kern w:val="0"/>
                <w:position w:val="0"/>
                <w:sz w:val="21"/>
                <w:szCs w:val="21"/>
                <w:highlight w:val="none"/>
                <w:lang w:val="en-US" w:eastAsia="zh-CN" w:bidi="ar"/>
              </w:rPr>
              <w:t>、</w:t>
            </w:r>
            <w:r>
              <w:rPr>
                <w:rFonts w:hint="default" w:ascii="Times New Roman" w:hAnsi="Times New Roman" w:eastAsia="宋体" w:cs="Times New Roman"/>
                <w:color w:val="auto"/>
                <w:spacing w:val="0"/>
                <w:kern w:val="0"/>
                <w:position w:val="0"/>
                <w:sz w:val="21"/>
                <w:szCs w:val="21"/>
                <w:highlight w:val="none"/>
                <w:lang w:val="en-US" w:eastAsia="zh-CN" w:bidi="ar"/>
              </w:rPr>
              <w:t>Mg</w:t>
            </w:r>
            <w:r>
              <w:rPr>
                <w:rFonts w:hint="default" w:ascii="Times New Roman" w:hAnsi="Times New Roman" w:eastAsia="宋体" w:cs="Times New Roman"/>
                <w:color w:val="auto"/>
                <w:spacing w:val="0"/>
                <w:kern w:val="0"/>
                <w:position w:val="0"/>
                <w:sz w:val="21"/>
                <w:szCs w:val="21"/>
                <w:highlight w:val="none"/>
                <w:vertAlign w:val="superscript"/>
                <w:lang w:val="en-US" w:eastAsia="zh-CN" w:bidi="ar"/>
              </w:rPr>
              <w:t>2+</w:t>
            </w:r>
            <w:r>
              <w:rPr>
                <w:rFonts w:hint="eastAsia" w:ascii="宋体" w:hAnsi="宋体" w:eastAsia="宋体" w:cs="宋体"/>
                <w:color w:val="auto"/>
                <w:spacing w:val="0"/>
                <w:kern w:val="0"/>
                <w:position w:val="0"/>
                <w:sz w:val="21"/>
                <w:szCs w:val="21"/>
                <w:highlight w:val="none"/>
                <w:lang w:val="en-US" w:eastAsia="zh-CN" w:bidi="ar"/>
              </w:rPr>
              <w:t>离子含量达到既定的要求，实现了硬水的软化。</w:t>
            </w:r>
          </w:p>
          <w:p w14:paraId="260F472D">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firstLine="420" w:firstLineChars="200"/>
              <w:jc w:val="left"/>
              <w:rPr>
                <w:rFonts w:hint="eastAsia" w:ascii="宋体" w:hAnsi="宋体" w:eastAsia="宋体" w:cs="宋体"/>
                <w:color w:val="auto"/>
                <w:spacing w:val="0"/>
                <w:kern w:val="0"/>
                <w:position w:val="0"/>
                <w:sz w:val="21"/>
                <w:szCs w:val="21"/>
                <w:highlight w:val="none"/>
                <w:lang w:val="en-US" w:eastAsia="zh-CN" w:bidi="ar"/>
              </w:rPr>
            </w:pPr>
            <w:r>
              <w:rPr>
                <w:rFonts w:hint="eastAsia" w:ascii="宋体" w:hAnsi="宋体" w:eastAsia="宋体" w:cs="宋体"/>
                <w:color w:val="auto"/>
                <w:spacing w:val="0"/>
                <w:kern w:val="0"/>
                <w:position w:val="0"/>
                <w:sz w:val="21"/>
                <w:szCs w:val="21"/>
                <w:highlight w:val="none"/>
                <w:lang w:val="en-US" w:eastAsia="zh-CN" w:bidi="ar"/>
              </w:rPr>
              <w:t>②反洗：树脂吸附一定量的钙镁离子后失效，进行再生前先用水自下而上的进行反洗。反洗的目的有两个：</w:t>
            </w:r>
            <w:r>
              <w:rPr>
                <w:rFonts w:hint="default" w:ascii="Times New Roman" w:hAnsi="Times New Roman" w:eastAsia="宋体" w:cs="Times New Roman"/>
                <w:color w:val="auto"/>
                <w:spacing w:val="0"/>
                <w:kern w:val="0"/>
                <w:position w:val="0"/>
                <w:sz w:val="21"/>
                <w:szCs w:val="21"/>
                <w:highlight w:val="none"/>
                <w:lang w:val="en-US" w:eastAsia="zh-CN" w:bidi="ar"/>
              </w:rPr>
              <w:t>a.</w:t>
            </w:r>
            <w:r>
              <w:rPr>
                <w:rFonts w:hint="eastAsia" w:ascii="宋体" w:hAnsi="宋体" w:eastAsia="宋体" w:cs="宋体"/>
                <w:color w:val="auto"/>
                <w:spacing w:val="0"/>
                <w:kern w:val="0"/>
                <w:position w:val="0"/>
                <w:sz w:val="21"/>
                <w:szCs w:val="21"/>
                <w:highlight w:val="none"/>
                <w:lang w:val="en-US" w:eastAsia="zh-CN" w:bidi="ar"/>
              </w:rPr>
              <w:t>通过反洗使运行中压紧的树脂层松动，有利于树脂颗粒与反洗液充分接触；</w:t>
            </w:r>
            <w:r>
              <w:rPr>
                <w:rFonts w:hint="default" w:ascii="Times New Roman" w:hAnsi="Times New Roman" w:eastAsia="宋体" w:cs="Times New Roman"/>
                <w:color w:val="auto"/>
                <w:spacing w:val="0"/>
                <w:kern w:val="0"/>
                <w:position w:val="0"/>
                <w:sz w:val="21"/>
                <w:szCs w:val="21"/>
                <w:highlight w:val="none"/>
                <w:lang w:val="en-US" w:eastAsia="zh-CN" w:bidi="ar"/>
              </w:rPr>
              <w:t>b.</w:t>
            </w:r>
            <w:r>
              <w:rPr>
                <w:rFonts w:hint="eastAsia" w:ascii="宋体" w:hAnsi="宋体" w:eastAsia="宋体" w:cs="宋体"/>
                <w:color w:val="auto"/>
                <w:spacing w:val="0"/>
                <w:kern w:val="0"/>
                <w:position w:val="0"/>
                <w:sz w:val="21"/>
                <w:szCs w:val="21"/>
                <w:highlight w:val="none"/>
                <w:lang w:val="en-US" w:eastAsia="zh-CN" w:bidi="ar"/>
              </w:rPr>
              <w:t>运行时在树脂表层积累的悬浮物及一些碎树脂颗粒也随着反洗水流排除，这样，交换器的水流阻力不会越来越大。</w:t>
            </w:r>
          </w:p>
          <w:p w14:paraId="0A69E3ED">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firstLine="420" w:firstLineChars="200"/>
              <w:jc w:val="left"/>
              <w:rPr>
                <w:rFonts w:hint="eastAsia" w:ascii="宋体" w:hAnsi="宋体" w:eastAsia="宋体" w:cs="宋体"/>
                <w:color w:val="auto"/>
                <w:spacing w:val="0"/>
                <w:kern w:val="0"/>
                <w:position w:val="0"/>
                <w:sz w:val="21"/>
                <w:szCs w:val="21"/>
                <w:highlight w:val="none"/>
                <w:lang w:val="en-US" w:eastAsia="zh-CN" w:bidi="ar"/>
              </w:rPr>
            </w:pPr>
            <w:r>
              <w:rPr>
                <w:rFonts w:hint="eastAsia" w:ascii="宋体" w:hAnsi="宋体" w:eastAsia="宋体" w:cs="宋体"/>
                <w:color w:val="auto"/>
                <w:spacing w:val="0"/>
                <w:kern w:val="0"/>
                <w:position w:val="0"/>
                <w:sz w:val="21"/>
                <w:szCs w:val="21"/>
                <w:highlight w:val="none"/>
                <w:lang w:val="en-US" w:eastAsia="zh-CN" w:bidi="ar"/>
              </w:rPr>
              <w:t>③再生吸盐：再生液（氯化钠溶液）在一定流量下流经失效的树脂层，将树脂上的钙镁离子置换下来，将树脂还原再生，使其恢复原有的交换能力。</w:t>
            </w:r>
          </w:p>
          <w:p w14:paraId="5DF2E8FD">
            <w:pPr>
              <w:keepNext w:val="0"/>
              <w:keepLines w:val="0"/>
              <w:pageBreakBefore w:val="0"/>
              <w:widowControl/>
              <w:suppressLineNumbers w:val="0"/>
              <w:kinsoku/>
              <w:wordWrap/>
              <w:overflowPunct/>
              <w:topLinePunct w:val="0"/>
              <w:autoSpaceDE/>
              <w:autoSpaceDN/>
              <w:bidi w:val="0"/>
              <w:adjustRightInd/>
              <w:snapToGrid/>
              <w:spacing w:beforeAutospacing="0" w:afterAutospacing="0" w:line="360" w:lineRule="auto"/>
              <w:ind w:firstLine="420" w:firstLineChars="200"/>
              <w:jc w:val="left"/>
              <w:rPr>
                <w:rFonts w:hint="default"/>
                <w:color w:val="auto"/>
                <w:sz w:val="21"/>
                <w:szCs w:val="21"/>
                <w:highlight w:val="none"/>
              </w:rPr>
            </w:pPr>
            <w:r>
              <w:rPr>
                <w:rFonts w:hint="eastAsia" w:ascii="宋体" w:hAnsi="宋体" w:eastAsia="宋体" w:cs="宋体"/>
                <w:color w:val="auto"/>
                <w:spacing w:val="0"/>
                <w:kern w:val="0"/>
                <w:position w:val="0"/>
                <w:sz w:val="21"/>
                <w:szCs w:val="21"/>
                <w:highlight w:val="none"/>
                <w:lang w:val="en-US" w:eastAsia="zh-CN" w:bidi="ar"/>
              </w:rPr>
              <w:t>④慢速清洗：再生液进完后，交换器膨胀空间的树脂层中还有尚未参与再生交</w:t>
            </w:r>
            <w:r>
              <w:rPr>
                <w:rFonts w:hint="default"/>
                <w:color w:val="auto"/>
                <w:sz w:val="21"/>
                <w:szCs w:val="21"/>
                <w:highlight w:val="none"/>
              </w:rPr>
              <w:t>换的盐液及树脂，以小流量的清水和盐液同方向流动，使盐液和树脂充分接触，从而使树脂再生完全并充分利用盐液。</w:t>
            </w:r>
          </w:p>
          <w:p w14:paraId="1D2B1A44">
            <w:pPr>
              <w:keepNext w:val="0"/>
              <w:keepLines w:val="0"/>
              <w:pageBreakBefore w:val="0"/>
              <w:kinsoku/>
              <w:wordWrap/>
              <w:overflowPunct/>
              <w:topLinePunct w:val="0"/>
              <w:autoSpaceDE/>
              <w:autoSpaceDN/>
              <w:bidi w:val="0"/>
              <w:adjustRightInd/>
              <w:snapToGrid/>
              <w:spacing w:beforeAutospacing="0" w:afterAutospacing="0" w:line="360" w:lineRule="auto"/>
              <w:ind w:firstLine="420" w:firstLineChars="200"/>
              <w:rPr>
                <w:rFonts w:hint="default"/>
                <w:color w:val="auto"/>
                <w:sz w:val="21"/>
                <w:szCs w:val="21"/>
                <w:highlight w:val="none"/>
              </w:rPr>
            </w:pPr>
            <w:r>
              <w:rPr>
                <w:rFonts w:hint="default"/>
                <w:color w:val="auto"/>
                <w:sz w:val="21"/>
                <w:szCs w:val="21"/>
                <w:highlight w:val="none"/>
              </w:rPr>
              <w:t>⑤快速清洗：目的是清除树脂层中残留的再生废液及置换下来的钙镁离子，通常以正常运行流速清洗至出水合格为止。反洗：工作一段时间后，树脂上会积累一些污物，需要进行反洗，通常是水从树脂底部进入，顶部流出，以清除顶部的污物。</w:t>
            </w:r>
          </w:p>
          <w:p w14:paraId="41941D64">
            <w:pPr>
              <w:keepNext w:val="0"/>
              <w:keepLines w:val="0"/>
              <w:pageBreakBefore w:val="0"/>
              <w:kinsoku/>
              <w:wordWrap/>
              <w:overflowPunct/>
              <w:topLinePunct w:val="0"/>
              <w:autoSpaceDE/>
              <w:autoSpaceDN/>
              <w:bidi w:val="0"/>
              <w:adjustRightInd/>
              <w:snapToGrid/>
              <w:spacing w:beforeAutospacing="0" w:afterAutospacing="0" w:line="360" w:lineRule="auto"/>
              <w:ind w:firstLine="420" w:firstLineChars="200"/>
              <w:rPr>
                <w:rFonts w:hint="default"/>
                <w:color w:val="auto"/>
                <w:highlight w:val="none"/>
              </w:rPr>
            </w:pPr>
            <w:r>
              <w:rPr>
                <w:rFonts w:hint="default"/>
                <w:color w:val="auto"/>
                <w:sz w:val="21"/>
                <w:szCs w:val="21"/>
                <w:highlight w:val="none"/>
              </w:rPr>
              <w:t>此工序产生软水制备废水及废离子交换树脂。</w:t>
            </w:r>
          </w:p>
          <w:p w14:paraId="408EC8E6">
            <w:pPr>
              <w:pStyle w:val="99"/>
              <w:numPr>
                <w:ilvl w:val="0"/>
                <w:numId w:val="0"/>
              </w:numPr>
              <w:jc w:val="center"/>
              <w:rPr>
                <w:rFonts w:hint="default" w:ascii="Times New Roman" w:hAnsi="Times New Roman" w:eastAsia="宋体" w:cs="Times New Roman"/>
                <w:color w:val="auto"/>
                <w:highlight w:val="none"/>
              </w:rPr>
            </w:pPr>
          </w:p>
          <w:p w14:paraId="49571745">
            <w:pPr>
              <w:pStyle w:val="99"/>
              <w:numPr>
                <w:ilvl w:val="0"/>
                <w:numId w:val="0"/>
              </w:numPr>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表2-</w:t>
            </w:r>
            <w:r>
              <w:rPr>
                <w:rFonts w:hint="eastAsia" w:cs="Times New Roman"/>
                <w:color w:val="auto"/>
                <w:highlight w:val="none"/>
                <w:lang w:val="en-US" w:eastAsia="zh-CN"/>
              </w:rPr>
              <w:t>8</w:t>
            </w:r>
            <w:r>
              <w:rPr>
                <w:rFonts w:hint="default" w:ascii="Times New Roman" w:hAnsi="Times New Roman" w:eastAsia="宋体" w:cs="Times New Roman"/>
                <w:color w:val="auto"/>
                <w:highlight w:val="none"/>
                <w:lang w:val="en-US" w:eastAsia="zh-CN"/>
              </w:rPr>
              <w:t xml:space="preserve"> </w:t>
            </w:r>
            <w:r>
              <w:rPr>
                <w:rFonts w:hint="default" w:ascii="Times New Roman" w:hAnsi="Times New Roman" w:eastAsia="宋体" w:cs="Times New Roman"/>
                <w:color w:val="auto"/>
                <w:highlight w:val="none"/>
              </w:rPr>
              <w:t>本项目运营期工程主要产排污节点一览表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1"/>
              <w:gridCol w:w="2297"/>
              <w:gridCol w:w="4517"/>
            </w:tblGrid>
            <w:tr w14:paraId="450C97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pct"/>
                  <w:noWrap w:val="0"/>
                  <w:vAlign w:val="center"/>
                </w:tcPr>
                <w:p w14:paraId="17D2833E">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bidi="ar"/>
                    </w:rPr>
                  </w:pPr>
                  <w:bookmarkStart w:id="4" w:name="_Hlk84531154"/>
                  <w:r>
                    <w:rPr>
                      <w:rFonts w:hint="default" w:ascii="Times New Roman" w:hAnsi="Times New Roman" w:cs="Times New Roman"/>
                      <w:color w:val="auto"/>
                      <w:kern w:val="0"/>
                      <w:sz w:val="18"/>
                      <w:szCs w:val="18"/>
                      <w:highlight w:val="none"/>
                      <w:lang w:bidi="ar"/>
                    </w:rPr>
                    <w:t>污染类别</w:t>
                  </w:r>
                </w:p>
              </w:tc>
              <w:tc>
                <w:tcPr>
                  <w:tcW w:w="1445" w:type="pct"/>
                  <w:noWrap w:val="0"/>
                  <w:vAlign w:val="center"/>
                </w:tcPr>
                <w:p w14:paraId="7DE728C9">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产生工序</w:t>
                  </w:r>
                </w:p>
              </w:tc>
              <w:tc>
                <w:tcPr>
                  <w:tcW w:w="2842" w:type="pct"/>
                  <w:noWrap w:val="0"/>
                  <w:vAlign w:val="center"/>
                </w:tcPr>
                <w:p w14:paraId="04F27D6C">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主要污染因子</w:t>
                  </w:r>
                </w:p>
              </w:tc>
            </w:tr>
            <w:tr w14:paraId="53088C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pct"/>
                  <w:vMerge w:val="restart"/>
                  <w:noWrap w:val="0"/>
                  <w:vAlign w:val="center"/>
                </w:tcPr>
                <w:p w14:paraId="7E248DCA">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废气</w:t>
                  </w:r>
                </w:p>
              </w:tc>
              <w:tc>
                <w:tcPr>
                  <w:tcW w:w="1445" w:type="pct"/>
                  <w:noWrap w:val="0"/>
                  <w:vAlign w:val="center"/>
                </w:tcPr>
                <w:p w14:paraId="749677C6">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spacing w:val="9"/>
                      <w:sz w:val="18"/>
                      <w:szCs w:val="18"/>
                      <w:highlight w:val="none"/>
                    </w:rPr>
                    <w:t>投料、破碎、球磨、搅拌</w:t>
                  </w:r>
                </w:p>
              </w:tc>
              <w:tc>
                <w:tcPr>
                  <w:tcW w:w="2842" w:type="pct"/>
                  <w:noWrap w:val="0"/>
                  <w:vAlign w:val="center"/>
                </w:tcPr>
                <w:p w14:paraId="3EB3A3F8">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spacing w:val="5"/>
                      <w:sz w:val="18"/>
                      <w:szCs w:val="18"/>
                      <w:highlight w:val="none"/>
                    </w:rPr>
                    <w:t>粉尘</w:t>
                  </w:r>
                </w:p>
              </w:tc>
            </w:tr>
            <w:tr w14:paraId="6CEFA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pct"/>
                  <w:vMerge w:val="continue"/>
                  <w:noWrap w:val="0"/>
                  <w:vAlign w:val="center"/>
                </w:tcPr>
                <w:p w14:paraId="05485B85">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val="en-US" w:eastAsia="zh-CN" w:bidi="ar"/>
                    </w:rPr>
                  </w:pPr>
                </w:p>
              </w:tc>
              <w:tc>
                <w:tcPr>
                  <w:tcW w:w="1445" w:type="pct"/>
                  <w:noWrap w:val="0"/>
                  <w:vAlign w:val="center"/>
                </w:tcPr>
                <w:p w14:paraId="087F8E50">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spacing w:val="4"/>
                      <w:sz w:val="18"/>
                      <w:szCs w:val="18"/>
                      <w:highlight w:val="none"/>
                    </w:rPr>
                    <w:t>锅炉</w:t>
                  </w:r>
                </w:p>
              </w:tc>
              <w:tc>
                <w:tcPr>
                  <w:tcW w:w="2842" w:type="pct"/>
                  <w:noWrap w:val="0"/>
                  <w:vAlign w:val="center"/>
                </w:tcPr>
                <w:p w14:paraId="25F6473B">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Times New Roman" w:cs="Times New Roman"/>
                      <w:color w:val="auto"/>
                      <w:sz w:val="18"/>
                      <w:szCs w:val="18"/>
                      <w:highlight w:val="none"/>
                    </w:rPr>
                    <w:t>SO</w:t>
                  </w:r>
                  <w:r>
                    <w:rPr>
                      <w:rFonts w:hint="default" w:ascii="Times New Roman" w:hAnsi="Times New Roman" w:eastAsia="Times New Roman" w:cs="Times New Roman"/>
                      <w:color w:val="auto"/>
                      <w:spacing w:val="5"/>
                      <w:position w:val="-1"/>
                      <w:sz w:val="18"/>
                      <w:szCs w:val="18"/>
                      <w:highlight w:val="none"/>
                      <w:vertAlign w:val="subscript"/>
                    </w:rPr>
                    <w:t>2</w:t>
                  </w:r>
                  <w:r>
                    <w:rPr>
                      <w:rFonts w:hint="default" w:ascii="Times New Roman" w:hAnsi="Times New Roman" w:eastAsia="Times New Roman" w:cs="Times New Roman"/>
                      <w:color w:val="auto"/>
                      <w:spacing w:val="-6"/>
                      <w:position w:val="-1"/>
                      <w:sz w:val="18"/>
                      <w:szCs w:val="18"/>
                      <w:highlight w:val="none"/>
                    </w:rPr>
                    <w:t xml:space="preserve"> </w:t>
                  </w:r>
                  <w:r>
                    <w:rPr>
                      <w:rFonts w:hint="default" w:ascii="Times New Roman" w:hAnsi="Times New Roman" w:cs="Times New Roman"/>
                      <w:color w:val="auto"/>
                      <w:spacing w:val="5"/>
                      <w:sz w:val="18"/>
                      <w:szCs w:val="18"/>
                      <w:highlight w:val="none"/>
                    </w:rPr>
                    <w:t>、</w:t>
                  </w:r>
                  <w:r>
                    <w:rPr>
                      <w:rFonts w:hint="default" w:ascii="Times New Roman" w:hAnsi="Times New Roman" w:eastAsia="Times New Roman" w:cs="Times New Roman"/>
                      <w:color w:val="auto"/>
                      <w:sz w:val="18"/>
                      <w:szCs w:val="18"/>
                      <w:highlight w:val="none"/>
                    </w:rPr>
                    <w:t>NO</w:t>
                  </w:r>
                  <w:r>
                    <w:rPr>
                      <w:rFonts w:hint="default" w:ascii="Times New Roman" w:hAnsi="Times New Roman" w:eastAsia="Times New Roman" w:cs="Times New Roman"/>
                      <w:color w:val="auto"/>
                      <w:sz w:val="18"/>
                      <w:szCs w:val="18"/>
                      <w:highlight w:val="none"/>
                      <w:vertAlign w:val="subscript"/>
                    </w:rPr>
                    <w:t>x</w:t>
                  </w:r>
                  <w:r>
                    <w:rPr>
                      <w:rFonts w:hint="default" w:ascii="Times New Roman" w:hAnsi="Times New Roman" w:eastAsia="Times New Roman" w:cs="Times New Roman"/>
                      <w:color w:val="auto"/>
                      <w:spacing w:val="-27"/>
                      <w:sz w:val="18"/>
                      <w:szCs w:val="18"/>
                      <w:highlight w:val="none"/>
                      <w:vertAlign w:val="subscript"/>
                    </w:rPr>
                    <w:t xml:space="preserve"> </w:t>
                  </w:r>
                  <w:r>
                    <w:rPr>
                      <w:rFonts w:hint="default" w:ascii="Times New Roman" w:hAnsi="Times New Roman" w:cs="Times New Roman"/>
                      <w:color w:val="auto"/>
                      <w:spacing w:val="5"/>
                      <w:sz w:val="18"/>
                      <w:szCs w:val="18"/>
                      <w:highlight w:val="none"/>
                    </w:rPr>
                    <w:t>、烟尘（颗粒物）</w:t>
                  </w:r>
                </w:p>
              </w:tc>
            </w:tr>
            <w:tr w14:paraId="3A63F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pct"/>
                  <w:vMerge w:val="continue"/>
                  <w:noWrap w:val="0"/>
                  <w:vAlign w:val="center"/>
                </w:tcPr>
                <w:p w14:paraId="7E95CAF9">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val="en-US" w:eastAsia="zh-CN" w:bidi="ar"/>
                    </w:rPr>
                  </w:pPr>
                </w:p>
              </w:tc>
              <w:tc>
                <w:tcPr>
                  <w:tcW w:w="1445" w:type="pct"/>
                  <w:noWrap w:val="0"/>
                  <w:vAlign w:val="center"/>
                </w:tcPr>
                <w:p w14:paraId="6AD79D13">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spacing w:val="4"/>
                      <w:sz w:val="18"/>
                      <w:szCs w:val="18"/>
                      <w:highlight w:val="none"/>
                    </w:rPr>
                    <w:t>焊接</w:t>
                  </w:r>
                </w:p>
              </w:tc>
              <w:tc>
                <w:tcPr>
                  <w:tcW w:w="2842" w:type="pct"/>
                  <w:noWrap w:val="0"/>
                  <w:vAlign w:val="center"/>
                </w:tcPr>
                <w:p w14:paraId="6E279F5E">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eastAsia="zh-CN" w:bidi="ar"/>
                    </w:rPr>
                  </w:pPr>
                  <w:r>
                    <w:rPr>
                      <w:rFonts w:hint="default" w:ascii="Times New Roman" w:hAnsi="Times New Roman" w:cs="Times New Roman"/>
                      <w:color w:val="auto"/>
                      <w:spacing w:val="7"/>
                      <w:sz w:val="18"/>
                      <w:szCs w:val="18"/>
                      <w:highlight w:val="none"/>
                    </w:rPr>
                    <w:t>颗粒物</w:t>
                  </w:r>
                </w:p>
              </w:tc>
            </w:tr>
            <w:tr w14:paraId="2717AA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pct"/>
                  <w:vMerge w:val="continue"/>
                  <w:noWrap w:val="0"/>
                  <w:vAlign w:val="center"/>
                </w:tcPr>
                <w:p w14:paraId="16C00BA0">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val="en-US" w:eastAsia="zh-CN" w:bidi="ar"/>
                    </w:rPr>
                  </w:pPr>
                </w:p>
              </w:tc>
              <w:tc>
                <w:tcPr>
                  <w:tcW w:w="1445" w:type="pct"/>
                  <w:noWrap w:val="0"/>
                  <w:vAlign w:val="center"/>
                </w:tcPr>
                <w:p w14:paraId="472D2BBB">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eastAsia"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spacing w:val="9"/>
                      <w:sz w:val="18"/>
                      <w:szCs w:val="18"/>
                      <w:highlight w:val="none"/>
                    </w:rPr>
                    <w:t>钢筋防腐浸泡、</w:t>
                  </w:r>
                  <w:r>
                    <w:rPr>
                      <w:rFonts w:hint="eastAsia" w:ascii="Times New Roman" w:hAnsi="Times New Roman" w:cs="Times New Roman"/>
                      <w:color w:val="auto"/>
                      <w:spacing w:val="9"/>
                      <w:sz w:val="18"/>
                      <w:szCs w:val="18"/>
                      <w:highlight w:val="none"/>
                      <w:lang w:eastAsia="zh-CN"/>
                    </w:rPr>
                    <w:t>烘干产生的有机废气</w:t>
                  </w:r>
                </w:p>
              </w:tc>
              <w:tc>
                <w:tcPr>
                  <w:tcW w:w="2842" w:type="pct"/>
                  <w:noWrap w:val="0"/>
                  <w:vAlign w:val="center"/>
                </w:tcPr>
                <w:p w14:paraId="5D8A3EA0">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eastAsia="zh-CN" w:bidi="ar"/>
                    </w:rPr>
                  </w:pPr>
                  <w:r>
                    <w:rPr>
                      <w:rFonts w:hint="default" w:ascii="Times New Roman" w:hAnsi="Times New Roman" w:cs="Times New Roman"/>
                      <w:color w:val="auto"/>
                      <w:spacing w:val="7"/>
                      <w:sz w:val="18"/>
                      <w:szCs w:val="18"/>
                      <w:highlight w:val="none"/>
                    </w:rPr>
                    <w:t>非甲烷总烃</w:t>
                  </w:r>
                </w:p>
              </w:tc>
            </w:tr>
            <w:tr w14:paraId="3CF159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pct"/>
                  <w:vMerge w:val="restart"/>
                  <w:noWrap w:val="0"/>
                  <w:vAlign w:val="center"/>
                </w:tcPr>
                <w:p w14:paraId="31E8E022">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废水</w:t>
                  </w:r>
                </w:p>
              </w:tc>
              <w:tc>
                <w:tcPr>
                  <w:tcW w:w="1445" w:type="pct"/>
                  <w:noWrap w:val="0"/>
                  <w:vAlign w:val="center"/>
                </w:tcPr>
                <w:p w14:paraId="3305BFB1">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spacing w:val="6"/>
                      <w:sz w:val="18"/>
                      <w:szCs w:val="18"/>
                      <w:highlight w:val="none"/>
                    </w:rPr>
                    <w:t>办公生活</w:t>
                  </w:r>
                </w:p>
              </w:tc>
              <w:tc>
                <w:tcPr>
                  <w:tcW w:w="2842" w:type="pct"/>
                  <w:noWrap w:val="0"/>
                  <w:vAlign w:val="center"/>
                </w:tcPr>
                <w:p w14:paraId="42CA932F">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eastAsia="zh-CN" w:bidi="ar"/>
                    </w:rPr>
                  </w:pPr>
                  <w:r>
                    <w:rPr>
                      <w:rFonts w:hint="default" w:ascii="Times New Roman" w:hAnsi="Times New Roman" w:cs="Times New Roman"/>
                      <w:color w:val="auto"/>
                      <w:spacing w:val="6"/>
                      <w:sz w:val="18"/>
                      <w:szCs w:val="18"/>
                      <w:highlight w:val="none"/>
                    </w:rPr>
                    <w:t>生活污水</w:t>
                  </w:r>
                </w:p>
              </w:tc>
            </w:tr>
            <w:tr w14:paraId="217F39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pct"/>
                  <w:vMerge w:val="continue"/>
                  <w:noWrap w:val="0"/>
                  <w:vAlign w:val="center"/>
                </w:tcPr>
                <w:p w14:paraId="561A744E">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val="en-US" w:eastAsia="zh-CN" w:bidi="ar"/>
                    </w:rPr>
                  </w:pPr>
                </w:p>
              </w:tc>
              <w:tc>
                <w:tcPr>
                  <w:tcW w:w="1445" w:type="pct"/>
                  <w:noWrap w:val="0"/>
                  <w:vAlign w:val="center"/>
                </w:tcPr>
                <w:p w14:paraId="5DA2B5F6">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spacing w:val="6"/>
                      <w:sz w:val="18"/>
                      <w:szCs w:val="18"/>
                      <w:highlight w:val="none"/>
                    </w:rPr>
                    <w:t>生产废水</w:t>
                  </w:r>
                </w:p>
              </w:tc>
              <w:tc>
                <w:tcPr>
                  <w:tcW w:w="2842" w:type="pct"/>
                  <w:noWrap w:val="0"/>
                  <w:vAlign w:val="center"/>
                </w:tcPr>
                <w:p w14:paraId="1E4B3D3C">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eastAsia="zh-CN" w:bidi="ar"/>
                    </w:rPr>
                  </w:pPr>
                  <w:r>
                    <w:rPr>
                      <w:rFonts w:hint="default" w:ascii="Times New Roman" w:hAnsi="Times New Roman" w:cs="Times New Roman"/>
                      <w:color w:val="auto"/>
                      <w:spacing w:val="5"/>
                      <w:sz w:val="18"/>
                      <w:szCs w:val="18"/>
                      <w:highlight w:val="none"/>
                      <w:lang w:eastAsia="zh-CN"/>
                    </w:rPr>
                    <w:t>制浆用水、</w:t>
                  </w:r>
                  <w:r>
                    <w:rPr>
                      <w:rFonts w:hint="default" w:ascii="Times New Roman" w:hAnsi="Times New Roman" w:cs="Times New Roman"/>
                      <w:color w:val="auto"/>
                      <w:spacing w:val="5"/>
                      <w:sz w:val="18"/>
                      <w:szCs w:val="18"/>
                      <w:highlight w:val="none"/>
                    </w:rPr>
                    <w:t>设备清洗废水、蒸压釜冷凝水、钢筋防锈浸泡</w:t>
                  </w:r>
                  <w:r>
                    <w:rPr>
                      <w:rFonts w:hint="default" w:ascii="Times New Roman" w:hAnsi="Times New Roman" w:cs="Times New Roman"/>
                      <w:color w:val="auto"/>
                      <w:spacing w:val="7"/>
                      <w:sz w:val="18"/>
                      <w:szCs w:val="18"/>
                      <w:highlight w:val="none"/>
                    </w:rPr>
                    <w:t>废水</w:t>
                  </w:r>
                  <w:r>
                    <w:rPr>
                      <w:rFonts w:hint="default" w:ascii="Times New Roman" w:hAnsi="Times New Roman" w:cs="Times New Roman"/>
                      <w:color w:val="auto"/>
                      <w:spacing w:val="7"/>
                      <w:sz w:val="18"/>
                      <w:szCs w:val="18"/>
                      <w:highlight w:val="none"/>
                      <w:lang w:eastAsia="zh-CN"/>
                    </w:rPr>
                    <w:t>、</w:t>
                  </w:r>
                  <w:r>
                    <w:rPr>
                      <w:rFonts w:hint="default" w:ascii="Times New Roman" w:hAnsi="Times New Roman" w:cs="Times New Roman"/>
                      <w:color w:val="auto"/>
                      <w:spacing w:val="5"/>
                      <w:sz w:val="18"/>
                      <w:szCs w:val="18"/>
                      <w:highlight w:val="none"/>
                    </w:rPr>
                    <w:t>切割废水</w:t>
                  </w:r>
                  <w:r>
                    <w:rPr>
                      <w:rFonts w:hint="default" w:ascii="Times New Roman" w:hAnsi="Times New Roman" w:cs="Times New Roman"/>
                      <w:color w:val="auto"/>
                      <w:spacing w:val="5"/>
                      <w:sz w:val="18"/>
                      <w:szCs w:val="18"/>
                      <w:highlight w:val="none"/>
                      <w:lang w:eastAsia="zh-CN"/>
                    </w:rPr>
                    <w:t>、锅炉排污水及软化处理废水</w:t>
                  </w:r>
                </w:p>
              </w:tc>
            </w:tr>
            <w:tr w14:paraId="6C0BF1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pct"/>
                  <w:noWrap w:val="0"/>
                  <w:vAlign w:val="center"/>
                </w:tcPr>
                <w:p w14:paraId="2EE48D83">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噪声</w:t>
                  </w:r>
                </w:p>
              </w:tc>
              <w:tc>
                <w:tcPr>
                  <w:tcW w:w="1445" w:type="pct"/>
                  <w:noWrap w:val="0"/>
                  <w:vAlign w:val="center"/>
                </w:tcPr>
                <w:p w14:paraId="41E00470">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spacing w:val="6"/>
                      <w:sz w:val="18"/>
                      <w:szCs w:val="18"/>
                      <w:highlight w:val="none"/>
                    </w:rPr>
                    <w:t>生产设备</w:t>
                  </w:r>
                </w:p>
              </w:tc>
              <w:tc>
                <w:tcPr>
                  <w:tcW w:w="2842" w:type="pct"/>
                  <w:noWrap w:val="0"/>
                  <w:vAlign w:val="center"/>
                </w:tcPr>
                <w:p w14:paraId="18873FA3">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eastAsia="zh-CN" w:bidi="ar"/>
                    </w:rPr>
                  </w:pPr>
                  <w:r>
                    <w:rPr>
                      <w:rFonts w:hint="default" w:ascii="Times New Roman" w:hAnsi="Times New Roman" w:cs="Times New Roman"/>
                      <w:color w:val="auto"/>
                      <w:spacing w:val="-1"/>
                      <w:sz w:val="18"/>
                      <w:szCs w:val="18"/>
                      <w:highlight w:val="none"/>
                    </w:rPr>
                    <w:t>噪声</w:t>
                  </w:r>
                </w:p>
              </w:tc>
            </w:tr>
            <w:tr w14:paraId="02442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711" w:type="pct"/>
                  <w:vMerge w:val="restart"/>
                  <w:noWrap w:val="0"/>
                  <w:vAlign w:val="center"/>
                </w:tcPr>
                <w:p w14:paraId="0CACDD46">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bidi="ar"/>
                    </w:rPr>
                  </w:pPr>
                  <w:r>
                    <w:rPr>
                      <w:rFonts w:hint="default" w:ascii="Times New Roman" w:hAnsi="Times New Roman" w:cs="Times New Roman"/>
                      <w:color w:val="auto"/>
                      <w:kern w:val="0"/>
                      <w:sz w:val="18"/>
                      <w:szCs w:val="18"/>
                      <w:highlight w:val="none"/>
                      <w:lang w:bidi="ar"/>
                    </w:rPr>
                    <w:t>固体废物</w:t>
                  </w:r>
                </w:p>
              </w:tc>
              <w:tc>
                <w:tcPr>
                  <w:tcW w:w="1445" w:type="pct"/>
                  <w:noWrap w:val="0"/>
                  <w:vAlign w:val="center"/>
                </w:tcPr>
                <w:p w14:paraId="5C51A237">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spacing w:val="6"/>
                      <w:sz w:val="18"/>
                      <w:szCs w:val="18"/>
                      <w:highlight w:val="none"/>
                    </w:rPr>
                    <w:t>设备维修</w:t>
                  </w:r>
                </w:p>
              </w:tc>
              <w:tc>
                <w:tcPr>
                  <w:tcW w:w="2842" w:type="pct"/>
                  <w:noWrap w:val="0"/>
                  <w:vAlign w:val="center"/>
                </w:tcPr>
                <w:p w14:paraId="6C8F6F03">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spacing w:val="7"/>
                      <w:sz w:val="18"/>
                      <w:szCs w:val="18"/>
                      <w:highlight w:val="none"/>
                      <w:lang w:eastAsia="zh-CN"/>
                    </w:rPr>
                    <w:t>废矿物油</w:t>
                  </w:r>
                  <w:r>
                    <w:rPr>
                      <w:rFonts w:hint="eastAsia" w:ascii="Times New Roman" w:hAnsi="Times New Roman" w:cs="Times New Roman"/>
                      <w:color w:val="auto"/>
                      <w:spacing w:val="7"/>
                      <w:sz w:val="18"/>
                      <w:szCs w:val="18"/>
                      <w:highlight w:val="none"/>
                      <w:lang w:eastAsia="zh-CN"/>
                    </w:rPr>
                    <w:t>、废油桶</w:t>
                  </w:r>
                </w:p>
              </w:tc>
            </w:tr>
            <w:tr w14:paraId="5B1608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jc w:val="center"/>
              </w:trPr>
              <w:tc>
                <w:tcPr>
                  <w:tcW w:w="711" w:type="pct"/>
                  <w:vMerge w:val="continue"/>
                  <w:noWrap w:val="0"/>
                  <w:vAlign w:val="center"/>
                </w:tcPr>
                <w:p w14:paraId="692040C3">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bidi="ar"/>
                    </w:rPr>
                  </w:pPr>
                </w:p>
              </w:tc>
              <w:tc>
                <w:tcPr>
                  <w:tcW w:w="1445" w:type="pct"/>
                  <w:noWrap w:val="0"/>
                  <w:vAlign w:val="center"/>
                </w:tcPr>
                <w:p w14:paraId="58DD1516">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spacing w:val="7"/>
                      <w:sz w:val="18"/>
                      <w:szCs w:val="18"/>
                      <w:highlight w:val="none"/>
                    </w:rPr>
                    <w:t>办公生产生活</w:t>
                  </w:r>
                </w:p>
              </w:tc>
              <w:tc>
                <w:tcPr>
                  <w:tcW w:w="2842" w:type="pct"/>
                  <w:noWrap w:val="0"/>
                  <w:vAlign w:val="center"/>
                </w:tcPr>
                <w:p w14:paraId="1F674EEA">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spacing w:val="6"/>
                      <w:sz w:val="18"/>
                      <w:szCs w:val="18"/>
                      <w:highlight w:val="none"/>
                    </w:rPr>
                    <w:t>生活垃圾</w:t>
                  </w:r>
                </w:p>
              </w:tc>
            </w:tr>
            <w:tr w14:paraId="0064E5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pct"/>
                  <w:vMerge w:val="continue"/>
                  <w:noWrap w:val="0"/>
                  <w:vAlign w:val="center"/>
                </w:tcPr>
                <w:p w14:paraId="32B011A9">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kern w:val="0"/>
                      <w:sz w:val="18"/>
                      <w:szCs w:val="18"/>
                      <w:highlight w:val="none"/>
                      <w:lang w:bidi="ar"/>
                    </w:rPr>
                  </w:pPr>
                </w:p>
              </w:tc>
              <w:tc>
                <w:tcPr>
                  <w:tcW w:w="1445" w:type="pct"/>
                  <w:noWrap w:val="0"/>
                  <w:vAlign w:val="center"/>
                </w:tcPr>
                <w:p w14:paraId="419030C6">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spacing w:val="7"/>
                      <w:sz w:val="18"/>
                      <w:szCs w:val="18"/>
                      <w:highlight w:val="none"/>
                      <w:lang w:val="en-US" w:eastAsia="zh-CN"/>
                    </w:rPr>
                    <w:t>车间</w:t>
                  </w:r>
                </w:p>
              </w:tc>
              <w:tc>
                <w:tcPr>
                  <w:tcW w:w="2842" w:type="pct"/>
                  <w:noWrap w:val="0"/>
                  <w:vAlign w:val="center"/>
                </w:tcPr>
                <w:p w14:paraId="0753C1FE">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cs="Times New Roman"/>
                      <w:color w:val="auto"/>
                      <w:kern w:val="0"/>
                      <w:sz w:val="18"/>
                      <w:szCs w:val="18"/>
                      <w:highlight w:val="none"/>
                      <w:lang w:val="en-US" w:eastAsia="zh-CN" w:bidi="ar"/>
                    </w:rPr>
                  </w:pPr>
                  <w:r>
                    <w:rPr>
                      <w:rFonts w:hint="default" w:ascii="Times New Roman" w:hAnsi="Times New Roman" w:cs="Times New Roman"/>
                      <w:color w:val="auto"/>
                      <w:kern w:val="0"/>
                      <w:sz w:val="18"/>
                      <w:szCs w:val="18"/>
                      <w:highlight w:val="none"/>
                      <w:lang w:val="en-US" w:eastAsia="zh-CN" w:bidi="ar"/>
                    </w:rPr>
                    <w:t>废活性炭、不合格品、废包装带、废布袋</w:t>
                  </w:r>
                  <w:r>
                    <w:rPr>
                      <w:rFonts w:hint="eastAsia" w:ascii="Times New Roman" w:hAnsi="Times New Roman" w:cs="Times New Roman"/>
                      <w:color w:val="auto"/>
                      <w:kern w:val="0"/>
                      <w:sz w:val="18"/>
                      <w:szCs w:val="18"/>
                      <w:highlight w:val="none"/>
                      <w:lang w:val="en-US" w:eastAsia="zh-CN" w:bidi="ar"/>
                    </w:rPr>
                    <w:t>、废边角料</w:t>
                  </w:r>
                </w:p>
              </w:tc>
            </w:tr>
            <w:tr w14:paraId="1083A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1" w:type="pct"/>
                  <w:vMerge w:val="continue"/>
                  <w:noWrap w:val="0"/>
                  <w:vAlign w:val="center"/>
                </w:tcPr>
                <w:p w14:paraId="3CEC8F03">
                  <w:pPr>
                    <w:keepNext w:val="0"/>
                    <w:keepLines w:val="0"/>
                    <w:pageBreakBefore w:val="0"/>
                    <w:widowControl/>
                    <w:kinsoku/>
                    <w:wordWrap/>
                    <w:overflowPunct/>
                    <w:topLinePunct w:val="0"/>
                    <w:autoSpaceDE/>
                    <w:autoSpaceDN/>
                    <w:bidi w:val="0"/>
                    <w:adjustRightInd/>
                    <w:snapToGrid/>
                    <w:spacing w:line="240" w:lineRule="auto"/>
                    <w:ind w:left="0"/>
                    <w:jc w:val="center"/>
                    <w:textAlignment w:val="center"/>
                    <w:rPr>
                      <w:rFonts w:hint="default" w:ascii="Times New Roman" w:hAnsi="Times New Roman" w:cs="Times New Roman"/>
                      <w:color w:val="auto"/>
                      <w:sz w:val="18"/>
                      <w:szCs w:val="18"/>
                      <w:highlight w:val="none"/>
                    </w:rPr>
                  </w:pPr>
                </w:p>
              </w:tc>
              <w:tc>
                <w:tcPr>
                  <w:tcW w:w="1445" w:type="pct"/>
                  <w:noWrap w:val="0"/>
                  <w:vAlign w:val="center"/>
                </w:tcPr>
                <w:p w14:paraId="22FF5803">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spacing w:val="6"/>
                      <w:sz w:val="18"/>
                      <w:szCs w:val="18"/>
                      <w:highlight w:val="none"/>
                      <w:lang w:val="en-US" w:eastAsia="zh-CN"/>
                    </w:rPr>
                    <w:t>锅炉房</w:t>
                  </w:r>
                </w:p>
              </w:tc>
              <w:tc>
                <w:tcPr>
                  <w:tcW w:w="2842" w:type="pct"/>
                  <w:noWrap w:val="0"/>
                  <w:vAlign w:val="center"/>
                </w:tcPr>
                <w:p w14:paraId="41BBCA5B">
                  <w:pPr>
                    <w:pStyle w:val="100"/>
                    <w:keepNext w:val="0"/>
                    <w:keepLines w:val="0"/>
                    <w:pageBreakBefore w:val="0"/>
                    <w:kinsoku/>
                    <w:wordWrap/>
                    <w:overflowPunct/>
                    <w:topLinePunct w:val="0"/>
                    <w:autoSpaceDE/>
                    <w:autoSpaceDN/>
                    <w:bidi w:val="0"/>
                    <w:adjustRightInd/>
                    <w:snapToGrid/>
                    <w:spacing w:line="240" w:lineRule="auto"/>
                    <w:ind w:left="0" w:leftChars="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spacing w:val="8"/>
                      <w:sz w:val="18"/>
                      <w:szCs w:val="18"/>
                      <w:highlight w:val="none"/>
                    </w:rPr>
                    <w:t>废离子交换树脂</w:t>
                  </w:r>
                  <w:r>
                    <w:rPr>
                      <w:rFonts w:hint="default" w:ascii="Times New Roman" w:hAnsi="Times New Roman" w:cs="Times New Roman"/>
                      <w:color w:val="auto"/>
                      <w:spacing w:val="8"/>
                      <w:sz w:val="18"/>
                      <w:szCs w:val="18"/>
                      <w:highlight w:val="none"/>
                      <w:lang w:eastAsia="zh-CN"/>
                    </w:rPr>
                    <w:t>、</w:t>
                  </w:r>
                  <w:r>
                    <w:rPr>
                      <w:rFonts w:hint="default" w:ascii="Times New Roman" w:hAnsi="Times New Roman" w:cs="Times New Roman"/>
                      <w:color w:val="auto"/>
                      <w:spacing w:val="8"/>
                      <w:sz w:val="18"/>
                      <w:szCs w:val="18"/>
                      <w:highlight w:val="none"/>
                      <w:lang w:val="en-US" w:eastAsia="zh-CN"/>
                    </w:rPr>
                    <w:t>炉渣、</w:t>
                  </w:r>
                  <w:r>
                    <w:rPr>
                      <w:rFonts w:hint="default" w:ascii="Times New Roman" w:hAnsi="Times New Roman" w:cs="Times New Roman"/>
                      <w:color w:val="auto"/>
                      <w:spacing w:val="6"/>
                      <w:sz w:val="18"/>
                      <w:szCs w:val="18"/>
                      <w:highlight w:val="none"/>
                    </w:rPr>
                    <w:t>除尘</w:t>
                  </w:r>
                  <w:r>
                    <w:rPr>
                      <w:rFonts w:hint="default" w:ascii="Times New Roman" w:hAnsi="Times New Roman" w:cs="Times New Roman"/>
                      <w:color w:val="auto"/>
                      <w:spacing w:val="6"/>
                      <w:sz w:val="18"/>
                      <w:szCs w:val="18"/>
                      <w:highlight w:val="none"/>
                      <w:lang w:val="en-US" w:eastAsia="zh-CN"/>
                    </w:rPr>
                    <w:t>器</w:t>
                  </w:r>
                  <w:r>
                    <w:rPr>
                      <w:rFonts w:hint="default" w:ascii="Times New Roman" w:hAnsi="Times New Roman" w:cs="Times New Roman"/>
                      <w:color w:val="auto"/>
                      <w:spacing w:val="6"/>
                      <w:sz w:val="18"/>
                      <w:szCs w:val="18"/>
                      <w:highlight w:val="none"/>
                    </w:rPr>
                    <w:t>回收</w:t>
                  </w:r>
                  <w:r>
                    <w:rPr>
                      <w:rFonts w:hint="default" w:ascii="Times New Roman" w:hAnsi="Times New Roman" w:cs="Times New Roman"/>
                      <w:color w:val="auto"/>
                      <w:spacing w:val="6"/>
                      <w:sz w:val="18"/>
                      <w:szCs w:val="18"/>
                      <w:highlight w:val="none"/>
                      <w:lang w:val="en-US" w:eastAsia="zh-CN"/>
                    </w:rPr>
                    <w:t>粉尘</w:t>
                  </w:r>
                </w:p>
              </w:tc>
            </w:tr>
            <w:bookmarkEnd w:id="4"/>
          </w:tbl>
          <w:p w14:paraId="78CE3A90">
            <w:pPr>
              <w:pStyle w:val="24"/>
              <w:keepNext w:val="0"/>
              <w:keepLines w:val="0"/>
              <w:pageBreakBefore w:val="0"/>
              <w:widowControl/>
              <w:kinsoku/>
              <w:wordWrap/>
              <w:overflowPunct/>
              <w:topLinePunct w:val="0"/>
              <w:autoSpaceDE/>
              <w:autoSpaceDN/>
              <w:bidi w:val="0"/>
              <w:adjustRightInd/>
              <w:snapToGrid/>
              <w:spacing w:after="0" w:line="360" w:lineRule="auto"/>
              <w:ind w:left="0" w:firstLine="440" w:firstLineChars="200"/>
              <w:jc w:val="both"/>
              <w:textAlignment w:val="auto"/>
              <w:rPr>
                <w:rFonts w:hint="default" w:ascii="Times New Roman" w:hAnsi="Times New Roman" w:cs="Times New Roman"/>
                <w:color w:val="auto"/>
                <w:highlight w:val="none"/>
              </w:rPr>
            </w:pPr>
          </w:p>
        </w:tc>
      </w:tr>
      <w:tr w14:paraId="1B74CA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12" w:hRule="atLeast"/>
          <w:jc w:val="center"/>
        </w:trPr>
        <w:tc>
          <w:tcPr>
            <w:tcW w:w="823" w:type="dxa"/>
            <w:vAlign w:val="center"/>
          </w:tcPr>
          <w:p w14:paraId="50A4929D">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与</w:t>
            </w:r>
            <w:r>
              <w:rPr>
                <w:rFonts w:hint="default" w:ascii="Times New Roman" w:hAnsi="Times New Roman" w:cs="Times New Roman"/>
                <w:color w:val="auto"/>
                <w:kern w:val="0"/>
                <w:szCs w:val="21"/>
                <w:highlight w:val="none"/>
              </w:rPr>
              <w:t>项目有关的原有环境污染问题</w:t>
            </w:r>
          </w:p>
        </w:tc>
        <w:tc>
          <w:tcPr>
            <w:tcW w:w="8161" w:type="dxa"/>
            <w:vAlign w:val="center"/>
          </w:tcPr>
          <w:p w14:paraId="3E83297C">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为新建项目</w:t>
            </w:r>
            <w:r>
              <w:rPr>
                <w:rFonts w:hint="default" w:ascii="Times New Roman" w:hAnsi="Times New Roman" w:cs="Times New Roman"/>
                <w:color w:val="auto"/>
                <w:highlight w:val="none"/>
              </w:rPr>
              <w:t>，不存在污染类生产活动，不存在原有环境问题。</w:t>
            </w:r>
          </w:p>
        </w:tc>
      </w:tr>
    </w:tbl>
    <w:p w14:paraId="63EBE208">
      <w:pPr>
        <w:pStyle w:val="27"/>
        <w:jc w:val="both"/>
        <w:rPr>
          <w:rFonts w:hint="default" w:ascii="Times New Roman" w:hAnsi="Times New Roman" w:eastAsia="黑体" w:cs="Times New Roman"/>
          <w:snapToGrid w:val="0"/>
          <w:color w:val="auto"/>
          <w:sz w:val="36"/>
          <w:szCs w:val="36"/>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5B04C84">
      <w:pPr>
        <w:pStyle w:val="3"/>
        <w:bidi w:val="0"/>
        <w:rPr>
          <w:rFonts w:hint="default" w:ascii="Times New Roman" w:hAnsi="Times New Roman" w:cs="Times New Roman"/>
          <w:color w:val="auto"/>
          <w:highlight w:val="none"/>
        </w:rPr>
      </w:pPr>
      <w:bookmarkStart w:id="5" w:name="_Toc6892"/>
      <w:r>
        <w:rPr>
          <w:rFonts w:hint="default" w:ascii="Times New Roman" w:hAnsi="Times New Roman" w:cs="Times New Roman"/>
          <w:color w:val="auto"/>
          <w:highlight w:val="none"/>
        </w:rPr>
        <w:t>三、区域环境质量现状、环境保护目标及评价标准</w:t>
      </w:r>
      <w:bookmarkEnd w:id="5"/>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1F68F5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800" w:type="dxa"/>
            <w:vAlign w:val="center"/>
          </w:tcPr>
          <w:p w14:paraId="203BAC2B">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w:t>
            </w:r>
          </w:p>
          <w:p w14:paraId="52A6641C">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14:paraId="30B6A985">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质量</w:t>
            </w:r>
          </w:p>
          <w:p w14:paraId="70B3A1AF">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现状</w:t>
            </w:r>
          </w:p>
        </w:tc>
        <w:tc>
          <w:tcPr>
            <w:tcW w:w="8190" w:type="dxa"/>
            <w:vAlign w:val="center"/>
          </w:tcPr>
          <w:p w14:paraId="2CC98660">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right="0"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项目区域环境空气质量现状</w:t>
            </w:r>
          </w:p>
          <w:p w14:paraId="3768A5C2">
            <w:pPr>
              <w:pStyle w:val="105"/>
              <w:ind w:firstLine="480"/>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本项目所在地属环境空气质量功能区划中的二类区。根据《建设项目环境影响报告表编制技术指南（污染影响类）（试行）》要求，环境空气质量现状可引用生态环境主管部门公开发布的质量数据，根据《</w:t>
            </w:r>
            <w:r>
              <w:rPr>
                <w:rFonts w:hint="default" w:ascii="Times New Roman" w:hAnsi="Times New Roman" w:cs="Times New Roman"/>
                <w:color w:val="auto"/>
                <w:sz w:val="21"/>
                <w:szCs w:val="21"/>
                <w:highlight w:val="none"/>
                <w:lang w:eastAsia="zh-CN"/>
              </w:rPr>
              <w:t>2024年伊春市生态环境质量公报</w:t>
            </w:r>
            <w:r>
              <w:rPr>
                <w:rFonts w:hint="default" w:ascii="Times New Roman" w:hAnsi="Times New Roman" w:cs="Times New Roman"/>
                <w:color w:val="auto"/>
                <w:sz w:val="21"/>
                <w:szCs w:val="21"/>
                <w:highlight w:val="none"/>
              </w:rPr>
              <w:t>》可知，202</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伊春市</w:t>
            </w:r>
            <w:r>
              <w:rPr>
                <w:rFonts w:hint="default" w:ascii="Times New Roman" w:hAnsi="Times New Roman" w:cs="Times New Roman"/>
                <w:color w:val="auto"/>
                <w:sz w:val="21"/>
                <w:szCs w:val="21"/>
                <w:highlight w:val="none"/>
              </w:rPr>
              <w:t>空气质量级别达二级标准，</w:t>
            </w:r>
            <w:r>
              <w:rPr>
                <w:rFonts w:hint="default" w:ascii="Times New Roman" w:hAnsi="Times New Roman" w:cs="Times New Roman"/>
                <w:color w:val="auto"/>
                <w:sz w:val="21"/>
                <w:szCs w:val="21"/>
                <w:highlight w:val="none"/>
                <w:lang w:val="en-US" w:eastAsia="zh-CN"/>
              </w:rPr>
              <w:t>达标天数为359天</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98.1</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10</w:t>
            </w:r>
            <w:r>
              <w:rPr>
                <w:rFonts w:hint="default" w:ascii="Times New Roman" w:hAnsi="Times New Roman" w:cs="Times New Roman"/>
                <w:color w:val="auto"/>
                <w:sz w:val="21"/>
                <w:szCs w:val="21"/>
                <w:highlight w:val="none"/>
                <w:lang w:val="en-US" w:eastAsia="zh-CN"/>
              </w:rPr>
              <w:t>、SO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、NO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、CO-95per和O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-8h-90per年均浓度分别为24μg/m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、34</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、7</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、13</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、0.8m</w:t>
            </w:r>
            <w:r>
              <w:rPr>
                <w:rFonts w:hint="default" w:ascii="Times New Roman" w:hAnsi="Times New Roman" w:cs="Times New Roman"/>
                <w:color w:val="auto"/>
                <w:sz w:val="21"/>
                <w:szCs w:val="21"/>
                <w:highlight w:val="none"/>
                <w:lang w:val="en-US" w:eastAsia="zh-CN"/>
              </w:rPr>
              <w:t>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和104</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w:t>
            </w:r>
          </w:p>
          <w:p w14:paraId="052F65F5">
            <w:pPr>
              <w:pStyle w:val="100"/>
              <w:spacing w:before="1" w:line="217" w:lineRule="auto"/>
              <w:ind w:left="2585"/>
              <w:rPr>
                <w:rFonts w:hint="default" w:ascii="Times New Roman" w:hAnsi="Times New Roman" w:cs="Times New Roman"/>
                <w:color w:val="auto"/>
                <w:sz w:val="21"/>
                <w:szCs w:val="21"/>
                <w:highlight w:val="none"/>
              </w:rPr>
            </w:pPr>
            <w:r>
              <w:rPr>
                <w:rFonts w:hint="default" w:ascii="Times New Roman" w:hAnsi="Times New Roman" w:cs="Times New Roman"/>
                <w:b/>
                <w:bCs/>
                <w:color w:val="auto"/>
                <w:spacing w:val="-5"/>
                <w:sz w:val="21"/>
                <w:szCs w:val="21"/>
                <w:highlight w:val="none"/>
              </w:rPr>
              <w:t>表</w:t>
            </w:r>
            <w:r>
              <w:rPr>
                <w:rFonts w:hint="default" w:ascii="Times New Roman" w:hAnsi="Times New Roman" w:cs="Times New Roman"/>
                <w:color w:val="auto"/>
                <w:spacing w:val="-43"/>
                <w:sz w:val="21"/>
                <w:szCs w:val="21"/>
                <w:highlight w:val="none"/>
              </w:rPr>
              <w:t xml:space="preserve"> </w:t>
            </w:r>
            <w:r>
              <w:rPr>
                <w:rFonts w:hint="default" w:ascii="Times New Roman" w:hAnsi="Times New Roman" w:eastAsia="Times New Roman" w:cs="Times New Roman"/>
                <w:b/>
                <w:bCs/>
                <w:color w:val="auto"/>
                <w:spacing w:val="-5"/>
                <w:sz w:val="21"/>
                <w:szCs w:val="21"/>
                <w:highlight w:val="none"/>
              </w:rPr>
              <w:t>3-1</w:t>
            </w:r>
            <w:r>
              <w:rPr>
                <w:rFonts w:hint="default" w:ascii="Times New Roman" w:hAnsi="Times New Roman" w:eastAsia="Times New Roman" w:cs="Times New Roman"/>
                <w:b/>
                <w:bCs/>
                <w:color w:val="auto"/>
                <w:spacing w:val="14"/>
                <w:sz w:val="21"/>
                <w:szCs w:val="21"/>
                <w:highlight w:val="none"/>
              </w:rPr>
              <w:t xml:space="preserve">  </w:t>
            </w:r>
            <w:r>
              <w:rPr>
                <w:rFonts w:hint="default" w:ascii="Times New Roman" w:hAnsi="Times New Roman" w:cs="Times New Roman"/>
                <w:b/>
                <w:bCs/>
                <w:color w:val="auto"/>
                <w:spacing w:val="-5"/>
                <w:sz w:val="21"/>
                <w:szCs w:val="21"/>
                <w:highlight w:val="none"/>
              </w:rPr>
              <w:t>区域空气质量现状评价表</w:t>
            </w:r>
          </w:p>
          <w:tbl>
            <w:tblPr>
              <w:tblStyle w:val="101"/>
              <w:tblW w:w="499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583"/>
              <w:gridCol w:w="2018"/>
              <w:gridCol w:w="1141"/>
              <w:gridCol w:w="1232"/>
              <w:gridCol w:w="971"/>
              <w:gridCol w:w="1009"/>
            </w:tblGrid>
            <w:tr w14:paraId="19BE07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0" w:hRule="atLeast"/>
                <w:jc w:val="center"/>
              </w:trPr>
              <w:tc>
                <w:tcPr>
                  <w:tcW w:w="1584" w:type="dxa"/>
                  <w:tcBorders>
                    <w:top w:val="single" w:color="000000" w:sz="10" w:space="0"/>
                    <w:left w:val="nil"/>
                  </w:tcBorders>
                  <w:vAlign w:val="center"/>
                </w:tcPr>
                <w:p w14:paraId="714770BB">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pacing w:val="5"/>
                      <w:sz w:val="18"/>
                      <w:szCs w:val="18"/>
                      <w:highlight w:val="none"/>
                    </w:rPr>
                    <w:t>污染物</w:t>
                  </w:r>
                </w:p>
              </w:tc>
              <w:tc>
                <w:tcPr>
                  <w:tcW w:w="2020" w:type="dxa"/>
                  <w:tcBorders>
                    <w:top w:val="single" w:color="000000" w:sz="10" w:space="0"/>
                  </w:tcBorders>
                  <w:vAlign w:val="center"/>
                </w:tcPr>
                <w:p w14:paraId="20FFACF0">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pacing w:val="6"/>
                      <w:sz w:val="18"/>
                      <w:szCs w:val="18"/>
                      <w:highlight w:val="none"/>
                    </w:rPr>
                    <w:t>年评价指标</w:t>
                  </w:r>
                </w:p>
              </w:tc>
              <w:tc>
                <w:tcPr>
                  <w:tcW w:w="1142" w:type="dxa"/>
                  <w:tcBorders>
                    <w:top w:val="single" w:color="000000" w:sz="10" w:space="0"/>
                  </w:tcBorders>
                  <w:vAlign w:val="center"/>
                </w:tcPr>
                <w:p w14:paraId="1DFB6C23">
                  <w:pPr>
                    <w:pStyle w:val="100"/>
                    <w:keepNext w:val="0"/>
                    <w:keepLines w:val="0"/>
                    <w:pageBreakBefore w:val="0"/>
                    <w:widowControl w:val="0"/>
                    <w:kinsoku/>
                    <w:wordWrap/>
                    <w:overflowPunct/>
                    <w:topLinePunct w:val="0"/>
                    <w:autoSpaceDE/>
                    <w:autoSpaceDN/>
                    <w:bidi w:val="0"/>
                    <w:adjustRightInd/>
                    <w:snapToGrid/>
                    <w:spacing w:line="240" w:lineRule="auto"/>
                    <w:ind w:left="0" w:right="0" w:hanging="84"/>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pacing w:val="5"/>
                      <w:sz w:val="18"/>
                      <w:szCs w:val="18"/>
                      <w:highlight w:val="none"/>
                    </w:rPr>
                    <w:t>现状浓度</w:t>
                  </w:r>
                  <w:r>
                    <w:rPr>
                      <w:rFonts w:hint="default" w:ascii="Times New Roman" w:hAnsi="Times New Roman" w:eastAsia="Times New Roman" w:cs="Times New Roman"/>
                      <w:b/>
                      <w:bCs/>
                      <w:color w:val="auto"/>
                      <w:spacing w:val="5"/>
                      <w:sz w:val="18"/>
                      <w:szCs w:val="18"/>
                      <w:highlight w:val="none"/>
                    </w:rPr>
                    <w:t>/</w:t>
                  </w:r>
                  <w:r>
                    <w:rPr>
                      <w:rFonts w:hint="default" w:ascii="Times New Roman" w:hAnsi="Times New Roman" w:eastAsia="Times New Roman" w:cs="Times New Roman"/>
                      <w:b/>
                      <w:bCs/>
                      <w:color w:val="auto"/>
                      <w:spacing w:val="1"/>
                      <w:sz w:val="18"/>
                      <w:szCs w:val="18"/>
                      <w:highlight w:val="none"/>
                    </w:rPr>
                    <w:t xml:space="preserve"> </w:t>
                  </w:r>
                  <w:r>
                    <w:rPr>
                      <w:rFonts w:hint="default" w:ascii="Times New Roman" w:hAnsi="Times New Roman" w:cs="Times New Roman"/>
                      <w:b/>
                      <w:bCs/>
                      <w:color w:val="auto"/>
                      <w:sz w:val="18"/>
                      <w:szCs w:val="18"/>
                      <w:highlight w:val="none"/>
                    </w:rPr>
                    <w:t>(</w:t>
                  </w:r>
                  <w:r>
                    <w:rPr>
                      <w:rFonts w:hint="default" w:ascii="Times New Roman" w:hAnsi="Times New Roman" w:eastAsia="Times New Roman" w:cs="Times New Roman"/>
                      <w:b/>
                      <w:bCs/>
                      <w:color w:val="auto"/>
                      <w:sz w:val="18"/>
                      <w:szCs w:val="18"/>
                      <w:highlight w:val="none"/>
                    </w:rPr>
                    <w:t>μg/m</w:t>
                  </w:r>
                  <w:r>
                    <w:rPr>
                      <w:rFonts w:hint="default" w:ascii="Times New Roman" w:hAnsi="Times New Roman" w:eastAsia="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1233" w:type="dxa"/>
                  <w:tcBorders>
                    <w:top w:val="single" w:color="000000" w:sz="10" w:space="0"/>
                  </w:tcBorders>
                  <w:vAlign w:val="center"/>
                </w:tcPr>
                <w:p w14:paraId="6316B8B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17"/>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pacing w:val="5"/>
                      <w:sz w:val="18"/>
                      <w:szCs w:val="18"/>
                      <w:highlight w:val="none"/>
                    </w:rPr>
                    <w:t>标准值</w:t>
                  </w:r>
                  <w:r>
                    <w:rPr>
                      <w:rFonts w:hint="default" w:ascii="Times New Roman" w:hAnsi="Times New Roman" w:eastAsia="Times New Roman" w:cs="Times New Roman"/>
                      <w:b/>
                      <w:bCs/>
                      <w:color w:val="auto"/>
                      <w:spacing w:val="5"/>
                      <w:sz w:val="18"/>
                      <w:szCs w:val="18"/>
                      <w:highlight w:val="none"/>
                    </w:rPr>
                    <w:t>/</w:t>
                  </w:r>
                  <w:r>
                    <w:rPr>
                      <w:rFonts w:hint="default" w:ascii="Times New Roman" w:hAnsi="Times New Roman" w:eastAsia="Times New Roman" w:cs="Times New Roman"/>
                      <w:b/>
                      <w:bCs/>
                      <w:color w:val="auto"/>
                      <w:sz w:val="18"/>
                      <w:szCs w:val="18"/>
                      <w:highlight w:val="none"/>
                    </w:rPr>
                    <w:t xml:space="preserve"> </w:t>
                  </w:r>
                  <w:r>
                    <w:rPr>
                      <w:rFonts w:hint="default" w:ascii="Times New Roman" w:hAnsi="Times New Roman" w:cs="Times New Roman"/>
                      <w:b/>
                      <w:bCs/>
                      <w:color w:val="auto"/>
                      <w:sz w:val="18"/>
                      <w:szCs w:val="18"/>
                      <w:highlight w:val="none"/>
                    </w:rPr>
                    <w:t>(</w:t>
                  </w:r>
                  <w:r>
                    <w:rPr>
                      <w:rFonts w:hint="default" w:ascii="Times New Roman" w:hAnsi="Times New Roman" w:eastAsia="Times New Roman" w:cs="Times New Roman"/>
                      <w:b/>
                      <w:bCs/>
                      <w:color w:val="auto"/>
                      <w:sz w:val="18"/>
                      <w:szCs w:val="18"/>
                      <w:highlight w:val="none"/>
                    </w:rPr>
                    <w:t>μg/m</w:t>
                  </w:r>
                  <w:r>
                    <w:rPr>
                      <w:rFonts w:hint="default" w:ascii="Times New Roman" w:hAnsi="Times New Roman" w:eastAsia="Times New Roman" w:cs="Times New Roman"/>
                      <w:b/>
                      <w:bCs/>
                      <w:color w:val="auto"/>
                      <w:sz w:val="18"/>
                      <w:szCs w:val="18"/>
                      <w:highlight w:val="none"/>
                      <w:vertAlign w:val="superscript"/>
                    </w:rPr>
                    <w:t>3</w:t>
                  </w:r>
                  <w:r>
                    <w:rPr>
                      <w:rFonts w:hint="default" w:ascii="Times New Roman" w:hAnsi="Times New Roman" w:cs="Times New Roman"/>
                      <w:b/>
                      <w:bCs/>
                      <w:color w:val="auto"/>
                      <w:sz w:val="18"/>
                      <w:szCs w:val="18"/>
                      <w:highlight w:val="none"/>
                    </w:rPr>
                    <w:t>）</w:t>
                  </w:r>
                </w:p>
              </w:tc>
              <w:tc>
                <w:tcPr>
                  <w:tcW w:w="972" w:type="dxa"/>
                  <w:tcBorders>
                    <w:top w:val="single" w:color="000000" w:sz="10" w:space="0"/>
                  </w:tcBorders>
                  <w:vAlign w:val="center"/>
                </w:tcPr>
                <w:p w14:paraId="421D535D">
                  <w:pPr>
                    <w:pStyle w:val="100"/>
                    <w:keepNext w:val="0"/>
                    <w:keepLines w:val="0"/>
                    <w:pageBreakBefore w:val="0"/>
                    <w:widowControl w:val="0"/>
                    <w:kinsoku/>
                    <w:wordWrap/>
                    <w:overflowPunct/>
                    <w:topLinePunct w:val="0"/>
                    <w:autoSpaceDE/>
                    <w:autoSpaceDN/>
                    <w:bidi w:val="0"/>
                    <w:adjustRightInd/>
                    <w:snapToGrid/>
                    <w:spacing w:line="240" w:lineRule="auto"/>
                    <w:ind w:left="0" w:right="0" w:hanging="7"/>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pacing w:val="-4"/>
                      <w:sz w:val="18"/>
                      <w:szCs w:val="18"/>
                      <w:highlight w:val="none"/>
                    </w:rPr>
                    <w:t>占标率</w:t>
                  </w:r>
                  <w:r>
                    <w:rPr>
                      <w:rFonts w:hint="default" w:ascii="Times New Roman" w:hAnsi="Times New Roman" w:eastAsia="Times New Roman" w:cs="Times New Roman"/>
                      <w:b/>
                      <w:bCs/>
                      <w:color w:val="auto"/>
                      <w:spacing w:val="-4"/>
                      <w:sz w:val="18"/>
                      <w:szCs w:val="18"/>
                      <w:highlight w:val="none"/>
                    </w:rPr>
                    <w:t>/</w:t>
                  </w:r>
                  <w:r>
                    <w:rPr>
                      <w:rFonts w:hint="default" w:ascii="Times New Roman" w:hAnsi="Times New Roman" w:eastAsia="Times New Roman" w:cs="Times New Roman"/>
                      <w:b/>
                      <w:bCs/>
                      <w:color w:val="auto"/>
                      <w:sz w:val="18"/>
                      <w:szCs w:val="18"/>
                      <w:highlight w:val="none"/>
                    </w:rPr>
                    <w:t xml:space="preserve"> </w:t>
                  </w:r>
                  <w:r>
                    <w:rPr>
                      <w:rFonts w:hint="default" w:ascii="Times New Roman" w:hAnsi="Times New Roman" w:cs="Times New Roman"/>
                      <w:b/>
                      <w:bCs/>
                      <w:color w:val="auto"/>
                      <w:spacing w:val="-2"/>
                      <w:sz w:val="18"/>
                      <w:szCs w:val="18"/>
                      <w:highlight w:val="none"/>
                    </w:rPr>
                    <w:t>（</w:t>
                  </w:r>
                  <w:r>
                    <w:rPr>
                      <w:rFonts w:hint="default" w:ascii="Times New Roman" w:hAnsi="Times New Roman" w:eastAsia="Times New Roman" w:cs="Times New Roman"/>
                      <w:b/>
                      <w:bCs/>
                      <w:color w:val="auto"/>
                      <w:spacing w:val="-2"/>
                      <w:sz w:val="18"/>
                      <w:szCs w:val="18"/>
                      <w:highlight w:val="none"/>
                    </w:rPr>
                    <w:t>%</w:t>
                  </w:r>
                  <w:r>
                    <w:rPr>
                      <w:rFonts w:hint="default" w:ascii="Times New Roman" w:hAnsi="Times New Roman" w:cs="Times New Roman"/>
                      <w:b/>
                      <w:bCs/>
                      <w:color w:val="auto"/>
                      <w:spacing w:val="-2"/>
                      <w:sz w:val="18"/>
                      <w:szCs w:val="18"/>
                      <w:highlight w:val="none"/>
                    </w:rPr>
                    <w:t>）</w:t>
                  </w:r>
                </w:p>
              </w:tc>
              <w:tc>
                <w:tcPr>
                  <w:tcW w:w="1010" w:type="dxa"/>
                  <w:tcBorders>
                    <w:top w:val="single" w:color="000000" w:sz="10" w:space="0"/>
                    <w:right w:val="nil"/>
                  </w:tcBorders>
                  <w:vAlign w:val="center"/>
                </w:tcPr>
                <w:p w14:paraId="299A8D3C">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pacing w:val="4"/>
                      <w:sz w:val="18"/>
                      <w:szCs w:val="18"/>
                      <w:highlight w:val="none"/>
                    </w:rPr>
                    <w:t>达标</w:t>
                  </w:r>
                </w:p>
                <w:p w14:paraId="4823D830">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pacing w:val="3"/>
                      <w:sz w:val="18"/>
                      <w:szCs w:val="18"/>
                      <w:highlight w:val="none"/>
                    </w:rPr>
                    <w:t>情况</w:t>
                  </w:r>
                </w:p>
              </w:tc>
            </w:tr>
            <w:tr w14:paraId="43F979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jc w:val="center"/>
              </w:trPr>
              <w:tc>
                <w:tcPr>
                  <w:tcW w:w="1584" w:type="dxa"/>
                  <w:tcBorders>
                    <w:left w:val="nil"/>
                  </w:tcBorders>
                  <w:vAlign w:val="center"/>
                </w:tcPr>
                <w:p w14:paraId="18EB90C6">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细颗粒物（</w:t>
                  </w:r>
                  <w:r>
                    <w:rPr>
                      <w:rFonts w:hint="default" w:ascii="Times New Roman" w:hAnsi="Times New Roman" w:eastAsia="Times New Roman" w:cs="Times New Roman"/>
                      <w:color w:val="auto"/>
                      <w:sz w:val="18"/>
                      <w:szCs w:val="18"/>
                      <w:highlight w:val="none"/>
                    </w:rPr>
                    <w:t>PM</w:t>
                  </w:r>
                  <w:r>
                    <w:rPr>
                      <w:rFonts w:hint="default" w:ascii="Times New Roman" w:hAnsi="Times New Roman" w:cs="Times New Roman"/>
                      <w:color w:val="auto"/>
                      <w:spacing w:val="7"/>
                      <w:position w:val="-1"/>
                      <w:sz w:val="18"/>
                      <w:szCs w:val="18"/>
                      <w:highlight w:val="none"/>
                      <w:vertAlign w:val="subscript"/>
                      <w:lang w:val="en-US" w:eastAsia="zh-CN"/>
                    </w:rPr>
                    <w:t>2.5</w:t>
                  </w:r>
                  <w:r>
                    <w:rPr>
                      <w:rFonts w:hint="default" w:ascii="Times New Roman" w:hAnsi="Times New Roman" w:cs="Times New Roman"/>
                      <w:color w:val="auto"/>
                      <w:spacing w:val="7"/>
                      <w:sz w:val="18"/>
                      <w:szCs w:val="18"/>
                      <w:highlight w:val="none"/>
                    </w:rPr>
                    <w:t>）</w:t>
                  </w:r>
                </w:p>
              </w:tc>
              <w:tc>
                <w:tcPr>
                  <w:tcW w:w="2020" w:type="dxa"/>
                  <w:vAlign w:val="center"/>
                </w:tcPr>
                <w:p w14:paraId="63B67358">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8"/>
                      <w:sz w:val="18"/>
                      <w:szCs w:val="18"/>
                      <w:highlight w:val="none"/>
                    </w:rPr>
                    <w:t>年平均质量浓度</w:t>
                  </w:r>
                </w:p>
              </w:tc>
              <w:tc>
                <w:tcPr>
                  <w:tcW w:w="1142" w:type="dxa"/>
                  <w:vAlign w:val="center"/>
                </w:tcPr>
                <w:p w14:paraId="3865ECAA">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pacing w:val="2"/>
                      <w:sz w:val="18"/>
                      <w:szCs w:val="18"/>
                      <w:highlight w:val="none"/>
                    </w:rPr>
                    <w:t>24</w:t>
                  </w:r>
                </w:p>
              </w:tc>
              <w:tc>
                <w:tcPr>
                  <w:tcW w:w="1233" w:type="dxa"/>
                  <w:vAlign w:val="center"/>
                </w:tcPr>
                <w:p w14:paraId="21863E7C">
                  <w:pPr>
                    <w:pStyle w:val="103"/>
                    <w:bidi w:val="0"/>
                    <w:rPr>
                      <w:rFonts w:hint="default" w:ascii="Times New Roman" w:hAnsi="Times New Roman" w:eastAsia="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30</w:t>
                  </w:r>
                </w:p>
              </w:tc>
              <w:tc>
                <w:tcPr>
                  <w:tcW w:w="972" w:type="dxa"/>
                  <w:vAlign w:val="center"/>
                </w:tcPr>
                <w:p w14:paraId="5A53C739">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pacing w:val="2"/>
                      <w:sz w:val="18"/>
                      <w:szCs w:val="18"/>
                      <w:highlight w:val="none"/>
                      <w:lang w:val="en-US" w:eastAsia="zh-CN"/>
                    </w:rPr>
                    <w:t>80</w:t>
                  </w:r>
                </w:p>
              </w:tc>
              <w:tc>
                <w:tcPr>
                  <w:tcW w:w="1010" w:type="dxa"/>
                  <w:tcBorders>
                    <w:right w:val="nil"/>
                  </w:tcBorders>
                  <w:vAlign w:val="center"/>
                </w:tcPr>
                <w:p w14:paraId="64569331">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6"/>
                      <w:sz w:val="18"/>
                      <w:szCs w:val="18"/>
                      <w:highlight w:val="none"/>
                    </w:rPr>
                    <w:t>达标</w:t>
                  </w:r>
                </w:p>
              </w:tc>
            </w:tr>
            <w:tr w14:paraId="65ED00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6" w:hRule="atLeast"/>
                <w:jc w:val="center"/>
              </w:trPr>
              <w:tc>
                <w:tcPr>
                  <w:tcW w:w="1584" w:type="dxa"/>
                  <w:tcBorders>
                    <w:left w:val="nil"/>
                  </w:tcBorders>
                  <w:vAlign w:val="center"/>
                </w:tcPr>
                <w:p w14:paraId="71B6381F">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可吸入颗粒物</w:t>
                  </w:r>
                </w:p>
                <w:p w14:paraId="1BC247CD">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2"/>
                      <w:sz w:val="18"/>
                      <w:szCs w:val="18"/>
                      <w:highlight w:val="none"/>
                    </w:rPr>
                    <w:t>（</w:t>
                  </w:r>
                  <w:r>
                    <w:rPr>
                      <w:rFonts w:hint="default" w:ascii="Times New Roman" w:hAnsi="Times New Roman" w:eastAsia="Times New Roman" w:cs="Times New Roman"/>
                      <w:color w:val="auto"/>
                      <w:sz w:val="18"/>
                      <w:szCs w:val="18"/>
                      <w:highlight w:val="none"/>
                    </w:rPr>
                    <w:t>PM</w:t>
                  </w:r>
                  <w:r>
                    <w:rPr>
                      <w:rFonts w:hint="default" w:ascii="Times New Roman" w:hAnsi="Times New Roman" w:eastAsia="Times New Roman" w:cs="Times New Roman"/>
                      <w:color w:val="auto"/>
                      <w:spacing w:val="2"/>
                      <w:sz w:val="18"/>
                      <w:szCs w:val="18"/>
                      <w:highlight w:val="none"/>
                      <w:vertAlign w:val="subscript"/>
                    </w:rPr>
                    <w:t>10</w:t>
                  </w:r>
                  <w:r>
                    <w:rPr>
                      <w:rFonts w:hint="default" w:ascii="Times New Roman" w:hAnsi="Times New Roman" w:cs="Times New Roman"/>
                      <w:color w:val="auto"/>
                      <w:spacing w:val="2"/>
                      <w:sz w:val="18"/>
                      <w:szCs w:val="18"/>
                      <w:highlight w:val="none"/>
                    </w:rPr>
                    <w:t>）</w:t>
                  </w:r>
                </w:p>
              </w:tc>
              <w:tc>
                <w:tcPr>
                  <w:tcW w:w="2020" w:type="dxa"/>
                  <w:vAlign w:val="center"/>
                </w:tcPr>
                <w:p w14:paraId="17A1D957">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8"/>
                      <w:sz w:val="18"/>
                      <w:szCs w:val="18"/>
                      <w:highlight w:val="none"/>
                    </w:rPr>
                    <w:t>年平均质量浓度</w:t>
                  </w:r>
                </w:p>
              </w:tc>
              <w:tc>
                <w:tcPr>
                  <w:tcW w:w="1142" w:type="dxa"/>
                  <w:vAlign w:val="center"/>
                </w:tcPr>
                <w:p w14:paraId="5B5024F1">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34</w:t>
                  </w:r>
                </w:p>
              </w:tc>
              <w:tc>
                <w:tcPr>
                  <w:tcW w:w="1233" w:type="dxa"/>
                  <w:vAlign w:val="center"/>
                </w:tcPr>
                <w:p w14:paraId="43D4148C">
                  <w:pPr>
                    <w:pStyle w:val="103"/>
                    <w:bidi w:val="0"/>
                    <w:rPr>
                      <w:rFonts w:hint="default" w:ascii="Times New Roman" w:hAnsi="Times New Roman" w:eastAsia="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60</w:t>
                  </w:r>
                </w:p>
              </w:tc>
              <w:tc>
                <w:tcPr>
                  <w:tcW w:w="972" w:type="dxa"/>
                  <w:vAlign w:val="center"/>
                </w:tcPr>
                <w:p w14:paraId="265E88D8">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pacing w:val="3"/>
                      <w:sz w:val="18"/>
                      <w:szCs w:val="18"/>
                      <w:highlight w:val="none"/>
                      <w:lang w:val="en-US" w:eastAsia="zh-CN"/>
                    </w:rPr>
                    <w:t>56.7</w:t>
                  </w:r>
                </w:p>
              </w:tc>
              <w:tc>
                <w:tcPr>
                  <w:tcW w:w="1010" w:type="dxa"/>
                  <w:tcBorders>
                    <w:right w:val="nil"/>
                  </w:tcBorders>
                  <w:vAlign w:val="center"/>
                </w:tcPr>
                <w:p w14:paraId="09C58696">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5"/>
                      <w:sz w:val="18"/>
                      <w:szCs w:val="18"/>
                      <w:highlight w:val="none"/>
                    </w:rPr>
                    <w:t>达标</w:t>
                  </w:r>
                </w:p>
              </w:tc>
            </w:tr>
            <w:tr w14:paraId="7DCC55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jc w:val="center"/>
              </w:trPr>
              <w:tc>
                <w:tcPr>
                  <w:tcW w:w="1584" w:type="dxa"/>
                  <w:tcBorders>
                    <w:left w:val="nil"/>
                  </w:tcBorders>
                  <w:vAlign w:val="center"/>
                </w:tcPr>
                <w:p w14:paraId="7B80860F">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6"/>
                      <w:sz w:val="18"/>
                      <w:szCs w:val="18"/>
                      <w:highlight w:val="none"/>
                    </w:rPr>
                    <w:t>二氧化氮</w:t>
                  </w:r>
                </w:p>
              </w:tc>
              <w:tc>
                <w:tcPr>
                  <w:tcW w:w="2020" w:type="dxa"/>
                  <w:vAlign w:val="center"/>
                </w:tcPr>
                <w:p w14:paraId="10CE5620">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8"/>
                      <w:sz w:val="18"/>
                      <w:szCs w:val="18"/>
                      <w:highlight w:val="none"/>
                    </w:rPr>
                    <w:t>年平均质量浓度</w:t>
                  </w:r>
                </w:p>
              </w:tc>
              <w:tc>
                <w:tcPr>
                  <w:tcW w:w="1142" w:type="dxa"/>
                  <w:vAlign w:val="center"/>
                </w:tcPr>
                <w:p w14:paraId="34AC93C7">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pacing w:val="-8"/>
                      <w:sz w:val="18"/>
                      <w:szCs w:val="18"/>
                      <w:highlight w:val="none"/>
                    </w:rPr>
                    <w:t>13</w:t>
                  </w:r>
                </w:p>
              </w:tc>
              <w:tc>
                <w:tcPr>
                  <w:tcW w:w="1233" w:type="dxa"/>
                  <w:vAlign w:val="center"/>
                </w:tcPr>
                <w:p w14:paraId="0A393EB5">
                  <w:pPr>
                    <w:pStyle w:val="103"/>
                    <w:bidi w:val="0"/>
                    <w:rPr>
                      <w:rFonts w:hint="default" w:ascii="Times New Roman" w:hAnsi="Times New Roman" w:eastAsia="Times New Roman" w:cs="Times New Roman"/>
                      <w:color w:val="auto"/>
                      <w:sz w:val="18"/>
                      <w:szCs w:val="18"/>
                      <w:highlight w:val="none"/>
                    </w:rPr>
                  </w:pPr>
                  <w:r>
                    <w:rPr>
                      <w:rFonts w:hint="default" w:ascii="Times New Roman" w:hAnsi="Times New Roman" w:cs="Times New Roman"/>
                      <w:color w:val="auto"/>
                      <w:sz w:val="18"/>
                      <w:szCs w:val="18"/>
                      <w:highlight w:val="none"/>
                    </w:rPr>
                    <w:t>40</w:t>
                  </w:r>
                </w:p>
              </w:tc>
              <w:tc>
                <w:tcPr>
                  <w:tcW w:w="972" w:type="dxa"/>
                  <w:vAlign w:val="center"/>
                </w:tcPr>
                <w:p w14:paraId="09D5FA1B">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pacing w:val="2"/>
                      <w:sz w:val="18"/>
                      <w:szCs w:val="18"/>
                      <w:highlight w:val="none"/>
                    </w:rPr>
                    <w:t>32.5</w:t>
                  </w:r>
                </w:p>
              </w:tc>
              <w:tc>
                <w:tcPr>
                  <w:tcW w:w="1010" w:type="dxa"/>
                  <w:tcBorders>
                    <w:right w:val="nil"/>
                  </w:tcBorders>
                  <w:vAlign w:val="center"/>
                </w:tcPr>
                <w:p w14:paraId="13BDF870">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5"/>
                      <w:sz w:val="18"/>
                      <w:szCs w:val="18"/>
                      <w:highlight w:val="none"/>
                    </w:rPr>
                    <w:t>达标</w:t>
                  </w:r>
                </w:p>
              </w:tc>
            </w:tr>
            <w:tr w14:paraId="4F1660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4" w:hRule="atLeast"/>
                <w:jc w:val="center"/>
              </w:trPr>
              <w:tc>
                <w:tcPr>
                  <w:tcW w:w="1584" w:type="dxa"/>
                  <w:tcBorders>
                    <w:left w:val="nil"/>
                  </w:tcBorders>
                  <w:vAlign w:val="center"/>
                </w:tcPr>
                <w:p w14:paraId="60A0EC8D">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6"/>
                      <w:sz w:val="18"/>
                      <w:szCs w:val="18"/>
                      <w:highlight w:val="none"/>
                    </w:rPr>
                    <w:t>二氧化硫</w:t>
                  </w:r>
                </w:p>
              </w:tc>
              <w:tc>
                <w:tcPr>
                  <w:tcW w:w="2020" w:type="dxa"/>
                  <w:vAlign w:val="center"/>
                </w:tcPr>
                <w:p w14:paraId="3F15596B">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8"/>
                      <w:sz w:val="18"/>
                      <w:szCs w:val="18"/>
                      <w:highlight w:val="none"/>
                    </w:rPr>
                    <w:t>年平均质量浓度</w:t>
                  </w:r>
                </w:p>
              </w:tc>
              <w:tc>
                <w:tcPr>
                  <w:tcW w:w="1142" w:type="dxa"/>
                  <w:vAlign w:val="center"/>
                </w:tcPr>
                <w:p w14:paraId="40B1814A">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7</w:t>
                  </w:r>
                </w:p>
              </w:tc>
              <w:tc>
                <w:tcPr>
                  <w:tcW w:w="1233" w:type="dxa"/>
                  <w:vAlign w:val="center"/>
                </w:tcPr>
                <w:p w14:paraId="1E1D61BB">
                  <w:pPr>
                    <w:pStyle w:val="103"/>
                    <w:bidi w:val="0"/>
                    <w:rPr>
                      <w:rFonts w:hint="default" w:ascii="Times New Roman" w:hAnsi="Times New Roman" w:eastAsia="Times New Roman" w:cs="Times New Roman"/>
                      <w:color w:val="auto"/>
                      <w:sz w:val="18"/>
                      <w:szCs w:val="18"/>
                      <w:highlight w:val="none"/>
                    </w:rPr>
                  </w:pPr>
                  <w:r>
                    <w:rPr>
                      <w:rFonts w:hint="default" w:ascii="Times New Roman" w:hAnsi="Times New Roman" w:cs="Times New Roman"/>
                      <w:color w:val="auto"/>
                      <w:sz w:val="18"/>
                      <w:szCs w:val="18"/>
                      <w:highlight w:val="none"/>
                    </w:rPr>
                    <w:t>60</w:t>
                  </w:r>
                </w:p>
              </w:tc>
              <w:tc>
                <w:tcPr>
                  <w:tcW w:w="972" w:type="dxa"/>
                  <w:vAlign w:val="center"/>
                </w:tcPr>
                <w:p w14:paraId="76DD8726">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pacing w:val="-4"/>
                      <w:sz w:val="18"/>
                      <w:szCs w:val="18"/>
                      <w:highlight w:val="none"/>
                    </w:rPr>
                    <w:t>11.7</w:t>
                  </w:r>
                </w:p>
              </w:tc>
              <w:tc>
                <w:tcPr>
                  <w:tcW w:w="1010" w:type="dxa"/>
                  <w:tcBorders>
                    <w:right w:val="nil"/>
                  </w:tcBorders>
                  <w:vAlign w:val="center"/>
                </w:tcPr>
                <w:p w14:paraId="08DD63BB">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5"/>
                      <w:sz w:val="18"/>
                      <w:szCs w:val="18"/>
                      <w:highlight w:val="none"/>
                    </w:rPr>
                    <w:t>达标</w:t>
                  </w:r>
                </w:p>
              </w:tc>
            </w:tr>
            <w:tr w14:paraId="42963E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jc w:val="center"/>
              </w:trPr>
              <w:tc>
                <w:tcPr>
                  <w:tcW w:w="1584" w:type="dxa"/>
                  <w:tcBorders>
                    <w:left w:val="nil"/>
                  </w:tcBorders>
                  <w:vAlign w:val="center"/>
                </w:tcPr>
                <w:p w14:paraId="7DDFA99C">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6"/>
                      <w:sz w:val="18"/>
                      <w:szCs w:val="18"/>
                      <w:highlight w:val="none"/>
                    </w:rPr>
                    <w:t>一氧化碳</w:t>
                  </w:r>
                </w:p>
              </w:tc>
              <w:tc>
                <w:tcPr>
                  <w:tcW w:w="2020" w:type="dxa"/>
                  <w:vAlign w:val="center"/>
                </w:tcPr>
                <w:p w14:paraId="6A064D08">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第95百分位数日平均浓度</w:t>
                  </w:r>
                </w:p>
              </w:tc>
              <w:tc>
                <w:tcPr>
                  <w:tcW w:w="1142" w:type="dxa"/>
                  <w:vAlign w:val="center"/>
                </w:tcPr>
                <w:p w14:paraId="1363D390">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pacing w:val="1"/>
                      <w:sz w:val="18"/>
                      <w:szCs w:val="18"/>
                      <w:highlight w:val="none"/>
                      <w:lang w:val="en-US" w:eastAsia="zh-CN"/>
                    </w:rPr>
                    <w:t>800</w:t>
                  </w:r>
                </w:p>
              </w:tc>
              <w:tc>
                <w:tcPr>
                  <w:tcW w:w="1233" w:type="dxa"/>
                  <w:vAlign w:val="center"/>
                </w:tcPr>
                <w:p w14:paraId="017B51DA">
                  <w:pPr>
                    <w:pStyle w:val="103"/>
                    <w:bidi w:val="0"/>
                    <w:rPr>
                      <w:rFonts w:hint="default" w:ascii="Times New Roman" w:hAnsi="Times New Roman" w:eastAsia="Times New Roman" w:cs="Times New Roman"/>
                      <w:color w:val="auto"/>
                      <w:sz w:val="18"/>
                      <w:szCs w:val="18"/>
                      <w:highlight w:val="none"/>
                    </w:rPr>
                  </w:pPr>
                  <w:r>
                    <w:rPr>
                      <w:rFonts w:hint="default" w:ascii="Times New Roman" w:hAnsi="Times New Roman" w:cs="Times New Roman"/>
                      <w:color w:val="auto"/>
                      <w:sz w:val="18"/>
                      <w:szCs w:val="18"/>
                      <w:highlight w:val="none"/>
                    </w:rPr>
                    <w:t>4000</w:t>
                  </w:r>
                </w:p>
              </w:tc>
              <w:tc>
                <w:tcPr>
                  <w:tcW w:w="972" w:type="dxa"/>
                  <w:vAlign w:val="center"/>
                </w:tcPr>
                <w:p w14:paraId="539E7C0F">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pacing w:val="3"/>
                      <w:sz w:val="18"/>
                      <w:szCs w:val="18"/>
                      <w:highlight w:val="none"/>
                    </w:rPr>
                    <w:t>20.0</w:t>
                  </w:r>
                </w:p>
              </w:tc>
              <w:tc>
                <w:tcPr>
                  <w:tcW w:w="1010" w:type="dxa"/>
                  <w:tcBorders>
                    <w:right w:val="nil"/>
                  </w:tcBorders>
                  <w:vAlign w:val="center"/>
                </w:tcPr>
                <w:p w14:paraId="2FA739A3">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5"/>
                      <w:sz w:val="18"/>
                      <w:szCs w:val="18"/>
                      <w:highlight w:val="none"/>
                    </w:rPr>
                    <w:t>达标</w:t>
                  </w:r>
                </w:p>
              </w:tc>
            </w:tr>
            <w:tr w14:paraId="65CB32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17" w:hRule="atLeast"/>
                <w:jc w:val="center"/>
              </w:trPr>
              <w:tc>
                <w:tcPr>
                  <w:tcW w:w="1584" w:type="dxa"/>
                  <w:tcBorders>
                    <w:left w:val="nil"/>
                    <w:bottom w:val="single" w:color="000000" w:sz="10" w:space="0"/>
                  </w:tcBorders>
                  <w:vAlign w:val="center"/>
                </w:tcPr>
                <w:p w14:paraId="086B8D7D">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臭氧</w:t>
                  </w:r>
                </w:p>
              </w:tc>
              <w:tc>
                <w:tcPr>
                  <w:tcW w:w="2020" w:type="dxa"/>
                  <w:tcBorders>
                    <w:bottom w:val="single" w:color="000000" w:sz="10" w:space="0"/>
                  </w:tcBorders>
                  <w:vAlign w:val="center"/>
                </w:tcPr>
                <w:p w14:paraId="5B5BB6D8">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第90百分位数8h平均质量浓度</w:t>
                  </w:r>
                </w:p>
              </w:tc>
              <w:tc>
                <w:tcPr>
                  <w:tcW w:w="1142" w:type="dxa"/>
                  <w:tcBorders>
                    <w:bottom w:val="single" w:color="000000" w:sz="10" w:space="0"/>
                  </w:tcBorders>
                  <w:vAlign w:val="center"/>
                </w:tcPr>
                <w:p w14:paraId="040736A9">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pacing w:val="-3"/>
                      <w:sz w:val="18"/>
                      <w:szCs w:val="18"/>
                      <w:highlight w:val="none"/>
                    </w:rPr>
                    <w:t>104</w:t>
                  </w:r>
                </w:p>
              </w:tc>
              <w:tc>
                <w:tcPr>
                  <w:tcW w:w="1233" w:type="dxa"/>
                  <w:tcBorders>
                    <w:bottom w:val="single" w:color="000000" w:sz="10" w:space="0"/>
                  </w:tcBorders>
                  <w:vAlign w:val="center"/>
                </w:tcPr>
                <w:p w14:paraId="02EF27FC">
                  <w:pPr>
                    <w:pStyle w:val="103"/>
                    <w:bidi w:val="0"/>
                    <w:rPr>
                      <w:rFonts w:hint="default" w:ascii="Times New Roman" w:hAnsi="Times New Roman" w:eastAsia="Times New Roman" w:cs="Times New Roman"/>
                      <w:color w:val="auto"/>
                      <w:sz w:val="18"/>
                      <w:szCs w:val="18"/>
                      <w:highlight w:val="none"/>
                    </w:rPr>
                  </w:pPr>
                  <w:r>
                    <w:rPr>
                      <w:rFonts w:hint="default" w:ascii="Times New Roman" w:hAnsi="Times New Roman" w:cs="Times New Roman"/>
                      <w:color w:val="auto"/>
                      <w:sz w:val="18"/>
                      <w:szCs w:val="18"/>
                      <w:highlight w:val="none"/>
                    </w:rPr>
                    <w:t>160</w:t>
                  </w:r>
                </w:p>
              </w:tc>
              <w:tc>
                <w:tcPr>
                  <w:tcW w:w="972" w:type="dxa"/>
                  <w:tcBorders>
                    <w:bottom w:val="single" w:color="000000" w:sz="10" w:space="0"/>
                  </w:tcBorders>
                  <w:vAlign w:val="center"/>
                </w:tcPr>
                <w:p w14:paraId="78B5AC79">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pacing w:val="2"/>
                      <w:sz w:val="18"/>
                      <w:szCs w:val="18"/>
                      <w:highlight w:val="none"/>
                    </w:rPr>
                    <w:t>65.0</w:t>
                  </w:r>
                </w:p>
              </w:tc>
              <w:tc>
                <w:tcPr>
                  <w:tcW w:w="1010" w:type="dxa"/>
                  <w:tcBorders>
                    <w:bottom w:val="single" w:color="000000" w:sz="10" w:space="0"/>
                    <w:right w:val="nil"/>
                  </w:tcBorders>
                  <w:vAlign w:val="center"/>
                </w:tcPr>
                <w:p w14:paraId="1D910006">
                  <w:pPr>
                    <w:pStyle w:val="100"/>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5"/>
                      <w:sz w:val="18"/>
                      <w:szCs w:val="18"/>
                      <w:highlight w:val="none"/>
                    </w:rPr>
                    <w:t>达标</w:t>
                  </w:r>
                </w:p>
              </w:tc>
            </w:tr>
          </w:tbl>
          <w:p w14:paraId="4268615B">
            <w:pPr>
              <w:spacing w:line="360" w:lineRule="auto"/>
              <w:ind w:firstLine="416" w:firstLineChars="200"/>
              <w:rPr>
                <w:rFonts w:hint="default" w:ascii="Times New Roman" w:hAnsi="Times New Roman" w:cs="Times New Roman"/>
                <w:color w:val="auto"/>
                <w:szCs w:val="21"/>
                <w:highlight w:val="none"/>
              </w:rPr>
            </w:pPr>
            <w:r>
              <w:rPr>
                <w:rFonts w:hint="default" w:ascii="Times New Roman" w:hAnsi="Times New Roman" w:cs="Times New Roman"/>
                <w:color w:val="auto"/>
                <w:spacing w:val="-1"/>
                <w:highlight w:val="none"/>
              </w:rPr>
              <w:t>综上可知，</w:t>
            </w:r>
            <w:r>
              <w:rPr>
                <w:rFonts w:hint="eastAsia"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eastAsia="zh-CN"/>
              </w:rPr>
              <w:t>2024年伊春市生态环境质量公报</w:t>
            </w:r>
            <w:r>
              <w:rPr>
                <w:rFonts w:hint="default" w:ascii="Times New Roman" w:hAnsi="Times New Roman" w:cs="Times New Roman"/>
                <w:color w:val="auto"/>
                <w:sz w:val="21"/>
                <w:szCs w:val="21"/>
                <w:highlight w:val="none"/>
              </w:rPr>
              <w:t>》可知</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2024年</w:t>
            </w:r>
            <w:r>
              <w:rPr>
                <w:rFonts w:hint="default" w:ascii="Times New Roman" w:hAnsi="Times New Roman" w:cs="Times New Roman"/>
                <w:color w:val="auto"/>
                <w:spacing w:val="-1"/>
                <w:highlight w:val="none"/>
              </w:rPr>
              <w:t>本项目所在区域为环境空气质量达标区。</w:t>
            </w:r>
          </w:p>
          <w:p w14:paraId="4C1E34C1">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 xml:space="preserve">（2）特征污染物 </w:t>
            </w:r>
          </w:p>
          <w:p w14:paraId="51726B2F">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项目引用《鸿源谷稻（伊春）农业科技有限公司建设项目》的现状监测数据。该项目位于本项目厂区东南侧</w:t>
            </w:r>
            <w:r>
              <w:rPr>
                <w:rFonts w:hint="eastAsia" w:cs="Times New Roman"/>
                <w:color w:val="auto"/>
                <w:szCs w:val="21"/>
                <w:highlight w:val="none"/>
                <w:lang w:val="en-US" w:eastAsia="zh-CN"/>
              </w:rPr>
              <w:t>75</w:t>
            </w:r>
            <w:r>
              <w:rPr>
                <w:rFonts w:hint="default" w:ascii="Times New Roman" w:hAnsi="Times New Roman" w:cs="Times New Roman"/>
                <w:color w:val="auto"/>
                <w:szCs w:val="21"/>
                <w:highlight w:val="none"/>
                <w:lang w:val="en-US" w:eastAsia="zh-CN"/>
              </w:rPr>
              <w:t>0m处，监测时间为202</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lang w:val="en-US" w:eastAsia="zh-CN"/>
              </w:rPr>
              <w:t>年</w:t>
            </w:r>
            <w:r>
              <w:rPr>
                <w:rFonts w:hint="eastAsia" w:cs="Times New Roman"/>
                <w:color w:val="auto"/>
                <w:szCs w:val="21"/>
                <w:highlight w:val="none"/>
                <w:lang w:val="en-US" w:eastAsia="zh-CN"/>
              </w:rPr>
              <w:t>5</w:t>
            </w:r>
            <w:r>
              <w:rPr>
                <w:rFonts w:hint="default" w:ascii="Times New Roman" w:hAnsi="Times New Roman" w:cs="Times New Roman"/>
                <w:color w:val="auto"/>
                <w:szCs w:val="21"/>
                <w:highlight w:val="none"/>
                <w:lang w:val="en-US" w:eastAsia="zh-CN"/>
              </w:rPr>
              <w:t>月</w:t>
            </w:r>
            <w:r>
              <w:rPr>
                <w:rFonts w:hint="eastAsia" w:cs="Times New Roman"/>
                <w:color w:val="auto"/>
                <w:szCs w:val="21"/>
                <w:highlight w:val="none"/>
                <w:lang w:val="en-US" w:eastAsia="zh-CN"/>
              </w:rPr>
              <w:t>8</w:t>
            </w:r>
            <w:r>
              <w:rPr>
                <w:rFonts w:hint="default" w:ascii="Times New Roman" w:hAnsi="Times New Roman" w:cs="Times New Roman"/>
                <w:color w:val="auto"/>
                <w:szCs w:val="21"/>
                <w:highlight w:val="none"/>
                <w:lang w:val="en-US" w:eastAsia="zh-CN"/>
              </w:rPr>
              <w:t>日-202</w:t>
            </w:r>
            <w:r>
              <w:rPr>
                <w:rFonts w:hint="eastAsia" w:cs="Times New Roman"/>
                <w:color w:val="auto"/>
                <w:szCs w:val="21"/>
                <w:highlight w:val="none"/>
                <w:lang w:val="en-US" w:eastAsia="zh-CN"/>
              </w:rPr>
              <w:t>3</w:t>
            </w:r>
            <w:r>
              <w:rPr>
                <w:rFonts w:hint="default" w:ascii="Times New Roman" w:hAnsi="Times New Roman" w:cs="Times New Roman"/>
                <w:color w:val="auto"/>
                <w:szCs w:val="21"/>
                <w:highlight w:val="none"/>
                <w:lang w:val="en-US" w:eastAsia="zh-CN"/>
              </w:rPr>
              <w:t>年</w:t>
            </w:r>
            <w:r>
              <w:rPr>
                <w:rFonts w:hint="eastAsia" w:cs="Times New Roman"/>
                <w:color w:val="auto"/>
                <w:szCs w:val="21"/>
                <w:highlight w:val="none"/>
                <w:lang w:val="en-US" w:eastAsia="zh-CN"/>
              </w:rPr>
              <w:t>5</w:t>
            </w:r>
            <w:r>
              <w:rPr>
                <w:rFonts w:hint="default" w:ascii="Times New Roman" w:hAnsi="Times New Roman" w:cs="Times New Roman"/>
                <w:color w:val="auto"/>
                <w:szCs w:val="21"/>
                <w:highlight w:val="none"/>
                <w:lang w:val="en-US" w:eastAsia="zh-CN"/>
              </w:rPr>
              <w:t>月</w:t>
            </w:r>
            <w:r>
              <w:rPr>
                <w:rFonts w:hint="eastAsia" w:cs="Times New Roman"/>
                <w:color w:val="auto"/>
                <w:szCs w:val="21"/>
                <w:highlight w:val="none"/>
                <w:lang w:val="en-US" w:eastAsia="zh-CN"/>
              </w:rPr>
              <w:t>10</w:t>
            </w:r>
            <w:r>
              <w:rPr>
                <w:rFonts w:hint="default" w:ascii="Times New Roman" w:hAnsi="Times New Roman" w:cs="Times New Roman"/>
                <w:color w:val="auto"/>
                <w:szCs w:val="21"/>
                <w:highlight w:val="none"/>
                <w:lang w:val="en-US" w:eastAsia="zh-CN"/>
              </w:rPr>
              <w:t>日，</w:t>
            </w:r>
            <w:r>
              <w:rPr>
                <w:rFonts w:hint="default" w:ascii="Times New Roman" w:hAnsi="Times New Roman" w:cs="Times New Roman"/>
                <w:color w:val="auto"/>
                <w:szCs w:val="21"/>
                <w:highlight w:val="none"/>
              </w:rPr>
              <w:t>项目</w:t>
            </w:r>
            <w:r>
              <w:rPr>
                <w:rFonts w:hint="default" w:ascii="Times New Roman" w:hAnsi="Times New Roman" w:cs="Times New Roman"/>
                <w:color w:val="auto"/>
                <w:szCs w:val="21"/>
                <w:highlight w:val="none"/>
                <w:lang w:val="en-US" w:eastAsia="zh-CN"/>
              </w:rPr>
              <w:t>监测详情</w:t>
            </w:r>
            <w:r>
              <w:rPr>
                <w:rFonts w:hint="default" w:ascii="Times New Roman" w:hAnsi="Times New Roman" w:cs="Times New Roman"/>
                <w:color w:val="auto"/>
                <w:szCs w:val="21"/>
                <w:highlight w:val="none"/>
              </w:rPr>
              <w:t>见表3-2。</w:t>
            </w:r>
          </w:p>
          <w:p w14:paraId="3283912D">
            <w:pPr>
              <w:adjustRightInd w:val="0"/>
              <w:jc w:val="center"/>
              <w:textAlignment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表3-2 监测点基本信息表</w:t>
            </w:r>
          </w:p>
          <w:tbl>
            <w:tblPr>
              <w:tblStyle w:val="32"/>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1635"/>
              <w:gridCol w:w="1322"/>
              <w:gridCol w:w="1322"/>
              <w:gridCol w:w="1322"/>
              <w:gridCol w:w="1327"/>
            </w:tblGrid>
            <w:tr w14:paraId="70A09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9" w:type="dxa"/>
                  <w:vAlign w:val="center"/>
                </w:tcPr>
                <w:p w14:paraId="5D7FC29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名称</w:t>
                  </w:r>
                </w:p>
              </w:tc>
              <w:tc>
                <w:tcPr>
                  <w:tcW w:w="1635" w:type="dxa"/>
                  <w:vAlign w:val="center"/>
                </w:tcPr>
                <w:p w14:paraId="4274317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坐标</w:t>
                  </w:r>
                </w:p>
              </w:tc>
              <w:tc>
                <w:tcPr>
                  <w:tcW w:w="1322" w:type="dxa"/>
                  <w:vAlign w:val="center"/>
                </w:tcPr>
                <w:p w14:paraId="706DA25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监测因子</w:t>
                  </w:r>
                </w:p>
              </w:tc>
              <w:tc>
                <w:tcPr>
                  <w:tcW w:w="1322" w:type="dxa"/>
                  <w:vAlign w:val="center"/>
                </w:tcPr>
                <w:p w14:paraId="5095947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监测时段</w:t>
                  </w:r>
                </w:p>
              </w:tc>
              <w:tc>
                <w:tcPr>
                  <w:tcW w:w="1322" w:type="dxa"/>
                  <w:vAlign w:val="center"/>
                </w:tcPr>
                <w:p w14:paraId="608CB0C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相对方位</w:t>
                  </w:r>
                </w:p>
              </w:tc>
              <w:tc>
                <w:tcPr>
                  <w:tcW w:w="1327" w:type="dxa"/>
                  <w:vAlign w:val="center"/>
                </w:tcPr>
                <w:p w14:paraId="6A7323C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相对距离</w:t>
                  </w:r>
                </w:p>
              </w:tc>
            </w:tr>
            <w:tr w14:paraId="44C2EA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009" w:type="dxa"/>
                  <w:vAlign w:val="center"/>
                </w:tcPr>
                <w:p w14:paraId="7DEF1835">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下风向监测点</w:t>
                  </w:r>
                </w:p>
              </w:tc>
              <w:tc>
                <w:tcPr>
                  <w:tcW w:w="1635" w:type="dxa"/>
                  <w:vAlign w:val="center"/>
                </w:tcPr>
                <w:p w14:paraId="08DD0396">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128°07'14.0664",46°57'58.7286"</w:t>
                  </w:r>
                </w:p>
              </w:tc>
              <w:tc>
                <w:tcPr>
                  <w:tcW w:w="1322" w:type="dxa"/>
                  <w:vAlign w:val="center"/>
                </w:tcPr>
                <w:p w14:paraId="7EC47DC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1322" w:type="dxa"/>
                  <w:vAlign w:val="center"/>
                </w:tcPr>
                <w:p w14:paraId="4A24ABD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24小时平均</w:t>
                  </w:r>
                </w:p>
              </w:tc>
              <w:tc>
                <w:tcPr>
                  <w:tcW w:w="1322" w:type="dxa"/>
                  <w:vAlign w:val="center"/>
                </w:tcPr>
                <w:p w14:paraId="18E01C2A">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SE</w:t>
                  </w:r>
                </w:p>
              </w:tc>
              <w:tc>
                <w:tcPr>
                  <w:tcW w:w="1327" w:type="dxa"/>
                  <w:vAlign w:val="center"/>
                </w:tcPr>
                <w:p w14:paraId="47F5B9BC">
                  <w:pPr>
                    <w:jc w:val="center"/>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1300</w:t>
                  </w:r>
                  <w:r>
                    <w:rPr>
                      <w:rFonts w:hint="default" w:ascii="Times New Roman" w:hAnsi="Times New Roman" w:cs="Times New Roman"/>
                      <w:color w:val="auto"/>
                      <w:sz w:val="18"/>
                      <w:szCs w:val="18"/>
                      <w:highlight w:val="none"/>
                    </w:rPr>
                    <w:t>m</w:t>
                  </w:r>
                </w:p>
              </w:tc>
            </w:tr>
          </w:tbl>
          <w:p w14:paraId="003FD612">
            <w:pPr>
              <w:adjustRightInd w:val="0"/>
              <w:jc w:val="center"/>
              <w:textAlignment w:val="center"/>
              <w:rPr>
                <w:rFonts w:hint="default" w:ascii="Times New Roman" w:hAnsi="Times New Roman" w:cs="Times New Roman"/>
                <w:color w:val="auto"/>
                <w:highlight w:val="none"/>
              </w:rPr>
            </w:pPr>
            <w:r>
              <w:rPr>
                <w:color w:val="auto"/>
                <w:highlight w:val="none"/>
              </w:rPr>
              <w:drawing>
                <wp:inline distT="0" distB="0" distL="114300" distR="114300">
                  <wp:extent cx="4762500" cy="4133850"/>
                  <wp:effectExtent l="0" t="0" r="0" b="0"/>
                  <wp:docPr id="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7"/>
                          <pic:cNvPicPr>
                            <a:picLocks noChangeAspect="1"/>
                          </pic:cNvPicPr>
                        </pic:nvPicPr>
                        <pic:blipFill>
                          <a:blip r:embed="rId20"/>
                          <a:stretch>
                            <a:fillRect/>
                          </a:stretch>
                        </pic:blipFill>
                        <pic:spPr>
                          <a:xfrm>
                            <a:off x="0" y="0"/>
                            <a:ext cx="4762500" cy="4133850"/>
                          </a:xfrm>
                          <a:prstGeom prst="rect">
                            <a:avLst/>
                          </a:prstGeom>
                          <a:noFill/>
                          <a:ln>
                            <a:noFill/>
                          </a:ln>
                        </pic:spPr>
                      </pic:pic>
                    </a:graphicData>
                  </a:graphic>
                </wp:inline>
              </w:drawing>
            </w:r>
          </w:p>
          <w:p w14:paraId="77D1C159">
            <w:pPr>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图3-1  监测布点图</w:t>
            </w:r>
          </w:p>
          <w:p w14:paraId="71841D77">
            <w:pPr>
              <w:adjustRightInd w:val="0"/>
              <w:jc w:val="center"/>
              <w:textAlignment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表3-3 监测结果</w:t>
            </w:r>
          </w:p>
          <w:tbl>
            <w:tblPr>
              <w:tblStyle w:val="32"/>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2"/>
              <w:gridCol w:w="1102"/>
              <w:gridCol w:w="1102"/>
              <w:gridCol w:w="1102"/>
              <w:gridCol w:w="1102"/>
              <w:gridCol w:w="1102"/>
              <w:gridCol w:w="1105"/>
            </w:tblGrid>
            <w:tr w14:paraId="134D6A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22" w:type="dxa"/>
                  <w:vAlign w:val="center"/>
                </w:tcPr>
                <w:p w14:paraId="2590F2E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名称</w:t>
                  </w:r>
                </w:p>
              </w:tc>
              <w:tc>
                <w:tcPr>
                  <w:tcW w:w="1102" w:type="dxa"/>
                  <w:vAlign w:val="center"/>
                </w:tcPr>
                <w:p w14:paraId="08E6E75A">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1102" w:type="dxa"/>
                  <w:vAlign w:val="center"/>
                </w:tcPr>
                <w:p w14:paraId="48980415">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评价标准μg/m</w:t>
                  </w:r>
                  <w:r>
                    <w:rPr>
                      <w:rFonts w:hint="default" w:ascii="Times New Roman" w:hAnsi="Times New Roman" w:cs="Times New Roman"/>
                      <w:color w:val="auto"/>
                      <w:sz w:val="18"/>
                      <w:szCs w:val="18"/>
                      <w:highlight w:val="none"/>
                      <w:vertAlign w:val="superscript"/>
                    </w:rPr>
                    <w:t>3</w:t>
                  </w:r>
                </w:p>
              </w:tc>
              <w:tc>
                <w:tcPr>
                  <w:tcW w:w="1102" w:type="dxa"/>
                  <w:vAlign w:val="center"/>
                </w:tcPr>
                <w:p w14:paraId="2544BB6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浓度范围μg/m</w:t>
                  </w:r>
                  <w:r>
                    <w:rPr>
                      <w:rFonts w:hint="default" w:ascii="Times New Roman" w:hAnsi="Times New Roman" w:cs="Times New Roman"/>
                      <w:color w:val="auto"/>
                      <w:sz w:val="18"/>
                      <w:szCs w:val="18"/>
                      <w:highlight w:val="none"/>
                      <w:vertAlign w:val="superscript"/>
                    </w:rPr>
                    <w:t>3</w:t>
                  </w:r>
                </w:p>
              </w:tc>
              <w:tc>
                <w:tcPr>
                  <w:tcW w:w="1102" w:type="dxa"/>
                  <w:vAlign w:val="center"/>
                </w:tcPr>
                <w:p w14:paraId="0046089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最大占标率%</w:t>
                  </w:r>
                </w:p>
              </w:tc>
              <w:tc>
                <w:tcPr>
                  <w:tcW w:w="1102" w:type="dxa"/>
                  <w:vAlign w:val="center"/>
                </w:tcPr>
                <w:p w14:paraId="6F6BCA3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超标率%</w:t>
                  </w:r>
                </w:p>
              </w:tc>
              <w:tc>
                <w:tcPr>
                  <w:tcW w:w="1105" w:type="dxa"/>
                  <w:vAlign w:val="center"/>
                </w:tcPr>
                <w:p w14:paraId="6BA8BC2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达标情况</w:t>
                  </w:r>
                </w:p>
              </w:tc>
            </w:tr>
            <w:tr w14:paraId="40CA9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 w:hRule="atLeast"/>
                <w:jc w:val="center"/>
              </w:trPr>
              <w:tc>
                <w:tcPr>
                  <w:tcW w:w="1322" w:type="dxa"/>
                  <w:vAlign w:val="center"/>
                </w:tcPr>
                <w:p w14:paraId="50AC773B">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下风向监测点</w:t>
                  </w:r>
                </w:p>
              </w:tc>
              <w:tc>
                <w:tcPr>
                  <w:tcW w:w="1102" w:type="dxa"/>
                  <w:vAlign w:val="center"/>
                </w:tcPr>
                <w:p w14:paraId="71B9C82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1102" w:type="dxa"/>
                  <w:vAlign w:val="center"/>
                </w:tcPr>
                <w:p w14:paraId="20FFD9B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300</w:t>
                  </w:r>
                </w:p>
              </w:tc>
              <w:tc>
                <w:tcPr>
                  <w:tcW w:w="1102" w:type="dxa"/>
                  <w:vAlign w:val="center"/>
                </w:tcPr>
                <w:p w14:paraId="14D1A5A1">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57</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63</w:t>
                  </w:r>
                </w:p>
              </w:tc>
              <w:tc>
                <w:tcPr>
                  <w:tcW w:w="1102" w:type="dxa"/>
                  <w:vAlign w:val="center"/>
                </w:tcPr>
                <w:p w14:paraId="798F059E">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21</w:t>
                  </w:r>
                </w:p>
              </w:tc>
              <w:tc>
                <w:tcPr>
                  <w:tcW w:w="1102" w:type="dxa"/>
                  <w:vAlign w:val="center"/>
                </w:tcPr>
                <w:p w14:paraId="033F36B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0</w:t>
                  </w:r>
                </w:p>
              </w:tc>
              <w:tc>
                <w:tcPr>
                  <w:tcW w:w="1105" w:type="dxa"/>
                  <w:vAlign w:val="center"/>
                </w:tcPr>
                <w:p w14:paraId="3DC37A7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bl>
          <w:p w14:paraId="1C846208">
            <w:pPr>
              <w:spacing w:line="360" w:lineRule="auto"/>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根据特征污染物环境质量现状数据可知，本项目所在区域TSP浓度满足《环境空气质量标准》</w:t>
            </w:r>
            <w:r>
              <w:rPr>
                <w:rFonts w:hint="default" w:ascii="Times New Roman" w:hAnsi="Times New Roman" w:cs="Times New Roman"/>
                <w:color w:val="auto"/>
                <w:sz w:val="21"/>
                <w:szCs w:val="21"/>
                <w:highlight w:val="none"/>
                <w:lang w:val="en-US" w:eastAsia="zh-CN"/>
              </w:rPr>
              <w:t>（GB3095-2026）中</w:t>
            </w:r>
            <w:r>
              <w:rPr>
                <w:rFonts w:hint="eastAsia" w:cs="Times New Roman"/>
                <w:color w:val="auto"/>
                <w:sz w:val="21"/>
                <w:szCs w:val="21"/>
                <w:highlight w:val="none"/>
                <w:lang w:val="en-US" w:eastAsia="zh-CN"/>
              </w:rPr>
              <w:t>表2</w:t>
            </w:r>
            <w:r>
              <w:rPr>
                <w:rFonts w:hint="default" w:ascii="Times New Roman" w:hAnsi="Times New Roman" w:cs="Times New Roman"/>
                <w:color w:val="auto"/>
                <w:sz w:val="21"/>
                <w:szCs w:val="21"/>
                <w:highlight w:val="none"/>
                <w:lang w:val="en-US" w:eastAsia="zh-CN"/>
              </w:rPr>
              <w:t>二级标准</w:t>
            </w:r>
            <w:r>
              <w:rPr>
                <w:rFonts w:hint="eastAsia" w:cs="Times New Roman"/>
                <w:color w:val="auto"/>
                <w:sz w:val="21"/>
                <w:szCs w:val="21"/>
                <w:highlight w:val="none"/>
                <w:lang w:val="en-US" w:eastAsia="zh-CN"/>
              </w:rPr>
              <w:t>限值</w:t>
            </w:r>
            <w:r>
              <w:rPr>
                <w:rFonts w:hint="default" w:ascii="Times New Roman" w:hAnsi="Times New Roman" w:cs="Times New Roman"/>
                <w:color w:val="auto"/>
                <w:highlight w:val="none"/>
              </w:rPr>
              <w:t>。</w:t>
            </w:r>
          </w:p>
          <w:p w14:paraId="3A158078">
            <w:pPr>
              <w:keepNext w:val="0"/>
              <w:keepLines w:val="0"/>
              <w:pageBreakBefore w:val="0"/>
              <w:widowControl w:val="0"/>
              <w:kinsoku/>
              <w:wordWrap/>
              <w:overflowPunct/>
              <w:topLinePunct w:val="0"/>
              <w:autoSpaceDE/>
              <w:autoSpaceDN/>
              <w:bidi w:val="0"/>
              <w:adjustRightInd/>
              <w:snapToGrid/>
              <w:spacing w:line="360" w:lineRule="auto"/>
              <w:ind w:left="0" w:right="0"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2．水环境质量现状</w:t>
            </w:r>
          </w:p>
          <w:p w14:paraId="33A754EA">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32"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根据伊春市生态环境局发布的《</w:t>
            </w:r>
            <w:r>
              <w:rPr>
                <w:rFonts w:hint="default" w:ascii="Times New Roman" w:hAnsi="Times New Roman" w:eastAsia="Times New Roman" w:cs="Times New Roman"/>
                <w:color w:val="auto"/>
                <w:spacing w:val="3"/>
                <w:sz w:val="21"/>
                <w:szCs w:val="21"/>
                <w:highlight w:val="none"/>
              </w:rPr>
              <w:t>2024</w:t>
            </w:r>
            <w:r>
              <w:rPr>
                <w:rFonts w:hint="default" w:ascii="Times New Roman" w:hAnsi="Times New Roman" w:cs="Times New Roman"/>
                <w:color w:val="auto"/>
                <w:spacing w:val="3"/>
                <w:sz w:val="21"/>
                <w:szCs w:val="21"/>
                <w:highlight w:val="none"/>
              </w:rPr>
              <w:t>年伊春市生态环境质量公报》，</w:t>
            </w:r>
            <w:r>
              <w:rPr>
                <w:rFonts w:hint="default" w:ascii="Times New Roman" w:hAnsi="Times New Roman" w:eastAsia="Times New Roman" w:cs="Times New Roman"/>
                <w:color w:val="auto"/>
                <w:spacing w:val="3"/>
                <w:sz w:val="21"/>
                <w:szCs w:val="21"/>
                <w:highlight w:val="none"/>
              </w:rPr>
              <w:t>2024</w:t>
            </w:r>
            <w:r>
              <w:rPr>
                <w:rFonts w:hint="default" w:ascii="Times New Roman" w:hAnsi="Times New Roman" w:cs="Times New Roman"/>
                <w:color w:val="auto"/>
                <w:sz w:val="21"/>
                <w:szCs w:val="21"/>
                <w:highlight w:val="none"/>
              </w:rPr>
              <w:t>年，伊春市地表水共</w:t>
            </w:r>
            <w:r>
              <w:rPr>
                <w:rFonts w:hint="eastAsia" w:ascii="Times New Roman" w:hAnsi="Times New Roman" w:cs="Times New Roman"/>
                <w:color w:val="auto"/>
                <w:sz w:val="21"/>
                <w:szCs w:val="21"/>
                <w:highlight w:val="none"/>
                <w:lang w:eastAsia="zh-CN"/>
              </w:rPr>
              <w:t>设</w:t>
            </w:r>
            <w:r>
              <w:rPr>
                <w:rFonts w:hint="eastAsia" w:ascii="Times New Roman" w:hAnsi="Times New Roman" w:cs="Times New Roman"/>
                <w:color w:val="auto"/>
                <w:sz w:val="21"/>
                <w:szCs w:val="21"/>
                <w:highlight w:val="none"/>
                <w:lang w:val="en-US" w:eastAsia="zh-CN"/>
              </w:rPr>
              <w:t>32</w:t>
            </w:r>
            <w:r>
              <w:rPr>
                <w:rFonts w:hint="default" w:ascii="Times New Roman" w:hAnsi="Times New Roman" w:cs="Times New Roman"/>
                <w:color w:val="auto"/>
                <w:sz w:val="21"/>
                <w:szCs w:val="21"/>
                <w:highlight w:val="none"/>
              </w:rPr>
              <w:t>个监测断面，其中</w:t>
            </w:r>
            <w:r>
              <w:rPr>
                <w:rFonts w:hint="default" w:ascii="Times New Roman" w:hAnsi="Times New Roman" w:cs="Times New Roman"/>
                <w:color w:val="auto"/>
                <w:spacing w:val="-1"/>
                <w:sz w:val="21"/>
                <w:szCs w:val="21"/>
                <w:highlight w:val="none"/>
              </w:rPr>
              <w:t>国控断面</w:t>
            </w:r>
            <w:r>
              <w:rPr>
                <w:rFonts w:hint="default" w:ascii="Times New Roman" w:hAnsi="Times New Roman" w:cs="Times New Roman"/>
                <w:color w:val="auto"/>
                <w:spacing w:val="-29"/>
                <w:sz w:val="21"/>
                <w:szCs w:val="21"/>
                <w:highlight w:val="none"/>
                <w:lang w:val="en-US" w:eastAsia="zh-CN"/>
              </w:rPr>
              <w:t>13</w:t>
            </w:r>
            <w:r>
              <w:rPr>
                <w:rFonts w:hint="default" w:ascii="Times New Roman" w:hAnsi="Times New Roman" w:cs="Times New Roman"/>
                <w:color w:val="auto"/>
                <w:spacing w:val="-1"/>
                <w:sz w:val="21"/>
                <w:szCs w:val="21"/>
                <w:highlight w:val="none"/>
              </w:rPr>
              <w:t>个、省控断面</w:t>
            </w:r>
            <w:r>
              <w:rPr>
                <w:rFonts w:hint="default" w:ascii="Times New Roman" w:hAnsi="Times New Roman" w:cs="Times New Roman"/>
                <w:color w:val="auto"/>
                <w:spacing w:val="-30"/>
                <w:sz w:val="21"/>
                <w:szCs w:val="21"/>
                <w:highlight w:val="none"/>
                <w:lang w:val="en-US" w:eastAsia="zh-CN"/>
              </w:rPr>
              <w:t>19</w:t>
            </w:r>
            <w:r>
              <w:rPr>
                <w:rFonts w:hint="default" w:ascii="Times New Roman" w:hAnsi="Times New Roman" w:cs="Times New Roman"/>
                <w:color w:val="auto"/>
                <w:spacing w:val="-1"/>
                <w:sz w:val="21"/>
                <w:szCs w:val="21"/>
                <w:highlight w:val="none"/>
              </w:rPr>
              <w:t>个。</w:t>
            </w:r>
            <w:r>
              <w:rPr>
                <w:rFonts w:hint="default" w:ascii="Times New Roman" w:hAnsi="Times New Roman" w:cs="Times New Roman"/>
                <w:color w:val="auto"/>
                <w:spacing w:val="-2"/>
                <w:sz w:val="21"/>
                <w:szCs w:val="21"/>
                <w:highlight w:val="none"/>
              </w:rPr>
              <w:t>省控断面情况见表</w:t>
            </w:r>
            <w:r>
              <w:rPr>
                <w:rFonts w:hint="default" w:ascii="Times New Roman" w:hAnsi="Times New Roman" w:cs="Times New Roman"/>
                <w:color w:val="auto"/>
                <w:spacing w:val="-49"/>
                <w:sz w:val="21"/>
                <w:szCs w:val="21"/>
                <w:highlight w:val="none"/>
              </w:rPr>
              <w:t xml:space="preserve"> </w:t>
            </w:r>
            <w:r>
              <w:rPr>
                <w:rFonts w:hint="default" w:ascii="Times New Roman" w:hAnsi="Times New Roman" w:eastAsia="Times New Roman" w:cs="Times New Roman"/>
                <w:color w:val="auto"/>
                <w:spacing w:val="-2"/>
                <w:sz w:val="21"/>
                <w:szCs w:val="21"/>
                <w:highlight w:val="none"/>
              </w:rPr>
              <w:t>3-4</w:t>
            </w:r>
            <w:r>
              <w:rPr>
                <w:rFonts w:hint="default" w:ascii="Times New Roman" w:hAnsi="Times New Roman" w:cs="Times New Roman"/>
                <w:color w:val="auto"/>
                <w:spacing w:val="-2"/>
                <w:sz w:val="21"/>
                <w:szCs w:val="21"/>
                <w:highlight w:val="none"/>
              </w:rPr>
              <w:t>。</w:t>
            </w:r>
          </w:p>
          <w:p w14:paraId="7ABDF0DB">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12"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eastAsia="Times New Roman" w:cs="Times New Roman"/>
                <w:color w:val="auto"/>
                <w:spacing w:val="-2"/>
                <w:sz w:val="21"/>
                <w:szCs w:val="21"/>
                <w:highlight w:val="none"/>
              </w:rPr>
              <w:t>2024</w:t>
            </w:r>
            <w:r>
              <w:rPr>
                <w:rFonts w:hint="default" w:ascii="Times New Roman" w:hAnsi="Times New Roman" w:cs="Times New Roman"/>
                <w:color w:val="auto"/>
                <w:spacing w:val="-2"/>
                <w:sz w:val="21"/>
                <w:szCs w:val="21"/>
                <w:highlight w:val="none"/>
              </w:rPr>
              <w:t>年，伊春市有监测数据的断面为</w:t>
            </w:r>
            <w:r>
              <w:rPr>
                <w:rFonts w:hint="default" w:ascii="Times New Roman" w:hAnsi="Times New Roman" w:cs="Times New Roman"/>
                <w:color w:val="auto"/>
                <w:spacing w:val="-23"/>
                <w:sz w:val="21"/>
                <w:szCs w:val="21"/>
                <w:highlight w:val="none"/>
                <w:lang w:val="en-US" w:eastAsia="zh-CN"/>
              </w:rPr>
              <w:t>13</w:t>
            </w:r>
            <w:r>
              <w:rPr>
                <w:rFonts w:hint="default" w:ascii="Times New Roman" w:hAnsi="Times New Roman" w:cs="Times New Roman"/>
                <w:color w:val="auto"/>
                <w:spacing w:val="-2"/>
                <w:sz w:val="21"/>
                <w:szCs w:val="21"/>
                <w:highlight w:val="none"/>
              </w:rPr>
              <w:t>个，伊春市</w:t>
            </w:r>
            <w:r>
              <w:rPr>
                <w:rFonts w:hint="default" w:ascii="Times New Roman" w:hAnsi="Times New Roman" w:cs="Times New Roman"/>
                <w:color w:val="auto"/>
                <w:spacing w:val="-54"/>
                <w:sz w:val="21"/>
                <w:szCs w:val="21"/>
                <w:highlight w:val="none"/>
              </w:rPr>
              <w:t xml:space="preserve"> </w:t>
            </w:r>
            <w:r>
              <w:rPr>
                <w:rFonts w:hint="default" w:ascii="Times New Roman" w:hAnsi="Times New Roman" w:eastAsia="Times New Roman" w:cs="Times New Roman"/>
                <w:color w:val="auto"/>
                <w:spacing w:val="-2"/>
                <w:sz w:val="21"/>
                <w:szCs w:val="21"/>
                <w:highlight w:val="none"/>
              </w:rPr>
              <w:t>I-III</w:t>
            </w:r>
            <w:r>
              <w:rPr>
                <w:rFonts w:hint="default" w:ascii="Times New Roman" w:hAnsi="Times New Roman" w:cs="Times New Roman"/>
                <w:color w:val="auto"/>
                <w:spacing w:val="-2"/>
                <w:sz w:val="21"/>
                <w:szCs w:val="21"/>
                <w:highlight w:val="none"/>
              </w:rPr>
              <w:t>类水质断面比例为</w:t>
            </w:r>
            <w:r>
              <w:rPr>
                <w:rFonts w:hint="default" w:ascii="Times New Roman" w:hAnsi="Times New Roman" w:eastAsia="Times New Roman" w:cs="Times New Roman"/>
                <w:color w:val="auto"/>
                <w:sz w:val="21"/>
                <w:szCs w:val="21"/>
                <w:highlight w:val="none"/>
              </w:rPr>
              <w:t>46.2%</w:t>
            </w:r>
            <w:r>
              <w:rPr>
                <w:rFonts w:hint="default" w:ascii="Times New Roman" w:hAnsi="Times New Roman" w:eastAsia="Times New Roman" w:cs="Times New Roman"/>
                <w:color w:val="auto"/>
                <w:spacing w:val="-29"/>
                <w:sz w:val="21"/>
                <w:szCs w:val="21"/>
                <w:highlight w:val="none"/>
              </w:rPr>
              <w:t xml:space="preserve"> </w:t>
            </w:r>
            <w:r>
              <w:rPr>
                <w:rFonts w:hint="default" w:ascii="Times New Roman" w:hAnsi="Times New Roman" w:cs="Times New Roman"/>
                <w:color w:val="auto"/>
                <w:sz w:val="21"/>
                <w:szCs w:val="21"/>
                <w:highlight w:val="none"/>
              </w:rPr>
              <w:t>，同比无变化，劣</w:t>
            </w:r>
            <w:r>
              <w:rPr>
                <w:rFonts w:hint="default" w:ascii="Times New Roman" w:hAnsi="Times New Roman" w:cs="Times New Roman"/>
                <w:color w:val="auto"/>
                <w:spacing w:val="-56"/>
                <w:sz w:val="21"/>
                <w:szCs w:val="21"/>
                <w:highlight w:val="none"/>
              </w:rPr>
              <w:t xml:space="preserve"> </w:t>
            </w:r>
            <w:r>
              <w:rPr>
                <w:rFonts w:hint="default" w:ascii="Times New Roman" w:hAnsi="Times New Roman" w:eastAsia="Times New Roman" w:cs="Times New Roman"/>
                <w:color w:val="auto"/>
                <w:sz w:val="21"/>
                <w:szCs w:val="21"/>
                <w:highlight w:val="none"/>
              </w:rPr>
              <w:t>V</w:t>
            </w:r>
            <w:r>
              <w:rPr>
                <w:rFonts w:hint="default" w:ascii="Times New Roman" w:hAnsi="Times New Roman" w:cs="Times New Roman"/>
                <w:color w:val="auto"/>
                <w:sz w:val="21"/>
                <w:szCs w:val="21"/>
                <w:highlight w:val="none"/>
              </w:rPr>
              <w:t>类水体比例为</w:t>
            </w:r>
            <w:r>
              <w:rPr>
                <w:rFonts w:hint="default" w:ascii="Times New Roman" w:hAnsi="Times New Roman" w:cs="Times New Roman"/>
                <w:color w:val="auto"/>
                <w:sz w:val="21"/>
                <w:szCs w:val="21"/>
                <w:highlight w:val="none"/>
                <w:lang w:val="en-US" w:eastAsia="zh-CN"/>
              </w:rPr>
              <w:t>7.7%，</w:t>
            </w:r>
            <w:r>
              <w:rPr>
                <w:rFonts w:hint="default" w:ascii="Times New Roman" w:hAnsi="Times New Roman" w:cs="Times New Roman"/>
                <w:color w:val="auto"/>
                <w:sz w:val="21"/>
                <w:szCs w:val="21"/>
                <w:highlight w:val="none"/>
              </w:rPr>
              <w:t>同比无变化，</w:t>
            </w:r>
            <w:r>
              <w:rPr>
                <w:rFonts w:hint="default" w:ascii="Times New Roman" w:hAnsi="Times New Roman" w:eastAsia="Times New Roman" w:cs="Times New Roman"/>
                <w:color w:val="auto"/>
                <w:sz w:val="21"/>
                <w:szCs w:val="21"/>
                <w:highlight w:val="none"/>
              </w:rPr>
              <w:t>202</w:t>
            </w:r>
            <w:r>
              <w:rPr>
                <w:rFonts w:hint="default" w:ascii="Times New Roman" w:hAnsi="Times New Roman" w:eastAsia="Times New Roman" w:cs="Times New Roman"/>
                <w:color w:val="auto"/>
                <w:spacing w:val="-1"/>
                <w:sz w:val="21"/>
                <w:szCs w:val="21"/>
                <w:highlight w:val="none"/>
              </w:rPr>
              <w:t>4</w:t>
            </w:r>
            <w:r>
              <w:rPr>
                <w:rFonts w:hint="default" w:ascii="Times New Roman" w:hAnsi="Times New Roman" w:cs="Times New Roman"/>
                <w:color w:val="auto"/>
                <w:spacing w:val="-1"/>
                <w:sz w:val="21"/>
                <w:szCs w:val="21"/>
                <w:highlight w:val="none"/>
              </w:rPr>
              <w:t>年，伊春市</w:t>
            </w:r>
            <w:r>
              <w:rPr>
                <w:rFonts w:hint="default" w:ascii="Times New Roman" w:hAnsi="Times New Roman" w:cs="Times New Roman"/>
                <w:color w:val="auto"/>
                <w:spacing w:val="-4"/>
                <w:sz w:val="21"/>
                <w:szCs w:val="21"/>
                <w:highlight w:val="none"/>
              </w:rPr>
              <w:t>考核断面有监测数据的为</w:t>
            </w:r>
            <w:r>
              <w:rPr>
                <w:rFonts w:hint="default" w:ascii="Times New Roman" w:hAnsi="Times New Roman" w:cs="Times New Roman"/>
                <w:color w:val="auto"/>
                <w:spacing w:val="-32"/>
                <w:sz w:val="21"/>
                <w:szCs w:val="21"/>
                <w:highlight w:val="none"/>
                <w:lang w:val="en-US" w:eastAsia="zh-CN"/>
              </w:rPr>
              <w:t>11</w:t>
            </w:r>
            <w:r>
              <w:rPr>
                <w:rFonts w:hint="default" w:ascii="Times New Roman" w:hAnsi="Times New Roman" w:cs="Times New Roman"/>
                <w:color w:val="auto"/>
                <w:spacing w:val="-4"/>
                <w:sz w:val="21"/>
                <w:szCs w:val="21"/>
                <w:highlight w:val="none"/>
              </w:rPr>
              <w:t>个，</w:t>
            </w:r>
            <w:r>
              <w:rPr>
                <w:rFonts w:hint="default" w:ascii="Times New Roman" w:hAnsi="Times New Roman" w:eastAsia="Times New Roman" w:cs="Times New Roman"/>
                <w:color w:val="auto"/>
                <w:spacing w:val="-4"/>
                <w:sz w:val="21"/>
                <w:szCs w:val="21"/>
                <w:highlight w:val="none"/>
              </w:rPr>
              <w:t>1-</w:t>
            </w:r>
            <w:r>
              <w:rPr>
                <w:rFonts w:hint="default" w:ascii="Times New Roman" w:hAnsi="Times New Roman" w:cs="Times New Roman"/>
                <w:color w:val="auto"/>
                <w:spacing w:val="-4"/>
                <w:sz w:val="21"/>
                <w:szCs w:val="21"/>
                <w:highlight w:val="none"/>
              </w:rPr>
              <w:t>类水质断面比例为</w:t>
            </w:r>
            <w:r>
              <w:rPr>
                <w:rFonts w:hint="default" w:ascii="Times New Roman" w:hAnsi="Times New Roman" w:cs="Times New Roman"/>
                <w:color w:val="auto"/>
                <w:spacing w:val="-49"/>
                <w:sz w:val="21"/>
                <w:szCs w:val="21"/>
                <w:highlight w:val="none"/>
              </w:rPr>
              <w:t xml:space="preserve"> </w:t>
            </w:r>
            <w:r>
              <w:rPr>
                <w:rFonts w:hint="default" w:ascii="Times New Roman" w:hAnsi="Times New Roman" w:eastAsia="Times New Roman" w:cs="Times New Roman"/>
                <w:color w:val="auto"/>
                <w:spacing w:val="-4"/>
                <w:sz w:val="21"/>
                <w:szCs w:val="21"/>
                <w:highlight w:val="none"/>
              </w:rPr>
              <w:t>54.</w:t>
            </w:r>
            <w:r>
              <w:rPr>
                <w:rFonts w:hint="default" w:ascii="Times New Roman" w:hAnsi="Times New Roman" w:eastAsia="Times New Roman" w:cs="Times New Roman"/>
                <w:color w:val="auto"/>
                <w:spacing w:val="-5"/>
                <w:sz w:val="21"/>
                <w:szCs w:val="21"/>
                <w:highlight w:val="none"/>
              </w:rPr>
              <w:t>5%</w:t>
            </w:r>
            <w:r>
              <w:rPr>
                <w:rFonts w:hint="default" w:ascii="Times New Roman" w:hAnsi="Times New Roman" w:eastAsia="Times New Roman" w:cs="Times New Roman"/>
                <w:color w:val="auto"/>
                <w:spacing w:val="-32"/>
                <w:sz w:val="21"/>
                <w:szCs w:val="21"/>
                <w:highlight w:val="none"/>
              </w:rPr>
              <w:t xml:space="preserve"> </w:t>
            </w:r>
            <w:r>
              <w:rPr>
                <w:rFonts w:hint="default" w:ascii="Times New Roman" w:hAnsi="Times New Roman" w:cs="Times New Roman"/>
                <w:color w:val="auto"/>
                <w:spacing w:val="-5"/>
                <w:sz w:val="21"/>
                <w:szCs w:val="21"/>
                <w:highlight w:val="none"/>
              </w:rPr>
              <w:t>，同比无变化，未达</w:t>
            </w:r>
            <w:r>
              <w:rPr>
                <w:rFonts w:hint="default" w:ascii="Times New Roman" w:hAnsi="Times New Roman" w:cs="Times New Roman"/>
                <w:color w:val="auto"/>
                <w:spacing w:val="1"/>
                <w:sz w:val="21"/>
                <w:szCs w:val="21"/>
                <w:highlight w:val="none"/>
              </w:rPr>
              <w:t>到年度考核目标</w:t>
            </w:r>
            <w:r>
              <w:rPr>
                <w:rFonts w:hint="default" w:ascii="Times New Roman" w:hAnsi="Times New Roman" w:cs="Times New Roman"/>
                <w:color w:val="auto"/>
                <w:spacing w:val="-49"/>
                <w:sz w:val="21"/>
                <w:szCs w:val="21"/>
                <w:highlight w:val="none"/>
              </w:rPr>
              <w:t xml:space="preserve"> </w:t>
            </w:r>
            <w:r>
              <w:rPr>
                <w:rFonts w:hint="default" w:ascii="Times New Roman" w:hAnsi="Times New Roman" w:eastAsia="Times New Roman" w:cs="Times New Roman"/>
                <w:color w:val="auto"/>
                <w:spacing w:val="1"/>
                <w:sz w:val="21"/>
                <w:szCs w:val="21"/>
                <w:highlight w:val="none"/>
              </w:rPr>
              <w:t>72.7%</w:t>
            </w:r>
            <w:r>
              <w:rPr>
                <w:rFonts w:hint="default" w:ascii="Times New Roman" w:hAnsi="Times New Roman" w:cs="Times New Roman"/>
                <w:color w:val="auto"/>
                <w:spacing w:val="1"/>
                <w:sz w:val="21"/>
                <w:szCs w:val="21"/>
                <w:highlight w:val="none"/>
              </w:rPr>
              <w:t>；劣</w:t>
            </w:r>
            <w:r>
              <w:rPr>
                <w:rFonts w:hint="default" w:ascii="Times New Roman" w:hAnsi="Times New Roman" w:cs="Times New Roman"/>
                <w:color w:val="auto"/>
                <w:spacing w:val="-55"/>
                <w:sz w:val="21"/>
                <w:szCs w:val="21"/>
                <w:highlight w:val="none"/>
              </w:rPr>
              <w:t xml:space="preserve"> </w:t>
            </w:r>
            <w:r>
              <w:rPr>
                <w:rFonts w:hint="default" w:ascii="Times New Roman" w:hAnsi="Times New Roman" w:eastAsia="Times New Roman" w:cs="Times New Roman"/>
                <w:color w:val="auto"/>
                <w:spacing w:val="1"/>
                <w:sz w:val="21"/>
                <w:szCs w:val="21"/>
                <w:highlight w:val="none"/>
              </w:rPr>
              <w:t xml:space="preserve">V </w:t>
            </w:r>
            <w:r>
              <w:rPr>
                <w:rFonts w:hint="default" w:ascii="Times New Roman" w:hAnsi="Times New Roman" w:cs="Times New Roman"/>
                <w:color w:val="auto"/>
                <w:spacing w:val="1"/>
                <w:sz w:val="21"/>
                <w:szCs w:val="21"/>
                <w:highlight w:val="none"/>
              </w:rPr>
              <w:t>类水体比例为</w:t>
            </w:r>
            <w:r>
              <w:rPr>
                <w:rFonts w:hint="default" w:ascii="Times New Roman" w:hAnsi="Times New Roman" w:cs="Times New Roman"/>
                <w:color w:val="auto"/>
                <w:spacing w:val="-49"/>
                <w:sz w:val="21"/>
                <w:szCs w:val="21"/>
                <w:highlight w:val="none"/>
              </w:rPr>
              <w:t xml:space="preserve"> </w:t>
            </w:r>
            <w:r>
              <w:rPr>
                <w:rFonts w:hint="default" w:ascii="Times New Roman" w:hAnsi="Times New Roman" w:eastAsia="Times New Roman" w:cs="Times New Roman"/>
                <w:color w:val="auto"/>
                <w:spacing w:val="1"/>
                <w:sz w:val="21"/>
                <w:szCs w:val="21"/>
                <w:highlight w:val="none"/>
              </w:rPr>
              <w:t>0</w:t>
            </w:r>
            <w:r>
              <w:rPr>
                <w:rFonts w:hint="default" w:ascii="Times New Roman" w:hAnsi="Times New Roman" w:eastAsia="Times New Roman" w:cs="Times New Roman"/>
                <w:color w:val="auto"/>
                <w:spacing w:val="-26"/>
                <w:sz w:val="21"/>
                <w:szCs w:val="21"/>
                <w:highlight w:val="none"/>
              </w:rPr>
              <w:t xml:space="preserve"> </w:t>
            </w:r>
            <w:r>
              <w:rPr>
                <w:rFonts w:hint="default" w:ascii="Times New Roman" w:hAnsi="Times New Roman" w:cs="Times New Roman"/>
                <w:color w:val="auto"/>
                <w:spacing w:val="1"/>
                <w:sz w:val="21"/>
                <w:szCs w:val="21"/>
                <w:highlight w:val="none"/>
              </w:rPr>
              <w:t>，同比无变化，达到</w:t>
            </w:r>
            <w:r>
              <w:rPr>
                <w:rFonts w:hint="default" w:ascii="Times New Roman" w:hAnsi="Times New Roman" w:cs="Times New Roman"/>
                <w:color w:val="auto"/>
                <w:spacing w:val="-53"/>
                <w:sz w:val="21"/>
                <w:szCs w:val="21"/>
                <w:highlight w:val="none"/>
              </w:rPr>
              <w:t xml:space="preserve"> </w:t>
            </w:r>
            <w:r>
              <w:rPr>
                <w:rFonts w:hint="default" w:ascii="Times New Roman" w:hAnsi="Times New Roman" w:eastAsia="Times New Roman" w:cs="Times New Roman"/>
                <w:color w:val="auto"/>
                <w:sz w:val="21"/>
                <w:szCs w:val="21"/>
                <w:highlight w:val="none"/>
              </w:rPr>
              <w:t>2024</w:t>
            </w:r>
            <w:r>
              <w:rPr>
                <w:rFonts w:hint="default" w:ascii="Times New Roman" w:hAnsi="Times New Roman" w:cs="Times New Roman"/>
                <w:color w:val="auto"/>
                <w:sz w:val="21"/>
                <w:szCs w:val="21"/>
                <w:highlight w:val="none"/>
              </w:rPr>
              <w:t>年度考</w:t>
            </w:r>
            <w:r>
              <w:rPr>
                <w:rFonts w:hint="default" w:ascii="Times New Roman" w:hAnsi="Times New Roman" w:cs="Times New Roman"/>
                <w:color w:val="auto"/>
                <w:spacing w:val="-3"/>
                <w:sz w:val="21"/>
                <w:szCs w:val="21"/>
                <w:highlight w:val="none"/>
              </w:rPr>
              <w:t>核目标要求。</w:t>
            </w:r>
          </w:p>
          <w:p w14:paraId="7800FCBB">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4"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highlight w:val="none"/>
              </w:rPr>
              <w:t>项目附近水体为呼兰河。根据《</w:t>
            </w:r>
            <w:r>
              <w:rPr>
                <w:rFonts w:hint="default" w:ascii="Times New Roman" w:hAnsi="Times New Roman" w:eastAsia="Times New Roman" w:cs="Times New Roman"/>
                <w:color w:val="auto"/>
                <w:spacing w:val="-4"/>
                <w:sz w:val="21"/>
                <w:szCs w:val="21"/>
                <w:highlight w:val="none"/>
              </w:rPr>
              <w:t>2024</w:t>
            </w:r>
            <w:r>
              <w:rPr>
                <w:rFonts w:hint="default" w:ascii="Times New Roman" w:hAnsi="Times New Roman" w:cs="Times New Roman"/>
                <w:color w:val="auto"/>
                <w:spacing w:val="-4"/>
                <w:sz w:val="21"/>
                <w:szCs w:val="21"/>
                <w:highlight w:val="none"/>
              </w:rPr>
              <w:t>年伊春市生态环境质量公报》，呼兰河双河渠首断面水质满足《地表水环境质量标准》（</w:t>
            </w:r>
            <w:r>
              <w:rPr>
                <w:rFonts w:hint="default" w:ascii="Times New Roman" w:hAnsi="Times New Roman" w:eastAsia="Times New Roman" w:cs="Times New Roman"/>
                <w:color w:val="auto"/>
                <w:spacing w:val="-4"/>
                <w:sz w:val="21"/>
                <w:szCs w:val="21"/>
                <w:highlight w:val="none"/>
              </w:rPr>
              <w:t>GB3838-2002</w:t>
            </w:r>
            <w:r>
              <w:rPr>
                <w:rFonts w:hint="default" w:ascii="Times New Roman" w:hAnsi="Times New Roman" w:cs="Times New Roman"/>
                <w:color w:val="auto"/>
                <w:spacing w:val="-4"/>
                <w:sz w:val="21"/>
                <w:szCs w:val="21"/>
                <w:highlight w:val="none"/>
              </w:rPr>
              <w:t>）Ⅲ类标准要求。</w:t>
            </w:r>
          </w:p>
          <w:p w14:paraId="51281D02">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388" w:firstLineChars="200"/>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Times New Roman" w:cs="Times New Roman"/>
                <w:b/>
                <w:bCs/>
                <w:color w:val="auto"/>
                <w:spacing w:val="-8"/>
                <w:sz w:val="21"/>
                <w:szCs w:val="21"/>
                <w:highlight w:val="none"/>
              </w:rPr>
              <w:t>3</w:t>
            </w:r>
            <w:r>
              <w:rPr>
                <w:rFonts w:hint="default" w:ascii="Times New Roman" w:hAnsi="Times New Roman" w:eastAsia="Times New Roman" w:cs="Times New Roman"/>
                <w:b/>
                <w:bCs/>
                <w:color w:val="auto"/>
                <w:spacing w:val="-33"/>
                <w:sz w:val="21"/>
                <w:szCs w:val="21"/>
                <w:highlight w:val="none"/>
              </w:rPr>
              <w:t xml:space="preserve"> </w:t>
            </w:r>
            <w:r>
              <w:rPr>
                <w:rFonts w:hint="eastAsia" w:ascii="Times New Roman" w:hAnsi="Times New Roman" w:eastAsia="宋体" w:cs="Times New Roman"/>
                <w:b/>
                <w:bCs/>
                <w:color w:val="auto"/>
                <w:spacing w:val="-8"/>
                <w:sz w:val="21"/>
                <w:szCs w:val="21"/>
                <w:highlight w:val="none"/>
                <w:lang w:val="en-US" w:eastAsia="zh-CN"/>
              </w:rPr>
              <w:t>.</w:t>
            </w:r>
            <w:r>
              <w:rPr>
                <w:rFonts w:hint="default" w:ascii="Times New Roman" w:hAnsi="Times New Roman" w:cs="Times New Roman"/>
                <w:b/>
                <w:bCs/>
                <w:color w:val="auto"/>
                <w:spacing w:val="-8"/>
                <w:sz w:val="21"/>
                <w:szCs w:val="21"/>
                <w:highlight w:val="none"/>
              </w:rPr>
              <w:t>声环境</w:t>
            </w:r>
            <w:r>
              <w:rPr>
                <w:rFonts w:hint="eastAsia" w:ascii="Times New Roman" w:hAnsi="Times New Roman" w:cs="Times New Roman"/>
                <w:b/>
                <w:bCs/>
                <w:color w:val="auto"/>
                <w:spacing w:val="-8"/>
                <w:sz w:val="21"/>
                <w:szCs w:val="21"/>
                <w:highlight w:val="none"/>
                <w:lang w:eastAsia="zh-CN"/>
              </w:rPr>
              <w:t>质量现状</w:t>
            </w:r>
          </w:p>
          <w:p w14:paraId="653155A6">
            <w:pPr>
              <w:keepNext w:val="0"/>
              <w:keepLines w:val="0"/>
              <w:pageBreakBefore w:val="0"/>
              <w:widowControl w:val="0"/>
              <w:kinsoku/>
              <w:wordWrap/>
              <w:overflowPunct/>
              <w:topLinePunct w:val="0"/>
              <w:autoSpaceDE/>
              <w:autoSpaceDN/>
              <w:bidi w:val="0"/>
              <w:adjustRightInd/>
              <w:snapToGrid/>
              <w:spacing w:line="360" w:lineRule="auto"/>
              <w:ind w:left="0" w:right="0" w:firstLine="432"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spacing w:val="3"/>
                <w:sz w:val="21"/>
                <w:szCs w:val="21"/>
                <w:highlight w:val="none"/>
              </w:rPr>
              <w:t>根据伊春市生态环境局发布的《</w:t>
            </w:r>
            <w:r>
              <w:rPr>
                <w:rFonts w:hint="default" w:ascii="Times New Roman" w:hAnsi="Times New Roman" w:eastAsia="Times New Roman" w:cs="Times New Roman"/>
                <w:color w:val="auto"/>
                <w:spacing w:val="3"/>
                <w:sz w:val="21"/>
                <w:szCs w:val="21"/>
                <w:highlight w:val="none"/>
              </w:rPr>
              <w:t>2024</w:t>
            </w:r>
            <w:r>
              <w:rPr>
                <w:rFonts w:hint="default" w:ascii="Times New Roman" w:hAnsi="Times New Roman" w:cs="Times New Roman"/>
                <w:color w:val="auto"/>
                <w:spacing w:val="3"/>
                <w:sz w:val="21"/>
                <w:szCs w:val="21"/>
                <w:highlight w:val="none"/>
              </w:rPr>
              <w:t>年伊春市生态环境质量公报》，</w:t>
            </w:r>
            <w:r>
              <w:rPr>
                <w:rFonts w:hint="default" w:ascii="Times New Roman" w:hAnsi="Times New Roman" w:eastAsia="Times New Roman" w:cs="Times New Roman"/>
                <w:color w:val="auto"/>
                <w:spacing w:val="3"/>
                <w:sz w:val="21"/>
                <w:szCs w:val="21"/>
                <w:highlight w:val="none"/>
              </w:rPr>
              <w:t>2024</w:t>
            </w:r>
            <w:r>
              <w:rPr>
                <w:rFonts w:hint="default" w:ascii="Times New Roman" w:hAnsi="Times New Roman" w:cs="Times New Roman"/>
                <w:color w:val="auto"/>
                <w:spacing w:val="-4"/>
                <w:sz w:val="21"/>
                <w:szCs w:val="21"/>
                <w:highlight w:val="none"/>
              </w:rPr>
              <w:t>年伊春市昼间区域环境噪声平均等效声级为</w:t>
            </w:r>
            <w:r>
              <w:rPr>
                <w:rFonts w:hint="default" w:ascii="Times New Roman" w:hAnsi="Times New Roman" w:cs="Times New Roman"/>
                <w:color w:val="auto"/>
                <w:spacing w:val="-32"/>
                <w:sz w:val="21"/>
                <w:szCs w:val="21"/>
                <w:highlight w:val="none"/>
              </w:rPr>
              <w:t xml:space="preserve"> </w:t>
            </w:r>
            <w:r>
              <w:rPr>
                <w:rFonts w:hint="default" w:ascii="Times New Roman" w:hAnsi="Times New Roman" w:eastAsia="Times New Roman" w:cs="Times New Roman"/>
                <w:color w:val="auto"/>
                <w:spacing w:val="-4"/>
                <w:sz w:val="21"/>
                <w:szCs w:val="21"/>
                <w:highlight w:val="none"/>
              </w:rPr>
              <w:t>50.1</w:t>
            </w:r>
            <w:r>
              <w:rPr>
                <w:rFonts w:hint="default" w:ascii="Times New Roman" w:hAnsi="Times New Roman" w:cs="Times New Roman"/>
                <w:color w:val="auto"/>
                <w:spacing w:val="-4"/>
                <w:sz w:val="21"/>
                <w:szCs w:val="21"/>
                <w:highlight w:val="none"/>
              </w:rPr>
              <w:t>分贝，声环境质量为好，同比无变化。</w:t>
            </w:r>
          </w:p>
        </w:tc>
      </w:tr>
      <w:tr w14:paraId="7175DD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800" w:type="dxa"/>
            <w:vAlign w:val="center"/>
          </w:tcPr>
          <w:p w14:paraId="2E1CCDF0">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w:t>
            </w:r>
          </w:p>
          <w:p w14:paraId="47F1FEFB">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保护</w:t>
            </w:r>
          </w:p>
          <w:p w14:paraId="2D2C22B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目标</w:t>
            </w:r>
          </w:p>
        </w:tc>
        <w:tc>
          <w:tcPr>
            <w:tcW w:w="8190" w:type="dxa"/>
            <w:vAlign w:val="center"/>
          </w:tcPr>
          <w:p w14:paraId="25B931F8">
            <w:pPr>
              <w:numPr>
                <w:ilvl w:val="0"/>
                <w:numId w:val="5"/>
              </w:num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w:t>
            </w:r>
          </w:p>
          <w:p w14:paraId="50C80AF9">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本项目厂界50</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米范围内无</w:t>
            </w:r>
            <w:r>
              <w:rPr>
                <w:rFonts w:hint="default" w:ascii="Times New Roman" w:hAnsi="Times New Roman" w:cs="Times New Roman"/>
                <w:color w:val="auto"/>
                <w:highlight w:val="none"/>
                <w:lang w:val="en-US" w:eastAsia="zh-CN"/>
              </w:rPr>
              <w:t>大气</w:t>
            </w:r>
            <w:r>
              <w:rPr>
                <w:rFonts w:hint="default" w:ascii="Times New Roman" w:hAnsi="Times New Roman" w:cs="Times New Roman"/>
                <w:color w:val="auto"/>
                <w:highlight w:val="none"/>
              </w:rPr>
              <w:t>环境敏感保护目标。</w:t>
            </w:r>
          </w:p>
          <w:p w14:paraId="0B43A460">
            <w:pPr>
              <w:numPr>
                <w:ilvl w:val="0"/>
                <w:numId w:val="6"/>
              </w:num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声环境  </w:t>
            </w:r>
          </w:p>
          <w:p w14:paraId="692DBD4A">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本项目厂界50米范围内无声环境敏感保护目标。</w:t>
            </w:r>
          </w:p>
          <w:p w14:paraId="27D96618">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3、地下水环境</w:t>
            </w:r>
          </w:p>
          <w:p w14:paraId="4E6C36E1">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本项目厂界外500米范围内无地下水集中式饮用水水源和热水、矿泉水、温泉等特殊地下水资</w:t>
            </w:r>
            <w:r>
              <w:rPr>
                <w:rFonts w:hint="default" w:ascii="Times New Roman" w:hAnsi="Times New Roman" w:cs="Times New Roman"/>
                <w:color w:val="auto"/>
                <w:highlight w:val="none"/>
                <w:lang w:eastAsia="zh-CN"/>
              </w:rPr>
              <w:t>源</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 xml:space="preserve">   </w:t>
            </w:r>
          </w:p>
          <w:p w14:paraId="47338157">
            <w:pPr>
              <w:numPr>
                <w:ilvl w:val="0"/>
                <w:numId w:val="7"/>
              </w:numPr>
              <w:spacing w:line="360" w:lineRule="auto"/>
              <w:ind w:firstLine="420" w:firstLineChars="200"/>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生态环境</w:t>
            </w:r>
          </w:p>
          <w:p w14:paraId="0DEE4244">
            <w:pPr>
              <w:pStyle w:val="63"/>
              <w:ind w:firstLine="420"/>
              <w:rPr>
                <w:rFonts w:hint="default" w:ascii="Times New Roman" w:hAnsi="Times New Roman" w:cs="Times New Roman"/>
                <w:color w:val="auto"/>
                <w:highlight w:val="none"/>
              </w:rPr>
            </w:pPr>
            <w:r>
              <w:rPr>
                <w:rFonts w:hint="default" w:ascii="Times New Roman" w:hAnsi="Times New Roman" w:cs="Times New Roman"/>
                <w:color w:val="auto"/>
                <w:kern w:val="21"/>
                <w:szCs w:val="21"/>
                <w:highlight w:val="none"/>
              </w:rPr>
              <w:t>本项目用地范围内无生态环境保护目标。</w:t>
            </w:r>
          </w:p>
        </w:tc>
      </w:tr>
      <w:tr w14:paraId="565F3D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tcMar>
              <w:left w:w="28" w:type="dxa"/>
              <w:right w:w="28" w:type="dxa"/>
            </w:tcMar>
            <w:vAlign w:val="center"/>
          </w:tcPr>
          <w:p w14:paraId="7530A04F">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w:t>
            </w:r>
          </w:p>
          <w:p w14:paraId="198BA068">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物排</w:t>
            </w:r>
          </w:p>
          <w:p w14:paraId="79FA844E">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放控</w:t>
            </w:r>
          </w:p>
          <w:p w14:paraId="778C123C">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制标</w:t>
            </w:r>
          </w:p>
          <w:p w14:paraId="0B6AB093">
            <w:pPr>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准</w:t>
            </w:r>
          </w:p>
        </w:tc>
        <w:tc>
          <w:tcPr>
            <w:tcW w:w="8190" w:type="dxa"/>
            <w:vAlign w:val="center"/>
          </w:tcPr>
          <w:p w14:paraId="695C9D79">
            <w:pPr>
              <w:adjustRightInd w:val="0"/>
              <w:snapToGrid w:val="0"/>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1.大气</w:t>
            </w:r>
          </w:p>
          <w:p w14:paraId="1230EAB4">
            <w:pPr>
              <w:widowControl/>
              <w:spacing w:line="360" w:lineRule="auto"/>
              <w:ind w:firstLine="420" w:firstLineChars="200"/>
              <w:rPr>
                <w:rFonts w:hint="eastAsia" w:ascii="Times New Roman" w:hAnsi="Times New Roman" w:eastAsia="宋体" w:cs="Times New Roman"/>
                <w:color w:val="auto"/>
                <w:kern w:val="0"/>
                <w:szCs w:val="21"/>
                <w:highlight w:val="none"/>
                <w:lang w:eastAsia="zh-CN" w:bidi="ar"/>
              </w:rPr>
            </w:pPr>
            <w:r>
              <w:rPr>
                <w:rFonts w:hint="default" w:ascii="Times New Roman" w:hAnsi="Times New Roman" w:cs="Times New Roman"/>
                <w:color w:val="auto"/>
                <w:kern w:val="0"/>
                <w:szCs w:val="21"/>
                <w:highlight w:val="none"/>
                <w:lang w:bidi="ar"/>
              </w:rPr>
              <w:t>施工</w:t>
            </w:r>
            <w:r>
              <w:rPr>
                <w:rFonts w:hint="default" w:ascii="Times New Roman" w:hAnsi="Times New Roman" w:cs="Times New Roman"/>
                <w:color w:val="auto"/>
                <w:kern w:val="0"/>
                <w:szCs w:val="21"/>
                <w:highlight w:val="none"/>
                <w:lang w:val="en-US" w:eastAsia="zh-CN" w:bidi="ar"/>
              </w:rPr>
              <w:t>期</w:t>
            </w:r>
            <w:r>
              <w:rPr>
                <w:rFonts w:hint="default" w:ascii="Times New Roman" w:hAnsi="Times New Roman" w:cs="Times New Roman"/>
                <w:color w:val="auto"/>
                <w:kern w:val="0"/>
                <w:szCs w:val="21"/>
                <w:highlight w:val="none"/>
                <w:lang w:bidi="ar"/>
              </w:rPr>
              <w:t>废气执行《大气污染物综合排放标准》（GB16297-1996）表2中无组织排放监控浓度限值</w:t>
            </w:r>
            <w:r>
              <w:rPr>
                <w:rFonts w:hint="eastAsia" w:cs="Times New Roman"/>
                <w:color w:val="auto"/>
                <w:kern w:val="0"/>
                <w:szCs w:val="21"/>
                <w:highlight w:val="none"/>
                <w:lang w:eastAsia="zh-CN" w:bidi="ar"/>
              </w:rPr>
              <w:t>：</w:t>
            </w:r>
          </w:p>
          <w:p w14:paraId="2D366E25">
            <w:pPr>
              <w:jc w:val="center"/>
              <w:rPr>
                <w:rFonts w:hint="default" w:ascii="Times New Roman" w:hAnsi="Times New Roman" w:cs="Times New Roman"/>
                <w:b/>
                <w:bCs/>
                <w:color w:val="auto"/>
                <w:szCs w:val="21"/>
                <w:highlight w:val="none"/>
                <w:lang w:val="zh-CN" w:eastAsia="zh-CN"/>
              </w:rPr>
            </w:pPr>
            <w:r>
              <w:rPr>
                <w:rFonts w:hint="default" w:ascii="Times New Roman" w:hAnsi="Times New Roman" w:cs="Times New Roman"/>
                <w:b/>
                <w:bCs/>
                <w:color w:val="auto"/>
                <w:szCs w:val="21"/>
                <w:highlight w:val="none"/>
                <w:lang w:val="zh-CN" w:eastAsia="zh-CN"/>
              </w:rPr>
              <w:t>表3-</w:t>
            </w:r>
            <w:r>
              <w:rPr>
                <w:rFonts w:hint="default" w:ascii="Times New Roman" w:hAnsi="Times New Roman" w:cs="Times New Roman"/>
                <w:b/>
                <w:bCs/>
                <w:color w:val="auto"/>
                <w:szCs w:val="21"/>
                <w:highlight w:val="none"/>
                <w:lang w:val="en-US" w:eastAsia="zh-CN"/>
              </w:rPr>
              <w:t>4</w:t>
            </w:r>
            <w:r>
              <w:rPr>
                <w:rFonts w:hint="eastAsia" w:cs="Times New Roman"/>
                <w:b/>
                <w:bCs/>
                <w:color w:val="auto"/>
                <w:szCs w:val="21"/>
                <w:highlight w:val="none"/>
                <w:lang w:val="en-US" w:eastAsia="zh-CN"/>
              </w:rPr>
              <w:t xml:space="preserve"> </w:t>
            </w:r>
            <w:r>
              <w:rPr>
                <w:rFonts w:hint="default" w:ascii="Times New Roman" w:hAnsi="Times New Roman" w:cs="Times New Roman"/>
                <w:b/>
                <w:bCs/>
                <w:color w:val="auto"/>
                <w:szCs w:val="21"/>
                <w:highlight w:val="none"/>
                <w:lang w:val="zh-CN" w:eastAsia="zh-CN"/>
              </w:rPr>
              <w:t>大气污染物排放标准</w:t>
            </w:r>
          </w:p>
          <w:tbl>
            <w:tblPr>
              <w:tblStyle w:val="3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68"/>
              <w:gridCol w:w="2695"/>
              <w:gridCol w:w="3509"/>
            </w:tblGrid>
            <w:tr w14:paraId="443C25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09" w:type="pct"/>
                  <w:vMerge w:val="restart"/>
                  <w:tcBorders>
                    <w:tl2br w:val="nil"/>
                    <w:tr2bl w:val="nil"/>
                  </w:tcBorders>
                  <w:vAlign w:val="center"/>
                </w:tcPr>
                <w:p w14:paraId="4910C2EC">
                  <w:pPr>
                    <w:pStyle w:val="103"/>
                    <w:keepNext w:val="0"/>
                    <w:keepLines w:val="0"/>
                    <w:pageBreakBefore w:val="0"/>
                    <w:widowControl w:val="0"/>
                    <w:kinsoku w:val="0"/>
                    <w:wordWrap/>
                    <w:overflowPunct w:val="0"/>
                    <w:topLinePunct w:val="0"/>
                    <w:autoSpaceDE/>
                    <w:autoSpaceDN/>
                    <w:bidi w:val="0"/>
                    <w:adjustRightInd/>
                    <w:snapToGrid/>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污染物</w:t>
                  </w:r>
                </w:p>
              </w:tc>
              <w:tc>
                <w:tcPr>
                  <w:tcW w:w="3890" w:type="pct"/>
                  <w:gridSpan w:val="2"/>
                  <w:tcBorders>
                    <w:tl2br w:val="nil"/>
                    <w:tr2bl w:val="nil"/>
                  </w:tcBorders>
                  <w:vAlign w:val="center"/>
                </w:tcPr>
                <w:p w14:paraId="19A6FB4F">
                  <w:pPr>
                    <w:pStyle w:val="103"/>
                    <w:keepNext w:val="0"/>
                    <w:keepLines w:val="0"/>
                    <w:pageBreakBefore w:val="0"/>
                    <w:widowControl w:val="0"/>
                    <w:kinsoku w:val="0"/>
                    <w:wordWrap/>
                    <w:overflowPunct w:val="0"/>
                    <w:topLinePunct w:val="0"/>
                    <w:autoSpaceDE/>
                    <w:autoSpaceDN/>
                    <w:bidi w:val="0"/>
                    <w:adjustRightInd/>
                    <w:snapToGrid/>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无组织排放监控点</w:t>
                  </w:r>
                </w:p>
              </w:tc>
            </w:tr>
            <w:tr w14:paraId="77591C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109" w:type="pct"/>
                  <w:vMerge w:val="continue"/>
                  <w:tcBorders>
                    <w:tl2br w:val="nil"/>
                    <w:tr2bl w:val="nil"/>
                  </w:tcBorders>
                  <w:vAlign w:val="center"/>
                </w:tcPr>
                <w:p w14:paraId="3DF067D4">
                  <w:pPr>
                    <w:pStyle w:val="103"/>
                    <w:keepNext w:val="0"/>
                    <w:keepLines w:val="0"/>
                    <w:pageBreakBefore w:val="0"/>
                    <w:widowControl w:val="0"/>
                    <w:kinsoku w:val="0"/>
                    <w:wordWrap/>
                    <w:overflowPunct w:val="0"/>
                    <w:topLinePunct w:val="0"/>
                    <w:autoSpaceDE/>
                    <w:autoSpaceDN/>
                    <w:bidi w:val="0"/>
                    <w:adjustRightInd/>
                    <w:snapToGrid/>
                    <w:textAlignment w:val="auto"/>
                    <w:rPr>
                      <w:rFonts w:hint="default" w:ascii="Times New Roman" w:hAnsi="Times New Roman" w:cs="Times New Roman"/>
                      <w:color w:val="auto"/>
                      <w:sz w:val="18"/>
                      <w:szCs w:val="18"/>
                      <w:highlight w:val="none"/>
                      <w:lang w:val="zh-CN"/>
                    </w:rPr>
                  </w:pPr>
                </w:p>
              </w:tc>
              <w:tc>
                <w:tcPr>
                  <w:tcW w:w="1690" w:type="pct"/>
                  <w:tcBorders>
                    <w:tl2br w:val="nil"/>
                    <w:tr2bl w:val="nil"/>
                  </w:tcBorders>
                  <w:vAlign w:val="center"/>
                </w:tcPr>
                <w:p w14:paraId="70BF4F07">
                  <w:pPr>
                    <w:pStyle w:val="103"/>
                    <w:keepNext w:val="0"/>
                    <w:keepLines w:val="0"/>
                    <w:pageBreakBefore w:val="0"/>
                    <w:widowControl w:val="0"/>
                    <w:kinsoku w:val="0"/>
                    <w:wordWrap/>
                    <w:overflowPunct w:val="0"/>
                    <w:topLinePunct w:val="0"/>
                    <w:autoSpaceDE/>
                    <w:autoSpaceDN/>
                    <w:bidi w:val="0"/>
                    <w:adjustRightInd/>
                    <w:snapToGrid/>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监控点</w:t>
                  </w:r>
                </w:p>
              </w:tc>
              <w:tc>
                <w:tcPr>
                  <w:tcW w:w="2199" w:type="pct"/>
                  <w:tcBorders>
                    <w:tl2br w:val="nil"/>
                    <w:tr2bl w:val="nil"/>
                  </w:tcBorders>
                  <w:vAlign w:val="center"/>
                </w:tcPr>
                <w:p w14:paraId="00EC4773">
                  <w:pPr>
                    <w:pStyle w:val="103"/>
                    <w:keepNext w:val="0"/>
                    <w:keepLines w:val="0"/>
                    <w:pageBreakBefore w:val="0"/>
                    <w:widowControl w:val="0"/>
                    <w:kinsoku w:val="0"/>
                    <w:wordWrap/>
                    <w:overflowPunct w:val="0"/>
                    <w:topLinePunct w:val="0"/>
                    <w:autoSpaceDE/>
                    <w:autoSpaceDN/>
                    <w:bidi w:val="0"/>
                    <w:adjustRightInd/>
                    <w:snapToGrid/>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浓度限值（mg/m</w:t>
                  </w:r>
                  <w:r>
                    <w:rPr>
                      <w:rFonts w:hint="default" w:ascii="Times New Roman" w:hAnsi="Times New Roman" w:cs="Times New Roman"/>
                      <w:color w:val="auto"/>
                      <w:sz w:val="18"/>
                      <w:szCs w:val="18"/>
                      <w:highlight w:val="none"/>
                      <w:vertAlign w:val="superscript"/>
                      <w:lang w:val="zh-CN"/>
                    </w:rPr>
                    <w:t>3</w:t>
                  </w:r>
                  <w:r>
                    <w:rPr>
                      <w:rFonts w:hint="default" w:ascii="Times New Roman" w:hAnsi="Times New Roman" w:cs="Times New Roman"/>
                      <w:color w:val="auto"/>
                      <w:sz w:val="18"/>
                      <w:szCs w:val="18"/>
                      <w:highlight w:val="none"/>
                      <w:lang w:val="zh-CN"/>
                    </w:rPr>
                    <w:t>）</w:t>
                  </w:r>
                </w:p>
              </w:tc>
            </w:tr>
            <w:tr w14:paraId="7D6607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1109" w:type="pct"/>
                  <w:tcBorders>
                    <w:tl2br w:val="nil"/>
                    <w:tr2bl w:val="nil"/>
                  </w:tcBorders>
                  <w:vAlign w:val="center"/>
                </w:tcPr>
                <w:p w14:paraId="5BC24ABD">
                  <w:pPr>
                    <w:pStyle w:val="103"/>
                    <w:keepNext w:val="0"/>
                    <w:keepLines w:val="0"/>
                    <w:pageBreakBefore w:val="0"/>
                    <w:widowControl w:val="0"/>
                    <w:kinsoku w:val="0"/>
                    <w:wordWrap/>
                    <w:overflowPunct w:val="0"/>
                    <w:topLinePunct w:val="0"/>
                    <w:autoSpaceDE/>
                    <w:autoSpaceDN/>
                    <w:bidi w:val="0"/>
                    <w:adjustRightInd/>
                    <w:snapToGrid/>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颗粒物</w:t>
                  </w:r>
                </w:p>
              </w:tc>
              <w:tc>
                <w:tcPr>
                  <w:tcW w:w="1690" w:type="pct"/>
                  <w:tcBorders>
                    <w:tl2br w:val="nil"/>
                    <w:tr2bl w:val="nil"/>
                  </w:tcBorders>
                  <w:vAlign w:val="center"/>
                </w:tcPr>
                <w:p w14:paraId="63590E63">
                  <w:pPr>
                    <w:pStyle w:val="103"/>
                    <w:keepNext w:val="0"/>
                    <w:keepLines w:val="0"/>
                    <w:pageBreakBefore w:val="0"/>
                    <w:widowControl w:val="0"/>
                    <w:kinsoku w:val="0"/>
                    <w:wordWrap/>
                    <w:overflowPunct w:val="0"/>
                    <w:topLinePunct w:val="0"/>
                    <w:autoSpaceDE/>
                    <w:autoSpaceDN/>
                    <w:bidi w:val="0"/>
                    <w:adjustRightInd/>
                    <w:snapToGrid/>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周界外浓度最高点</w:t>
                  </w:r>
                </w:p>
              </w:tc>
              <w:tc>
                <w:tcPr>
                  <w:tcW w:w="2199" w:type="pct"/>
                  <w:tcBorders>
                    <w:tl2br w:val="nil"/>
                    <w:tr2bl w:val="nil"/>
                  </w:tcBorders>
                  <w:vAlign w:val="center"/>
                </w:tcPr>
                <w:p w14:paraId="3F5386E3">
                  <w:pPr>
                    <w:pStyle w:val="103"/>
                    <w:keepNext w:val="0"/>
                    <w:keepLines w:val="0"/>
                    <w:pageBreakBefore w:val="0"/>
                    <w:widowControl w:val="0"/>
                    <w:kinsoku w:val="0"/>
                    <w:wordWrap/>
                    <w:overflowPunct w:val="0"/>
                    <w:topLinePunct w:val="0"/>
                    <w:autoSpaceDE/>
                    <w:autoSpaceDN/>
                    <w:bidi w:val="0"/>
                    <w:adjustRightInd/>
                    <w:snapToGrid/>
                    <w:textAlignment w:val="auto"/>
                    <w:rPr>
                      <w:rFonts w:hint="default" w:ascii="Times New Roman" w:hAnsi="Times New Roman" w:cs="Times New Roman"/>
                      <w:color w:val="auto"/>
                      <w:sz w:val="18"/>
                      <w:szCs w:val="18"/>
                      <w:highlight w:val="none"/>
                      <w:lang w:val="zh-CN"/>
                    </w:rPr>
                  </w:pPr>
                  <w:r>
                    <w:rPr>
                      <w:rFonts w:hint="default" w:ascii="Times New Roman" w:hAnsi="Times New Roman" w:cs="Times New Roman"/>
                      <w:color w:val="auto"/>
                      <w:sz w:val="18"/>
                      <w:szCs w:val="18"/>
                      <w:highlight w:val="none"/>
                      <w:lang w:val="zh-CN"/>
                    </w:rPr>
                    <w:t>1.0</w:t>
                  </w:r>
                </w:p>
              </w:tc>
            </w:tr>
          </w:tbl>
          <w:p w14:paraId="360D1AD2">
            <w:pPr>
              <w:widowControl/>
              <w:spacing w:line="360" w:lineRule="auto"/>
              <w:ind w:firstLine="432" w:firstLineChars="200"/>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pacing w:val="3"/>
                <w:highlight w:val="none"/>
              </w:rPr>
              <w:t>运营期本项目蒸压加气混凝土</w:t>
            </w:r>
            <w:r>
              <w:rPr>
                <w:rFonts w:hint="default" w:ascii="Times New Roman" w:hAnsi="Times New Roman" w:cs="Times New Roman"/>
                <w:color w:val="auto"/>
                <w:spacing w:val="3"/>
                <w:highlight w:val="none"/>
                <w:lang w:val="en-US" w:eastAsia="zh-CN"/>
              </w:rPr>
              <w:t>砌块</w:t>
            </w:r>
            <w:r>
              <w:rPr>
                <w:rFonts w:hint="default" w:ascii="Times New Roman" w:hAnsi="Times New Roman" w:cs="Times New Roman"/>
                <w:color w:val="auto"/>
                <w:spacing w:val="3"/>
                <w:highlight w:val="none"/>
              </w:rPr>
              <w:t>生产过程产生的粉尘执行《砖瓦工业大</w:t>
            </w:r>
            <w:r>
              <w:rPr>
                <w:rFonts w:hint="default" w:ascii="Times New Roman" w:hAnsi="Times New Roman" w:cs="Times New Roman"/>
                <w:color w:val="auto"/>
                <w:spacing w:val="1"/>
                <w:highlight w:val="none"/>
              </w:rPr>
              <w:t>气污染物排放标准》（</w:t>
            </w:r>
            <w:r>
              <w:rPr>
                <w:rFonts w:hint="default" w:ascii="Times New Roman" w:hAnsi="Times New Roman" w:eastAsia="Times New Roman" w:cs="Times New Roman"/>
                <w:color w:val="auto"/>
                <w:highlight w:val="none"/>
              </w:rPr>
              <w:t>GB</w:t>
            </w:r>
            <w:r>
              <w:rPr>
                <w:rFonts w:hint="default" w:ascii="Times New Roman" w:hAnsi="Times New Roman" w:eastAsia="Times New Roman" w:cs="Times New Roman"/>
                <w:color w:val="auto"/>
                <w:spacing w:val="1"/>
                <w:highlight w:val="none"/>
              </w:rPr>
              <w:t>29620-2013</w:t>
            </w:r>
            <w:r>
              <w:rPr>
                <w:rFonts w:hint="default" w:ascii="Times New Roman" w:hAnsi="Times New Roman" w:cs="Times New Roman"/>
                <w:color w:val="auto"/>
                <w:spacing w:val="10"/>
                <w:highlight w:val="none"/>
              </w:rPr>
              <w:t>）</w:t>
            </w:r>
            <w:r>
              <w:rPr>
                <w:rFonts w:hint="default" w:ascii="Times New Roman" w:hAnsi="Times New Roman" w:cs="Times New Roman"/>
                <w:color w:val="auto"/>
                <w:spacing w:val="10"/>
                <w:highlight w:val="none"/>
                <w:lang w:val="en-US" w:eastAsia="zh-CN"/>
              </w:rPr>
              <w:t>及修改单中表2新建企业大气污染物排放限值及</w:t>
            </w:r>
            <w:r>
              <w:rPr>
                <w:rFonts w:hint="default" w:ascii="Times New Roman" w:hAnsi="Times New Roman" w:cs="Times New Roman"/>
                <w:color w:val="auto"/>
                <w:kern w:val="0"/>
                <w:szCs w:val="21"/>
                <w:highlight w:val="none"/>
                <w:lang w:val="en-US" w:eastAsia="zh-CN" w:bidi="ar"/>
              </w:rPr>
              <w:t>表3现有和新建企业边界大气污染物浓度限值要求，</w:t>
            </w:r>
            <w:r>
              <w:rPr>
                <w:rFonts w:hint="default" w:ascii="Times New Roman" w:hAnsi="Times New Roman" w:cs="Times New Roman"/>
                <w:color w:val="auto"/>
                <w:kern w:val="0"/>
                <w:szCs w:val="21"/>
                <w:highlight w:val="none"/>
                <w:lang w:bidi="ar"/>
              </w:rPr>
              <w:t>具体标准值见下表：</w:t>
            </w:r>
          </w:p>
          <w:p w14:paraId="30976B18">
            <w:pPr>
              <w:jc w:val="center"/>
              <w:rPr>
                <w:rFonts w:hint="default" w:ascii="Times New Roman" w:hAnsi="Times New Roman" w:eastAsia="宋体" w:cs="Times New Roman"/>
                <w:b/>
                <w:bCs/>
                <w:color w:val="auto"/>
                <w:szCs w:val="21"/>
                <w:highlight w:val="none"/>
                <w:lang w:eastAsia="zh-CN"/>
              </w:rPr>
            </w:pPr>
            <w:r>
              <w:rPr>
                <w:rFonts w:hint="default" w:ascii="Times New Roman" w:hAnsi="Times New Roman" w:cs="Times New Roman"/>
                <w:b/>
                <w:bCs/>
                <w:color w:val="auto"/>
                <w:szCs w:val="21"/>
                <w:highlight w:val="none"/>
              </w:rPr>
              <w:t>表3-</w:t>
            </w:r>
            <w:r>
              <w:rPr>
                <w:rFonts w:hint="default" w:ascii="Times New Roman" w:hAnsi="Times New Roman" w:cs="Times New Roman"/>
                <w:b/>
                <w:bCs/>
                <w:color w:val="auto"/>
                <w:szCs w:val="21"/>
                <w:highlight w:val="none"/>
                <w:lang w:val="en-US" w:eastAsia="zh-CN"/>
              </w:rPr>
              <w:t>5</w:t>
            </w:r>
            <w:r>
              <w:rPr>
                <w:rFonts w:hint="default" w:ascii="Times New Roman" w:hAnsi="Times New Roman" w:cs="Times New Roman"/>
                <w:b/>
                <w:bCs/>
                <w:color w:val="auto"/>
                <w:szCs w:val="21"/>
                <w:highlight w:val="none"/>
              </w:rPr>
              <w:t xml:space="preserve">  </w:t>
            </w:r>
            <w:r>
              <w:rPr>
                <w:rFonts w:hint="default" w:ascii="Times New Roman" w:hAnsi="Times New Roman" w:cs="Times New Roman"/>
                <w:b/>
                <w:bCs/>
                <w:color w:val="auto"/>
                <w:szCs w:val="21"/>
                <w:highlight w:val="none"/>
                <w:lang w:eastAsia="zh-CN"/>
              </w:rPr>
              <w:t>本项目大气污染物排放标准执行情况表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157"/>
              <w:gridCol w:w="1523"/>
              <w:gridCol w:w="3294"/>
            </w:tblGrid>
            <w:tr w14:paraId="6BA484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411" w:hRule="atLeast"/>
                <w:jc w:val="center"/>
              </w:trPr>
              <w:tc>
                <w:tcPr>
                  <w:tcW w:w="1979" w:type="pct"/>
                  <w:vAlign w:val="center"/>
                </w:tcPr>
                <w:p w14:paraId="3B07C92A">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生产工序</w:t>
                  </w:r>
                </w:p>
              </w:tc>
              <w:tc>
                <w:tcPr>
                  <w:tcW w:w="955" w:type="pct"/>
                  <w:vAlign w:val="center"/>
                </w:tcPr>
                <w:p w14:paraId="1F51806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2065" w:type="pct"/>
                  <w:vAlign w:val="center"/>
                </w:tcPr>
                <w:p w14:paraId="7C7EA44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有组织</w:t>
                  </w:r>
                  <w:r>
                    <w:rPr>
                      <w:rFonts w:hint="default" w:ascii="Times New Roman" w:hAnsi="Times New Roman" w:cs="Times New Roman"/>
                      <w:color w:val="auto"/>
                      <w:sz w:val="18"/>
                      <w:szCs w:val="18"/>
                      <w:highlight w:val="none"/>
                    </w:rPr>
                    <w:t>最高允许排放浓度</w:t>
                  </w:r>
                  <w:r>
                    <w:rPr>
                      <w:rFonts w:hint="default" w:ascii="Times New Roman" w:hAnsi="Times New Roman" w:cs="Times New Roman"/>
                      <w:color w:val="auto"/>
                      <w:kern w:val="0"/>
                      <w:sz w:val="18"/>
                      <w:szCs w:val="18"/>
                      <w:highlight w:val="none"/>
                      <w:lang w:bidi="ar"/>
                    </w:rPr>
                    <w:t>（mg/m</w:t>
                  </w:r>
                  <w:r>
                    <w:rPr>
                      <w:rFonts w:hint="default" w:ascii="Times New Roman" w:hAnsi="Times New Roman" w:cs="Times New Roman"/>
                      <w:color w:val="auto"/>
                      <w:kern w:val="0"/>
                      <w:sz w:val="18"/>
                      <w:szCs w:val="18"/>
                      <w:highlight w:val="none"/>
                      <w:vertAlign w:val="superscript"/>
                      <w:lang w:bidi="ar"/>
                    </w:rPr>
                    <w:t>3</w:t>
                  </w:r>
                  <w:r>
                    <w:rPr>
                      <w:rFonts w:hint="default" w:ascii="Times New Roman" w:hAnsi="Times New Roman" w:cs="Times New Roman"/>
                      <w:color w:val="auto"/>
                      <w:kern w:val="0"/>
                      <w:sz w:val="18"/>
                      <w:szCs w:val="18"/>
                      <w:highlight w:val="none"/>
                      <w:lang w:bidi="ar"/>
                    </w:rPr>
                    <w:t>）</w:t>
                  </w:r>
                </w:p>
              </w:tc>
            </w:tr>
            <w:tr w14:paraId="5B5F02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131" w:hRule="atLeast"/>
                <w:jc w:val="center"/>
              </w:trPr>
              <w:tc>
                <w:tcPr>
                  <w:tcW w:w="1979" w:type="pct"/>
                  <w:vAlign w:val="center"/>
                </w:tcPr>
                <w:p w14:paraId="3C14A0F1">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原料、燃料破碎及制备成型</w:t>
                  </w:r>
                </w:p>
              </w:tc>
              <w:tc>
                <w:tcPr>
                  <w:tcW w:w="955" w:type="pct"/>
                  <w:vAlign w:val="center"/>
                </w:tcPr>
                <w:p w14:paraId="2CE0CE5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2065" w:type="pct"/>
                  <w:vAlign w:val="center"/>
                </w:tcPr>
                <w:p w14:paraId="4C2BC658">
                  <w:pPr>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30</w:t>
                  </w:r>
                </w:p>
              </w:tc>
            </w:tr>
          </w:tbl>
          <w:p w14:paraId="359DA0F0">
            <w:pPr>
              <w:widowControl/>
              <w:spacing w:line="360" w:lineRule="auto"/>
              <w:ind w:firstLine="432" w:firstLineChars="200"/>
              <w:rPr>
                <w:rFonts w:hint="default" w:ascii="Times New Roman" w:hAnsi="Times New Roman" w:cs="Times New Roman"/>
                <w:color w:val="auto"/>
                <w:kern w:val="0"/>
                <w:szCs w:val="21"/>
                <w:highlight w:val="none"/>
                <w:lang w:bidi="ar"/>
              </w:rPr>
            </w:pPr>
            <w:r>
              <w:rPr>
                <w:rFonts w:hint="default" w:ascii="Times New Roman" w:hAnsi="Times New Roman" w:cs="Times New Roman"/>
                <w:color w:val="auto"/>
                <w:spacing w:val="3"/>
                <w:highlight w:val="none"/>
              </w:rPr>
              <w:t>蒸压加气混凝土</w:t>
            </w:r>
            <w:r>
              <w:rPr>
                <w:rFonts w:hint="default" w:ascii="Times New Roman" w:hAnsi="Times New Roman" w:cs="Times New Roman"/>
                <w:color w:val="auto"/>
                <w:spacing w:val="3"/>
                <w:highlight w:val="none"/>
                <w:lang w:val="en-US" w:eastAsia="zh-CN"/>
              </w:rPr>
              <w:t>板材</w:t>
            </w:r>
            <w:r>
              <w:rPr>
                <w:rFonts w:hint="default" w:ascii="Times New Roman" w:hAnsi="Times New Roman" w:cs="Times New Roman"/>
                <w:color w:val="auto"/>
                <w:spacing w:val="3"/>
                <w:highlight w:val="none"/>
              </w:rPr>
              <w:t>生产过程产生的粉尘执行《水泥工业大气污染物排放标准》（GB4915-2013）</w:t>
            </w:r>
            <w:r>
              <w:rPr>
                <w:rFonts w:hint="default" w:ascii="Times New Roman" w:hAnsi="Times New Roman" w:cs="Times New Roman"/>
                <w:color w:val="auto"/>
                <w:spacing w:val="10"/>
                <w:highlight w:val="none"/>
                <w:lang w:val="en-US" w:eastAsia="zh-CN"/>
              </w:rPr>
              <w:t>及修改单中表表1现有和新建企业大气污染物排放限值</w:t>
            </w:r>
            <w:r>
              <w:rPr>
                <w:rFonts w:hint="default" w:ascii="Times New Roman" w:hAnsi="Times New Roman" w:cs="Times New Roman"/>
                <w:color w:val="auto"/>
                <w:kern w:val="0"/>
                <w:szCs w:val="21"/>
                <w:highlight w:val="none"/>
                <w:lang w:val="en-US" w:eastAsia="zh-CN" w:bidi="ar"/>
              </w:rPr>
              <w:t>，</w:t>
            </w:r>
            <w:r>
              <w:rPr>
                <w:rFonts w:hint="default" w:ascii="Times New Roman" w:hAnsi="Times New Roman" w:cs="Times New Roman"/>
                <w:color w:val="auto"/>
                <w:kern w:val="0"/>
                <w:szCs w:val="21"/>
                <w:highlight w:val="none"/>
                <w:lang w:bidi="ar"/>
              </w:rPr>
              <w:t>具体标准值见下表：</w:t>
            </w:r>
          </w:p>
          <w:p w14:paraId="2F02ED6B">
            <w:pPr>
              <w:jc w:val="center"/>
              <w:rPr>
                <w:rFonts w:hint="default" w:ascii="Times New Roman" w:hAnsi="Times New Roman" w:eastAsia="宋体" w:cs="Times New Roman"/>
                <w:b/>
                <w:bCs/>
                <w:color w:val="auto"/>
                <w:szCs w:val="21"/>
                <w:highlight w:val="none"/>
                <w:lang w:eastAsia="zh-CN"/>
              </w:rPr>
            </w:pPr>
            <w:r>
              <w:rPr>
                <w:rFonts w:hint="default" w:ascii="Times New Roman" w:hAnsi="Times New Roman" w:cs="Times New Roman"/>
                <w:b/>
                <w:bCs/>
                <w:color w:val="auto"/>
                <w:szCs w:val="21"/>
                <w:highlight w:val="none"/>
              </w:rPr>
              <w:t>表3-</w:t>
            </w:r>
            <w:r>
              <w:rPr>
                <w:rFonts w:hint="eastAsia" w:cs="Times New Roman"/>
                <w:b/>
                <w:bCs/>
                <w:color w:val="auto"/>
                <w:szCs w:val="21"/>
                <w:highlight w:val="none"/>
                <w:lang w:val="en-US" w:eastAsia="zh-CN"/>
              </w:rPr>
              <w:t>6</w:t>
            </w:r>
            <w:r>
              <w:rPr>
                <w:rFonts w:hint="default" w:ascii="Times New Roman" w:hAnsi="Times New Roman" w:cs="Times New Roman"/>
                <w:b/>
                <w:bCs/>
                <w:color w:val="auto"/>
                <w:szCs w:val="21"/>
                <w:highlight w:val="none"/>
              </w:rPr>
              <w:t xml:space="preserve">  </w:t>
            </w:r>
            <w:r>
              <w:rPr>
                <w:rFonts w:hint="default" w:ascii="Times New Roman" w:hAnsi="Times New Roman" w:cs="Times New Roman"/>
                <w:b/>
                <w:bCs/>
                <w:color w:val="auto"/>
                <w:szCs w:val="21"/>
                <w:highlight w:val="none"/>
                <w:lang w:eastAsia="zh-CN"/>
              </w:rPr>
              <w:t>本项目大气污染物排放标准执行情况表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157"/>
              <w:gridCol w:w="1523"/>
              <w:gridCol w:w="3294"/>
            </w:tblGrid>
            <w:tr w14:paraId="14DC6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411" w:hRule="atLeast"/>
                <w:jc w:val="center"/>
              </w:trPr>
              <w:tc>
                <w:tcPr>
                  <w:tcW w:w="1979" w:type="pct"/>
                  <w:vAlign w:val="center"/>
                </w:tcPr>
                <w:p w14:paraId="0585D4E2">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生产工序</w:t>
                  </w:r>
                </w:p>
              </w:tc>
              <w:tc>
                <w:tcPr>
                  <w:tcW w:w="955" w:type="pct"/>
                  <w:vAlign w:val="center"/>
                </w:tcPr>
                <w:p w14:paraId="7727105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2065" w:type="pct"/>
                  <w:vAlign w:val="center"/>
                </w:tcPr>
                <w:p w14:paraId="544BBB8D">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有组织</w:t>
                  </w:r>
                  <w:r>
                    <w:rPr>
                      <w:rFonts w:hint="default" w:ascii="Times New Roman" w:hAnsi="Times New Roman" w:cs="Times New Roman"/>
                      <w:color w:val="auto"/>
                      <w:sz w:val="18"/>
                      <w:szCs w:val="18"/>
                      <w:highlight w:val="none"/>
                    </w:rPr>
                    <w:t>最高允许排放浓度</w:t>
                  </w:r>
                  <w:r>
                    <w:rPr>
                      <w:rFonts w:hint="default" w:ascii="Times New Roman" w:hAnsi="Times New Roman" w:cs="Times New Roman"/>
                      <w:color w:val="auto"/>
                      <w:kern w:val="0"/>
                      <w:sz w:val="18"/>
                      <w:szCs w:val="18"/>
                      <w:highlight w:val="none"/>
                      <w:lang w:bidi="ar"/>
                    </w:rPr>
                    <w:t>（mg/m</w:t>
                  </w:r>
                  <w:r>
                    <w:rPr>
                      <w:rFonts w:hint="default" w:ascii="Times New Roman" w:hAnsi="Times New Roman" w:cs="Times New Roman"/>
                      <w:color w:val="auto"/>
                      <w:kern w:val="0"/>
                      <w:sz w:val="18"/>
                      <w:szCs w:val="18"/>
                      <w:highlight w:val="none"/>
                      <w:vertAlign w:val="superscript"/>
                      <w:lang w:bidi="ar"/>
                    </w:rPr>
                    <w:t>3</w:t>
                  </w:r>
                  <w:r>
                    <w:rPr>
                      <w:rFonts w:hint="default" w:ascii="Times New Roman" w:hAnsi="Times New Roman" w:cs="Times New Roman"/>
                      <w:color w:val="auto"/>
                      <w:kern w:val="0"/>
                      <w:sz w:val="18"/>
                      <w:szCs w:val="18"/>
                      <w:highlight w:val="none"/>
                      <w:lang w:bidi="ar"/>
                    </w:rPr>
                    <w:t>）</w:t>
                  </w:r>
                </w:p>
              </w:tc>
            </w:tr>
            <w:tr w14:paraId="759E4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131" w:hRule="atLeast"/>
                <w:jc w:val="center"/>
              </w:trPr>
              <w:tc>
                <w:tcPr>
                  <w:tcW w:w="1979" w:type="pct"/>
                  <w:vAlign w:val="center"/>
                </w:tcPr>
                <w:p w14:paraId="1B7562A1">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散装水泥中转站及水泥制品生产</w:t>
                  </w:r>
                </w:p>
              </w:tc>
              <w:tc>
                <w:tcPr>
                  <w:tcW w:w="955" w:type="pct"/>
                  <w:vAlign w:val="center"/>
                </w:tcPr>
                <w:p w14:paraId="5FFC82E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2065" w:type="pct"/>
                  <w:vAlign w:val="center"/>
                </w:tcPr>
                <w:p w14:paraId="6879AEDF">
                  <w:pPr>
                    <w:jc w:val="center"/>
                    <w:rPr>
                      <w:rFonts w:hint="default" w:ascii="Times New Roman" w:hAnsi="Times New Roman" w:cs="Times New Roman"/>
                      <w:color w:val="auto"/>
                      <w:sz w:val="18"/>
                      <w:szCs w:val="18"/>
                      <w:highlight w:val="none"/>
                      <w:lang w:val="en-US"/>
                    </w:rPr>
                  </w:pPr>
                  <w:r>
                    <w:rPr>
                      <w:rFonts w:hint="eastAsia" w:ascii="Times New Roman" w:hAnsi="Times New Roman" w:cs="Times New Roman"/>
                      <w:color w:val="auto"/>
                      <w:sz w:val="18"/>
                      <w:szCs w:val="18"/>
                      <w:highlight w:val="none"/>
                      <w:lang w:val="en-US" w:eastAsia="zh-CN"/>
                    </w:rPr>
                    <w:t>20</w:t>
                  </w:r>
                </w:p>
              </w:tc>
            </w:tr>
          </w:tbl>
          <w:p w14:paraId="0BEE3D38">
            <w:pPr>
              <w:adjustRightInd w:val="0"/>
              <w:snapToGrid w:val="0"/>
              <w:spacing w:line="360" w:lineRule="auto"/>
              <w:ind w:firstLine="416" w:firstLineChars="200"/>
              <w:rPr>
                <w:rFonts w:hint="default" w:ascii="Times New Roman" w:hAnsi="Times New Roman" w:cs="Times New Roman"/>
                <w:b/>
                <w:bCs/>
                <w:color w:val="auto"/>
                <w:szCs w:val="21"/>
                <w:highlight w:val="none"/>
              </w:rPr>
            </w:pPr>
            <w:r>
              <w:rPr>
                <w:rFonts w:hint="default" w:ascii="Times New Roman" w:hAnsi="Times New Roman" w:cs="Times New Roman"/>
                <w:color w:val="auto"/>
                <w:spacing w:val="-1"/>
                <w:highlight w:val="none"/>
                <w:lang w:val="en-US" w:eastAsia="zh-CN"/>
              </w:rPr>
              <w:t>锅炉</w:t>
            </w:r>
            <w:r>
              <w:rPr>
                <w:rFonts w:hint="default" w:ascii="Times New Roman" w:hAnsi="Times New Roman" w:cs="Times New Roman"/>
                <w:color w:val="auto"/>
                <w:spacing w:val="-1"/>
                <w:highlight w:val="none"/>
              </w:rPr>
              <w:t>烟气采用</w:t>
            </w:r>
            <w:r>
              <w:rPr>
                <w:rFonts w:hint="eastAsia" w:cs="Times New Roman"/>
                <w:color w:val="auto"/>
                <w:spacing w:val="-1"/>
                <w:highlight w:val="none"/>
                <w:lang w:val="en-US" w:eastAsia="zh-CN"/>
              </w:rPr>
              <w:t>低氮燃烧</w:t>
            </w:r>
            <w:r>
              <w:rPr>
                <w:rFonts w:hint="default" w:ascii="Times New Roman" w:hAnsi="Times New Roman" w:eastAsia="Times New Roman" w:cs="Times New Roman"/>
                <w:color w:val="auto"/>
                <w:spacing w:val="-1"/>
                <w:highlight w:val="none"/>
              </w:rPr>
              <w:t>+</w:t>
            </w:r>
            <w:r>
              <w:rPr>
                <w:rFonts w:hint="eastAsia" w:cs="Times New Roman"/>
                <w:color w:val="auto"/>
                <w:spacing w:val="-1"/>
                <w:highlight w:val="none"/>
                <w:lang w:val="en-US" w:eastAsia="zh-CN"/>
              </w:rPr>
              <w:t>旋风除尘+</w:t>
            </w:r>
            <w:r>
              <w:rPr>
                <w:rFonts w:hint="default" w:ascii="Times New Roman" w:hAnsi="Times New Roman" w:cs="Times New Roman"/>
                <w:color w:val="auto"/>
                <w:spacing w:val="-1"/>
                <w:highlight w:val="none"/>
              </w:rPr>
              <w:t>布袋除尘</w:t>
            </w:r>
            <w:r>
              <w:rPr>
                <w:rFonts w:hint="default" w:ascii="Times New Roman" w:hAnsi="Times New Roman" w:cs="Times New Roman"/>
                <w:color w:val="auto"/>
                <w:spacing w:val="-2"/>
                <w:highlight w:val="none"/>
              </w:rPr>
              <w:t>器除</w:t>
            </w:r>
            <w:r>
              <w:rPr>
                <w:rFonts w:hint="default" w:ascii="Times New Roman" w:hAnsi="Times New Roman" w:cs="Times New Roman"/>
                <w:color w:val="auto"/>
                <w:highlight w:val="none"/>
              </w:rPr>
              <w:t>尘处理后经</w:t>
            </w:r>
            <w:r>
              <w:rPr>
                <w:rFonts w:hint="default" w:ascii="Times New Roman" w:hAnsi="Times New Roman" w:cs="Times New Roman"/>
                <w:color w:val="auto"/>
                <w:spacing w:val="-43"/>
                <w:highlight w:val="none"/>
              </w:rPr>
              <w:t xml:space="preserve"> </w:t>
            </w:r>
            <w:r>
              <w:rPr>
                <w:rFonts w:hint="default" w:ascii="Times New Roman" w:hAnsi="Times New Roman" w:eastAsia="Times New Roman" w:cs="Times New Roman"/>
                <w:color w:val="auto"/>
                <w:highlight w:val="none"/>
              </w:rPr>
              <w:t>40m</w:t>
            </w:r>
            <w:r>
              <w:rPr>
                <w:rFonts w:hint="default" w:ascii="Times New Roman" w:hAnsi="Times New Roman" w:cs="Times New Roman"/>
                <w:color w:val="auto"/>
                <w:highlight w:val="none"/>
              </w:rPr>
              <w:t>高排气筒排放，</w:t>
            </w:r>
            <w:r>
              <w:rPr>
                <w:rFonts w:hint="default" w:ascii="Times New Roman" w:hAnsi="Times New Roman" w:cs="Times New Roman"/>
                <w:color w:val="auto"/>
                <w:highlight w:val="none"/>
                <w:lang w:val="en-US" w:eastAsia="zh-CN"/>
              </w:rPr>
              <w:t>执行</w:t>
            </w:r>
            <w:r>
              <w:rPr>
                <w:rFonts w:hint="default" w:ascii="Times New Roman" w:hAnsi="Times New Roman" w:cs="Times New Roman"/>
                <w:color w:val="auto"/>
                <w:highlight w:val="none"/>
              </w:rPr>
              <w:t>《锅炉大气污染物排放标准》</w:t>
            </w:r>
            <w:r>
              <w:rPr>
                <w:rFonts w:hint="default" w:ascii="Times New Roman" w:hAnsi="Times New Roman" w:cs="Times New Roman"/>
                <w:color w:val="auto"/>
                <w:spacing w:val="1"/>
                <w:highlight w:val="none"/>
              </w:rPr>
              <w:t>（</w:t>
            </w:r>
            <w:r>
              <w:rPr>
                <w:rFonts w:hint="default" w:ascii="Times New Roman" w:hAnsi="Times New Roman" w:eastAsia="Times New Roman" w:cs="Times New Roman"/>
                <w:color w:val="auto"/>
                <w:highlight w:val="none"/>
              </w:rPr>
              <w:t>GB</w:t>
            </w:r>
            <w:r>
              <w:rPr>
                <w:rFonts w:hint="default" w:ascii="Times New Roman" w:hAnsi="Times New Roman" w:eastAsia="Times New Roman" w:cs="Times New Roman"/>
                <w:color w:val="auto"/>
                <w:spacing w:val="1"/>
                <w:highlight w:val="none"/>
              </w:rPr>
              <w:t>13271-2014</w:t>
            </w:r>
            <w:r>
              <w:rPr>
                <w:rFonts w:hint="default" w:ascii="Times New Roman" w:hAnsi="Times New Roman" w:cs="Times New Roman"/>
                <w:color w:val="auto"/>
                <w:spacing w:val="1"/>
                <w:highlight w:val="none"/>
              </w:rPr>
              <w:t>）</w:t>
            </w:r>
            <w:r>
              <w:rPr>
                <w:rFonts w:hint="default" w:ascii="Times New Roman" w:hAnsi="Times New Roman" w:cs="Times New Roman"/>
                <w:color w:val="auto"/>
                <w:spacing w:val="1"/>
                <w:highlight w:val="none"/>
                <w:lang w:val="en-US" w:eastAsia="zh-CN"/>
              </w:rPr>
              <w:t>表2</w:t>
            </w:r>
            <w:r>
              <w:rPr>
                <w:rFonts w:hint="default" w:ascii="Times New Roman" w:hAnsi="Times New Roman" w:cs="Times New Roman"/>
                <w:color w:val="auto"/>
                <w:spacing w:val="1"/>
                <w:highlight w:val="none"/>
              </w:rPr>
              <w:t>燃</w:t>
            </w:r>
            <w:r>
              <w:rPr>
                <w:rFonts w:hint="default" w:ascii="Times New Roman" w:hAnsi="Times New Roman" w:cs="Times New Roman"/>
                <w:color w:val="auto"/>
                <w:spacing w:val="1"/>
                <w:highlight w:val="none"/>
                <w:lang w:val="en-US" w:eastAsia="zh-CN"/>
              </w:rPr>
              <w:t>煤</w:t>
            </w:r>
            <w:r>
              <w:rPr>
                <w:rFonts w:hint="default" w:ascii="Times New Roman" w:hAnsi="Times New Roman" w:cs="Times New Roman"/>
                <w:color w:val="auto"/>
                <w:spacing w:val="1"/>
                <w:highlight w:val="none"/>
              </w:rPr>
              <w:t>锅炉排放控制</w:t>
            </w:r>
            <w:r>
              <w:rPr>
                <w:rFonts w:hint="default" w:ascii="Times New Roman" w:hAnsi="Times New Roman" w:cs="Times New Roman"/>
                <w:color w:val="auto"/>
                <w:spacing w:val="-1"/>
                <w:highlight w:val="none"/>
              </w:rPr>
              <w:t>要求执行，具体标准值见下表：</w:t>
            </w:r>
          </w:p>
          <w:p w14:paraId="6D20BEF5">
            <w:pPr>
              <w:jc w:val="center"/>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表3-</w:t>
            </w:r>
            <w:r>
              <w:rPr>
                <w:rFonts w:hint="eastAsia" w:cs="Times New Roman"/>
                <w:b/>
                <w:bCs/>
                <w:color w:val="auto"/>
                <w:szCs w:val="21"/>
                <w:highlight w:val="none"/>
                <w:lang w:val="en-US" w:eastAsia="zh-CN"/>
              </w:rPr>
              <w:t xml:space="preserve">7 </w:t>
            </w:r>
            <w:r>
              <w:rPr>
                <w:rFonts w:hint="default" w:ascii="Times New Roman" w:hAnsi="Times New Roman" w:cs="Times New Roman"/>
                <w:b/>
                <w:bCs/>
                <w:color w:val="auto"/>
                <w:szCs w:val="21"/>
                <w:highlight w:val="none"/>
                <w:lang w:val="en-US" w:eastAsia="zh-CN"/>
              </w:rPr>
              <w:t>锅炉大气污染物排放标准</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
            <w:tblGrid>
              <w:gridCol w:w="3843"/>
              <w:gridCol w:w="4131"/>
            </w:tblGrid>
            <w:tr w14:paraId="12DC44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26" w:hRule="atLeast"/>
                <w:jc w:val="center"/>
              </w:trPr>
              <w:tc>
                <w:tcPr>
                  <w:tcW w:w="2409" w:type="pct"/>
                  <w:vMerge w:val="restart"/>
                  <w:tcBorders>
                    <w:tl2br w:val="nil"/>
                    <w:tr2bl w:val="nil"/>
                  </w:tcBorders>
                  <w:vAlign w:val="center"/>
                </w:tcPr>
                <w:p w14:paraId="79AB7F6C">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污染物项目</w:t>
                  </w:r>
                </w:p>
              </w:tc>
              <w:tc>
                <w:tcPr>
                  <w:tcW w:w="2590" w:type="pct"/>
                  <w:tcBorders>
                    <w:tl2br w:val="nil"/>
                    <w:tr2bl w:val="nil"/>
                  </w:tcBorders>
                  <w:vAlign w:val="center"/>
                </w:tcPr>
                <w:p w14:paraId="171F92AB">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排放限值</w:t>
                  </w:r>
                </w:p>
              </w:tc>
            </w:tr>
            <w:tr w14:paraId="7E181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90" w:hRule="atLeast"/>
                <w:jc w:val="center"/>
              </w:trPr>
              <w:tc>
                <w:tcPr>
                  <w:tcW w:w="2409" w:type="pct"/>
                  <w:vMerge w:val="continue"/>
                  <w:tcBorders>
                    <w:tl2br w:val="nil"/>
                    <w:tr2bl w:val="nil"/>
                  </w:tcBorders>
                  <w:vAlign w:val="center"/>
                </w:tcPr>
                <w:p w14:paraId="25F32AF1">
                  <w:pPr>
                    <w:pStyle w:val="103"/>
                    <w:bidi w:val="0"/>
                    <w:rPr>
                      <w:rFonts w:hint="default" w:ascii="Times New Roman" w:hAnsi="Times New Roman" w:cs="Times New Roman"/>
                      <w:color w:val="auto"/>
                      <w:sz w:val="18"/>
                      <w:szCs w:val="18"/>
                      <w:highlight w:val="none"/>
                    </w:rPr>
                  </w:pPr>
                </w:p>
              </w:tc>
              <w:tc>
                <w:tcPr>
                  <w:tcW w:w="2590" w:type="pct"/>
                  <w:tcBorders>
                    <w:tl2br w:val="nil"/>
                    <w:tr2bl w:val="nil"/>
                  </w:tcBorders>
                  <w:vAlign w:val="center"/>
                </w:tcPr>
                <w:p w14:paraId="488C2060">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燃</w:t>
                  </w:r>
                  <w:r>
                    <w:rPr>
                      <w:rFonts w:hint="default" w:ascii="Times New Roman" w:hAnsi="Times New Roman" w:cs="Times New Roman"/>
                      <w:color w:val="auto"/>
                      <w:sz w:val="18"/>
                      <w:szCs w:val="18"/>
                      <w:highlight w:val="none"/>
                      <w:lang w:val="en-US" w:eastAsia="zh-CN"/>
                    </w:rPr>
                    <w:t>煤</w:t>
                  </w:r>
                  <w:r>
                    <w:rPr>
                      <w:rFonts w:hint="default" w:ascii="Times New Roman" w:hAnsi="Times New Roman" w:cs="Times New Roman"/>
                      <w:color w:val="auto"/>
                      <w:sz w:val="18"/>
                      <w:szCs w:val="18"/>
                      <w:highlight w:val="none"/>
                    </w:rPr>
                    <w:t>锅炉</w:t>
                  </w:r>
                </w:p>
              </w:tc>
            </w:tr>
            <w:tr w14:paraId="76D185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90" w:hRule="atLeast"/>
                <w:jc w:val="center"/>
              </w:trPr>
              <w:tc>
                <w:tcPr>
                  <w:tcW w:w="2409" w:type="pct"/>
                  <w:tcBorders>
                    <w:tl2br w:val="nil"/>
                    <w:tr2bl w:val="nil"/>
                  </w:tcBorders>
                  <w:vAlign w:val="center"/>
                </w:tcPr>
                <w:p w14:paraId="2F0BD22A">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2590" w:type="pct"/>
                  <w:tcBorders>
                    <w:tl2br w:val="nil"/>
                    <w:tr2bl w:val="nil"/>
                  </w:tcBorders>
                  <w:vAlign w:val="center"/>
                </w:tcPr>
                <w:p w14:paraId="54238FC9">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50mg/m</w:t>
                  </w:r>
                  <w:r>
                    <w:rPr>
                      <w:rFonts w:hint="default" w:ascii="Times New Roman" w:hAnsi="Times New Roman" w:cs="Times New Roman"/>
                      <w:color w:val="auto"/>
                      <w:sz w:val="18"/>
                      <w:szCs w:val="18"/>
                      <w:highlight w:val="none"/>
                      <w:vertAlign w:val="superscript"/>
                    </w:rPr>
                    <w:t>3</w:t>
                  </w:r>
                </w:p>
              </w:tc>
            </w:tr>
            <w:tr w14:paraId="648016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90" w:hRule="atLeast"/>
                <w:jc w:val="center"/>
              </w:trPr>
              <w:tc>
                <w:tcPr>
                  <w:tcW w:w="2409" w:type="pct"/>
                  <w:tcBorders>
                    <w:tl2br w:val="nil"/>
                    <w:tr2bl w:val="nil"/>
                  </w:tcBorders>
                  <w:vAlign w:val="center"/>
                </w:tcPr>
                <w:p w14:paraId="4D36ADC9">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二氧化硫</w:t>
                  </w:r>
                </w:p>
              </w:tc>
              <w:tc>
                <w:tcPr>
                  <w:tcW w:w="2590" w:type="pct"/>
                  <w:tcBorders>
                    <w:tl2br w:val="nil"/>
                    <w:tr2bl w:val="nil"/>
                  </w:tcBorders>
                  <w:vAlign w:val="center"/>
                </w:tcPr>
                <w:p w14:paraId="0185A1CD">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300mg/m</w:t>
                  </w:r>
                  <w:r>
                    <w:rPr>
                      <w:rFonts w:hint="default" w:ascii="Times New Roman" w:hAnsi="Times New Roman" w:cs="Times New Roman"/>
                      <w:color w:val="auto"/>
                      <w:sz w:val="18"/>
                      <w:szCs w:val="18"/>
                      <w:highlight w:val="none"/>
                      <w:vertAlign w:val="superscript"/>
                    </w:rPr>
                    <w:t>3</w:t>
                  </w:r>
                </w:p>
              </w:tc>
            </w:tr>
            <w:tr w14:paraId="7F863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25" w:hRule="atLeast"/>
                <w:jc w:val="center"/>
              </w:trPr>
              <w:tc>
                <w:tcPr>
                  <w:tcW w:w="2409" w:type="pct"/>
                  <w:tcBorders>
                    <w:tl2br w:val="nil"/>
                    <w:tr2bl w:val="nil"/>
                  </w:tcBorders>
                  <w:vAlign w:val="center"/>
                </w:tcPr>
                <w:p w14:paraId="127AD691">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氮氧化物</w:t>
                  </w:r>
                </w:p>
              </w:tc>
              <w:tc>
                <w:tcPr>
                  <w:tcW w:w="2590" w:type="pct"/>
                  <w:tcBorders>
                    <w:tl2br w:val="nil"/>
                    <w:tr2bl w:val="nil"/>
                  </w:tcBorders>
                  <w:vAlign w:val="center"/>
                </w:tcPr>
                <w:p w14:paraId="1218B465">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300mg/m</w:t>
                  </w:r>
                  <w:r>
                    <w:rPr>
                      <w:rFonts w:hint="default" w:ascii="Times New Roman" w:hAnsi="Times New Roman" w:cs="Times New Roman"/>
                      <w:color w:val="auto"/>
                      <w:sz w:val="18"/>
                      <w:szCs w:val="18"/>
                      <w:highlight w:val="none"/>
                      <w:vertAlign w:val="superscript"/>
                    </w:rPr>
                    <w:t>3</w:t>
                  </w:r>
                </w:p>
              </w:tc>
            </w:tr>
            <w:tr w14:paraId="4D246A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08" w:hRule="atLeast"/>
                <w:jc w:val="center"/>
              </w:trPr>
              <w:tc>
                <w:tcPr>
                  <w:tcW w:w="2409" w:type="pct"/>
                  <w:tcBorders>
                    <w:tl2br w:val="nil"/>
                    <w:tr2bl w:val="nil"/>
                  </w:tcBorders>
                  <w:vAlign w:val="center"/>
                </w:tcPr>
                <w:p w14:paraId="198EBDC7">
                  <w:pPr>
                    <w:pStyle w:val="103"/>
                    <w:bidi w:val="0"/>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汞及其化合物</w:t>
                  </w:r>
                </w:p>
              </w:tc>
              <w:tc>
                <w:tcPr>
                  <w:tcW w:w="2590" w:type="pct"/>
                  <w:tcBorders>
                    <w:tl2br w:val="nil"/>
                    <w:tr2bl w:val="nil"/>
                  </w:tcBorders>
                  <w:vAlign w:val="center"/>
                </w:tcPr>
                <w:p w14:paraId="54D227CA">
                  <w:pPr>
                    <w:pStyle w:val="103"/>
                    <w:bidi w:val="0"/>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0.05</w:t>
                  </w:r>
                  <w:r>
                    <w:rPr>
                      <w:rFonts w:hint="default" w:ascii="Times New Roman" w:hAnsi="Times New Roman" w:cs="Times New Roman"/>
                      <w:color w:val="auto"/>
                      <w:sz w:val="18"/>
                      <w:szCs w:val="18"/>
                      <w:highlight w:val="none"/>
                    </w:rPr>
                    <w:t>mg/m</w:t>
                  </w:r>
                  <w:r>
                    <w:rPr>
                      <w:rFonts w:hint="default" w:ascii="Times New Roman" w:hAnsi="Times New Roman" w:cs="Times New Roman"/>
                      <w:color w:val="auto"/>
                      <w:sz w:val="18"/>
                      <w:szCs w:val="18"/>
                      <w:highlight w:val="none"/>
                      <w:vertAlign w:val="superscript"/>
                    </w:rPr>
                    <w:t>3</w:t>
                  </w:r>
                </w:p>
              </w:tc>
            </w:tr>
            <w:tr w14:paraId="5092CF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108" w:hRule="atLeast"/>
                <w:jc w:val="center"/>
              </w:trPr>
              <w:tc>
                <w:tcPr>
                  <w:tcW w:w="2409" w:type="pct"/>
                  <w:tcBorders>
                    <w:tl2br w:val="nil"/>
                    <w:tr2bl w:val="nil"/>
                  </w:tcBorders>
                  <w:shd w:val="clear" w:color="auto" w:fill="auto"/>
                  <w:vAlign w:val="center"/>
                </w:tcPr>
                <w:p w14:paraId="55C2CDA3">
                  <w:pPr>
                    <w:pStyle w:val="103"/>
                    <w:bidi w:val="0"/>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烟气黑度（林格曼黑度）</w:t>
                  </w:r>
                </w:p>
              </w:tc>
              <w:tc>
                <w:tcPr>
                  <w:tcW w:w="2590" w:type="pct"/>
                  <w:tcBorders>
                    <w:tl2br w:val="nil"/>
                    <w:tr2bl w:val="nil"/>
                  </w:tcBorders>
                  <w:shd w:val="clear" w:color="auto" w:fill="auto"/>
                  <w:vAlign w:val="center"/>
                </w:tcPr>
                <w:p w14:paraId="71D2DCAA">
                  <w:pPr>
                    <w:pStyle w:val="103"/>
                    <w:bidi w:val="0"/>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≤1级</w:t>
                  </w:r>
                </w:p>
              </w:tc>
            </w:tr>
          </w:tbl>
          <w:p w14:paraId="2B4EECAE">
            <w:pPr>
              <w:adjustRightInd w:val="0"/>
              <w:snapToGrid w:val="0"/>
              <w:spacing w:line="360" w:lineRule="auto"/>
              <w:ind w:firstLine="416" w:firstLineChars="200"/>
              <w:rPr>
                <w:rFonts w:hint="default" w:ascii="Times New Roman" w:hAnsi="Times New Roman" w:cs="Times New Roman"/>
                <w:color w:val="auto"/>
                <w:spacing w:val="-1"/>
                <w:highlight w:val="none"/>
              </w:rPr>
            </w:pPr>
            <w:r>
              <w:rPr>
                <w:rFonts w:hint="default" w:ascii="Times New Roman" w:hAnsi="Times New Roman" w:cs="Times New Roman"/>
                <w:color w:val="auto"/>
                <w:spacing w:val="-1"/>
                <w:highlight w:val="none"/>
              </w:rPr>
              <w:t>钢筋浸泡、</w:t>
            </w:r>
            <w:r>
              <w:rPr>
                <w:rFonts w:hint="eastAsia" w:cs="Times New Roman"/>
                <w:color w:val="auto"/>
                <w:spacing w:val="-1"/>
                <w:highlight w:val="none"/>
                <w:lang w:eastAsia="zh-CN"/>
              </w:rPr>
              <w:t>烘干</w:t>
            </w:r>
            <w:r>
              <w:rPr>
                <w:rFonts w:hint="default" w:ascii="Times New Roman" w:hAnsi="Times New Roman" w:cs="Times New Roman"/>
                <w:color w:val="auto"/>
                <w:spacing w:val="-1"/>
                <w:highlight w:val="none"/>
              </w:rPr>
              <w:t>工序有组织排放非甲烷总烃执行《大气污染物综合排放标</w:t>
            </w:r>
            <w:r>
              <w:rPr>
                <w:rFonts w:hint="default" w:ascii="Times New Roman" w:hAnsi="Times New Roman" w:cs="Times New Roman"/>
                <w:color w:val="auto"/>
                <w:spacing w:val="-2"/>
                <w:highlight w:val="none"/>
              </w:rPr>
              <w:t>准》</w:t>
            </w:r>
            <w:r>
              <w:rPr>
                <w:rFonts w:hint="default" w:ascii="Times New Roman" w:hAnsi="Times New Roman" w:cs="Times New Roman"/>
                <w:color w:val="auto"/>
                <w:highlight w:val="none"/>
              </w:rPr>
              <w:t xml:space="preserve"> </w:t>
            </w:r>
            <w:r>
              <w:rPr>
                <w:rFonts w:hint="default" w:ascii="Times New Roman" w:hAnsi="Times New Roman" w:cs="Times New Roman"/>
                <w:color w:val="auto"/>
                <w:spacing w:val="-1"/>
                <w:highlight w:val="none"/>
              </w:rPr>
              <w:t>（</w:t>
            </w:r>
            <w:r>
              <w:rPr>
                <w:rFonts w:hint="default" w:ascii="Times New Roman" w:hAnsi="Times New Roman" w:eastAsia="Times New Roman" w:cs="Times New Roman"/>
                <w:color w:val="auto"/>
                <w:spacing w:val="-1"/>
                <w:highlight w:val="none"/>
              </w:rPr>
              <w:t>GB16297-</w:t>
            </w:r>
            <w:r>
              <w:rPr>
                <w:rFonts w:hint="default" w:ascii="Times New Roman" w:hAnsi="Times New Roman" w:eastAsia="Times New Roman" w:cs="Times New Roman"/>
                <w:color w:val="auto"/>
                <w:spacing w:val="-15"/>
                <w:highlight w:val="none"/>
              </w:rPr>
              <w:t xml:space="preserve"> </w:t>
            </w:r>
            <w:r>
              <w:rPr>
                <w:rFonts w:hint="default" w:ascii="Times New Roman" w:hAnsi="Times New Roman" w:eastAsia="Times New Roman" w:cs="Times New Roman"/>
                <w:color w:val="auto"/>
                <w:spacing w:val="-1"/>
                <w:highlight w:val="none"/>
              </w:rPr>
              <w:t>1996</w:t>
            </w:r>
            <w:r>
              <w:rPr>
                <w:rFonts w:hint="default" w:ascii="Times New Roman" w:hAnsi="Times New Roman" w:cs="Times New Roman"/>
                <w:color w:val="auto"/>
                <w:spacing w:val="-1"/>
                <w:highlight w:val="none"/>
              </w:rPr>
              <w:t>）表</w:t>
            </w:r>
            <w:r>
              <w:rPr>
                <w:rFonts w:hint="default" w:ascii="Times New Roman" w:hAnsi="Times New Roman" w:cs="Times New Roman"/>
                <w:color w:val="auto"/>
                <w:spacing w:val="-55"/>
                <w:highlight w:val="none"/>
                <w:lang w:val="en-US" w:eastAsia="zh-CN"/>
              </w:rPr>
              <w:t>2</w:t>
            </w:r>
            <w:r>
              <w:rPr>
                <w:rFonts w:hint="default" w:ascii="Times New Roman" w:hAnsi="Times New Roman" w:cs="Times New Roman"/>
                <w:color w:val="auto"/>
                <w:spacing w:val="-1"/>
                <w:highlight w:val="none"/>
              </w:rPr>
              <w:t>中二级排放限值；厂界非甲烷总烃执行《大气污染物综合排放标准》（</w:t>
            </w:r>
            <w:r>
              <w:rPr>
                <w:rFonts w:hint="default" w:ascii="Times New Roman" w:hAnsi="Times New Roman" w:eastAsia="Times New Roman" w:cs="Times New Roman"/>
                <w:color w:val="auto"/>
                <w:spacing w:val="-1"/>
                <w:highlight w:val="none"/>
              </w:rPr>
              <w:t>GB16297-</w:t>
            </w:r>
            <w:r>
              <w:rPr>
                <w:rFonts w:hint="default" w:ascii="Times New Roman" w:hAnsi="Times New Roman" w:eastAsia="Times New Roman" w:cs="Times New Roman"/>
                <w:color w:val="auto"/>
                <w:spacing w:val="-15"/>
                <w:highlight w:val="none"/>
              </w:rPr>
              <w:t xml:space="preserve"> </w:t>
            </w:r>
            <w:r>
              <w:rPr>
                <w:rFonts w:hint="default" w:ascii="Times New Roman" w:hAnsi="Times New Roman" w:eastAsia="Times New Roman" w:cs="Times New Roman"/>
                <w:color w:val="auto"/>
                <w:spacing w:val="-1"/>
                <w:highlight w:val="none"/>
              </w:rPr>
              <w:t>1996</w:t>
            </w:r>
            <w:r>
              <w:rPr>
                <w:rFonts w:hint="default" w:ascii="Times New Roman" w:hAnsi="Times New Roman" w:cs="Times New Roman"/>
                <w:color w:val="auto"/>
                <w:spacing w:val="-1"/>
                <w:highlight w:val="none"/>
              </w:rPr>
              <w:t>）表</w:t>
            </w:r>
            <w:r>
              <w:rPr>
                <w:rFonts w:hint="default" w:ascii="Times New Roman" w:hAnsi="Times New Roman" w:cs="Times New Roman"/>
                <w:color w:val="auto"/>
                <w:spacing w:val="-55"/>
                <w:highlight w:val="none"/>
              </w:rPr>
              <w:t xml:space="preserve"> </w:t>
            </w:r>
            <w:r>
              <w:rPr>
                <w:rFonts w:hint="default" w:ascii="Times New Roman" w:hAnsi="Times New Roman" w:eastAsia="宋体" w:cs="Times New Roman"/>
                <w:color w:val="auto"/>
                <w:spacing w:val="-1"/>
                <w:highlight w:val="none"/>
                <w:lang w:val="en-US" w:eastAsia="zh-CN"/>
              </w:rPr>
              <w:t>2</w:t>
            </w:r>
            <w:r>
              <w:rPr>
                <w:rFonts w:hint="default" w:ascii="Times New Roman" w:hAnsi="Times New Roman" w:cs="Times New Roman"/>
                <w:color w:val="auto"/>
                <w:spacing w:val="-1"/>
                <w:highlight w:val="none"/>
              </w:rPr>
              <w:t>中无组织排放监控浓度限值；厂内执行《挥发</w:t>
            </w:r>
            <w:r>
              <w:rPr>
                <w:rFonts w:hint="default" w:ascii="Times New Roman" w:hAnsi="Times New Roman" w:cs="Times New Roman"/>
                <w:color w:val="auto"/>
                <w:highlight w:val="none"/>
              </w:rPr>
              <w:t>性有机物无组织排放控制标准》（</w:t>
            </w:r>
            <w:r>
              <w:rPr>
                <w:rFonts w:hint="default" w:ascii="Times New Roman" w:hAnsi="Times New Roman" w:eastAsia="Times New Roman" w:cs="Times New Roman"/>
                <w:color w:val="auto"/>
                <w:highlight w:val="none"/>
              </w:rPr>
              <w:t>GB37</w:t>
            </w:r>
            <w:r>
              <w:rPr>
                <w:rFonts w:hint="default" w:ascii="Times New Roman" w:hAnsi="Times New Roman" w:eastAsia="Times New Roman" w:cs="Times New Roman"/>
                <w:color w:val="auto"/>
                <w:spacing w:val="-1"/>
                <w:highlight w:val="none"/>
              </w:rPr>
              <w:t>822-2019</w:t>
            </w:r>
            <w:r>
              <w:rPr>
                <w:rFonts w:hint="default" w:ascii="Times New Roman" w:hAnsi="Times New Roman" w:cs="Times New Roman"/>
                <w:color w:val="auto"/>
                <w:spacing w:val="-1"/>
                <w:highlight w:val="none"/>
              </w:rPr>
              <w:t>）标准要求。</w:t>
            </w:r>
          </w:p>
          <w:p w14:paraId="3B6E5486">
            <w:pPr>
              <w:jc w:val="center"/>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表3-</w:t>
            </w:r>
            <w:r>
              <w:rPr>
                <w:rFonts w:hint="eastAsia" w:cs="Times New Roman"/>
                <w:b/>
                <w:bCs/>
                <w:color w:val="auto"/>
                <w:szCs w:val="21"/>
                <w:highlight w:val="none"/>
                <w:lang w:val="en-US" w:eastAsia="zh-CN"/>
              </w:rPr>
              <w:t>8</w:t>
            </w:r>
            <w:r>
              <w:rPr>
                <w:rFonts w:hint="default" w:ascii="Times New Roman" w:hAnsi="Times New Roman" w:cs="Times New Roman"/>
                <w:b/>
                <w:bCs/>
                <w:color w:val="auto"/>
                <w:szCs w:val="21"/>
                <w:highlight w:val="none"/>
                <w:lang w:val="en-US" w:eastAsia="zh-CN"/>
              </w:rPr>
              <w:t>有组织废气排放标准</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6" w:type="dxa"/>
                <w:bottom w:w="0" w:type="dxa"/>
                <w:right w:w="56" w:type="dxa"/>
              </w:tblCellMar>
            </w:tblPr>
            <w:tblGrid>
              <w:gridCol w:w="941"/>
              <w:gridCol w:w="1612"/>
              <w:gridCol w:w="1354"/>
              <w:gridCol w:w="983"/>
              <w:gridCol w:w="3084"/>
            </w:tblGrid>
            <w:tr w14:paraId="1970E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82" w:hRule="atLeast"/>
                <w:jc w:val="center"/>
              </w:trPr>
              <w:tc>
                <w:tcPr>
                  <w:tcW w:w="941" w:type="dxa"/>
                  <w:vMerge w:val="restart"/>
                  <w:tcBorders>
                    <w:tl2br w:val="nil"/>
                    <w:tr2bl w:val="nil"/>
                  </w:tcBorders>
                  <w:vAlign w:val="center"/>
                </w:tcPr>
                <w:p w14:paraId="5572B5E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1612" w:type="dxa"/>
                  <w:vMerge w:val="restart"/>
                  <w:tcBorders>
                    <w:tl2br w:val="nil"/>
                    <w:tr2bl w:val="nil"/>
                  </w:tcBorders>
                  <w:vAlign w:val="center"/>
                </w:tcPr>
                <w:p w14:paraId="7584CD9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最高允许排放浓度mg/m</w:t>
                  </w:r>
                  <w:r>
                    <w:rPr>
                      <w:rFonts w:hint="default" w:ascii="Times New Roman" w:hAnsi="Times New Roman" w:cs="Times New Roman"/>
                      <w:color w:val="auto"/>
                      <w:sz w:val="18"/>
                      <w:szCs w:val="18"/>
                      <w:highlight w:val="none"/>
                      <w:vertAlign w:val="superscript"/>
                    </w:rPr>
                    <w:t>3</w:t>
                  </w:r>
                </w:p>
              </w:tc>
              <w:tc>
                <w:tcPr>
                  <w:tcW w:w="2337" w:type="dxa"/>
                  <w:gridSpan w:val="2"/>
                  <w:tcBorders>
                    <w:tl2br w:val="nil"/>
                    <w:tr2bl w:val="nil"/>
                  </w:tcBorders>
                  <w:vAlign w:val="center"/>
                </w:tcPr>
                <w:p w14:paraId="55CF656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最高允许排放速率</w:t>
                  </w:r>
                  <w:r>
                    <w:rPr>
                      <w:rFonts w:hint="default" w:ascii="Times New Roman" w:hAnsi="Times New Roman" w:cs="Times New Roman"/>
                      <w:color w:val="auto"/>
                      <w:sz w:val="18"/>
                      <w:szCs w:val="18"/>
                      <w:highlight w:val="none"/>
                      <w:lang w:val="en-US" w:eastAsia="zh-CN"/>
                    </w:rPr>
                    <w:t>kg/h</w:t>
                  </w:r>
                </w:p>
              </w:tc>
              <w:tc>
                <w:tcPr>
                  <w:tcW w:w="3084" w:type="dxa"/>
                  <w:vMerge w:val="restart"/>
                  <w:tcBorders>
                    <w:tl2br w:val="nil"/>
                    <w:tr2bl w:val="nil"/>
                  </w:tcBorders>
                  <w:vAlign w:val="center"/>
                </w:tcPr>
                <w:p w14:paraId="42805CC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排放标准</w:t>
                  </w:r>
                </w:p>
              </w:tc>
            </w:tr>
            <w:tr w14:paraId="5076E0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86" w:hRule="atLeast"/>
                <w:jc w:val="center"/>
              </w:trPr>
              <w:tc>
                <w:tcPr>
                  <w:tcW w:w="941" w:type="dxa"/>
                  <w:vMerge w:val="continue"/>
                  <w:tcBorders>
                    <w:tl2br w:val="nil"/>
                    <w:tr2bl w:val="nil"/>
                  </w:tcBorders>
                  <w:vAlign w:val="center"/>
                </w:tcPr>
                <w:p w14:paraId="6501214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p>
              </w:tc>
              <w:tc>
                <w:tcPr>
                  <w:tcW w:w="1612" w:type="dxa"/>
                  <w:vMerge w:val="continue"/>
                  <w:tcBorders>
                    <w:tl2br w:val="nil"/>
                    <w:tr2bl w:val="nil"/>
                  </w:tcBorders>
                  <w:vAlign w:val="center"/>
                </w:tcPr>
                <w:p w14:paraId="2D28844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p>
              </w:tc>
              <w:tc>
                <w:tcPr>
                  <w:tcW w:w="1354" w:type="dxa"/>
                  <w:tcBorders>
                    <w:tl2br w:val="nil"/>
                    <w:tr2bl w:val="nil"/>
                  </w:tcBorders>
                  <w:vAlign w:val="center"/>
                </w:tcPr>
                <w:p w14:paraId="5435FA3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排气筒高度</w:t>
                  </w:r>
                </w:p>
              </w:tc>
              <w:tc>
                <w:tcPr>
                  <w:tcW w:w="983" w:type="dxa"/>
                  <w:tcBorders>
                    <w:tl2br w:val="nil"/>
                    <w:tr2bl w:val="nil"/>
                  </w:tcBorders>
                  <w:vAlign w:val="center"/>
                </w:tcPr>
                <w:p w14:paraId="1D1C6ABA">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二级</w:t>
                  </w:r>
                </w:p>
              </w:tc>
              <w:tc>
                <w:tcPr>
                  <w:tcW w:w="3084" w:type="dxa"/>
                  <w:vMerge w:val="continue"/>
                  <w:tcBorders>
                    <w:tl2br w:val="nil"/>
                    <w:tr2bl w:val="nil"/>
                  </w:tcBorders>
                  <w:vAlign w:val="center"/>
                </w:tcPr>
                <w:p w14:paraId="61944CA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p>
              </w:tc>
            </w:tr>
            <w:tr w14:paraId="2CADCB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6" w:type="dxa"/>
                  <w:bottom w:w="0" w:type="dxa"/>
                  <w:right w:w="56" w:type="dxa"/>
                </w:tblCellMar>
              </w:tblPrEx>
              <w:trPr>
                <w:cantSplit/>
                <w:trHeight w:val="289" w:hRule="atLeast"/>
                <w:jc w:val="center"/>
              </w:trPr>
              <w:tc>
                <w:tcPr>
                  <w:tcW w:w="941" w:type="dxa"/>
                  <w:tcBorders>
                    <w:tl2br w:val="nil"/>
                    <w:tr2bl w:val="nil"/>
                  </w:tcBorders>
                  <w:vAlign w:val="center"/>
                </w:tcPr>
                <w:p w14:paraId="5848F80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NMHC</w:t>
                  </w:r>
                </w:p>
              </w:tc>
              <w:tc>
                <w:tcPr>
                  <w:tcW w:w="1612" w:type="dxa"/>
                  <w:tcBorders>
                    <w:tl2br w:val="nil"/>
                    <w:tr2bl w:val="nil"/>
                  </w:tcBorders>
                  <w:vAlign w:val="center"/>
                </w:tcPr>
                <w:p w14:paraId="1A73AC4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120</w:t>
                  </w:r>
                </w:p>
              </w:tc>
              <w:tc>
                <w:tcPr>
                  <w:tcW w:w="1354" w:type="dxa"/>
                  <w:tcBorders>
                    <w:tl2br w:val="nil"/>
                    <w:tr2bl w:val="nil"/>
                  </w:tcBorders>
                  <w:vAlign w:val="center"/>
                </w:tcPr>
                <w:p w14:paraId="4865BF4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w:t>
                  </w:r>
                </w:p>
              </w:tc>
              <w:tc>
                <w:tcPr>
                  <w:tcW w:w="983" w:type="dxa"/>
                  <w:tcBorders>
                    <w:tl2br w:val="nil"/>
                    <w:tr2bl w:val="nil"/>
                  </w:tcBorders>
                  <w:vAlign w:val="center"/>
                </w:tcPr>
                <w:p w14:paraId="603383A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w:t>
                  </w:r>
                </w:p>
              </w:tc>
              <w:tc>
                <w:tcPr>
                  <w:tcW w:w="3084" w:type="dxa"/>
                  <w:tcBorders>
                    <w:tl2br w:val="nil"/>
                    <w:tr2bl w:val="nil"/>
                  </w:tcBorders>
                  <w:vAlign w:val="center"/>
                </w:tcPr>
                <w:p w14:paraId="2D0A735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zh-CN" w:eastAsia="zh-CN"/>
                    </w:rPr>
                    <w:t>《大气污染物综合排放标准》（GB16297-1996）表2二级标准排放限值</w:t>
                  </w:r>
                </w:p>
              </w:tc>
            </w:tr>
          </w:tbl>
          <w:p w14:paraId="2D1A7DA5">
            <w:pPr>
              <w:pStyle w:val="102"/>
              <w:keepNext w:val="0"/>
              <w:keepLines w:val="0"/>
              <w:pageBreakBefore w:val="0"/>
              <w:widowControl w:val="0"/>
              <w:kinsoku w:val="0"/>
              <w:wordWrap/>
              <w:overflowPunct w:val="0"/>
              <w:topLinePunct w:val="0"/>
              <w:autoSpaceDE/>
              <w:autoSpaceDN/>
              <w:bidi w:val="0"/>
              <w:adjustRightInd/>
              <w:snapToGrid/>
              <w:spacing w:line="360" w:lineRule="auto"/>
              <w:ind w:firstLine="404" w:firstLineChars="200"/>
              <w:jc w:val="both"/>
              <w:textAlignment w:val="auto"/>
              <w:rPr>
                <w:rFonts w:hint="eastAsia" w:eastAsia="宋体" w:cs="Times New Roman"/>
                <w:b w:val="0"/>
                <w:bCs/>
                <w:color w:val="auto"/>
                <w:spacing w:val="-4"/>
                <w:sz w:val="21"/>
                <w:szCs w:val="21"/>
                <w:highlight w:val="none"/>
                <w:lang w:eastAsia="zh-CN"/>
              </w:rPr>
            </w:pPr>
            <w:r>
              <w:rPr>
                <w:rFonts w:hint="default" w:ascii="Times New Roman" w:hAnsi="Times New Roman" w:eastAsia="宋体" w:cs="Times New Roman"/>
                <w:b w:val="0"/>
                <w:bCs/>
                <w:color w:val="auto"/>
                <w:spacing w:val="-4"/>
                <w:sz w:val="21"/>
                <w:szCs w:val="21"/>
                <w:highlight w:val="none"/>
              </w:rPr>
              <w:t>根据《大气污染物综合排放标准》（GB16297-1996）规定：“排气筒高度除须遵守表列排放速率标准值外，还应高出周围200m半径范围的建筑5m以上，不能达到该要求的排气筒，应按其高度对应的表列排放速率标准值严格50%执行。”。根据现场踏勘，本项目排气筒周围200m范围内建筑高度约为</w:t>
            </w:r>
            <w:r>
              <w:rPr>
                <w:rFonts w:hint="default" w:ascii="Times New Roman" w:hAnsi="Times New Roman" w:eastAsia="宋体" w:cs="Times New Roman"/>
                <w:b w:val="0"/>
                <w:bCs/>
                <w:color w:val="auto"/>
                <w:spacing w:val="-4"/>
                <w:sz w:val="21"/>
                <w:szCs w:val="21"/>
                <w:highlight w:val="none"/>
                <w:lang w:val="en-US" w:eastAsia="zh-CN"/>
              </w:rPr>
              <w:t>13.5</w:t>
            </w:r>
            <w:r>
              <w:rPr>
                <w:rFonts w:hint="default" w:ascii="Times New Roman" w:hAnsi="Times New Roman" w:eastAsia="宋体" w:cs="Times New Roman"/>
                <w:b w:val="0"/>
                <w:bCs/>
                <w:color w:val="auto"/>
                <w:spacing w:val="-4"/>
                <w:sz w:val="21"/>
                <w:szCs w:val="21"/>
                <w:highlight w:val="none"/>
              </w:rPr>
              <w:t>m，有机废气排气筒（DA00</w:t>
            </w:r>
            <w:r>
              <w:rPr>
                <w:rFonts w:hint="eastAsia" w:eastAsia="宋体" w:cs="Times New Roman"/>
                <w:b w:val="0"/>
                <w:bCs/>
                <w:color w:val="auto"/>
                <w:spacing w:val="-4"/>
                <w:sz w:val="21"/>
                <w:szCs w:val="21"/>
                <w:highlight w:val="none"/>
                <w:lang w:val="en-US" w:eastAsia="zh-CN"/>
              </w:rPr>
              <w:t>1</w:t>
            </w:r>
            <w:r>
              <w:rPr>
                <w:rFonts w:hint="default" w:ascii="Times New Roman" w:hAnsi="Times New Roman" w:eastAsia="宋体" w:cs="Times New Roman"/>
                <w:b w:val="0"/>
                <w:bCs/>
                <w:color w:val="auto"/>
                <w:spacing w:val="-4"/>
                <w:sz w:val="21"/>
                <w:szCs w:val="21"/>
                <w:highlight w:val="none"/>
              </w:rPr>
              <w:t>）高度为15m，低于周边200m范围内建筑，其排放速率严格50%执行，严格50%后非甲烷总烃最高允许排放速率为5kg/h</w:t>
            </w:r>
            <w:r>
              <w:rPr>
                <w:rFonts w:hint="eastAsia" w:eastAsia="宋体" w:cs="Times New Roman"/>
                <w:b w:val="0"/>
                <w:bCs/>
                <w:color w:val="auto"/>
                <w:spacing w:val="-4"/>
                <w:sz w:val="21"/>
                <w:szCs w:val="21"/>
                <w:highlight w:val="none"/>
                <w:lang w:eastAsia="zh-CN"/>
              </w:rPr>
              <w:t>。</w:t>
            </w:r>
          </w:p>
          <w:p w14:paraId="4DA2A83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highlight w:val="none"/>
                <w:lang w:val="en-US" w:eastAsia="zh-CN"/>
              </w:rPr>
            </w:pPr>
            <w:r>
              <w:rPr>
                <w:rFonts w:hint="eastAsia"/>
                <w:color w:val="auto"/>
                <w:highlight w:val="none"/>
                <w:lang w:val="en-US" w:eastAsia="zh-CN"/>
              </w:rPr>
              <w:t>运营期本项目蒸压加气混凝土砌块及板材生产过程产生的无组织粉尘从严执行</w:t>
            </w:r>
            <w:r>
              <w:rPr>
                <w:rFonts w:hint="default" w:ascii="Times New Roman" w:hAnsi="Times New Roman" w:cs="Times New Roman"/>
                <w:color w:val="auto"/>
                <w:spacing w:val="3"/>
                <w:highlight w:val="none"/>
              </w:rPr>
              <w:t>《水泥工业大气污染物排放标准》（GB4915-2013）</w:t>
            </w:r>
            <w:r>
              <w:rPr>
                <w:rFonts w:hint="default" w:ascii="Times New Roman" w:hAnsi="Times New Roman" w:cs="Times New Roman"/>
                <w:color w:val="auto"/>
                <w:spacing w:val="10"/>
                <w:highlight w:val="none"/>
                <w:lang w:val="en-US" w:eastAsia="zh-CN"/>
              </w:rPr>
              <w:t>及修改单</w:t>
            </w:r>
            <w:r>
              <w:rPr>
                <w:rFonts w:hint="eastAsia"/>
                <w:color w:val="auto"/>
                <w:highlight w:val="none"/>
                <w:lang w:val="en-US" w:eastAsia="zh-CN"/>
              </w:rPr>
              <w:t>中表3大气污染物无组织排放限值要求，具体标准值见下表：</w:t>
            </w:r>
          </w:p>
          <w:p w14:paraId="4EBC5E6E">
            <w:pPr>
              <w:jc w:val="center"/>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表3-</w:t>
            </w:r>
            <w:r>
              <w:rPr>
                <w:rFonts w:hint="eastAsia" w:cs="Times New Roman"/>
                <w:b/>
                <w:bCs/>
                <w:color w:val="auto"/>
                <w:szCs w:val="21"/>
                <w:highlight w:val="none"/>
                <w:lang w:val="en-US" w:eastAsia="zh-CN"/>
              </w:rPr>
              <w:t>9</w:t>
            </w:r>
            <w:r>
              <w:rPr>
                <w:rFonts w:hint="default" w:ascii="Times New Roman" w:hAnsi="Times New Roman" w:cs="Times New Roman"/>
                <w:b/>
                <w:bCs/>
                <w:color w:val="auto"/>
                <w:szCs w:val="21"/>
                <w:highlight w:val="none"/>
                <w:lang w:val="en-US" w:eastAsia="zh-CN"/>
              </w:rPr>
              <w:t xml:space="preserve"> 无组织废气排放标准</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6"/>
              <w:gridCol w:w="2759"/>
              <w:gridCol w:w="4229"/>
            </w:tblGrid>
            <w:tr w14:paraId="7F119F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986" w:type="dxa"/>
                  <w:vMerge w:val="restart"/>
                  <w:tcBorders>
                    <w:tl2br w:val="nil"/>
                    <w:tr2bl w:val="nil"/>
                  </w:tcBorders>
                  <w:vAlign w:val="center"/>
                </w:tcPr>
                <w:p w14:paraId="419F318E">
                  <w:pPr>
                    <w:pStyle w:val="104"/>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2759" w:type="dxa"/>
                  <w:tcBorders>
                    <w:tl2br w:val="nil"/>
                    <w:tr2bl w:val="nil"/>
                  </w:tcBorders>
                  <w:vAlign w:val="center"/>
                </w:tcPr>
                <w:p w14:paraId="6C144AE3">
                  <w:pPr>
                    <w:pStyle w:val="104"/>
                    <w:bidi w:val="0"/>
                    <w:ind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无组织排放监控点</w:t>
                  </w:r>
                </w:p>
              </w:tc>
              <w:tc>
                <w:tcPr>
                  <w:tcW w:w="4229" w:type="dxa"/>
                  <w:vMerge w:val="restart"/>
                  <w:tcBorders>
                    <w:tl2br w:val="nil"/>
                    <w:tr2bl w:val="nil"/>
                  </w:tcBorders>
                  <w:vAlign w:val="center"/>
                </w:tcPr>
                <w:p w14:paraId="593967DC">
                  <w:pPr>
                    <w:pStyle w:val="104"/>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执行标准</w:t>
                  </w:r>
                </w:p>
              </w:tc>
            </w:tr>
            <w:tr w14:paraId="06743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986" w:type="dxa"/>
                  <w:vMerge w:val="continue"/>
                  <w:tcBorders>
                    <w:tl2br w:val="nil"/>
                    <w:tr2bl w:val="nil"/>
                  </w:tcBorders>
                  <w:vAlign w:val="center"/>
                </w:tcPr>
                <w:p w14:paraId="229FBBC7">
                  <w:pPr>
                    <w:pStyle w:val="104"/>
                    <w:bidi w:val="0"/>
                    <w:jc w:val="center"/>
                    <w:rPr>
                      <w:rFonts w:hint="default" w:ascii="Times New Roman" w:hAnsi="Times New Roman" w:cs="Times New Roman"/>
                      <w:color w:val="auto"/>
                      <w:sz w:val="18"/>
                      <w:szCs w:val="18"/>
                      <w:highlight w:val="none"/>
                    </w:rPr>
                  </w:pPr>
                </w:p>
              </w:tc>
              <w:tc>
                <w:tcPr>
                  <w:tcW w:w="2759" w:type="dxa"/>
                  <w:tcBorders>
                    <w:tl2br w:val="nil"/>
                    <w:tr2bl w:val="nil"/>
                  </w:tcBorders>
                  <w:vAlign w:val="center"/>
                </w:tcPr>
                <w:p w14:paraId="5C1B08CB">
                  <w:pPr>
                    <w:pStyle w:val="104"/>
                    <w:bidi w:val="0"/>
                    <w:ind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浓度限值（mg/m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w:t>
                  </w:r>
                </w:p>
              </w:tc>
              <w:tc>
                <w:tcPr>
                  <w:tcW w:w="4229" w:type="dxa"/>
                  <w:vMerge w:val="continue"/>
                  <w:tcBorders>
                    <w:tl2br w:val="nil"/>
                    <w:tr2bl w:val="nil"/>
                  </w:tcBorders>
                  <w:vAlign w:val="center"/>
                </w:tcPr>
                <w:p w14:paraId="0AF1AE81">
                  <w:pPr>
                    <w:pStyle w:val="104"/>
                    <w:bidi w:val="0"/>
                    <w:jc w:val="center"/>
                    <w:rPr>
                      <w:rFonts w:hint="default" w:ascii="Times New Roman" w:hAnsi="Times New Roman" w:cs="Times New Roman"/>
                      <w:color w:val="auto"/>
                      <w:sz w:val="18"/>
                      <w:szCs w:val="18"/>
                      <w:highlight w:val="none"/>
                    </w:rPr>
                  </w:pPr>
                </w:p>
              </w:tc>
            </w:tr>
            <w:tr w14:paraId="1BAC41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986" w:type="dxa"/>
                  <w:tcBorders>
                    <w:tl2br w:val="nil"/>
                    <w:tr2bl w:val="nil"/>
                  </w:tcBorders>
                  <w:vAlign w:val="center"/>
                </w:tcPr>
                <w:p w14:paraId="7A1C1970">
                  <w:pPr>
                    <w:pStyle w:val="104"/>
                    <w:bidi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2759" w:type="dxa"/>
                  <w:tcBorders>
                    <w:tl2br w:val="nil"/>
                    <w:tr2bl w:val="nil"/>
                  </w:tcBorders>
                  <w:vAlign w:val="center"/>
                </w:tcPr>
                <w:p w14:paraId="7344785F">
                  <w:pPr>
                    <w:pStyle w:val="104"/>
                    <w:bidi w:val="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0.5</w:t>
                  </w:r>
                </w:p>
              </w:tc>
              <w:tc>
                <w:tcPr>
                  <w:tcW w:w="4229" w:type="dxa"/>
                  <w:tcBorders>
                    <w:tl2br w:val="nil"/>
                    <w:tr2bl w:val="nil"/>
                  </w:tcBorders>
                  <w:vAlign w:val="center"/>
                </w:tcPr>
                <w:p w14:paraId="6BE905AE">
                  <w:pPr>
                    <w:pStyle w:val="104"/>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《水泥工业大气污染物排放标准》（GB4915-2013）及修改单的标准限值</w:t>
                  </w:r>
                </w:p>
              </w:tc>
            </w:tr>
            <w:tr w14:paraId="2B8785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986" w:type="dxa"/>
                  <w:vMerge w:val="restart"/>
                  <w:tcBorders>
                    <w:tl2br w:val="nil"/>
                    <w:tr2bl w:val="nil"/>
                  </w:tcBorders>
                  <w:vAlign w:val="center"/>
                </w:tcPr>
                <w:p w14:paraId="1A90EE52">
                  <w:pPr>
                    <w:pStyle w:val="104"/>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NMHC</w:t>
                  </w:r>
                </w:p>
              </w:tc>
              <w:tc>
                <w:tcPr>
                  <w:tcW w:w="2759" w:type="dxa"/>
                  <w:tcBorders>
                    <w:tl2br w:val="nil"/>
                    <w:tr2bl w:val="nil"/>
                  </w:tcBorders>
                  <w:vAlign w:val="center"/>
                </w:tcPr>
                <w:p w14:paraId="50665647">
                  <w:pPr>
                    <w:pStyle w:val="104"/>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w:t>
                  </w:r>
                </w:p>
              </w:tc>
              <w:tc>
                <w:tcPr>
                  <w:tcW w:w="4229" w:type="dxa"/>
                  <w:tcBorders>
                    <w:tl2br w:val="nil"/>
                    <w:tr2bl w:val="nil"/>
                  </w:tcBorders>
                  <w:vAlign w:val="center"/>
                </w:tcPr>
                <w:p w14:paraId="014A50FE">
                  <w:pPr>
                    <w:pStyle w:val="104"/>
                    <w:bidi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zh-CN" w:eastAsia="zh-CN"/>
                    </w:rPr>
                    <w:t>《大气污染物综合排放标准》（GB16297-1996）表2二级标准无组织排放限值</w:t>
                  </w:r>
                </w:p>
              </w:tc>
            </w:tr>
            <w:tr w14:paraId="1B43B9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986" w:type="dxa"/>
                  <w:vMerge w:val="continue"/>
                  <w:tcBorders>
                    <w:tl2br w:val="nil"/>
                    <w:tr2bl w:val="nil"/>
                  </w:tcBorders>
                  <w:vAlign w:val="center"/>
                </w:tcPr>
                <w:p w14:paraId="00F69520">
                  <w:pPr>
                    <w:pStyle w:val="104"/>
                    <w:bidi w:val="0"/>
                    <w:jc w:val="center"/>
                    <w:rPr>
                      <w:rFonts w:hint="default" w:ascii="Times New Roman" w:hAnsi="Times New Roman" w:cs="Times New Roman"/>
                      <w:color w:val="auto"/>
                      <w:sz w:val="18"/>
                      <w:szCs w:val="18"/>
                      <w:highlight w:val="none"/>
                    </w:rPr>
                  </w:pPr>
                </w:p>
              </w:tc>
              <w:tc>
                <w:tcPr>
                  <w:tcW w:w="2759" w:type="dxa"/>
                  <w:tcBorders>
                    <w:tl2br w:val="nil"/>
                    <w:tr2bl w:val="nil"/>
                  </w:tcBorders>
                  <w:vAlign w:val="center"/>
                </w:tcPr>
                <w:p w14:paraId="41D0260E">
                  <w:pPr>
                    <w:pStyle w:val="104"/>
                    <w:bidi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10（监控点处1h平均浓度值）</w:t>
                  </w:r>
                </w:p>
              </w:tc>
              <w:tc>
                <w:tcPr>
                  <w:tcW w:w="4229" w:type="dxa"/>
                  <w:vMerge w:val="restart"/>
                  <w:tcBorders>
                    <w:tl2br w:val="nil"/>
                    <w:tr2bl w:val="nil"/>
                  </w:tcBorders>
                  <w:vAlign w:val="center"/>
                </w:tcPr>
                <w:p w14:paraId="2432B0B8">
                  <w:pPr>
                    <w:pStyle w:val="104"/>
                    <w:bidi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《挥发性有机物无组织排放控制标准》（GB37822-2019）附录A.1厂区内VOCs无组织排放限</w:t>
                  </w:r>
                  <w:r>
                    <w:rPr>
                      <w:rFonts w:hint="eastAsia" w:cs="Times New Roman"/>
                      <w:color w:val="auto"/>
                      <w:sz w:val="18"/>
                      <w:szCs w:val="18"/>
                      <w:highlight w:val="none"/>
                      <w:lang w:val="en-US" w:eastAsia="zh-CN"/>
                    </w:rPr>
                    <w:t>值</w:t>
                  </w:r>
                </w:p>
              </w:tc>
            </w:tr>
            <w:tr w14:paraId="2C3717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986" w:type="dxa"/>
                  <w:vMerge w:val="continue"/>
                  <w:tcBorders>
                    <w:tl2br w:val="nil"/>
                    <w:tr2bl w:val="nil"/>
                  </w:tcBorders>
                  <w:vAlign w:val="center"/>
                </w:tcPr>
                <w:p w14:paraId="522350E3">
                  <w:pPr>
                    <w:pStyle w:val="104"/>
                    <w:bidi w:val="0"/>
                    <w:jc w:val="center"/>
                    <w:rPr>
                      <w:rFonts w:hint="default" w:ascii="Times New Roman" w:hAnsi="Times New Roman" w:cs="Times New Roman"/>
                      <w:color w:val="auto"/>
                      <w:sz w:val="18"/>
                      <w:szCs w:val="18"/>
                      <w:highlight w:val="none"/>
                    </w:rPr>
                  </w:pPr>
                </w:p>
              </w:tc>
              <w:tc>
                <w:tcPr>
                  <w:tcW w:w="2759" w:type="dxa"/>
                  <w:tcBorders>
                    <w:tl2br w:val="nil"/>
                    <w:tr2bl w:val="nil"/>
                  </w:tcBorders>
                  <w:vAlign w:val="center"/>
                </w:tcPr>
                <w:p w14:paraId="01C6B7DD">
                  <w:pPr>
                    <w:pStyle w:val="104"/>
                    <w:bidi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30（监控点处任意一次浓度值）</w:t>
                  </w:r>
                </w:p>
              </w:tc>
              <w:tc>
                <w:tcPr>
                  <w:tcW w:w="4229" w:type="dxa"/>
                  <w:vMerge w:val="continue"/>
                  <w:tcBorders>
                    <w:tl2br w:val="nil"/>
                    <w:tr2bl w:val="nil"/>
                  </w:tcBorders>
                  <w:vAlign w:val="center"/>
                </w:tcPr>
                <w:p w14:paraId="656A227A">
                  <w:pPr>
                    <w:pStyle w:val="104"/>
                    <w:bidi w:val="0"/>
                    <w:jc w:val="center"/>
                    <w:rPr>
                      <w:rFonts w:hint="default" w:ascii="Times New Roman" w:hAnsi="Times New Roman" w:cs="Times New Roman"/>
                      <w:color w:val="auto"/>
                      <w:sz w:val="18"/>
                      <w:szCs w:val="18"/>
                      <w:highlight w:val="none"/>
                      <w:lang w:val="en-US" w:eastAsia="zh-CN"/>
                    </w:rPr>
                  </w:pPr>
                </w:p>
              </w:tc>
            </w:tr>
          </w:tbl>
          <w:p w14:paraId="23EAFCCE">
            <w:pPr>
              <w:spacing w:line="360" w:lineRule="auto"/>
              <w:ind w:right="91" w:firstLine="422" w:firstLineChars="200"/>
              <w:rPr>
                <w:rFonts w:hint="default" w:ascii="Times New Roman" w:hAnsi="Times New Roman" w:eastAsia="宋体" w:cs="Times New Roman"/>
                <w:b/>
                <w:bCs w:val="0"/>
                <w:color w:val="auto"/>
                <w:szCs w:val="21"/>
                <w:highlight w:val="none"/>
                <w:lang w:val="en-US" w:eastAsia="zh-CN"/>
              </w:rPr>
            </w:pPr>
            <w:r>
              <w:rPr>
                <w:rFonts w:hint="default" w:ascii="Times New Roman" w:hAnsi="Times New Roman" w:cs="Times New Roman"/>
                <w:b/>
                <w:bCs w:val="0"/>
                <w:color w:val="auto"/>
                <w:szCs w:val="21"/>
                <w:highlight w:val="none"/>
                <w:lang w:val="en-US" w:eastAsia="zh-CN"/>
              </w:rPr>
              <w:t>2.废水</w:t>
            </w:r>
          </w:p>
          <w:p w14:paraId="06ACA126">
            <w:pPr>
              <w:spacing w:line="360" w:lineRule="auto"/>
              <w:ind w:right="91" w:firstLine="420" w:firstLineChars="200"/>
              <w:rPr>
                <w:rFonts w:hint="default" w:ascii="Times New Roman" w:hAnsi="Times New Roman" w:cs="Times New Roman"/>
                <w:color w:val="auto"/>
                <w:highlight w:val="none"/>
              </w:rPr>
            </w:pPr>
            <w:r>
              <w:rPr>
                <w:rFonts w:hint="default" w:ascii="Times New Roman" w:hAnsi="Times New Roman" w:cs="Times New Roman"/>
                <w:bCs/>
                <w:color w:val="auto"/>
                <w:szCs w:val="21"/>
                <w:highlight w:val="none"/>
              </w:rPr>
              <w:t>本项目生活污水排入</w:t>
            </w:r>
            <w:r>
              <w:rPr>
                <w:rFonts w:hint="default" w:ascii="Times New Roman" w:hAnsi="Times New Roman" w:cs="Times New Roman"/>
                <w:color w:val="auto"/>
                <w:szCs w:val="21"/>
                <w:highlight w:val="none"/>
                <w:lang w:eastAsia="zh-CN"/>
              </w:rPr>
              <w:t>市政污水管网，满足</w:t>
            </w:r>
            <w:r>
              <w:rPr>
                <w:rFonts w:hint="default" w:ascii="Times New Roman" w:hAnsi="Times New Roman" w:cs="Times New Roman"/>
                <w:bCs/>
                <w:color w:val="auto"/>
                <w:szCs w:val="21"/>
                <w:highlight w:val="none"/>
              </w:rPr>
              <w:t>《污水综合排放标准》（GB8978-1996）表4中三级标准</w:t>
            </w:r>
            <w:r>
              <w:rPr>
                <w:rFonts w:hint="default" w:ascii="Times New Roman" w:hAnsi="Times New Roman" w:cs="Times New Roman"/>
                <w:snapToGrid w:val="0"/>
                <w:color w:val="auto"/>
                <w:szCs w:val="21"/>
                <w:highlight w:val="none"/>
              </w:rPr>
              <w:t>。</w:t>
            </w:r>
          </w:p>
          <w:p w14:paraId="755320F9">
            <w:pPr>
              <w:pStyle w:val="102"/>
              <w:keepNext w:val="0"/>
              <w:keepLines w:val="0"/>
              <w:pageBreakBefore w:val="0"/>
              <w:widowControl w:val="0"/>
              <w:kinsoku w:val="0"/>
              <w:wordWrap/>
              <w:overflowPunct w:val="0"/>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p>
          <w:p w14:paraId="0DD2DB6E">
            <w:pPr>
              <w:pStyle w:val="102"/>
              <w:keepNext w:val="0"/>
              <w:keepLines w:val="0"/>
              <w:pageBreakBefore w:val="0"/>
              <w:widowControl w:val="0"/>
              <w:kinsoku w:val="0"/>
              <w:wordWrap/>
              <w:overflowPunct w:val="0"/>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表3-</w:t>
            </w:r>
            <w:r>
              <w:rPr>
                <w:rFonts w:hint="eastAsia"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bCs/>
                <w:color w:val="auto"/>
                <w:szCs w:val="21"/>
                <w:highlight w:val="none"/>
              </w:rPr>
              <w:t>污水综合排放标准</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8"/>
              <w:gridCol w:w="4812"/>
              <w:gridCol w:w="1594"/>
            </w:tblGrid>
            <w:tr w14:paraId="751195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568" w:type="dxa"/>
                  <w:tcBorders>
                    <w:tl2br w:val="nil"/>
                    <w:tr2bl w:val="nil"/>
                  </w:tcBorders>
                  <w:vAlign w:val="center"/>
                </w:tcPr>
                <w:p w14:paraId="644EAE7A">
                  <w:pPr>
                    <w:pStyle w:val="104"/>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污染物</w:t>
                  </w:r>
                  <w:r>
                    <w:rPr>
                      <w:rFonts w:hint="default" w:ascii="Times New Roman" w:hAnsi="Times New Roman" w:cs="Times New Roman"/>
                      <w:color w:val="auto"/>
                      <w:sz w:val="18"/>
                      <w:szCs w:val="18"/>
                      <w:highlight w:val="none"/>
                      <w:lang w:val="en-US" w:eastAsia="zh-CN"/>
                    </w:rPr>
                    <w:t>种类</w:t>
                  </w:r>
                </w:p>
              </w:tc>
              <w:tc>
                <w:tcPr>
                  <w:tcW w:w="4812" w:type="dxa"/>
                  <w:tcBorders>
                    <w:tl2br w:val="nil"/>
                    <w:tr2bl w:val="nil"/>
                  </w:tcBorders>
                  <w:vAlign w:val="center"/>
                </w:tcPr>
                <w:p w14:paraId="767D59BD">
                  <w:pPr>
                    <w:pStyle w:val="104"/>
                    <w:bidi w:val="0"/>
                    <w:ind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《污水综合排放标准》（GB8978-1996）表4中三级标准</w:t>
                  </w:r>
                </w:p>
              </w:tc>
              <w:tc>
                <w:tcPr>
                  <w:tcW w:w="1594" w:type="dxa"/>
                  <w:tcBorders>
                    <w:tl2br w:val="nil"/>
                    <w:tr2bl w:val="nil"/>
                  </w:tcBorders>
                  <w:vAlign w:val="center"/>
                </w:tcPr>
                <w:p w14:paraId="25DDBE75">
                  <w:pPr>
                    <w:pStyle w:val="104"/>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单位</w:t>
                  </w:r>
                </w:p>
              </w:tc>
            </w:tr>
            <w:tr w14:paraId="585CBB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568" w:type="dxa"/>
                  <w:tcBorders>
                    <w:tl2br w:val="nil"/>
                    <w:tr2bl w:val="nil"/>
                  </w:tcBorders>
                  <w:vAlign w:val="center"/>
                </w:tcPr>
                <w:p w14:paraId="6266B772">
                  <w:pPr>
                    <w:pStyle w:val="104"/>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COD</w:t>
                  </w:r>
                </w:p>
              </w:tc>
              <w:tc>
                <w:tcPr>
                  <w:tcW w:w="4812" w:type="dxa"/>
                  <w:tcBorders>
                    <w:tl2br w:val="nil"/>
                    <w:tr2bl w:val="nil"/>
                  </w:tcBorders>
                  <w:vAlign w:val="center"/>
                </w:tcPr>
                <w:p w14:paraId="6334D0BA">
                  <w:pPr>
                    <w:pStyle w:val="104"/>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500</w:t>
                  </w:r>
                </w:p>
              </w:tc>
              <w:tc>
                <w:tcPr>
                  <w:tcW w:w="1594" w:type="dxa"/>
                  <w:vMerge w:val="restart"/>
                  <w:tcBorders>
                    <w:tl2br w:val="nil"/>
                    <w:tr2bl w:val="nil"/>
                  </w:tcBorders>
                  <w:vAlign w:val="center"/>
                </w:tcPr>
                <w:p w14:paraId="22281DBF">
                  <w:pPr>
                    <w:pStyle w:val="104"/>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mg/L</w:t>
                  </w:r>
                </w:p>
              </w:tc>
            </w:tr>
            <w:tr w14:paraId="05D049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1568" w:type="dxa"/>
                  <w:tcBorders>
                    <w:tl2br w:val="nil"/>
                    <w:tr2bl w:val="nil"/>
                  </w:tcBorders>
                  <w:vAlign w:val="center"/>
                </w:tcPr>
                <w:p w14:paraId="7B88741D">
                  <w:pPr>
                    <w:pStyle w:val="104"/>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BOD</w:t>
                  </w:r>
                  <w:r>
                    <w:rPr>
                      <w:rFonts w:hint="default" w:ascii="Times New Roman" w:hAnsi="Times New Roman" w:cs="Times New Roman"/>
                      <w:color w:val="auto"/>
                      <w:sz w:val="18"/>
                      <w:szCs w:val="18"/>
                      <w:highlight w:val="none"/>
                      <w:vertAlign w:val="subscript"/>
                      <w:lang w:val="en-US" w:eastAsia="zh-CN"/>
                    </w:rPr>
                    <w:t>5</w:t>
                  </w:r>
                </w:p>
              </w:tc>
              <w:tc>
                <w:tcPr>
                  <w:tcW w:w="4812" w:type="dxa"/>
                  <w:tcBorders>
                    <w:tl2br w:val="nil"/>
                    <w:tr2bl w:val="nil"/>
                  </w:tcBorders>
                  <w:vAlign w:val="center"/>
                </w:tcPr>
                <w:p w14:paraId="556DFCD8">
                  <w:pPr>
                    <w:pStyle w:val="104"/>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300</w:t>
                  </w:r>
                </w:p>
              </w:tc>
              <w:tc>
                <w:tcPr>
                  <w:tcW w:w="1594" w:type="dxa"/>
                  <w:vMerge w:val="continue"/>
                  <w:tcBorders>
                    <w:tl2br w:val="nil"/>
                    <w:tr2bl w:val="nil"/>
                  </w:tcBorders>
                  <w:vAlign w:val="center"/>
                </w:tcPr>
                <w:p w14:paraId="1D34EED6">
                  <w:pPr>
                    <w:pStyle w:val="104"/>
                    <w:bidi w:val="0"/>
                    <w:jc w:val="center"/>
                    <w:rPr>
                      <w:rFonts w:hint="default" w:ascii="Times New Roman" w:hAnsi="Times New Roman" w:cs="Times New Roman"/>
                      <w:color w:val="auto"/>
                      <w:sz w:val="18"/>
                      <w:szCs w:val="18"/>
                      <w:highlight w:val="none"/>
                      <w:lang w:val="en-US" w:eastAsia="zh-CN"/>
                    </w:rPr>
                  </w:pPr>
                </w:p>
              </w:tc>
            </w:tr>
            <w:tr w14:paraId="3108F9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1568" w:type="dxa"/>
                  <w:tcBorders>
                    <w:tl2br w:val="nil"/>
                    <w:tr2bl w:val="nil"/>
                  </w:tcBorders>
                  <w:vAlign w:val="center"/>
                </w:tcPr>
                <w:p w14:paraId="2DE81AC7">
                  <w:pPr>
                    <w:pStyle w:val="104"/>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SS</w:t>
                  </w:r>
                </w:p>
              </w:tc>
              <w:tc>
                <w:tcPr>
                  <w:tcW w:w="4812" w:type="dxa"/>
                  <w:tcBorders>
                    <w:tl2br w:val="nil"/>
                    <w:tr2bl w:val="nil"/>
                  </w:tcBorders>
                  <w:vAlign w:val="center"/>
                </w:tcPr>
                <w:p w14:paraId="00846163">
                  <w:pPr>
                    <w:pStyle w:val="104"/>
                    <w:bidi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400</w:t>
                  </w:r>
                </w:p>
              </w:tc>
              <w:tc>
                <w:tcPr>
                  <w:tcW w:w="1594" w:type="dxa"/>
                  <w:vMerge w:val="continue"/>
                  <w:tcBorders>
                    <w:tl2br w:val="nil"/>
                    <w:tr2bl w:val="nil"/>
                  </w:tcBorders>
                  <w:vAlign w:val="center"/>
                </w:tcPr>
                <w:p w14:paraId="7E7C3038">
                  <w:pPr>
                    <w:pStyle w:val="104"/>
                    <w:bidi w:val="0"/>
                    <w:jc w:val="center"/>
                    <w:rPr>
                      <w:rFonts w:hint="default" w:ascii="Times New Roman" w:hAnsi="Times New Roman" w:cs="Times New Roman"/>
                      <w:color w:val="auto"/>
                      <w:sz w:val="18"/>
                      <w:szCs w:val="18"/>
                      <w:highlight w:val="none"/>
                      <w:lang w:val="en-US" w:eastAsia="zh-CN"/>
                    </w:rPr>
                  </w:pPr>
                </w:p>
              </w:tc>
            </w:tr>
            <w:tr w14:paraId="13FCF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1568" w:type="dxa"/>
                  <w:tcBorders>
                    <w:tl2br w:val="nil"/>
                    <w:tr2bl w:val="nil"/>
                  </w:tcBorders>
                  <w:vAlign w:val="center"/>
                </w:tcPr>
                <w:p w14:paraId="3F77D6BB">
                  <w:pPr>
                    <w:pStyle w:val="104"/>
                    <w:bidi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氨氮</w:t>
                  </w:r>
                </w:p>
              </w:tc>
              <w:tc>
                <w:tcPr>
                  <w:tcW w:w="4812" w:type="dxa"/>
                  <w:tcBorders>
                    <w:tl2br w:val="nil"/>
                    <w:tr2bl w:val="nil"/>
                  </w:tcBorders>
                  <w:vAlign w:val="center"/>
                </w:tcPr>
                <w:p w14:paraId="282C6311">
                  <w:pPr>
                    <w:pStyle w:val="104"/>
                    <w:bidi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594" w:type="dxa"/>
                  <w:vMerge w:val="continue"/>
                  <w:tcBorders>
                    <w:tl2br w:val="nil"/>
                    <w:tr2bl w:val="nil"/>
                  </w:tcBorders>
                  <w:vAlign w:val="center"/>
                </w:tcPr>
                <w:p w14:paraId="394CA69E">
                  <w:pPr>
                    <w:pStyle w:val="104"/>
                    <w:bidi w:val="0"/>
                    <w:jc w:val="center"/>
                    <w:rPr>
                      <w:rFonts w:hint="default" w:ascii="Times New Roman" w:hAnsi="Times New Roman" w:cs="Times New Roman"/>
                      <w:color w:val="auto"/>
                      <w:sz w:val="18"/>
                      <w:szCs w:val="18"/>
                      <w:highlight w:val="none"/>
                      <w:lang w:val="en-US" w:eastAsia="zh-CN"/>
                    </w:rPr>
                  </w:pPr>
                </w:p>
              </w:tc>
            </w:tr>
          </w:tbl>
          <w:p w14:paraId="1CDE608D">
            <w:pPr>
              <w:adjustRightInd w:val="0"/>
              <w:snapToGrid w:val="0"/>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lang w:val="en-US" w:eastAsia="zh-CN"/>
              </w:rPr>
              <w:t>3</w:t>
            </w:r>
            <w:r>
              <w:rPr>
                <w:rFonts w:hint="default" w:ascii="Times New Roman" w:hAnsi="Times New Roman" w:cs="Times New Roman"/>
                <w:b/>
                <w:bCs/>
                <w:color w:val="auto"/>
                <w:szCs w:val="21"/>
                <w:highlight w:val="none"/>
              </w:rPr>
              <w:t>.噪声</w:t>
            </w:r>
          </w:p>
          <w:p w14:paraId="02B9DA15">
            <w:pPr>
              <w:adjustRightInd w:val="0"/>
              <w:snapToGrid w:val="0"/>
              <w:spacing w:line="360" w:lineRule="auto"/>
              <w:ind w:firstLine="42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施工场界环境噪声应执行《建筑施工噪声排放标准》（GB 12523—2025）。</w:t>
            </w:r>
          </w:p>
          <w:p w14:paraId="39BFAEF5">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表3-</w:t>
            </w:r>
            <w:r>
              <w:rPr>
                <w:rFonts w:hint="default" w:ascii="Times New Roman" w:hAnsi="Times New Roman" w:cs="Times New Roman"/>
                <w:b/>
                <w:bCs/>
                <w:color w:val="auto"/>
                <w:szCs w:val="21"/>
                <w:highlight w:val="none"/>
                <w:lang w:val="en-US" w:eastAsia="zh-CN"/>
              </w:rPr>
              <w:t>1</w:t>
            </w:r>
            <w:r>
              <w:rPr>
                <w:rFonts w:hint="eastAsia" w:cs="Times New Roman"/>
                <w:b/>
                <w:bCs/>
                <w:color w:val="auto"/>
                <w:szCs w:val="21"/>
                <w:highlight w:val="none"/>
                <w:lang w:val="en-US" w:eastAsia="zh-CN"/>
              </w:rPr>
              <w:t>1</w:t>
            </w:r>
            <w:r>
              <w:rPr>
                <w:rFonts w:hint="default" w:ascii="Times New Roman" w:hAnsi="Times New Roman" w:cs="Times New Roman"/>
                <w:b/>
                <w:bCs/>
                <w:color w:val="auto"/>
                <w:szCs w:val="21"/>
                <w:highlight w:val="none"/>
                <w:lang w:val="en-US" w:eastAsia="zh-CN"/>
              </w:rPr>
              <w:t>《建筑施工噪声排放标准》（GB 12523—2025）</w:t>
            </w:r>
            <w:r>
              <w:rPr>
                <w:rFonts w:hint="default" w:ascii="Times New Roman" w:hAnsi="Times New Roman" w:cs="Times New Roman"/>
                <w:b/>
                <w:bCs/>
                <w:color w:val="auto"/>
                <w:szCs w:val="21"/>
                <w:highlight w:val="none"/>
              </w:rPr>
              <w:t xml:space="preserve"> 单位：dB（A）</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3987"/>
              <w:gridCol w:w="3987"/>
            </w:tblGrid>
            <w:tr w14:paraId="6B8AC1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136" w:hRule="atLeast"/>
                <w:jc w:val="center"/>
              </w:trPr>
              <w:tc>
                <w:tcPr>
                  <w:tcW w:w="2500" w:type="pct"/>
                  <w:vAlign w:val="center"/>
                </w:tcPr>
                <w:p w14:paraId="68F61C9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昼间</w:t>
                  </w:r>
                </w:p>
              </w:tc>
              <w:tc>
                <w:tcPr>
                  <w:tcW w:w="2500" w:type="pct"/>
                  <w:vAlign w:val="center"/>
                </w:tcPr>
                <w:p w14:paraId="312B548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夜间</w:t>
                  </w:r>
                </w:p>
              </w:tc>
            </w:tr>
            <w:tr w14:paraId="5AC5E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136" w:hRule="atLeast"/>
                <w:jc w:val="center"/>
              </w:trPr>
              <w:tc>
                <w:tcPr>
                  <w:tcW w:w="2500" w:type="pct"/>
                  <w:vAlign w:val="center"/>
                </w:tcPr>
                <w:p w14:paraId="64D270CA">
                  <w:pPr>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75</w:t>
                  </w:r>
                </w:p>
              </w:tc>
              <w:tc>
                <w:tcPr>
                  <w:tcW w:w="2500" w:type="pct"/>
                  <w:vAlign w:val="center"/>
                </w:tcPr>
                <w:p w14:paraId="0222D781">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55</w:t>
                  </w:r>
                </w:p>
              </w:tc>
            </w:tr>
          </w:tbl>
          <w:p w14:paraId="12A3FA53">
            <w:pPr>
              <w:adjustRightInd w:val="0"/>
              <w:snapToGrid w:val="0"/>
              <w:spacing w:line="360" w:lineRule="auto"/>
              <w:ind w:firstLine="42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运营期厂界噪声执行《工业企业厂界环境噪声排放标准》（GB12348-2008）表1中</w:t>
            </w:r>
            <w:r>
              <w:rPr>
                <w:rFonts w:hint="default" w:ascii="Times New Roman" w:hAnsi="Times New Roman" w:cs="Times New Roman"/>
                <w:bCs/>
                <w:color w:val="auto"/>
                <w:highlight w:val="none"/>
                <w:lang w:val="en-US" w:eastAsia="zh-CN"/>
              </w:rPr>
              <w:t>3</w:t>
            </w:r>
            <w:r>
              <w:rPr>
                <w:rFonts w:hint="default" w:ascii="Times New Roman" w:hAnsi="Times New Roman" w:cs="Times New Roman"/>
                <w:bCs/>
                <w:color w:val="auto"/>
                <w:highlight w:val="none"/>
              </w:rPr>
              <w:t>类标准要求</w:t>
            </w:r>
            <w:r>
              <w:rPr>
                <w:rFonts w:hint="default" w:ascii="Times New Roman" w:hAnsi="Times New Roman" w:cs="Times New Roman"/>
                <w:bCs/>
                <w:color w:val="auto"/>
                <w:highlight w:val="none"/>
                <w:lang w:eastAsia="zh-CN"/>
              </w:rPr>
              <w:t>，</w:t>
            </w:r>
            <w:r>
              <w:rPr>
                <w:rFonts w:hint="default" w:ascii="Times New Roman" w:hAnsi="Times New Roman" w:cs="Times New Roman"/>
                <w:bCs/>
                <w:color w:val="auto"/>
                <w:highlight w:val="none"/>
              </w:rPr>
              <w:t>具体标准值见表如下：</w:t>
            </w:r>
          </w:p>
          <w:p w14:paraId="00FE1891">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表3-</w:t>
            </w:r>
            <w:r>
              <w:rPr>
                <w:rFonts w:hint="default" w:ascii="Times New Roman" w:hAnsi="Times New Roman" w:cs="Times New Roman"/>
                <w:b/>
                <w:bCs/>
                <w:color w:val="auto"/>
                <w:szCs w:val="21"/>
                <w:highlight w:val="none"/>
                <w:lang w:val="en-US" w:eastAsia="zh-CN"/>
              </w:rPr>
              <w:t>1</w:t>
            </w:r>
            <w:r>
              <w:rPr>
                <w:rFonts w:hint="eastAsia" w:cs="Times New Roman"/>
                <w:b/>
                <w:bCs/>
                <w:color w:val="auto"/>
                <w:szCs w:val="21"/>
                <w:highlight w:val="none"/>
                <w:lang w:val="en-US" w:eastAsia="zh-CN"/>
              </w:rPr>
              <w:t>2</w:t>
            </w:r>
            <w:r>
              <w:rPr>
                <w:rFonts w:hint="default" w:ascii="Times New Roman" w:hAnsi="Times New Roman" w:cs="Times New Roman"/>
                <w:b/>
                <w:bCs/>
                <w:color w:val="auto"/>
                <w:szCs w:val="21"/>
                <w:highlight w:val="none"/>
              </w:rPr>
              <w:t>工业企业厂界环境噪声排放标准（GB12348-2008） 单位：dB（A）</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2657"/>
              <w:gridCol w:w="2657"/>
              <w:gridCol w:w="2657"/>
            </w:tblGrid>
            <w:tr w14:paraId="72F0E3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134" w:hRule="atLeast"/>
                <w:jc w:val="center"/>
              </w:trPr>
              <w:tc>
                <w:tcPr>
                  <w:tcW w:w="1666" w:type="pct"/>
                  <w:vAlign w:val="center"/>
                </w:tcPr>
                <w:p w14:paraId="14BA1C5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声环境功能区类别</w:t>
                  </w:r>
                </w:p>
              </w:tc>
              <w:tc>
                <w:tcPr>
                  <w:tcW w:w="1666" w:type="pct"/>
                  <w:vAlign w:val="center"/>
                </w:tcPr>
                <w:p w14:paraId="565E3B0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昼间</w:t>
                  </w:r>
                </w:p>
              </w:tc>
              <w:tc>
                <w:tcPr>
                  <w:tcW w:w="1666" w:type="pct"/>
                  <w:vAlign w:val="center"/>
                </w:tcPr>
                <w:p w14:paraId="789E4ED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夜间</w:t>
                  </w:r>
                </w:p>
              </w:tc>
            </w:tr>
            <w:tr w14:paraId="60A20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134" w:hRule="atLeast"/>
                <w:jc w:val="center"/>
              </w:trPr>
              <w:tc>
                <w:tcPr>
                  <w:tcW w:w="1666" w:type="pct"/>
                  <w:vAlign w:val="center"/>
                </w:tcPr>
                <w:p w14:paraId="112169A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rPr>
                    <w:t>类标准</w:t>
                  </w:r>
                </w:p>
              </w:tc>
              <w:tc>
                <w:tcPr>
                  <w:tcW w:w="1666" w:type="pct"/>
                  <w:vAlign w:val="center"/>
                </w:tcPr>
                <w:p w14:paraId="2D233C3C">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65</w:t>
                  </w:r>
                </w:p>
              </w:tc>
              <w:tc>
                <w:tcPr>
                  <w:tcW w:w="1666" w:type="pct"/>
                  <w:vAlign w:val="center"/>
                </w:tcPr>
                <w:p w14:paraId="01E2C931">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55</w:t>
                  </w:r>
                </w:p>
              </w:tc>
            </w:tr>
          </w:tbl>
          <w:p w14:paraId="591AB3A1">
            <w:pPr>
              <w:adjustRightInd w:val="0"/>
              <w:snapToGrid w:val="0"/>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lang w:val="en-US" w:eastAsia="zh-CN"/>
              </w:rPr>
              <w:t>4</w:t>
            </w:r>
            <w:r>
              <w:rPr>
                <w:rFonts w:hint="default" w:ascii="Times New Roman" w:hAnsi="Times New Roman" w:cs="Times New Roman"/>
                <w:b/>
                <w:bCs/>
                <w:color w:val="auto"/>
                <w:szCs w:val="21"/>
                <w:highlight w:val="none"/>
              </w:rPr>
              <w:t>.固体废物</w:t>
            </w:r>
          </w:p>
          <w:p w14:paraId="6A8F37D9">
            <w:pPr>
              <w:adjustRightInd w:val="0"/>
              <w:snapToGrid w:val="0"/>
              <w:spacing w:line="360" w:lineRule="auto"/>
              <w:ind w:firstLine="420" w:firstLineChars="200"/>
              <w:rPr>
                <w:rFonts w:hint="default" w:ascii="Times New Roman" w:hAnsi="Times New Roman" w:cs="Times New Roman"/>
                <w:color w:val="auto"/>
                <w:szCs w:val="21"/>
                <w:highlight w:val="none"/>
                <w:lang w:val="en-US" w:bidi="ar"/>
              </w:rPr>
            </w:pPr>
            <w:r>
              <w:rPr>
                <w:rFonts w:hint="default" w:ascii="Times New Roman" w:hAnsi="Times New Roman" w:cs="Times New Roman"/>
                <w:color w:val="auto"/>
                <w:sz w:val="21"/>
                <w:szCs w:val="21"/>
                <w:highlight w:val="none"/>
                <w:lang w:val="en-US" w:eastAsia="zh-CN"/>
              </w:rPr>
              <w:t>《危险废物贮存污染控制标准》（GB18597—2023）、《固体废物分类与代码目录》</w:t>
            </w:r>
            <w:r>
              <w:rPr>
                <w:rFonts w:hint="eastAsia" w:cs="Times New Roman"/>
                <w:color w:val="auto"/>
                <w:sz w:val="21"/>
                <w:szCs w:val="21"/>
                <w:highlight w:val="none"/>
                <w:lang w:val="en-US" w:eastAsia="zh-CN"/>
              </w:rPr>
              <w:t>及</w:t>
            </w:r>
            <w:r>
              <w:rPr>
                <w:rFonts w:hint="eastAsia" w:cs="Times New Roman"/>
                <w:bCs/>
                <w:color w:val="auto"/>
                <w:szCs w:val="21"/>
                <w:highlight w:val="none"/>
                <w:lang w:eastAsia="zh-CN"/>
              </w:rPr>
              <w:t>《建设项目危险废物环境影响评价指南》</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w:t>
            </w:r>
          </w:p>
        </w:tc>
      </w:tr>
      <w:tr w14:paraId="6C71EF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47" w:hRule="atLeast"/>
          <w:jc w:val="center"/>
        </w:trPr>
        <w:tc>
          <w:tcPr>
            <w:tcW w:w="800" w:type="dxa"/>
            <w:vAlign w:val="center"/>
          </w:tcPr>
          <w:p w14:paraId="6A06CC89">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w:t>
            </w:r>
          </w:p>
          <w:p w14:paraId="5C271486">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控制</w:t>
            </w:r>
          </w:p>
          <w:p w14:paraId="185F61EB">
            <w:pPr>
              <w:adjustRightInd w:val="0"/>
              <w:snapToGrid w:val="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指标</w:t>
            </w:r>
          </w:p>
        </w:tc>
        <w:tc>
          <w:tcPr>
            <w:tcW w:w="8190" w:type="dxa"/>
            <w:vAlign w:val="center"/>
          </w:tcPr>
          <w:p w14:paraId="7001C2F4">
            <w:pPr>
              <w:jc w:val="center"/>
              <w:rPr>
                <w:rFonts w:hint="default" w:ascii="Times New Roman" w:hAnsi="Times New Roman" w:cs="Times New Roman"/>
                <w:b/>
                <w:bCs/>
                <w:color w:val="auto"/>
                <w:szCs w:val="21"/>
                <w:highlight w:val="none"/>
              </w:rPr>
            </w:pPr>
          </w:p>
          <w:p w14:paraId="624C0EB6">
            <w:pPr>
              <w:jc w:val="center"/>
              <w:rPr>
                <w:rFonts w:hint="default" w:ascii="Times New Roman" w:hAnsi="Times New Roman" w:cs="Times New Roman"/>
                <w:b/>
                <w:bCs/>
                <w:color w:val="auto"/>
                <w:szCs w:val="21"/>
                <w:highlight w:val="none"/>
              </w:rPr>
            </w:pPr>
          </w:p>
          <w:p w14:paraId="30D915C6">
            <w:pPr>
              <w:jc w:val="center"/>
              <w:rPr>
                <w:rFonts w:hint="default" w:ascii="Times New Roman" w:hAnsi="Times New Roman" w:cs="Times New Roman"/>
                <w:b/>
                <w:bCs/>
                <w:color w:val="auto"/>
                <w:szCs w:val="21"/>
                <w:highlight w:val="none"/>
              </w:rPr>
            </w:pPr>
          </w:p>
          <w:p w14:paraId="37F4E54E">
            <w:pPr>
              <w:jc w:val="center"/>
              <w:rPr>
                <w:rFonts w:hint="default" w:ascii="Times New Roman" w:hAnsi="Times New Roman" w:cs="Times New Roman"/>
                <w:b/>
                <w:bCs/>
                <w:color w:val="auto"/>
                <w:szCs w:val="21"/>
                <w:highlight w:val="none"/>
              </w:rPr>
            </w:pPr>
          </w:p>
          <w:p w14:paraId="14DBADB4">
            <w:pPr>
              <w:jc w:val="center"/>
              <w:rPr>
                <w:rFonts w:hint="default" w:ascii="Times New Roman" w:hAnsi="Times New Roman" w:cs="Times New Roman"/>
                <w:b/>
                <w:bCs/>
                <w:color w:val="auto"/>
                <w:szCs w:val="21"/>
                <w:highlight w:val="none"/>
              </w:rPr>
            </w:pPr>
          </w:p>
          <w:p w14:paraId="2252AFCC">
            <w:pPr>
              <w:jc w:val="center"/>
              <w:rPr>
                <w:rFonts w:hint="default" w:ascii="Times New Roman" w:hAnsi="Times New Roman" w:cs="Times New Roman"/>
                <w:b/>
                <w:bCs/>
                <w:color w:val="auto"/>
                <w:szCs w:val="21"/>
                <w:highlight w:val="none"/>
              </w:rPr>
            </w:pPr>
          </w:p>
          <w:p w14:paraId="3AFC8C1F">
            <w:pPr>
              <w:jc w:val="center"/>
              <w:rPr>
                <w:rFonts w:hint="default" w:ascii="Times New Roman" w:hAnsi="Times New Roman" w:cs="Times New Roman"/>
                <w:b/>
                <w:bCs/>
                <w:color w:val="auto"/>
                <w:szCs w:val="21"/>
                <w:highlight w:val="none"/>
              </w:rPr>
            </w:pPr>
          </w:p>
          <w:p w14:paraId="25519A61">
            <w:pPr>
              <w:jc w:val="center"/>
              <w:rPr>
                <w:rFonts w:hint="default" w:ascii="Times New Roman" w:hAnsi="Times New Roman" w:cs="Times New Roman"/>
                <w:b/>
                <w:bCs/>
                <w:color w:val="auto"/>
                <w:szCs w:val="21"/>
                <w:highlight w:val="none"/>
              </w:rPr>
            </w:pPr>
          </w:p>
          <w:p w14:paraId="37F6DA87">
            <w:pPr>
              <w:jc w:val="center"/>
              <w:rPr>
                <w:rFonts w:hint="default" w:ascii="Times New Roman" w:hAnsi="Times New Roman" w:cs="Times New Roman"/>
                <w:b/>
                <w:bCs/>
                <w:color w:val="auto"/>
                <w:szCs w:val="21"/>
                <w:highlight w:val="none"/>
              </w:rPr>
            </w:pPr>
          </w:p>
          <w:p w14:paraId="27F37846">
            <w:pPr>
              <w:jc w:val="center"/>
              <w:rPr>
                <w:rFonts w:hint="default" w:ascii="Times New Roman" w:hAnsi="Times New Roman" w:cs="Times New Roman"/>
                <w:b/>
                <w:bCs/>
                <w:color w:val="auto"/>
                <w:szCs w:val="21"/>
                <w:highlight w:val="none"/>
              </w:rPr>
            </w:pPr>
          </w:p>
          <w:p w14:paraId="12101627">
            <w:pPr>
              <w:jc w:val="center"/>
              <w:rPr>
                <w:rFonts w:hint="default" w:ascii="Times New Roman" w:hAnsi="Times New Roman" w:cs="Times New Roman"/>
                <w:b/>
                <w:bCs/>
                <w:color w:val="auto"/>
                <w:szCs w:val="21"/>
                <w:highlight w:val="none"/>
              </w:rPr>
            </w:pPr>
          </w:p>
          <w:p w14:paraId="5BD80B4B">
            <w:pPr>
              <w:jc w:val="center"/>
              <w:rPr>
                <w:rFonts w:hint="default" w:ascii="Times New Roman" w:hAnsi="Times New Roman" w:cs="Times New Roman"/>
                <w:b/>
                <w:bCs/>
                <w:color w:val="auto"/>
                <w:szCs w:val="21"/>
                <w:highlight w:val="none"/>
              </w:rPr>
            </w:pPr>
          </w:p>
          <w:p w14:paraId="2F880482">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表3-</w:t>
            </w:r>
            <w:r>
              <w:rPr>
                <w:rFonts w:hint="default" w:ascii="Times New Roman" w:hAnsi="Times New Roman" w:cs="Times New Roman"/>
                <w:b/>
                <w:bCs/>
                <w:color w:val="auto"/>
                <w:szCs w:val="21"/>
                <w:highlight w:val="none"/>
                <w:lang w:val="en-US" w:eastAsia="zh-CN"/>
              </w:rPr>
              <w:t>1</w:t>
            </w:r>
            <w:r>
              <w:rPr>
                <w:rFonts w:hint="eastAsia" w:cs="Times New Roman"/>
                <w:b/>
                <w:bCs/>
                <w:color w:val="auto"/>
                <w:szCs w:val="21"/>
                <w:highlight w:val="none"/>
                <w:lang w:val="en-US" w:eastAsia="zh-CN"/>
              </w:rPr>
              <w:t>3</w:t>
            </w:r>
            <w:r>
              <w:rPr>
                <w:rFonts w:hint="default" w:ascii="Times New Roman" w:hAnsi="Times New Roman" w:cs="Times New Roman"/>
                <w:b/>
                <w:bCs/>
                <w:color w:val="auto"/>
                <w:szCs w:val="21"/>
                <w:highlight w:val="none"/>
              </w:rPr>
              <w:t xml:space="preserve"> 污染物排放量   单位：t/a</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42"/>
              <w:gridCol w:w="1114"/>
              <w:gridCol w:w="986"/>
              <w:gridCol w:w="909"/>
              <w:gridCol w:w="1395"/>
              <w:gridCol w:w="864"/>
              <w:gridCol w:w="864"/>
            </w:tblGrid>
            <w:tr w14:paraId="28F5DB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155" w:type="pct"/>
                  <w:vAlign w:val="center"/>
                </w:tcPr>
                <w:p w14:paraId="51D5624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698" w:type="pct"/>
                  <w:vAlign w:val="center"/>
                </w:tcPr>
                <w:p w14:paraId="034E16F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618" w:type="pct"/>
                  <w:vAlign w:val="center"/>
                </w:tcPr>
                <w:p w14:paraId="126B040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p>
              </w:tc>
              <w:tc>
                <w:tcPr>
                  <w:tcW w:w="569" w:type="pct"/>
                  <w:vAlign w:val="center"/>
                </w:tcPr>
                <w:p w14:paraId="36678FA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NO</w:t>
                  </w:r>
                  <w:r>
                    <w:rPr>
                      <w:rFonts w:hint="default" w:ascii="Times New Roman" w:hAnsi="Times New Roman" w:cs="Times New Roman"/>
                      <w:color w:val="auto"/>
                      <w:sz w:val="18"/>
                      <w:szCs w:val="18"/>
                      <w:highlight w:val="none"/>
                      <w:vertAlign w:val="subscript"/>
                    </w:rPr>
                    <w:t>x</w:t>
                  </w:r>
                </w:p>
              </w:tc>
              <w:tc>
                <w:tcPr>
                  <w:tcW w:w="874" w:type="pct"/>
                  <w:vAlign w:val="center"/>
                </w:tcPr>
                <w:p w14:paraId="693DAF82">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挥发性有机物</w:t>
                  </w:r>
                </w:p>
              </w:tc>
              <w:tc>
                <w:tcPr>
                  <w:tcW w:w="541" w:type="pct"/>
                  <w:vAlign w:val="center"/>
                </w:tcPr>
                <w:p w14:paraId="7CE533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kern w:val="2"/>
                      <w:sz w:val="21"/>
                      <w:szCs w:val="21"/>
                      <w:highlight w:val="none"/>
                      <w:lang w:val="en-US" w:eastAsia="zh-CN" w:bidi="ar-SA"/>
                    </w:rPr>
                    <w:t>COD</w:t>
                  </w:r>
                </w:p>
              </w:tc>
              <w:tc>
                <w:tcPr>
                  <w:tcW w:w="541" w:type="pct"/>
                  <w:vAlign w:val="center"/>
                </w:tcPr>
                <w:p w14:paraId="28A568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kern w:val="2"/>
                      <w:sz w:val="21"/>
                      <w:szCs w:val="21"/>
                      <w:highlight w:val="none"/>
                      <w:lang w:val="en-US" w:eastAsia="zh-CN" w:bidi="ar-SA"/>
                    </w:rPr>
                    <w:t>NH</w:t>
                  </w:r>
                  <w:r>
                    <w:rPr>
                      <w:rFonts w:hint="default" w:ascii="Times New Roman" w:hAnsi="Times New Roman" w:eastAsia="宋体" w:cs="Times New Roman"/>
                      <w:color w:val="auto"/>
                      <w:kern w:val="2"/>
                      <w:sz w:val="21"/>
                      <w:szCs w:val="21"/>
                      <w:highlight w:val="none"/>
                      <w:vertAlign w:val="sub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-N</w:t>
                  </w:r>
                </w:p>
              </w:tc>
            </w:tr>
            <w:tr w14:paraId="791C0B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1155" w:type="pct"/>
                  <w:vAlign w:val="center"/>
                </w:tcPr>
                <w:p w14:paraId="167DBE1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本工程预测排放量</w:t>
                  </w:r>
                </w:p>
              </w:tc>
              <w:tc>
                <w:tcPr>
                  <w:tcW w:w="698" w:type="pct"/>
                  <w:vAlign w:val="center"/>
                </w:tcPr>
                <w:p w14:paraId="1FD831F3">
                  <w:pPr>
                    <w:pStyle w:val="73"/>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1.74</w:t>
                  </w:r>
                </w:p>
              </w:tc>
              <w:tc>
                <w:tcPr>
                  <w:tcW w:w="618" w:type="pct"/>
                  <w:vAlign w:val="center"/>
                </w:tcPr>
                <w:p w14:paraId="242E8921">
                  <w:pPr>
                    <w:pStyle w:val="73"/>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7.08</w:t>
                  </w:r>
                </w:p>
              </w:tc>
              <w:tc>
                <w:tcPr>
                  <w:tcW w:w="569" w:type="pct"/>
                  <w:vAlign w:val="center"/>
                </w:tcPr>
                <w:p w14:paraId="7FFF28B4">
                  <w:pPr>
                    <w:pStyle w:val="73"/>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8.45</w:t>
                  </w:r>
                </w:p>
              </w:tc>
              <w:tc>
                <w:tcPr>
                  <w:tcW w:w="874" w:type="pct"/>
                  <w:vAlign w:val="center"/>
                </w:tcPr>
                <w:p w14:paraId="17C794FE">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0.035</w:t>
                  </w:r>
                </w:p>
              </w:tc>
              <w:tc>
                <w:tcPr>
                  <w:tcW w:w="541" w:type="pct"/>
                  <w:vAlign w:val="center"/>
                </w:tcPr>
                <w:p w14:paraId="3F9A6338">
                  <w:pPr>
                    <w:pStyle w:val="73"/>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0.509</w:t>
                  </w:r>
                </w:p>
              </w:tc>
              <w:tc>
                <w:tcPr>
                  <w:tcW w:w="541" w:type="pct"/>
                  <w:vAlign w:val="center"/>
                </w:tcPr>
                <w:p w14:paraId="2CE6D73D">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w:t>
                  </w:r>
                  <w:r>
                    <w:rPr>
                      <w:rFonts w:hint="eastAsia" w:eastAsia="宋体" w:cs="Times New Roman"/>
                      <w:color w:val="auto"/>
                      <w:sz w:val="18"/>
                      <w:szCs w:val="18"/>
                      <w:highlight w:val="none"/>
                      <w:lang w:val="en-US" w:eastAsia="zh-CN"/>
                    </w:rPr>
                    <w:t>42</w:t>
                  </w:r>
                </w:p>
              </w:tc>
            </w:tr>
            <w:tr w14:paraId="080BA7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1155" w:type="pct"/>
                  <w:vAlign w:val="center"/>
                </w:tcPr>
                <w:p w14:paraId="3EF4FF6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本工程</w:t>
                  </w:r>
                  <w:r>
                    <w:rPr>
                      <w:rFonts w:hint="eastAsia" w:cs="Times New Roman"/>
                      <w:color w:val="auto"/>
                      <w:sz w:val="18"/>
                      <w:szCs w:val="18"/>
                      <w:highlight w:val="none"/>
                      <w:lang w:val="en-US" w:eastAsia="zh-CN"/>
                    </w:rPr>
                    <w:t>核定</w:t>
                  </w:r>
                  <w:r>
                    <w:rPr>
                      <w:rFonts w:hint="default" w:ascii="Times New Roman" w:hAnsi="Times New Roman" w:cs="Times New Roman"/>
                      <w:color w:val="auto"/>
                      <w:sz w:val="18"/>
                      <w:szCs w:val="18"/>
                      <w:highlight w:val="none"/>
                    </w:rPr>
                    <w:t>排放量</w:t>
                  </w:r>
                </w:p>
              </w:tc>
              <w:tc>
                <w:tcPr>
                  <w:tcW w:w="698" w:type="pct"/>
                  <w:vAlign w:val="center"/>
                </w:tcPr>
                <w:p w14:paraId="06F64ECB">
                  <w:pPr>
                    <w:pStyle w:val="73"/>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8.048</w:t>
                  </w:r>
                </w:p>
              </w:tc>
              <w:tc>
                <w:tcPr>
                  <w:tcW w:w="618" w:type="pct"/>
                  <w:vAlign w:val="center"/>
                </w:tcPr>
                <w:p w14:paraId="79A30E14">
                  <w:pPr>
                    <w:pStyle w:val="73"/>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16.51</w:t>
                  </w:r>
                </w:p>
              </w:tc>
              <w:tc>
                <w:tcPr>
                  <w:tcW w:w="569" w:type="pct"/>
                  <w:vAlign w:val="center"/>
                </w:tcPr>
                <w:p w14:paraId="27EBE539">
                  <w:pPr>
                    <w:pStyle w:val="73"/>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20.64</w:t>
                  </w:r>
                </w:p>
              </w:tc>
              <w:tc>
                <w:tcPr>
                  <w:tcW w:w="874" w:type="pct"/>
                  <w:vAlign w:val="center"/>
                </w:tcPr>
                <w:p w14:paraId="42DDC124">
                  <w:pPr>
                    <w:pStyle w:val="73"/>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0.576</w:t>
                  </w:r>
                </w:p>
              </w:tc>
              <w:tc>
                <w:tcPr>
                  <w:tcW w:w="541" w:type="pct"/>
                  <w:vAlign w:val="center"/>
                </w:tcPr>
                <w:p w14:paraId="7F71EBDB">
                  <w:pPr>
                    <w:pStyle w:val="73"/>
                    <w:rPr>
                      <w:rFonts w:hint="default"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0.848</w:t>
                  </w:r>
                </w:p>
              </w:tc>
              <w:tc>
                <w:tcPr>
                  <w:tcW w:w="541" w:type="pct"/>
                  <w:vAlign w:val="center"/>
                </w:tcPr>
                <w:p w14:paraId="0474BB78">
                  <w:pPr>
                    <w:pStyle w:val="73"/>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0.042</w:t>
                  </w:r>
                </w:p>
              </w:tc>
            </w:tr>
          </w:tbl>
          <w:p w14:paraId="4E5A179C">
            <w:pPr>
              <w:jc w:val="center"/>
              <w:rPr>
                <w:rFonts w:hint="eastAsia"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本项目污染物核定</w:t>
            </w:r>
            <w:r>
              <w:rPr>
                <w:rFonts w:hint="default" w:ascii="Times New Roman" w:hAnsi="Times New Roman" w:eastAsia="宋体" w:cs="Times New Roman"/>
                <w:b w:val="0"/>
                <w:bCs/>
                <w:color w:val="auto"/>
                <w:kern w:val="2"/>
                <w:sz w:val="21"/>
                <w:szCs w:val="21"/>
                <w:highlight w:val="none"/>
                <w:lang w:val="en-US" w:eastAsia="zh-CN" w:bidi="ar-SA"/>
              </w:rPr>
              <w:t>排放量通过区域</w:t>
            </w:r>
            <w:r>
              <w:rPr>
                <w:rFonts w:hint="eastAsia" w:ascii="Times New Roman" w:hAnsi="Times New Roman" w:eastAsia="宋体" w:cs="Times New Roman"/>
                <w:b w:val="0"/>
                <w:bCs/>
                <w:color w:val="auto"/>
                <w:kern w:val="2"/>
                <w:sz w:val="21"/>
                <w:szCs w:val="21"/>
                <w:highlight w:val="none"/>
                <w:lang w:val="en-US" w:eastAsia="zh-CN" w:bidi="ar-SA"/>
              </w:rPr>
              <w:t>削减总量平衡解决。</w:t>
            </w:r>
          </w:p>
          <w:p w14:paraId="75B37D39">
            <w:pPr>
              <w:adjustRightInd w:val="0"/>
              <w:snapToGrid w:val="0"/>
              <w:spacing w:line="360" w:lineRule="auto"/>
              <w:ind w:firstLine="420" w:firstLineChars="200"/>
              <w:rPr>
                <w:rFonts w:hint="default" w:ascii="Times New Roman" w:hAnsi="Times New Roman" w:cs="Times New Roman"/>
                <w:color w:val="auto"/>
                <w:highlight w:val="none"/>
              </w:rPr>
            </w:pPr>
          </w:p>
          <w:p w14:paraId="6E8CE411">
            <w:pPr>
              <w:adjustRightInd w:val="0"/>
              <w:snapToGrid w:val="0"/>
              <w:spacing w:line="360" w:lineRule="auto"/>
              <w:ind w:firstLine="420" w:firstLineChars="200"/>
              <w:rPr>
                <w:rFonts w:hint="default" w:ascii="Times New Roman" w:hAnsi="Times New Roman" w:cs="Times New Roman"/>
                <w:color w:val="auto"/>
                <w:highlight w:val="none"/>
              </w:rPr>
            </w:pPr>
          </w:p>
          <w:p w14:paraId="6AD731C3">
            <w:pPr>
              <w:adjustRightInd w:val="0"/>
              <w:snapToGrid w:val="0"/>
              <w:spacing w:line="360" w:lineRule="auto"/>
              <w:ind w:firstLine="420" w:firstLineChars="200"/>
              <w:rPr>
                <w:rFonts w:hint="default" w:ascii="Times New Roman" w:hAnsi="Times New Roman" w:cs="Times New Roman"/>
                <w:color w:val="auto"/>
                <w:highlight w:val="none"/>
              </w:rPr>
            </w:pPr>
          </w:p>
          <w:p w14:paraId="1CDD6CDD">
            <w:pPr>
              <w:adjustRightInd w:val="0"/>
              <w:snapToGrid w:val="0"/>
              <w:spacing w:line="360" w:lineRule="auto"/>
              <w:ind w:firstLine="420" w:firstLineChars="200"/>
              <w:rPr>
                <w:rFonts w:hint="default" w:ascii="Times New Roman" w:hAnsi="Times New Roman" w:cs="Times New Roman"/>
                <w:color w:val="auto"/>
                <w:highlight w:val="none"/>
              </w:rPr>
            </w:pPr>
          </w:p>
          <w:p w14:paraId="37D570DD">
            <w:pPr>
              <w:adjustRightInd w:val="0"/>
              <w:snapToGrid w:val="0"/>
              <w:spacing w:line="360" w:lineRule="auto"/>
              <w:ind w:firstLine="420" w:firstLineChars="200"/>
              <w:rPr>
                <w:rFonts w:hint="default" w:ascii="Times New Roman" w:hAnsi="Times New Roman" w:cs="Times New Roman"/>
                <w:color w:val="auto"/>
                <w:highlight w:val="none"/>
              </w:rPr>
            </w:pPr>
          </w:p>
          <w:p w14:paraId="6190054C">
            <w:pPr>
              <w:adjustRightInd w:val="0"/>
              <w:snapToGrid w:val="0"/>
              <w:spacing w:line="360" w:lineRule="auto"/>
              <w:ind w:firstLine="420" w:firstLineChars="200"/>
              <w:rPr>
                <w:rFonts w:hint="default" w:ascii="Times New Roman" w:hAnsi="Times New Roman" w:cs="Times New Roman"/>
                <w:color w:val="auto"/>
                <w:highlight w:val="none"/>
              </w:rPr>
            </w:pPr>
          </w:p>
        </w:tc>
      </w:tr>
    </w:tbl>
    <w:p w14:paraId="11EF219B">
      <w:pPr>
        <w:pStyle w:val="3"/>
        <w:bidi w:val="0"/>
        <w:jc w:val="center"/>
        <w:rPr>
          <w:rFonts w:hint="default" w:ascii="Times New Roman" w:hAnsi="Times New Roman" w:cs="Times New Roman"/>
          <w:color w:val="auto"/>
          <w:highlight w:val="none"/>
        </w:rPr>
      </w:pPr>
      <w:r>
        <w:rPr>
          <w:rFonts w:hint="default" w:ascii="Times New Roman" w:hAnsi="Times New Roman" w:eastAsia="黑体" w:cs="Times New Roman"/>
          <w:snapToGrid w:val="0"/>
          <w:color w:val="auto"/>
          <w:sz w:val="36"/>
          <w:szCs w:val="36"/>
          <w:highlight w:val="none"/>
        </w:rPr>
        <w:br w:type="page"/>
      </w:r>
      <w:bookmarkStart w:id="6" w:name="_Toc20994"/>
      <w:r>
        <w:rPr>
          <w:rFonts w:hint="default" w:ascii="Times New Roman" w:hAnsi="Times New Roman" w:cs="Times New Roman"/>
          <w:color w:val="auto"/>
          <w:highlight w:val="none"/>
        </w:rPr>
        <w:t>四、主要环境影响和保护措施</w:t>
      </w:r>
      <w:bookmarkEnd w:id="6"/>
    </w:p>
    <w:tbl>
      <w:tblPr>
        <w:tblStyle w:val="3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46"/>
        <w:gridCol w:w="8161"/>
      </w:tblGrid>
      <w:tr w14:paraId="6EEED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46" w:hRule="atLeast"/>
          <w:jc w:val="center"/>
        </w:trPr>
        <w:tc>
          <w:tcPr>
            <w:tcW w:w="746" w:type="dxa"/>
            <w:shd w:val="clear" w:color="auto" w:fill="auto"/>
            <w:vAlign w:val="center"/>
          </w:tcPr>
          <w:p w14:paraId="64AFCDEA">
            <w:pPr>
              <w:pStyle w:val="27"/>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施工</w:t>
            </w:r>
          </w:p>
          <w:p w14:paraId="20EA6A18">
            <w:pPr>
              <w:pStyle w:val="27"/>
              <w:adjustRightInd w:val="0"/>
              <w:snapToGrid w:val="0"/>
              <w:spacing w:before="0" w:beforeAutospacing="0" w:after="0" w:afterAutospacing="0"/>
              <w:jc w:val="center"/>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期环</w:t>
            </w:r>
          </w:p>
          <w:p w14:paraId="38AF5724">
            <w:pPr>
              <w:pStyle w:val="27"/>
              <w:adjustRightInd w:val="0"/>
              <w:snapToGrid w:val="0"/>
              <w:spacing w:before="0" w:beforeAutospacing="0" w:after="0" w:afterAutospacing="0"/>
              <w:jc w:val="center"/>
              <w:rPr>
                <w:rFonts w:hint="default" w:ascii="Times New Roman" w:hAnsi="Times New Roman" w:cs="Times New Roman"/>
                <w:bCs/>
                <w:color w:val="auto"/>
                <w:kern w:val="2"/>
                <w:sz w:val="21"/>
                <w:szCs w:val="21"/>
                <w:highlight w:val="none"/>
              </w:rPr>
            </w:pPr>
            <w:r>
              <w:rPr>
                <w:rFonts w:hint="default" w:ascii="Times New Roman" w:hAnsi="Times New Roman" w:cs="Times New Roman"/>
                <w:color w:val="auto"/>
                <w:kern w:val="2"/>
                <w:sz w:val="21"/>
                <w:szCs w:val="21"/>
                <w:highlight w:val="none"/>
              </w:rPr>
              <w:t>境</w:t>
            </w:r>
            <w:r>
              <w:rPr>
                <w:rFonts w:hint="default" w:ascii="Times New Roman" w:hAnsi="Times New Roman" w:cs="Times New Roman"/>
                <w:color w:val="auto"/>
                <w:kern w:val="2"/>
                <w:sz w:val="21"/>
                <w:szCs w:val="21"/>
                <w:highlight w:val="none"/>
                <w:lang w:eastAsia="zh-CN"/>
              </w:rPr>
              <w:t>影响分析及</w:t>
            </w:r>
            <w:r>
              <w:rPr>
                <w:rFonts w:hint="default" w:ascii="Times New Roman" w:hAnsi="Times New Roman" w:cs="Times New Roman"/>
                <w:color w:val="auto"/>
                <w:kern w:val="2"/>
                <w:sz w:val="21"/>
                <w:szCs w:val="21"/>
                <w:highlight w:val="none"/>
              </w:rPr>
              <w:t>保护措施</w:t>
            </w:r>
          </w:p>
        </w:tc>
        <w:tc>
          <w:tcPr>
            <w:tcW w:w="8161" w:type="dxa"/>
            <w:shd w:val="clear" w:color="auto" w:fill="auto"/>
          </w:tcPr>
          <w:p w14:paraId="7E1AAE20">
            <w:pPr>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1.废气</w:t>
            </w:r>
          </w:p>
          <w:p w14:paraId="28E27FBE">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本项目主要影响源为施工机械、运输车辆汽车尾气，以及施工引起的粉尘和土料运输引起的道路扬尘等。汽车尾气在当地大气条件下很容易扩散，对环境影响很小。</w:t>
            </w:r>
          </w:p>
          <w:p w14:paraId="17347591">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从扬尘的来源看，施工期扬尘主要有以下二种：</w:t>
            </w:r>
          </w:p>
          <w:p w14:paraId="1FACFE18">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（1）建筑材料和工程废土产生的扬尘</w:t>
            </w:r>
          </w:p>
          <w:p w14:paraId="628E48CB">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使用预制的商品混凝土，施工场地周围建筑材料和工程土方的挖掘、土方堆放、散装粉（粒）状材料的装卸、拌料过程以及运输车辆在运载工程废土、回填土和散装建材时，由于超载或无防护措施，常在运输途中散落，会产生大量扬尘。</w:t>
            </w:r>
          </w:p>
          <w:p w14:paraId="6A9B05E0">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（2）运输机械产生的扬尘</w:t>
            </w:r>
          </w:p>
          <w:p w14:paraId="3017BBF6">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出入工地的施工机械的车轮轮胎和履带将工地上的泥土粘带到沿途道路上，经过来往车辆碾轧形成灰尘，造成雨天泥泞，晴天风干，飘散飞扬。</w:t>
            </w:r>
          </w:p>
          <w:p w14:paraId="51C8B95D">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上述扬尘可以通过施工现场设置围挡，使用商品混凝土，粉性物料封闭存放，施工场地适时洒水降尘等措施来减轻施工扬尘对附近环境空气的影响。</w:t>
            </w:r>
          </w:p>
          <w:p w14:paraId="67695FE0">
            <w:pPr>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2.废水</w:t>
            </w:r>
          </w:p>
          <w:p w14:paraId="27BB78FA">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施工过程中产生的废水主要为施工人员排放的生活污水和施工作业产生的废水以及施工期间车辆冲洗废水，由于施工期施工人员只在白天工作，施工人员不在场地内食宿，因此产生的废水较少。</w:t>
            </w:r>
          </w:p>
          <w:p w14:paraId="694640C6">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废水中主要污染因子为COD、BOD</w:t>
            </w:r>
            <w:r>
              <w:rPr>
                <w:rFonts w:hint="default" w:ascii="Times New Roman" w:hAnsi="Times New Roman" w:cs="Times New Roman"/>
                <w:color w:val="auto"/>
                <w:szCs w:val="21"/>
                <w:highlight w:val="none"/>
                <w:vertAlign w:val="subscript"/>
              </w:rPr>
              <w:t>5</w:t>
            </w:r>
            <w:r>
              <w:rPr>
                <w:rFonts w:hint="default" w:ascii="Times New Roman" w:hAnsi="Times New Roman" w:cs="Times New Roman"/>
                <w:color w:val="auto"/>
                <w:szCs w:val="21"/>
                <w:highlight w:val="none"/>
              </w:rPr>
              <w:t>、氨氮等。生活污水排入防渗旱厕，定期清掏</w:t>
            </w:r>
            <w:r>
              <w:rPr>
                <w:rFonts w:hint="default" w:ascii="Times New Roman" w:hAnsi="Times New Roman" w:cs="Times New Roman"/>
                <w:color w:val="auto"/>
                <w:szCs w:val="21"/>
                <w:highlight w:val="none"/>
                <w:lang w:eastAsia="zh-CN"/>
              </w:rPr>
              <w:t>，外运堆肥</w:t>
            </w:r>
            <w:r>
              <w:rPr>
                <w:rFonts w:hint="default" w:ascii="Times New Roman" w:hAnsi="Times New Roman" w:cs="Times New Roman"/>
                <w:color w:val="auto"/>
                <w:szCs w:val="21"/>
                <w:highlight w:val="none"/>
              </w:rPr>
              <w:t>。施工作业和冲洗车辆产生的废水沉淀后用于场地内洒水抑尘。</w:t>
            </w:r>
          </w:p>
          <w:p w14:paraId="24F4749A">
            <w:pPr>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3.噪声</w:t>
            </w:r>
          </w:p>
          <w:p w14:paraId="0A9E423F">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主要是施工机械设备噪声，本项目开始动工后，在建筑施工等作业中，将动用大量的施工作业设备和机械，主要有前斗装卸机、铲土机、平地机、起重机、夯土机及卡车等。因此，不可避免地产生建筑施工噪声。各阶段的运输车辆类型及其声级施工期选用低噪声设备，施工机械采取减振、设置隔声板等措施，合理安排施工时间，夜间禁止施工，施工场界环境噪声满足《建筑施工噪声排放标准》（GB 12523</w:t>
            </w:r>
            <w:r>
              <w:rPr>
                <w:rFonts w:hint="eastAsia" w:cs="Times New Roman"/>
                <w:color w:val="auto"/>
                <w:szCs w:val="21"/>
                <w:highlight w:val="none"/>
                <w:lang w:val="en-US" w:eastAsia="zh-CN"/>
              </w:rPr>
              <w:t>-</w:t>
            </w:r>
            <w:r>
              <w:rPr>
                <w:rFonts w:hint="default" w:ascii="Times New Roman" w:hAnsi="Times New Roman" w:cs="Times New Roman"/>
                <w:color w:val="auto"/>
                <w:szCs w:val="21"/>
                <w:highlight w:val="none"/>
              </w:rPr>
              <w:t>2025）的限值要求，对周围环境影响较小。</w:t>
            </w:r>
          </w:p>
          <w:p w14:paraId="6857D808">
            <w:pPr>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4.固体废物</w:t>
            </w:r>
          </w:p>
          <w:p w14:paraId="4FD7FA16">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本项目施工期间的固体废物主要是建筑垃圾和生活垃圾，建筑垃圾拉运至市政部门指定地点，生活垃圾由环卫部门统一处置，避免随意堆放。</w:t>
            </w:r>
          </w:p>
        </w:tc>
      </w:tr>
      <w:tr w14:paraId="54027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045" w:hRule="atLeast"/>
          <w:jc w:val="center"/>
        </w:trPr>
        <w:tc>
          <w:tcPr>
            <w:tcW w:w="746" w:type="dxa"/>
            <w:shd w:val="clear" w:color="auto" w:fill="auto"/>
            <w:vAlign w:val="center"/>
          </w:tcPr>
          <w:p w14:paraId="785728C8">
            <w:pPr>
              <w:adjustRightInd w:val="0"/>
              <w:snapToGrid w:val="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运营</w:t>
            </w:r>
          </w:p>
          <w:p w14:paraId="2FD94058">
            <w:pPr>
              <w:adjustRightInd w:val="0"/>
              <w:snapToGrid w:val="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期环</w:t>
            </w:r>
          </w:p>
          <w:p w14:paraId="3D915D54">
            <w:pPr>
              <w:adjustRightInd w:val="0"/>
              <w:snapToGrid w:val="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境影</w:t>
            </w:r>
          </w:p>
          <w:p w14:paraId="54941322">
            <w:pPr>
              <w:adjustRightInd w:val="0"/>
              <w:snapToGrid w:val="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响和</w:t>
            </w:r>
          </w:p>
          <w:p w14:paraId="289D43BC">
            <w:pPr>
              <w:adjustRightInd w:val="0"/>
              <w:snapToGrid w:val="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保护</w:t>
            </w:r>
          </w:p>
          <w:p w14:paraId="15D0A32E">
            <w:pPr>
              <w:adjustRightInd w:val="0"/>
              <w:snapToGrid w:val="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措施</w:t>
            </w:r>
          </w:p>
        </w:tc>
        <w:tc>
          <w:tcPr>
            <w:tcW w:w="8161" w:type="dxa"/>
            <w:shd w:val="clear" w:color="auto" w:fill="auto"/>
          </w:tcPr>
          <w:p w14:paraId="26BB8A6A">
            <w:pPr>
              <w:pStyle w:val="50"/>
              <w:keepNext w:val="0"/>
              <w:keepLines w:val="0"/>
              <w:pageBreakBefore w:val="0"/>
              <w:widowControl w:val="0"/>
              <w:kinsoku/>
              <w:wordWrap/>
              <w:overflowPunct/>
              <w:topLinePunct w:val="0"/>
              <w:autoSpaceDE/>
              <w:autoSpaceDN/>
              <w:bidi w:val="0"/>
              <w:adjustRightInd/>
              <w:snapToGrid/>
              <w:spacing w:line="360" w:lineRule="auto"/>
              <w:ind w:left="0" w:right="0" w:firstLine="422" w:firstLineChars="20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w:t>
            </w:r>
            <w:r>
              <w:rPr>
                <w:rFonts w:hint="eastAsia"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rPr>
              <w:t>废气</w:t>
            </w:r>
          </w:p>
          <w:p w14:paraId="16A337F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bCs/>
                <w:color w:val="auto"/>
                <w:sz w:val="21"/>
                <w:szCs w:val="21"/>
                <w:highlight w:val="none"/>
              </w:rPr>
              <w:t>本项目废气污染</w:t>
            </w:r>
            <w:r>
              <w:rPr>
                <w:rFonts w:hint="default" w:ascii="Times New Roman" w:hAnsi="Times New Roman" w:cs="Times New Roman"/>
                <w:bCs/>
                <w:color w:val="auto"/>
                <w:sz w:val="21"/>
                <w:szCs w:val="21"/>
                <w:highlight w:val="none"/>
                <w:lang w:eastAsia="zh-CN"/>
              </w:rPr>
              <w:t>源强及</w:t>
            </w:r>
            <w:r>
              <w:rPr>
                <w:rFonts w:hint="default" w:ascii="Times New Roman" w:hAnsi="Times New Roman" w:cs="Times New Roman"/>
                <w:bCs/>
                <w:color w:val="auto"/>
                <w:sz w:val="21"/>
                <w:szCs w:val="21"/>
                <w:highlight w:val="none"/>
              </w:rPr>
              <w:t>治理设施详情见表4-1。</w:t>
            </w:r>
          </w:p>
          <w:p w14:paraId="71A5619F">
            <w:pPr>
              <w:adjustRightInd w:val="0"/>
              <w:snapToGrid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表4-1  废气产污节点及污染治理设施一栏表</w:t>
            </w:r>
          </w:p>
          <w:tbl>
            <w:tblPr>
              <w:tblStyle w:val="32"/>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8"/>
              <w:gridCol w:w="1256"/>
              <w:gridCol w:w="1028"/>
              <w:gridCol w:w="588"/>
              <w:gridCol w:w="1323"/>
              <w:gridCol w:w="808"/>
              <w:gridCol w:w="618"/>
              <w:gridCol w:w="953"/>
              <w:gridCol w:w="775"/>
            </w:tblGrid>
            <w:tr w14:paraId="054E8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restart"/>
                  <w:tcBorders>
                    <w:tl2br w:val="nil"/>
                    <w:tr2bl w:val="nil"/>
                  </w:tcBorders>
                  <w:noWrap w:val="0"/>
                  <w:vAlign w:val="center"/>
                </w:tcPr>
                <w:p w14:paraId="7BE2FC0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val="0"/>
                      <w:color w:val="auto"/>
                      <w:kern w:val="0"/>
                      <w:sz w:val="18"/>
                      <w:szCs w:val="18"/>
                      <w:highlight w:val="none"/>
                      <w:lang w:eastAsia="zh-CN"/>
                    </w:rPr>
                  </w:pPr>
                  <w:r>
                    <w:rPr>
                      <w:rFonts w:hint="default" w:ascii="Times New Roman" w:hAnsi="Times New Roman" w:cs="Times New Roman"/>
                      <w:bCs w:val="0"/>
                      <w:color w:val="auto"/>
                      <w:kern w:val="0"/>
                      <w:sz w:val="18"/>
                      <w:szCs w:val="18"/>
                      <w:highlight w:val="none"/>
                      <w:lang w:eastAsia="zh-CN"/>
                    </w:rPr>
                    <w:t>工序</w:t>
                  </w:r>
                </w:p>
              </w:tc>
              <w:tc>
                <w:tcPr>
                  <w:tcW w:w="1256" w:type="dxa"/>
                  <w:vMerge w:val="restart"/>
                  <w:tcBorders>
                    <w:tl2br w:val="nil"/>
                    <w:tr2bl w:val="nil"/>
                  </w:tcBorders>
                  <w:noWrap w:val="0"/>
                  <w:vAlign w:val="center"/>
                </w:tcPr>
                <w:p w14:paraId="5B5747C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产污环节</w:t>
                  </w:r>
                </w:p>
              </w:tc>
              <w:tc>
                <w:tcPr>
                  <w:tcW w:w="1028" w:type="dxa"/>
                  <w:vMerge w:val="restart"/>
                  <w:tcBorders>
                    <w:tl2br w:val="nil"/>
                    <w:tr2bl w:val="nil"/>
                  </w:tcBorders>
                  <w:noWrap w:val="0"/>
                  <w:vAlign w:val="center"/>
                </w:tcPr>
                <w:p w14:paraId="6EF94A8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eastAsia="zh-CN"/>
                    </w:rPr>
                  </w:pPr>
                  <w:r>
                    <w:rPr>
                      <w:rFonts w:hint="default" w:ascii="Times New Roman" w:hAnsi="Times New Roman" w:cs="Times New Roman"/>
                      <w:bCs w:val="0"/>
                      <w:color w:val="auto"/>
                      <w:kern w:val="0"/>
                      <w:sz w:val="18"/>
                      <w:szCs w:val="18"/>
                      <w:highlight w:val="none"/>
                    </w:rPr>
                    <w:t>污染物</w:t>
                  </w:r>
                  <w:r>
                    <w:rPr>
                      <w:rFonts w:hint="default" w:ascii="Times New Roman" w:hAnsi="Times New Roman" w:cs="Times New Roman"/>
                      <w:bCs w:val="0"/>
                      <w:color w:val="auto"/>
                      <w:kern w:val="0"/>
                      <w:sz w:val="18"/>
                      <w:szCs w:val="18"/>
                      <w:highlight w:val="none"/>
                      <w:lang w:eastAsia="zh-CN"/>
                    </w:rPr>
                    <w:t>种类</w:t>
                  </w:r>
                </w:p>
              </w:tc>
              <w:tc>
                <w:tcPr>
                  <w:tcW w:w="588" w:type="dxa"/>
                  <w:vMerge w:val="restart"/>
                  <w:tcBorders>
                    <w:tl2br w:val="nil"/>
                    <w:tr2bl w:val="nil"/>
                  </w:tcBorders>
                  <w:noWrap w:val="0"/>
                  <w:vAlign w:val="center"/>
                </w:tcPr>
                <w:p w14:paraId="52EEA1FC">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kern w:val="0"/>
                      <w:sz w:val="18"/>
                      <w:szCs w:val="18"/>
                      <w:highlight w:val="none"/>
                    </w:rPr>
                  </w:pPr>
                  <w:r>
                    <w:rPr>
                      <w:rFonts w:hint="default" w:ascii="Times New Roman" w:hAnsi="Times New Roman" w:cs="Times New Roman"/>
                      <w:bCs w:val="0"/>
                      <w:color w:val="auto"/>
                      <w:sz w:val="18"/>
                      <w:szCs w:val="18"/>
                      <w:highlight w:val="none"/>
                      <w:lang w:val="en-US" w:eastAsia="zh-CN"/>
                    </w:rPr>
                    <w:t>排放方式</w:t>
                  </w:r>
                </w:p>
              </w:tc>
              <w:tc>
                <w:tcPr>
                  <w:tcW w:w="4477" w:type="dxa"/>
                  <w:gridSpan w:val="5"/>
                  <w:tcBorders>
                    <w:tl2br w:val="nil"/>
                    <w:tr2bl w:val="nil"/>
                  </w:tcBorders>
                  <w:noWrap w:val="0"/>
                  <w:vAlign w:val="center"/>
                </w:tcPr>
                <w:p w14:paraId="4A9790BC">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kern w:val="0"/>
                      <w:sz w:val="18"/>
                      <w:szCs w:val="18"/>
                      <w:highlight w:val="none"/>
                    </w:rPr>
                  </w:pPr>
                  <w:r>
                    <w:rPr>
                      <w:rFonts w:hint="default" w:ascii="Times New Roman" w:hAnsi="Times New Roman" w:cs="Times New Roman"/>
                      <w:color w:val="auto"/>
                      <w:sz w:val="18"/>
                      <w:szCs w:val="18"/>
                      <w:highlight w:val="none"/>
                    </w:rPr>
                    <w:t>污染防治设施</w:t>
                  </w:r>
                </w:p>
              </w:tc>
            </w:tr>
            <w:tr w14:paraId="35DF62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588" w:type="dxa"/>
                  <w:vMerge w:val="continue"/>
                  <w:tcBorders>
                    <w:tl2br w:val="nil"/>
                    <w:tr2bl w:val="nil"/>
                  </w:tcBorders>
                  <w:noWrap w:val="0"/>
                  <w:vAlign w:val="center"/>
                </w:tcPr>
                <w:p w14:paraId="268092F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rPr>
                  </w:pPr>
                </w:p>
              </w:tc>
              <w:tc>
                <w:tcPr>
                  <w:tcW w:w="1256" w:type="dxa"/>
                  <w:vMerge w:val="continue"/>
                  <w:tcBorders>
                    <w:tl2br w:val="nil"/>
                    <w:tr2bl w:val="nil"/>
                  </w:tcBorders>
                  <w:noWrap w:val="0"/>
                  <w:vAlign w:val="center"/>
                </w:tcPr>
                <w:p w14:paraId="6E8F7DF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rPr>
                  </w:pPr>
                </w:p>
              </w:tc>
              <w:tc>
                <w:tcPr>
                  <w:tcW w:w="1028" w:type="dxa"/>
                  <w:vMerge w:val="continue"/>
                  <w:tcBorders>
                    <w:tl2br w:val="nil"/>
                    <w:tr2bl w:val="nil"/>
                  </w:tcBorders>
                  <w:noWrap w:val="0"/>
                  <w:vAlign w:val="center"/>
                </w:tcPr>
                <w:p w14:paraId="2BEB713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rPr>
                  </w:pPr>
                </w:p>
              </w:tc>
              <w:tc>
                <w:tcPr>
                  <w:tcW w:w="588" w:type="dxa"/>
                  <w:vMerge w:val="continue"/>
                  <w:tcBorders>
                    <w:tl2br w:val="nil"/>
                    <w:tr2bl w:val="nil"/>
                  </w:tcBorders>
                  <w:noWrap w:val="0"/>
                  <w:vAlign w:val="center"/>
                </w:tcPr>
                <w:p w14:paraId="11877B4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kern w:val="0"/>
                      <w:sz w:val="18"/>
                      <w:szCs w:val="18"/>
                      <w:highlight w:val="none"/>
                    </w:rPr>
                  </w:pPr>
                </w:p>
              </w:tc>
              <w:tc>
                <w:tcPr>
                  <w:tcW w:w="1323" w:type="dxa"/>
                  <w:tcBorders>
                    <w:tl2br w:val="nil"/>
                    <w:tr2bl w:val="nil"/>
                  </w:tcBorders>
                  <w:noWrap w:val="0"/>
                  <w:vAlign w:val="center"/>
                </w:tcPr>
                <w:p w14:paraId="077A7D0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kern w:val="0"/>
                      <w:sz w:val="18"/>
                      <w:szCs w:val="18"/>
                      <w:highlight w:val="none"/>
                      <w:lang w:eastAsia="zh-CN"/>
                    </w:rPr>
                  </w:pPr>
                  <w:r>
                    <w:rPr>
                      <w:rFonts w:hint="default" w:ascii="Times New Roman" w:hAnsi="Times New Roman" w:cs="Times New Roman"/>
                      <w:color w:val="auto"/>
                      <w:sz w:val="18"/>
                      <w:szCs w:val="18"/>
                      <w:highlight w:val="none"/>
                    </w:rPr>
                    <w:t>污染防治设施名称</w:t>
                  </w:r>
                </w:p>
              </w:tc>
              <w:tc>
                <w:tcPr>
                  <w:tcW w:w="808" w:type="dxa"/>
                  <w:tcBorders>
                    <w:tl2br w:val="nil"/>
                    <w:tr2bl w:val="nil"/>
                  </w:tcBorders>
                  <w:noWrap w:val="0"/>
                  <w:vAlign w:val="center"/>
                </w:tcPr>
                <w:p w14:paraId="355308DA">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kern w:val="0"/>
                      <w:sz w:val="18"/>
                      <w:szCs w:val="18"/>
                      <w:highlight w:val="none"/>
                      <w:lang w:eastAsia="zh-CN"/>
                    </w:rPr>
                  </w:pPr>
                  <w:r>
                    <w:rPr>
                      <w:rFonts w:hint="default" w:ascii="Times New Roman" w:hAnsi="Times New Roman" w:cs="Times New Roman"/>
                      <w:bCs w:val="0"/>
                      <w:color w:val="auto"/>
                      <w:kern w:val="0"/>
                      <w:sz w:val="18"/>
                      <w:szCs w:val="18"/>
                      <w:highlight w:val="none"/>
                      <w:lang w:eastAsia="zh-CN"/>
                    </w:rPr>
                    <w:t>处理能力</w:t>
                  </w:r>
                  <w:r>
                    <w:rPr>
                      <w:rFonts w:hint="default" w:ascii="Times New Roman" w:hAnsi="Times New Roman" w:cs="Times New Roman"/>
                      <w:bCs w:val="0"/>
                      <w:color w:val="auto"/>
                      <w:kern w:val="0"/>
                      <w:sz w:val="18"/>
                      <w:szCs w:val="18"/>
                      <w:highlight w:val="none"/>
                    </w:rPr>
                    <w:t>m</w:t>
                  </w:r>
                  <w:r>
                    <w:rPr>
                      <w:rFonts w:hint="default" w:ascii="Times New Roman" w:hAnsi="Times New Roman" w:cs="Times New Roman"/>
                      <w:bCs w:val="0"/>
                      <w:color w:val="auto"/>
                      <w:kern w:val="0"/>
                      <w:sz w:val="18"/>
                      <w:szCs w:val="18"/>
                      <w:highlight w:val="none"/>
                      <w:vertAlign w:val="superscript"/>
                    </w:rPr>
                    <w:t>3</w:t>
                  </w:r>
                  <w:r>
                    <w:rPr>
                      <w:rFonts w:hint="default" w:ascii="Times New Roman" w:hAnsi="Times New Roman" w:cs="Times New Roman"/>
                      <w:bCs w:val="0"/>
                      <w:color w:val="auto"/>
                      <w:kern w:val="0"/>
                      <w:sz w:val="18"/>
                      <w:szCs w:val="18"/>
                      <w:highlight w:val="none"/>
                    </w:rPr>
                    <w:t>/</w:t>
                  </w:r>
                  <w:r>
                    <w:rPr>
                      <w:rFonts w:hint="default" w:ascii="Times New Roman" w:hAnsi="Times New Roman" w:cs="Times New Roman"/>
                      <w:bCs w:val="0"/>
                      <w:color w:val="auto"/>
                      <w:kern w:val="0"/>
                      <w:sz w:val="18"/>
                      <w:szCs w:val="18"/>
                      <w:highlight w:val="none"/>
                      <w:lang w:val="en-US" w:eastAsia="zh-CN"/>
                    </w:rPr>
                    <w:t>h</w:t>
                  </w:r>
                </w:p>
              </w:tc>
              <w:tc>
                <w:tcPr>
                  <w:tcW w:w="618" w:type="dxa"/>
                  <w:tcBorders>
                    <w:tl2br w:val="nil"/>
                    <w:tr2bl w:val="nil"/>
                  </w:tcBorders>
                  <w:noWrap w:val="0"/>
                  <w:vAlign w:val="center"/>
                </w:tcPr>
                <w:p w14:paraId="005E1DF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kern w:val="0"/>
                      <w:sz w:val="18"/>
                      <w:szCs w:val="18"/>
                      <w:highlight w:val="none"/>
                      <w:lang w:eastAsia="zh-CN"/>
                    </w:rPr>
                  </w:pPr>
                  <w:r>
                    <w:rPr>
                      <w:rFonts w:hint="default" w:ascii="Times New Roman" w:hAnsi="Times New Roman" w:cs="Times New Roman"/>
                      <w:bCs w:val="0"/>
                      <w:color w:val="auto"/>
                      <w:kern w:val="0"/>
                      <w:sz w:val="18"/>
                      <w:szCs w:val="18"/>
                      <w:highlight w:val="none"/>
                      <w:lang w:eastAsia="zh-CN"/>
                    </w:rPr>
                    <w:t>收集效率</w:t>
                  </w:r>
                </w:p>
              </w:tc>
              <w:tc>
                <w:tcPr>
                  <w:tcW w:w="953" w:type="dxa"/>
                  <w:tcBorders>
                    <w:tl2br w:val="nil"/>
                    <w:tr2bl w:val="nil"/>
                  </w:tcBorders>
                  <w:noWrap w:val="0"/>
                  <w:vAlign w:val="center"/>
                </w:tcPr>
                <w:p w14:paraId="30F2E499">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rPr>
                  </w:pPr>
                  <w:r>
                    <w:rPr>
                      <w:rFonts w:hint="default" w:ascii="Times New Roman" w:hAnsi="Times New Roman" w:cs="Times New Roman"/>
                      <w:bCs w:val="0"/>
                      <w:color w:val="auto"/>
                      <w:kern w:val="0"/>
                      <w:sz w:val="18"/>
                      <w:szCs w:val="18"/>
                      <w:highlight w:val="none"/>
                      <w:lang w:eastAsia="zh-CN"/>
                    </w:rPr>
                    <w:t>治理工艺去除</w:t>
                  </w:r>
                  <w:r>
                    <w:rPr>
                      <w:rFonts w:hint="default" w:ascii="Times New Roman" w:hAnsi="Times New Roman" w:cs="Times New Roman"/>
                      <w:bCs w:val="0"/>
                      <w:color w:val="auto"/>
                      <w:kern w:val="0"/>
                      <w:sz w:val="18"/>
                      <w:szCs w:val="18"/>
                      <w:highlight w:val="none"/>
                    </w:rPr>
                    <w:t>效率（%）</w:t>
                  </w:r>
                </w:p>
              </w:tc>
              <w:tc>
                <w:tcPr>
                  <w:tcW w:w="775" w:type="dxa"/>
                  <w:tcBorders>
                    <w:tl2br w:val="nil"/>
                    <w:tr2bl w:val="nil"/>
                  </w:tcBorders>
                  <w:noWrap w:val="0"/>
                  <w:vAlign w:val="center"/>
                </w:tcPr>
                <w:p w14:paraId="21B2B73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kern w:val="0"/>
                      <w:sz w:val="18"/>
                      <w:szCs w:val="18"/>
                      <w:highlight w:val="none"/>
                      <w:lang w:eastAsia="zh-CN"/>
                    </w:rPr>
                  </w:pPr>
                  <w:r>
                    <w:rPr>
                      <w:rFonts w:hint="default" w:ascii="Times New Roman" w:hAnsi="Times New Roman" w:cs="Times New Roman"/>
                      <w:bCs w:val="0"/>
                      <w:color w:val="auto"/>
                      <w:kern w:val="0"/>
                      <w:sz w:val="18"/>
                      <w:szCs w:val="18"/>
                      <w:highlight w:val="none"/>
                      <w:lang w:eastAsia="zh-CN"/>
                    </w:rPr>
                    <w:t>是否为可行性技术</w:t>
                  </w:r>
                </w:p>
              </w:tc>
            </w:tr>
            <w:tr w14:paraId="590138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restart"/>
                  <w:tcBorders>
                    <w:tl2br w:val="nil"/>
                    <w:tr2bl w:val="nil"/>
                  </w:tcBorders>
                  <w:noWrap w:val="0"/>
                  <w:vAlign w:val="center"/>
                </w:tcPr>
                <w:p w14:paraId="33AAE90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生产</w:t>
                  </w:r>
                </w:p>
                <w:p w14:paraId="3E3EDF5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供热</w:t>
                  </w:r>
                </w:p>
              </w:tc>
              <w:tc>
                <w:tcPr>
                  <w:tcW w:w="1256" w:type="dxa"/>
                  <w:vMerge w:val="restart"/>
                  <w:tcBorders>
                    <w:tl2br w:val="nil"/>
                    <w:tr2bl w:val="nil"/>
                  </w:tcBorders>
                  <w:noWrap w:val="0"/>
                  <w:vAlign w:val="center"/>
                </w:tcPr>
                <w:p w14:paraId="4F6A191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燃生物质蒸汽锅炉</w:t>
                  </w:r>
                </w:p>
              </w:tc>
              <w:tc>
                <w:tcPr>
                  <w:tcW w:w="1028" w:type="dxa"/>
                  <w:tcBorders>
                    <w:tl2br w:val="nil"/>
                    <w:tr2bl w:val="nil"/>
                  </w:tcBorders>
                  <w:noWrap w:val="0"/>
                  <w:vAlign w:val="center"/>
                </w:tcPr>
                <w:p w14:paraId="553C986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r>
                    <w:rPr>
                      <w:rFonts w:hint="default" w:ascii="Times New Roman" w:hAnsi="Times New Roman" w:cs="Times New Roman"/>
                      <w:bCs w:val="0"/>
                      <w:color w:val="auto"/>
                      <w:sz w:val="18"/>
                      <w:szCs w:val="18"/>
                      <w:highlight w:val="none"/>
                      <w:lang w:eastAsia="zh-CN"/>
                    </w:rPr>
                    <w:t>颗粒物</w:t>
                  </w:r>
                </w:p>
              </w:tc>
              <w:tc>
                <w:tcPr>
                  <w:tcW w:w="588" w:type="dxa"/>
                  <w:vMerge w:val="restart"/>
                  <w:tcBorders>
                    <w:tl2br w:val="nil"/>
                    <w:tr2bl w:val="nil"/>
                  </w:tcBorders>
                  <w:noWrap w:val="0"/>
                  <w:vAlign w:val="center"/>
                </w:tcPr>
                <w:p w14:paraId="402D870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有组织排放</w:t>
                  </w:r>
                </w:p>
              </w:tc>
              <w:tc>
                <w:tcPr>
                  <w:tcW w:w="1323" w:type="dxa"/>
                  <w:vMerge w:val="restart"/>
                  <w:tcBorders>
                    <w:tl2br w:val="nil"/>
                    <w:tr2bl w:val="nil"/>
                  </w:tcBorders>
                  <w:noWrap w:val="0"/>
                  <w:vAlign w:val="center"/>
                </w:tcPr>
                <w:p w14:paraId="1D9DD2A4">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Cs w:val="0"/>
                      <w:color w:val="auto"/>
                      <w:sz w:val="18"/>
                      <w:szCs w:val="18"/>
                      <w:highlight w:val="none"/>
                      <w:lang w:val="en-US" w:eastAsia="zh-CN"/>
                    </w:rPr>
                  </w:pPr>
                  <w:r>
                    <w:rPr>
                      <w:rFonts w:hint="eastAsia" w:cs="Times New Roman"/>
                      <w:color w:val="auto"/>
                      <w:sz w:val="18"/>
                      <w:szCs w:val="18"/>
                      <w:highlight w:val="none"/>
                      <w:lang w:val="en-US" w:eastAsia="zh-CN"/>
                    </w:rPr>
                    <w:t>低氮燃烧</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旋风除尘+</w:t>
                  </w:r>
                  <w:r>
                    <w:rPr>
                      <w:rFonts w:hint="default" w:ascii="Times New Roman" w:hAnsi="Times New Roman" w:cs="Times New Roman"/>
                      <w:color w:val="auto"/>
                      <w:sz w:val="18"/>
                      <w:szCs w:val="18"/>
                      <w:highlight w:val="none"/>
                      <w:lang w:val="en-US" w:eastAsia="zh-CN"/>
                    </w:rPr>
                    <w:t>布袋除尘器+40m高</w:t>
                  </w:r>
                  <w:r>
                    <w:rPr>
                      <w:rFonts w:hint="eastAsia" w:cs="Times New Roman"/>
                      <w:color w:val="auto"/>
                      <w:sz w:val="18"/>
                      <w:szCs w:val="18"/>
                      <w:highlight w:val="none"/>
                      <w:lang w:val="en-US" w:eastAsia="zh-CN"/>
                    </w:rPr>
                    <w:t>烟囱</w:t>
                  </w:r>
                  <w:r>
                    <w:rPr>
                      <w:rFonts w:hint="eastAsia" w:cs="Times New Roman"/>
                      <w:bCs w:val="0"/>
                      <w:color w:val="auto"/>
                      <w:sz w:val="18"/>
                      <w:szCs w:val="18"/>
                      <w:highlight w:val="none"/>
                      <w:lang w:val="en-US" w:eastAsia="zh-CN"/>
                    </w:rPr>
                    <w:t>（DA002）</w:t>
                  </w:r>
                </w:p>
              </w:tc>
              <w:tc>
                <w:tcPr>
                  <w:tcW w:w="808" w:type="dxa"/>
                  <w:tcBorders>
                    <w:tl2br w:val="nil"/>
                    <w:tr2bl w:val="nil"/>
                  </w:tcBorders>
                  <w:noWrap w:val="0"/>
                  <w:vAlign w:val="center"/>
                </w:tcPr>
                <w:p w14:paraId="4538882C">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eastAsia" w:cs="Times New Roman"/>
                      <w:bCs w:val="0"/>
                      <w:color w:val="auto"/>
                      <w:sz w:val="18"/>
                      <w:szCs w:val="18"/>
                      <w:highlight w:val="none"/>
                      <w:lang w:val="en-US" w:eastAsia="zh-CN"/>
                    </w:rPr>
                    <w:t>14333.3</w:t>
                  </w:r>
                </w:p>
              </w:tc>
              <w:tc>
                <w:tcPr>
                  <w:tcW w:w="618" w:type="dxa"/>
                  <w:tcBorders>
                    <w:tl2br w:val="nil"/>
                    <w:tr2bl w:val="nil"/>
                  </w:tcBorders>
                  <w:noWrap w:val="0"/>
                  <w:vAlign w:val="center"/>
                </w:tcPr>
                <w:p w14:paraId="224D8FA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w:t>
                  </w:r>
                </w:p>
              </w:tc>
              <w:tc>
                <w:tcPr>
                  <w:tcW w:w="953" w:type="dxa"/>
                  <w:tcBorders>
                    <w:tl2br w:val="nil"/>
                    <w:tr2bl w:val="nil"/>
                  </w:tcBorders>
                  <w:noWrap w:val="0"/>
                  <w:vAlign w:val="center"/>
                </w:tcPr>
                <w:p w14:paraId="172CC811">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99.6</w:t>
                  </w:r>
                </w:p>
              </w:tc>
              <w:tc>
                <w:tcPr>
                  <w:tcW w:w="775" w:type="dxa"/>
                  <w:vMerge w:val="restart"/>
                  <w:tcBorders>
                    <w:tl2br w:val="nil"/>
                    <w:tr2bl w:val="nil"/>
                  </w:tcBorders>
                  <w:noWrap w:val="0"/>
                  <w:vAlign w:val="center"/>
                </w:tcPr>
                <w:p w14:paraId="0CE2A7F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是</w:t>
                  </w:r>
                </w:p>
              </w:tc>
            </w:tr>
            <w:tr w14:paraId="2692A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continue"/>
                  <w:tcBorders>
                    <w:tl2br w:val="nil"/>
                    <w:tr2bl w:val="nil"/>
                  </w:tcBorders>
                  <w:noWrap w:val="0"/>
                  <w:vAlign w:val="center"/>
                </w:tcPr>
                <w:p w14:paraId="7CCCC8A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p>
              </w:tc>
              <w:tc>
                <w:tcPr>
                  <w:tcW w:w="1256" w:type="dxa"/>
                  <w:vMerge w:val="continue"/>
                  <w:tcBorders>
                    <w:tl2br w:val="nil"/>
                    <w:tr2bl w:val="nil"/>
                  </w:tcBorders>
                  <w:noWrap w:val="0"/>
                  <w:vAlign w:val="center"/>
                </w:tcPr>
                <w:p w14:paraId="410AAD8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p>
              </w:tc>
              <w:tc>
                <w:tcPr>
                  <w:tcW w:w="1028" w:type="dxa"/>
                  <w:tcBorders>
                    <w:tl2br w:val="nil"/>
                    <w:tr2bl w:val="nil"/>
                  </w:tcBorders>
                  <w:noWrap w:val="0"/>
                  <w:vAlign w:val="center"/>
                </w:tcPr>
                <w:p w14:paraId="411036B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r>
                    <w:rPr>
                      <w:rFonts w:hint="default" w:ascii="Times New Roman" w:hAnsi="Times New Roman" w:cs="Times New Roman"/>
                      <w:bCs w:val="0"/>
                      <w:color w:val="auto"/>
                      <w:sz w:val="18"/>
                      <w:szCs w:val="18"/>
                      <w:highlight w:val="none"/>
                      <w:lang w:eastAsia="zh-CN"/>
                    </w:rPr>
                    <w:t>二氧化硫</w:t>
                  </w:r>
                </w:p>
              </w:tc>
              <w:tc>
                <w:tcPr>
                  <w:tcW w:w="588" w:type="dxa"/>
                  <w:vMerge w:val="continue"/>
                  <w:tcBorders>
                    <w:tl2br w:val="nil"/>
                    <w:tr2bl w:val="nil"/>
                  </w:tcBorders>
                  <w:noWrap w:val="0"/>
                  <w:vAlign w:val="center"/>
                </w:tcPr>
                <w:p w14:paraId="44972BB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323" w:type="dxa"/>
                  <w:vMerge w:val="continue"/>
                  <w:tcBorders>
                    <w:tl2br w:val="nil"/>
                    <w:tr2bl w:val="nil"/>
                  </w:tcBorders>
                  <w:noWrap w:val="0"/>
                  <w:vAlign w:val="center"/>
                </w:tcPr>
                <w:p w14:paraId="597CB98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2379" w:type="dxa"/>
                  <w:gridSpan w:val="3"/>
                  <w:vMerge w:val="restart"/>
                  <w:tcBorders>
                    <w:tl2br w:val="nil"/>
                    <w:tr2bl w:val="nil"/>
                  </w:tcBorders>
                  <w:noWrap w:val="0"/>
                  <w:vAlign w:val="center"/>
                </w:tcPr>
                <w:p w14:paraId="291026E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w:t>
                  </w:r>
                </w:p>
              </w:tc>
              <w:tc>
                <w:tcPr>
                  <w:tcW w:w="775" w:type="dxa"/>
                  <w:vMerge w:val="continue"/>
                  <w:tcBorders>
                    <w:tl2br w:val="nil"/>
                    <w:tr2bl w:val="nil"/>
                  </w:tcBorders>
                  <w:noWrap w:val="0"/>
                  <w:vAlign w:val="center"/>
                </w:tcPr>
                <w:p w14:paraId="469679A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r>
            <w:tr w14:paraId="08366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8" w:type="dxa"/>
                  <w:vMerge w:val="continue"/>
                  <w:tcBorders>
                    <w:tl2br w:val="nil"/>
                    <w:tr2bl w:val="nil"/>
                  </w:tcBorders>
                  <w:noWrap w:val="0"/>
                  <w:vAlign w:val="center"/>
                </w:tcPr>
                <w:p w14:paraId="599CCD5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256" w:type="dxa"/>
                  <w:vMerge w:val="continue"/>
                  <w:tcBorders>
                    <w:tl2br w:val="nil"/>
                    <w:tr2bl w:val="nil"/>
                  </w:tcBorders>
                  <w:noWrap w:val="0"/>
                  <w:vAlign w:val="center"/>
                </w:tcPr>
                <w:p w14:paraId="66ABE9BF">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028" w:type="dxa"/>
                  <w:tcBorders>
                    <w:tl2br w:val="nil"/>
                    <w:tr2bl w:val="nil"/>
                  </w:tcBorders>
                  <w:noWrap w:val="0"/>
                  <w:vAlign w:val="center"/>
                </w:tcPr>
                <w:p w14:paraId="1DCF386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r>
                    <w:rPr>
                      <w:rFonts w:hint="default" w:ascii="Times New Roman" w:hAnsi="Times New Roman" w:cs="Times New Roman"/>
                      <w:bCs w:val="0"/>
                      <w:color w:val="auto"/>
                      <w:sz w:val="18"/>
                      <w:szCs w:val="18"/>
                      <w:highlight w:val="none"/>
                      <w:lang w:eastAsia="zh-CN"/>
                    </w:rPr>
                    <w:t>氮氧化物</w:t>
                  </w:r>
                </w:p>
              </w:tc>
              <w:tc>
                <w:tcPr>
                  <w:tcW w:w="588" w:type="dxa"/>
                  <w:vMerge w:val="continue"/>
                  <w:tcBorders>
                    <w:tl2br w:val="nil"/>
                    <w:tr2bl w:val="nil"/>
                  </w:tcBorders>
                  <w:noWrap w:val="0"/>
                  <w:vAlign w:val="center"/>
                </w:tcPr>
                <w:p w14:paraId="03C574E1">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323" w:type="dxa"/>
                  <w:vMerge w:val="continue"/>
                  <w:tcBorders>
                    <w:tl2br w:val="nil"/>
                    <w:tr2bl w:val="nil"/>
                  </w:tcBorders>
                  <w:noWrap w:val="0"/>
                  <w:vAlign w:val="center"/>
                </w:tcPr>
                <w:p w14:paraId="6100A50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2379" w:type="dxa"/>
                  <w:gridSpan w:val="3"/>
                  <w:vMerge w:val="continue"/>
                  <w:tcBorders>
                    <w:tl2br w:val="nil"/>
                    <w:tr2bl w:val="nil"/>
                  </w:tcBorders>
                  <w:noWrap w:val="0"/>
                  <w:vAlign w:val="center"/>
                </w:tcPr>
                <w:p w14:paraId="5C92A12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775" w:type="dxa"/>
                  <w:vMerge w:val="continue"/>
                  <w:tcBorders>
                    <w:tl2br w:val="nil"/>
                    <w:tr2bl w:val="nil"/>
                  </w:tcBorders>
                  <w:noWrap w:val="0"/>
                  <w:vAlign w:val="center"/>
                </w:tcPr>
                <w:p w14:paraId="5791F07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r>
            <w:tr w14:paraId="3F81DE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8" w:type="dxa"/>
                  <w:vMerge w:val="continue"/>
                  <w:tcBorders>
                    <w:tl2br w:val="nil"/>
                    <w:tr2bl w:val="nil"/>
                  </w:tcBorders>
                  <w:noWrap w:val="0"/>
                  <w:vAlign w:val="center"/>
                </w:tcPr>
                <w:p w14:paraId="33598E3E">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256" w:type="dxa"/>
                  <w:vMerge w:val="continue"/>
                  <w:tcBorders>
                    <w:tl2br w:val="nil"/>
                    <w:tr2bl w:val="nil"/>
                  </w:tcBorders>
                  <w:noWrap w:val="0"/>
                  <w:vAlign w:val="center"/>
                </w:tcPr>
                <w:p w14:paraId="4DD3956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028" w:type="dxa"/>
                  <w:tcBorders>
                    <w:tl2br w:val="nil"/>
                    <w:tr2bl w:val="nil"/>
                  </w:tcBorders>
                  <w:noWrap w:val="0"/>
                  <w:vAlign w:val="center"/>
                </w:tcPr>
                <w:p w14:paraId="3434403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eastAsia" w:cs="Times New Roman"/>
                      <w:bCs w:val="0"/>
                      <w:color w:val="auto"/>
                      <w:sz w:val="18"/>
                      <w:szCs w:val="18"/>
                      <w:highlight w:val="none"/>
                      <w:lang w:val="en-US" w:eastAsia="zh-CN"/>
                    </w:rPr>
                    <w:t>汞及其化合物</w:t>
                  </w:r>
                </w:p>
              </w:tc>
              <w:tc>
                <w:tcPr>
                  <w:tcW w:w="588" w:type="dxa"/>
                  <w:vMerge w:val="continue"/>
                  <w:tcBorders>
                    <w:tl2br w:val="nil"/>
                    <w:tr2bl w:val="nil"/>
                  </w:tcBorders>
                  <w:noWrap w:val="0"/>
                  <w:vAlign w:val="center"/>
                </w:tcPr>
                <w:p w14:paraId="124ABF0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323" w:type="dxa"/>
                  <w:vMerge w:val="continue"/>
                  <w:tcBorders>
                    <w:tl2br w:val="nil"/>
                    <w:tr2bl w:val="nil"/>
                  </w:tcBorders>
                  <w:noWrap w:val="0"/>
                  <w:vAlign w:val="center"/>
                </w:tcPr>
                <w:p w14:paraId="3FDF0AE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2379" w:type="dxa"/>
                  <w:gridSpan w:val="3"/>
                  <w:vMerge w:val="continue"/>
                  <w:tcBorders>
                    <w:tl2br w:val="nil"/>
                    <w:tr2bl w:val="nil"/>
                  </w:tcBorders>
                  <w:noWrap w:val="0"/>
                  <w:vAlign w:val="center"/>
                </w:tcPr>
                <w:p w14:paraId="3319284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775" w:type="dxa"/>
                  <w:vMerge w:val="continue"/>
                  <w:tcBorders>
                    <w:tl2br w:val="nil"/>
                    <w:tr2bl w:val="nil"/>
                  </w:tcBorders>
                  <w:noWrap w:val="0"/>
                  <w:vAlign w:val="center"/>
                </w:tcPr>
                <w:p w14:paraId="16B44419">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r>
            <w:tr w14:paraId="20E998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8" w:type="dxa"/>
                  <w:vMerge w:val="continue"/>
                  <w:tcBorders>
                    <w:tl2br w:val="nil"/>
                    <w:tr2bl w:val="nil"/>
                  </w:tcBorders>
                  <w:noWrap w:val="0"/>
                  <w:vAlign w:val="center"/>
                </w:tcPr>
                <w:p w14:paraId="10349BA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256" w:type="dxa"/>
                  <w:vMerge w:val="continue"/>
                  <w:tcBorders>
                    <w:tl2br w:val="nil"/>
                    <w:tr2bl w:val="nil"/>
                  </w:tcBorders>
                  <w:noWrap w:val="0"/>
                  <w:vAlign w:val="center"/>
                </w:tcPr>
                <w:p w14:paraId="444E0C7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028" w:type="dxa"/>
                  <w:tcBorders>
                    <w:tl2br w:val="nil"/>
                    <w:tr2bl w:val="nil"/>
                  </w:tcBorders>
                  <w:noWrap w:val="0"/>
                  <w:vAlign w:val="center"/>
                </w:tcPr>
                <w:p w14:paraId="30FADF3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eastAsia" w:cs="Times New Roman"/>
                      <w:bCs w:val="0"/>
                      <w:color w:val="auto"/>
                      <w:sz w:val="18"/>
                      <w:szCs w:val="18"/>
                      <w:highlight w:val="none"/>
                      <w:lang w:val="en-US" w:eastAsia="zh-CN"/>
                    </w:rPr>
                    <w:t>林格曼黑度</w:t>
                  </w:r>
                </w:p>
              </w:tc>
              <w:tc>
                <w:tcPr>
                  <w:tcW w:w="588" w:type="dxa"/>
                  <w:vMerge w:val="continue"/>
                  <w:tcBorders>
                    <w:tl2br w:val="nil"/>
                    <w:tr2bl w:val="nil"/>
                  </w:tcBorders>
                  <w:noWrap w:val="0"/>
                  <w:vAlign w:val="center"/>
                </w:tcPr>
                <w:p w14:paraId="1765EDE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323" w:type="dxa"/>
                  <w:vMerge w:val="continue"/>
                  <w:tcBorders>
                    <w:tl2br w:val="nil"/>
                    <w:tr2bl w:val="nil"/>
                  </w:tcBorders>
                  <w:noWrap w:val="0"/>
                  <w:vAlign w:val="center"/>
                </w:tcPr>
                <w:p w14:paraId="2549370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2379" w:type="dxa"/>
                  <w:gridSpan w:val="3"/>
                  <w:vMerge w:val="continue"/>
                  <w:tcBorders>
                    <w:tl2br w:val="nil"/>
                    <w:tr2bl w:val="nil"/>
                  </w:tcBorders>
                  <w:noWrap w:val="0"/>
                  <w:vAlign w:val="center"/>
                </w:tcPr>
                <w:p w14:paraId="53EAEC9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775" w:type="dxa"/>
                  <w:vMerge w:val="continue"/>
                  <w:tcBorders>
                    <w:tl2br w:val="nil"/>
                    <w:tr2bl w:val="nil"/>
                  </w:tcBorders>
                  <w:noWrap w:val="0"/>
                  <w:vAlign w:val="center"/>
                </w:tcPr>
                <w:p w14:paraId="5B07117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r>
            <w:tr w14:paraId="364AC2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tcBorders>
                    <w:tl2br w:val="nil"/>
                    <w:tr2bl w:val="nil"/>
                  </w:tcBorders>
                  <w:noWrap w:val="0"/>
                  <w:vAlign w:val="center"/>
                </w:tcPr>
                <w:p w14:paraId="31F9FEC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eastAsia" w:cs="Times New Roman"/>
                      <w:bCs w:val="0"/>
                      <w:color w:val="auto"/>
                      <w:sz w:val="18"/>
                      <w:szCs w:val="18"/>
                      <w:highlight w:val="none"/>
                      <w:lang w:val="en-US" w:eastAsia="zh-CN"/>
                    </w:rPr>
                    <w:t>1#生产</w:t>
                  </w:r>
                  <w:r>
                    <w:rPr>
                      <w:rFonts w:hint="default" w:ascii="Times New Roman" w:hAnsi="Times New Roman" w:cs="Times New Roman"/>
                      <w:bCs w:val="0"/>
                      <w:color w:val="auto"/>
                      <w:sz w:val="18"/>
                      <w:szCs w:val="18"/>
                      <w:highlight w:val="none"/>
                      <w:lang w:val="en-US" w:eastAsia="zh-CN"/>
                    </w:rPr>
                    <w:t>车间</w:t>
                  </w:r>
                </w:p>
              </w:tc>
              <w:tc>
                <w:tcPr>
                  <w:tcW w:w="1256" w:type="dxa"/>
                  <w:tcBorders>
                    <w:tl2br w:val="nil"/>
                    <w:tr2bl w:val="nil"/>
                  </w:tcBorders>
                  <w:noWrap w:val="0"/>
                  <w:vAlign w:val="center"/>
                </w:tcPr>
                <w:p w14:paraId="51D79555">
                  <w:pPr>
                    <w:keepNext w:val="0"/>
                    <w:keepLines w:val="0"/>
                    <w:pageBreakBefore w:val="0"/>
                    <w:widowControl w:val="0"/>
                    <w:wordWrap/>
                    <w:topLinePunct w:val="0"/>
                    <w:autoSpaceDE/>
                    <w:autoSpaceDN/>
                    <w:bidi w:val="0"/>
                    <w:spacing w:before="0" w:beforeLines="0" w:after="0" w:afterLines="0" w:line="240" w:lineRule="auto"/>
                    <w:ind w:left="0" w:leftChars="0" w:right="0" w:rightChars="0" w:firstLine="0" w:firstLine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bidi="ar-SA"/>
                    </w:rPr>
                    <w:t>破碎、球磨、搅拌</w:t>
                  </w:r>
                </w:p>
              </w:tc>
              <w:tc>
                <w:tcPr>
                  <w:tcW w:w="1028" w:type="dxa"/>
                  <w:tcBorders>
                    <w:tl2br w:val="nil"/>
                    <w:tr2bl w:val="nil"/>
                  </w:tcBorders>
                  <w:noWrap w:val="0"/>
                  <w:vAlign w:val="center"/>
                </w:tcPr>
                <w:p w14:paraId="66062BF8">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val="0"/>
                      <w:color w:val="auto"/>
                      <w:sz w:val="18"/>
                      <w:szCs w:val="18"/>
                      <w:highlight w:val="none"/>
                      <w:lang w:eastAsia="zh-CN"/>
                    </w:rPr>
                  </w:pPr>
                  <w:r>
                    <w:rPr>
                      <w:rFonts w:hint="default" w:ascii="Times New Roman" w:hAnsi="Times New Roman" w:cs="Times New Roman"/>
                      <w:color w:val="auto"/>
                      <w:sz w:val="18"/>
                      <w:szCs w:val="18"/>
                      <w:highlight w:val="none"/>
                      <w:lang w:val="en-US" w:eastAsia="zh-CN"/>
                    </w:rPr>
                    <w:t>颗粒物</w:t>
                  </w:r>
                </w:p>
              </w:tc>
              <w:tc>
                <w:tcPr>
                  <w:tcW w:w="588" w:type="dxa"/>
                  <w:vMerge w:val="continue"/>
                  <w:tcBorders>
                    <w:tl2br w:val="nil"/>
                    <w:tr2bl w:val="nil"/>
                  </w:tcBorders>
                  <w:noWrap w:val="0"/>
                  <w:vAlign w:val="center"/>
                </w:tcPr>
                <w:p w14:paraId="3206211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eastAsia="zh-CN"/>
                    </w:rPr>
                  </w:pPr>
                </w:p>
              </w:tc>
              <w:tc>
                <w:tcPr>
                  <w:tcW w:w="1323" w:type="dxa"/>
                  <w:tcBorders>
                    <w:tl2br w:val="nil"/>
                    <w:tr2bl w:val="nil"/>
                  </w:tcBorders>
                  <w:noWrap w:val="0"/>
                  <w:vAlign w:val="center"/>
                </w:tcPr>
                <w:p w14:paraId="36287EA1">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布袋除尘器+1</w:t>
                  </w:r>
                  <w:r>
                    <w:rPr>
                      <w:rFonts w:hint="eastAsia" w:cs="Times New Roman"/>
                      <w:bCs w:val="0"/>
                      <w:color w:val="auto"/>
                      <w:sz w:val="18"/>
                      <w:szCs w:val="18"/>
                      <w:highlight w:val="none"/>
                      <w:lang w:val="en-US" w:eastAsia="zh-CN"/>
                    </w:rPr>
                    <w:t>7</w:t>
                  </w:r>
                  <w:r>
                    <w:rPr>
                      <w:rFonts w:hint="default" w:ascii="Times New Roman" w:hAnsi="Times New Roman" w:cs="Times New Roman"/>
                      <w:bCs w:val="0"/>
                      <w:color w:val="auto"/>
                      <w:sz w:val="18"/>
                      <w:szCs w:val="18"/>
                      <w:highlight w:val="none"/>
                      <w:lang w:val="en-US" w:eastAsia="zh-CN"/>
                    </w:rPr>
                    <w:t>m排气筒</w:t>
                  </w:r>
                  <w:r>
                    <w:rPr>
                      <w:rFonts w:hint="eastAsia" w:cs="Times New Roman"/>
                      <w:bCs w:val="0"/>
                      <w:color w:val="auto"/>
                      <w:sz w:val="18"/>
                      <w:szCs w:val="18"/>
                      <w:highlight w:val="none"/>
                      <w:lang w:val="en-US" w:eastAsia="zh-CN"/>
                    </w:rPr>
                    <w:t>（DA003）</w:t>
                  </w:r>
                </w:p>
              </w:tc>
              <w:tc>
                <w:tcPr>
                  <w:tcW w:w="808" w:type="dxa"/>
                  <w:tcBorders>
                    <w:tl2br w:val="nil"/>
                    <w:tr2bl w:val="nil"/>
                  </w:tcBorders>
                  <w:noWrap w:val="0"/>
                  <w:vAlign w:val="center"/>
                </w:tcPr>
                <w:p w14:paraId="10566C1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4</w:t>
                  </w:r>
                  <w:r>
                    <w:rPr>
                      <w:rFonts w:hint="default" w:ascii="Times New Roman" w:hAnsi="Times New Roman" w:eastAsia="宋体" w:cs="Times New Roman"/>
                      <w:bCs w:val="0"/>
                      <w:color w:val="auto"/>
                      <w:sz w:val="18"/>
                      <w:szCs w:val="18"/>
                      <w:highlight w:val="none"/>
                      <w:lang w:val="en-US" w:eastAsia="zh-CN"/>
                    </w:rPr>
                    <w:t>000</w:t>
                  </w:r>
                </w:p>
              </w:tc>
              <w:tc>
                <w:tcPr>
                  <w:tcW w:w="618" w:type="dxa"/>
                  <w:tcBorders>
                    <w:tl2br w:val="nil"/>
                    <w:tr2bl w:val="nil"/>
                  </w:tcBorders>
                  <w:noWrap w:val="0"/>
                  <w:vAlign w:val="center"/>
                </w:tcPr>
                <w:p w14:paraId="1E7B4D4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w:t>
                  </w:r>
                </w:p>
              </w:tc>
              <w:tc>
                <w:tcPr>
                  <w:tcW w:w="953" w:type="dxa"/>
                  <w:tcBorders>
                    <w:tl2br w:val="nil"/>
                    <w:tr2bl w:val="nil"/>
                  </w:tcBorders>
                  <w:noWrap w:val="0"/>
                  <w:vAlign w:val="center"/>
                </w:tcPr>
                <w:p w14:paraId="4CF4D75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val="en-US" w:eastAsia="zh-CN"/>
                    </w:rPr>
                    <w:t>9</w:t>
                  </w:r>
                  <w:r>
                    <w:rPr>
                      <w:rFonts w:hint="eastAsia" w:cs="Times New Roman"/>
                      <w:bCs w:val="0"/>
                      <w:color w:val="auto"/>
                      <w:sz w:val="18"/>
                      <w:szCs w:val="18"/>
                      <w:highlight w:val="none"/>
                      <w:lang w:val="en-US" w:eastAsia="zh-CN"/>
                    </w:rPr>
                    <w:t>9</w:t>
                  </w:r>
                </w:p>
              </w:tc>
              <w:tc>
                <w:tcPr>
                  <w:tcW w:w="775" w:type="dxa"/>
                  <w:vMerge w:val="restart"/>
                  <w:tcBorders>
                    <w:tl2br w:val="nil"/>
                    <w:tr2bl w:val="nil"/>
                  </w:tcBorders>
                  <w:noWrap w:val="0"/>
                  <w:vAlign w:val="center"/>
                </w:tcPr>
                <w:p w14:paraId="52D75014">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val="en-US" w:eastAsia="zh-CN"/>
                    </w:rPr>
                    <w:t>是</w:t>
                  </w:r>
                </w:p>
              </w:tc>
            </w:tr>
            <w:tr w14:paraId="7F4816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restart"/>
                  <w:tcBorders>
                    <w:tl2br w:val="nil"/>
                    <w:tr2bl w:val="nil"/>
                  </w:tcBorders>
                  <w:noWrap w:val="0"/>
                  <w:vAlign w:val="center"/>
                </w:tcPr>
                <w:p w14:paraId="7339DEC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eastAsia" w:cs="Times New Roman"/>
                      <w:bCs w:val="0"/>
                      <w:color w:val="auto"/>
                      <w:sz w:val="18"/>
                      <w:szCs w:val="18"/>
                      <w:highlight w:val="none"/>
                      <w:lang w:val="en-US" w:eastAsia="zh-CN"/>
                    </w:rPr>
                    <w:t>2#生产</w:t>
                  </w:r>
                  <w:r>
                    <w:rPr>
                      <w:rFonts w:hint="default" w:ascii="Times New Roman" w:hAnsi="Times New Roman" w:cs="Times New Roman"/>
                      <w:bCs w:val="0"/>
                      <w:color w:val="auto"/>
                      <w:sz w:val="18"/>
                      <w:szCs w:val="18"/>
                      <w:highlight w:val="none"/>
                      <w:lang w:val="en-US" w:eastAsia="zh-CN"/>
                    </w:rPr>
                    <w:t>车间</w:t>
                  </w:r>
                </w:p>
              </w:tc>
              <w:tc>
                <w:tcPr>
                  <w:tcW w:w="1256" w:type="dxa"/>
                  <w:tcBorders>
                    <w:tl2br w:val="nil"/>
                    <w:tr2bl w:val="nil"/>
                  </w:tcBorders>
                  <w:noWrap w:val="0"/>
                  <w:vAlign w:val="center"/>
                </w:tcPr>
                <w:p w14:paraId="235F47B0">
                  <w:pPr>
                    <w:keepNext w:val="0"/>
                    <w:keepLines w:val="0"/>
                    <w:pageBreakBefore w:val="0"/>
                    <w:widowControl w:val="0"/>
                    <w:wordWrap/>
                    <w:topLinePunct w:val="0"/>
                    <w:autoSpaceDE/>
                    <w:autoSpaceDN/>
                    <w:bidi w:val="0"/>
                    <w:spacing w:before="0" w:beforeLines="0" w:after="0" w:afterLines="0" w:line="240" w:lineRule="auto"/>
                    <w:ind w:left="0" w:leftChars="0" w:right="0" w:rightChars="0" w:firstLine="0" w:firstLine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bidi="ar-SA"/>
                    </w:rPr>
                    <w:t>破碎、球磨、搅拌</w:t>
                  </w:r>
                </w:p>
              </w:tc>
              <w:tc>
                <w:tcPr>
                  <w:tcW w:w="1028" w:type="dxa"/>
                  <w:tcBorders>
                    <w:tl2br w:val="nil"/>
                    <w:tr2bl w:val="nil"/>
                  </w:tcBorders>
                  <w:noWrap w:val="0"/>
                  <w:vAlign w:val="center"/>
                </w:tcPr>
                <w:p w14:paraId="116B513D">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颗粒物</w:t>
                  </w:r>
                </w:p>
              </w:tc>
              <w:tc>
                <w:tcPr>
                  <w:tcW w:w="588" w:type="dxa"/>
                  <w:vMerge w:val="continue"/>
                  <w:tcBorders>
                    <w:tl2br w:val="nil"/>
                    <w:tr2bl w:val="nil"/>
                  </w:tcBorders>
                  <w:noWrap w:val="0"/>
                  <w:vAlign w:val="center"/>
                </w:tcPr>
                <w:p w14:paraId="15808B43">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eastAsia="zh-CN"/>
                    </w:rPr>
                  </w:pPr>
                </w:p>
              </w:tc>
              <w:tc>
                <w:tcPr>
                  <w:tcW w:w="1323" w:type="dxa"/>
                  <w:tcBorders>
                    <w:tl2br w:val="nil"/>
                    <w:tr2bl w:val="nil"/>
                  </w:tcBorders>
                  <w:noWrap w:val="0"/>
                  <w:vAlign w:val="center"/>
                </w:tcPr>
                <w:p w14:paraId="74E11517">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布袋除尘器+1</w:t>
                  </w:r>
                  <w:r>
                    <w:rPr>
                      <w:rFonts w:hint="eastAsia" w:cs="Times New Roman"/>
                      <w:bCs w:val="0"/>
                      <w:color w:val="auto"/>
                      <w:sz w:val="18"/>
                      <w:szCs w:val="18"/>
                      <w:highlight w:val="none"/>
                      <w:lang w:val="en-US" w:eastAsia="zh-CN"/>
                    </w:rPr>
                    <w:t>7</w:t>
                  </w:r>
                  <w:r>
                    <w:rPr>
                      <w:rFonts w:hint="default" w:ascii="Times New Roman" w:hAnsi="Times New Roman" w:cs="Times New Roman"/>
                      <w:bCs w:val="0"/>
                      <w:color w:val="auto"/>
                      <w:sz w:val="18"/>
                      <w:szCs w:val="18"/>
                      <w:highlight w:val="none"/>
                      <w:lang w:val="en-US" w:eastAsia="zh-CN"/>
                    </w:rPr>
                    <w:t>m排气筒</w:t>
                  </w:r>
                  <w:r>
                    <w:rPr>
                      <w:rFonts w:hint="eastAsia" w:cs="Times New Roman"/>
                      <w:bCs w:val="0"/>
                      <w:color w:val="auto"/>
                      <w:sz w:val="18"/>
                      <w:szCs w:val="18"/>
                      <w:highlight w:val="none"/>
                      <w:lang w:val="en-US" w:eastAsia="zh-CN"/>
                    </w:rPr>
                    <w:t>（DA004）</w:t>
                  </w:r>
                </w:p>
              </w:tc>
              <w:tc>
                <w:tcPr>
                  <w:tcW w:w="808" w:type="dxa"/>
                  <w:tcBorders>
                    <w:tl2br w:val="nil"/>
                    <w:tr2bl w:val="nil"/>
                  </w:tcBorders>
                  <w:noWrap w:val="0"/>
                  <w:vAlign w:val="center"/>
                </w:tcPr>
                <w:p w14:paraId="2992F9A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4</w:t>
                  </w:r>
                  <w:r>
                    <w:rPr>
                      <w:rFonts w:hint="default" w:ascii="Times New Roman" w:hAnsi="Times New Roman" w:eastAsia="宋体" w:cs="Times New Roman"/>
                      <w:bCs w:val="0"/>
                      <w:color w:val="auto"/>
                      <w:sz w:val="18"/>
                      <w:szCs w:val="18"/>
                      <w:highlight w:val="none"/>
                      <w:lang w:val="en-US" w:eastAsia="zh-CN"/>
                    </w:rPr>
                    <w:t>000</w:t>
                  </w:r>
                </w:p>
              </w:tc>
              <w:tc>
                <w:tcPr>
                  <w:tcW w:w="618" w:type="dxa"/>
                  <w:tcBorders>
                    <w:tl2br w:val="nil"/>
                    <w:tr2bl w:val="nil"/>
                  </w:tcBorders>
                  <w:noWrap w:val="0"/>
                  <w:vAlign w:val="center"/>
                </w:tcPr>
                <w:p w14:paraId="16217764">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w:t>
                  </w:r>
                </w:p>
              </w:tc>
              <w:tc>
                <w:tcPr>
                  <w:tcW w:w="953" w:type="dxa"/>
                  <w:tcBorders>
                    <w:tl2br w:val="nil"/>
                    <w:tr2bl w:val="nil"/>
                  </w:tcBorders>
                  <w:noWrap w:val="0"/>
                  <w:vAlign w:val="center"/>
                </w:tcPr>
                <w:p w14:paraId="445A0D9A">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val="en-US" w:eastAsia="zh-CN"/>
                    </w:rPr>
                    <w:t>9</w:t>
                  </w:r>
                  <w:r>
                    <w:rPr>
                      <w:rFonts w:hint="eastAsia" w:ascii="Times New Roman" w:hAnsi="Times New Roman" w:cs="Times New Roman"/>
                      <w:bCs w:val="0"/>
                      <w:color w:val="auto"/>
                      <w:sz w:val="18"/>
                      <w:szCs w:val="18"/>
                      <w:highlight w:val="none"/>
                      <w:lang w:val="en-US" w:eastAsia="zh-CN"/>
                    </w:rPr>
                    <w:t>9</w:t>
                  </w:r>
                </w:p>
              </w:tc>
              <w:tc>
                <w:tcPr>
                  <w:tcW w:w="775" w:type="dxa"/>
                  <w:vMerge w:val="continue"/>
                  <w:tcBorders>
                    <w:tl2br w:val="nil"/>
                    <w:tr2bl w:val="nil"/>
                  </w:tcBorders>
                  <w:noWrap w:val="0"/>
                  <w:vAlign w:val="center"/>
                </w:tcPr>
                <w:p w14:paraId="57772D48">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p>
              </w:tc>
            </w:tr>
            <w:tr w14:paraId="25D02A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continue"/>
                  <w:tcBorders>
                    <w:tl2br w:val="nil"/>
                    <w:tr2bl w:val="nil"/>
                  </w:tcBorders>
                  <w:noWrap w:val="0"/>
                  <w:vAlign w:val="center"/>
                </w:tcPr>
                <w:p w14:paraId="465245E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1256" w:type="dxa"/>
                  <w:tcBorders>
                    <w:tl2br w:val="nil"/>
                    <w:tr2bl w:val="nil"/>
                  </w:tcBorders>
                  <w:noWrap w:val="0"/>
                  <w:vAlign w:val="center"/>
                </w:tcPr>
                <w:p w14:paraId="6A7EDF76">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钢筋防腐浸泡、</w:t>
                  </w:r>
                  <w:r>
                    <w:rPr>
                      <w:rFonts w:hint="eastAsia" w:cs="Times New Roman"/>
                      <w:bCs w:val="0"/>
                      <w:color w:val="auto"/>
                      <w:sz w:val="18"/>
                      <w:szCs w:val="18"/>
                      <w:highlight w:val="none"/>
                      <w:lang w:val="en-US" w:eastAsia="zh-CN"/>
                    </w:rPr>
                    <w:t>烘干</w:t>
                  </w:r>
                </w:p>
              </w:tc>
              <w:tc>
                <w:tcPr>
                  <w:tcW w:w="1028" w:type="dxa"/>
                  <w:tcBorders>
                    <w:tl2br w:val="nil"/>
                    <w:tr2bl w:val="nil"/>
                  </w:tcBorders>
                  <w:noWrap w:val="0"/>
                  <w:vAlign w:val="center"/>
                </w:tcPr>
                <w:p w14:paraId="079A1F8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eastAsia="zh-CN"/>
                    </w:rPr>
                  </w:pPr>
                  <w:r>
                    <w:rPr>
                      <w:rFonts w:hint="default" w:ascii="Times New Roman" w:hAnsi="Times New Roman" w:eastAsia="宋体" w:cs="Times New Roman"/>
                      <w:bCs w:val="0"/>
                      <w:color w:val="auto"/>
                      <w:sz w:val="18"/>
                      <w:szCs w:val="18"/>
                      <w:highlight w:val="none"/>
                      <w:lang w:eastAsia="zh-CN"/>
                    </w:rPr>
                    <w:t>非甲烷总烃</w:t>
                  </w:r>
                </w:p>
              </w:tc>
              <w:tc>
                <w:tcPr>
                  <w:tcW w:w="588" w:type="dxa"/>
                  <w:vMerge w:val="continue"/>
                  <w:tcBorders>
                    <w:tl2br w:val="nil"/>
                    <w:tr2bl w:val="nil"/>
                  </w:tcBorders>
                  <w:noWrap w:val="0"/>
                  <w:vAlign w:val="center"/>
                </w:tcPr>
                <w:p w14:paraId="4EC138E8">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1323" w:type="dxa"/>
                  <w:tcBorders>
                    <w:tl2br w:val="nil"/>
                    <w:tr2bl w:val="nil"/>
                  </w:tcBorders>
                  <w:noWrap w:val="0"/>
                  <w:vAlign w:val="center"/>
                </w:tcPr>
                <w:p w14:paraId="3B762FD4">
                  <w:pPr>
                    <w:keepNext w:val="0"/>
                    <w:keepLines w:val="0"/>
                    <w:pageBreakBefore w:val="0"/>
                    <w:kinsoku/>
                    <w:wordWrap/>
                    <w:overflowPunct/>
                    <w:topLinePunct w:val="0"/>
                    <w:autoSpaceDE/>
                    <w:autoSpaceDN/>
                    <w:bidi w:val="0"/>
                    <w:snapToGrid/>
                    <w:spacing w:line="240" w:lineRule="auto"/>
                    <w:ind w:left="0" w:leftChars="0" w:right="0" w:rightChars="0" w:firstLine="0" w:firstLineChars="0"/>
                    <w:jc w:val="center"/>
                    <w:textAlignment w:val="center"/>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活性炭吸附装置+15m排气筒</w:t>
                  </w:r>
                  <w:r>
                    <w:rPr>
                      <w:rFonts w:hint="eastAsia" w:cs="Times New Roman"/>
                      <w:bCs w:val="0"/>
                      <w:color w:val="auto"/>
                      <w:sz w:val="18"/>
                      <w:szCs w:val="18"/>
                      <w:highlight w:val="none"/>
                      <w:lang w:val="en-US" w:eastAsia="zh-CN"/>
                    </w:rPr>
                    <w:t>（DA001）</w:t>
                  </w:r>
                </w:p>
              </w:tc>
              <w:tc>
                <w:tcPr>
                  <w:tcW w:w="808" w:type="dxa"/>
                  <w:tcBorders>
                    <w:tl2br w:val="nil"/>
                    <w:tr2bl w:val="nil"/>
                  </w:tcBorders>
                  <w:noWrap w:val="0"/>
                  <w:vAlign w:val="center"/>
                </w:tcPr>
                <w:p w14:paraId="455BB484">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1</w:t>
                  </w:r>
                  <w:r>
                    <w:rPr>
                      <w:rFonts w:hint="default" w:ascii="Times New Roman" w:hAnsi="Times New Roman" w:eastAsia="宋体" w:cs="Times New Roman"/>
                      <w:bCs w:val="0"/>
                      <w:color w:val="auto"/>
                      <w:sz w:val="18"/>
                      <w:szCs w:val="18"/>
                      <w:highlight w:val="none"/>
                      <w:lang w:val="en-US" w:eastAsia="zh-CN"/>
                    </w:rPr>
                    <w:t>000</w:t>
                  </w:r>
                </w:p>
              </w:tc>
              <w:tc>
                <w:tcPr>
                  <w:tcW w:w="618" w:type="dxa"/>
                  <w:tcBorders>
                    <w:tl2br w:val="nil"/>
                    <w:tr2bl w:val="nil"/>
                  </w:tcBorders>
                  <w:noWrap w:val="0"/>
                  <w:vAlign w:val="center"/>
                </w:tcPr>
                <w:p w14:paraId="16BA39E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val="en-US" w:eastAsia="zh-CN"/>
                    </w:rPr>
                    <w:t>-</w:t>
                  </w:r>
                </w:p>
              </w:tc>
              <w:tc>
                <w:tcPr>
                  <w:tcW w:w="953" w:type="dxa"/>
                  <w:tcBorders>
                    <w:tl2br w:val="nil"/>
                    <w:tr2bl w:val="nil"/>
                  </w:tcBorders>
                  <w:noWrap w:val="0"/>
                  <w:vAlign w:val="center"/>
                </w:tcPr>
                <w:p w14:paraId="75E47FB8">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90</w:t>
                  </w:r>
                </w:p>
              </w:tc>
              <w:tc>
                <w:tcPr>
                  <w:tcW w:w="775" w:type="dxa"/>
                  <w:vMerge w:val="continue"/>
                  <w:tcBorders>
                    <w:tl2br w:val="nil"/>
                    <w:tr2bl w:val="nil"/>
                  </w:tcBorders>
                  <w:noWrap w:val="0"/>
                  <w:vAlign w:val="center"/>
                </w:tcPr>
                <w:p w14:paraId="16A04FA8">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p>
              </w:tc>
            </w:tr>
            <w:tr w14:paraId="5799A1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restart"/>
                  <w:tcBorders>
                    <w:tl2br w:val="nil"/>
                    <w:tr2bl w:val="nil"/>
                  </w:tcBorders>
                  <w:noWrap w:val="0"/>
                  <w:vAlign w:val="center"/>
                </w:tcPr>
                <w:p w14:paraId="2FEAEF8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厂界</w:t>
                  </w:r>
                </w:p>
              </w:tc>
              <w:tc>
                <w:tcPr>
                  <w:tcW w:w="1256" w:type="dxa"/>
                  <w:tcBorders>
                    <w:tl2br w:val="nil"/>
                    <w:tr2bl w:val="nil"/>
                  </w:tcBorders>
                  <w:noWrap w:val="0"/>
                  <w:vAlign w:val="center"/>
                </w:tcPr>
                <w:p w14:paraId="51805636">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kern w:val="2"/>
                      <w:sz w:val="18"/>
                      <w:szCs w:val="18"/>
                      <w:highlight w:val="none"/>
                      <w:lang w:val="en-US" w:eastAsia="zh-CN" w:bidi="ar-SA"/>
                    </w:rPr>
                    <w:t>焊接</w:t>
                  </w:r>
                </w:p>
              </w:tc>
              <w:tc>
                <w:tcPr>
                  <w:tcW w:w="1028" w:type="dxa"/>
                  <w:tcBorders>
                    <w:tl2br w:val="nil"/>
                    <w:tr2bl w:val="nil"/>
                  </w:tcBorders>
                  <w:noWrap w:val="0"/>
                  <w:vAlign w:val="center"/>
                </w:tcPr>
                <w:p w14:paraId="3EDF1723">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颗粒物</w:t>
                  </w:r>
                </w:p>
              </w:tc>
              <w:tc>
                <w:tcPr>
                  <w:tcW w:w="588" w:type="dxa"/>
                  <w:vMerge w:val="restart"/>
                  <w:tcBorders>
                    <w:tl2br w:val="nil"/>
                    <w:tr2bl w:val="nil"/>
                  </w:tcBorders>
                  <w:noWrap w:val="0"/>
                  <w:vAlign w:val="center"/>
                </w:tcPr>
                <w:p w14:paraId="20F0AEA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r>
                    <w:rPr>
                      <w:rFonts w:hint="default" w:ascii="Times New Roman" w:hAnsi="Times New Roman" w:cs="Times New Roman"/>
                      <w:bCs w:val="0"/>
                      <w:color w:val="auto"/>
                      <w:sz w:val="18"/>
                      <w:szCs w:val="18"/>
                      <w:highlight w:val="none"/>
                      <w:lang w:eastAsia="zh-CN"/>
                    </w:rPr>
                    <w:t>无组织排放</w:t>
                  </w:r>
                </w:p>
              </w:tc>
              <w:tc>
                <w:tcPr>
                  <w:tcW w:w="1323" w:type="dxa"/>
                  <w:tcBorders>
                    <w:tl2br w:val="nil"/>
                    <w:tr2bl w:val="nil"/>
                  </w:tcBorders>
                  <w:noWrap w:val="0"/>
                  <w:vAlign w:val="center"/>
                </w:tcPr>
                <w:p w14:paraId="0546E5F4">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移动式焊接烟尘净化器</w:t>
                  </w:r>
                </w:p>
              </w:tc>
              <w:tc>
                <w:tcPr>
                  <w:tcW w:w="1426" w:type="dxa"/>
                  <w:gridSpan w:val="2"/>
                  <w:tcBorders>
                    <w:tl2br w:val="nil"/>
                    <w:tr2bl w:val="nil"/>
                  </w:tcBorders>
                  <w:noWrap w:val="0"/>
                  <w:vAlign w:val="center"/>
                </w:tcPr>
                <w:p w14:paraId="3FB5744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eastAsia" w:cs="Times New Roman"/>
                      <w:bCs w:val="0"/>
                      <w:color w:val="auto"/>
                      <w:sz w:val="18"/>
                      <w:szCs w:val="18"/>
                      <w:highlight w:val="none"/>
                      <w:lang w:val="en-US" w:eastAsia="zh-CN"/>
                    </w:rPr>
                    <w:t>-</w:t>
                  </w:r>
                </w:p>
              </w:tc>
              <w:tc>
                <w:tcPr>
                  <w:tcW w:w="953" w:type="dxa"/>
                  <w:tcBorders>
                    <w:tl2br w:val="nil"/>
                    <w:tr2bl w:val="nil"/>
                  </w:tcBorders>
                  <w:noWrap w:val="0"/>
                  <w:vAlign w:val="center"/>
                </w:tcPr>
                <w:p w14:paraId="3B72E3A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80</w:t>
                  </w:r>
                </w:p>
              </w:tc>
              <w:tc>
                <w:tcPr>
                  <w:tcW w:w="775" w:type="dxa"/>
                  <w:vMerge w:val="continue"/>
                  <w:tcBorders>
                    <w:tl2br w:val="nil"/>
                    <w:tr2bl w:val="nil"/>
                  </w:tcBorders>
                  <w:noWrap w:val="0"/>
                  <w:vAlign w:val="center"/>
                </w:tcPr>
                <w:p w14:paraId="3F166CB4">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p>
              </w:tc>
            </w:tr>
            <w:tr w14:paraId="075DC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continue"/>
                  <w:tcBorders>
                    <w:tl2br w:val="nil"/>
                    <w:tr2bl w:val="nil"/>
                  </w:tcBorders>
                  <w:noWrap w:val="0"/>
                  <w:vAlign w:val="center"/>
                </w:tcPr>
                <w:p w14:paraId="65B6F45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1256" w:type="dxa"/>
                  <w:tcBorders>
                    <w:tl2br w:val="nil"/>
                    <w:tr2bl w:val="nil"/>
                  </w:tcBorders>
                  <w:noWrap w:val="0"/>
                  <w:vAlign w:val="center"/>
                </w:tcPr>
                <w:p w14:paraId="101AAB6A">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钢筋防腐浸泡、</w:t>
                  </w:r>
                  <w:r>
                    <w:rPr>
                      <w:rFonts w:hint="eastAsia" w:cs="Times New Roman"/>
                      <w:bCs w:val="0"/>
                      <w:color w:val="auto"/>
                      <w:sz w:val="18"/>
                      <w:szCs w:val="18"/>
                      <w:highlight w:val="none"/>
                      <w:lang w:val="en-US" w:eastAsia="zh-CN"/>
                    </w:rPr>
                    <w:t>烘干</w:t>
                  </w:r>
                </w:p>
              </w:tc>
              <w:tc>
                <w:tcPr>
                  <w:tcW w:w="1028" w:type="dxa"/>
                  <w:tcBorders>
                    <w:tl2br w:val="nil"/>
                    <w:tr2bl w:val="nil"/>
                  </w:tcBorders>
                  <w:noWrap w:val="0"/>
                  <w:vAlign w:val="center"/>
                </w:tcPr>
                <w:p w14:paraId="75DC913C">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eastAsia="宋体" w:cs="Times New Roman"/>
                      <w:color w:val="auto"/>
                      <w:spacing w:val="3"/>
                      <w:sz w:val="18"/>
                      <w:szCs w:val="18"/>
                      <w:highlight w:val="none"/>
                      <w:lang w:eastAsia="zh-CN"/>
                    </w:rPr>
                  </w:pPr>
                  <w:r>
                    <w:rPr>
                      <w:rFonts w:hint="default" w:ascii="Times New Roman" w:hAnsi="Times New Roman" w:cs="Times New Roman"/>
                      <w:color w:val="auto"/>
                      <w:sz w:val="18"/>
                      <w:szCs w:val="18"/>
                      <w:highlight w:val="none"/>
                      <w:lang w:val="en-US" w:eastAsia="zh-CN"/>
                    </w:rPr>
                    <w:t>NMHC</w:t>
                  </w:r>
                </w:p>
              </w:tc>
              <w:tc>
                <w:tcPr>
                  <w:tcW w:w="588" w:type="dxa"/>
                  <w:vMerge w:val="continue"/>
                  <w:tcBorders>
                    <w:tl2br w:val="nil"/>
                    <w:tr2bl w:val="nil"/>
                  </w:tcBorders>
                  <w:noWrap w:val="0"/>
                  <w:vAlign w:val="center"/>
                </w:tcPr>
                <w:p w14:paraId="2D7805F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323" w:type="dxa"/>
                  <w:tcBorders>
                    <w:tl2br w:val="nil"/>
                    <w:tr2bl w:val="nil"/>
                  </w:tcBorders>
                  <w:noWrap w:val="0"/>
                  <w:vAlign w:val="center"/>
                </w:tcPr>
                <w:p w14:paraId="4039E2EA">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426" w:type="dxa"/>
                  <w:gridSpan w:val="2"/>
                  <w:tcBorders>
                    <w:tl2br w:val="nil"/>
                    <w:tr2bl w:val="nil"/>
                  </w:tcBorders>
                  <w:noWrap w:val="0"/>
                  <w:vAlign w:val="center"/>
                </w:tcPr>
                <w:p w14:paraId="33DB5658">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w:t>
                  </w:r>
                </w:p>
              </w:tc>
              <w:tc>
                <w:tcPr>
                  <w:tcW w:w="953" w:type="dxa"/>
                  <w:tcBorders>
                    <w:tl2br w:val="nil"/>
                    <w:tr2bl w:val="nil"/>
                  </w:tcBorders>
                  <w:noWrap w:val="0"/>
                  <w:vAlign w:val="center"/>
                </w:tcPr>
                <w:p w14:paraId="2B3C4D6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w:t>
                  </w:r>
                </w:p>
              </w:tc>
              <w:tc>
                <w:tcPr>
                  <w:tcW w:w="775" w:type="dxa"/>
                  <w:vMerge w:val="continue"/>
                  <w:tcBorders>
                    <w:tl2br w:val="nil"/>
                    <w:tr2bl w:val="nil"/>
                  </w:tcBorders>
                  <w:noWrap w:val="0"/>
                  <w:vAlign w:val="center"/>
                </w:tcPr>
                <w:p w14:paraId="570B96F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p>
              </w:tc>
            </w:tr>
            <w:tr w14:paraId="7A9F21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continue"/>
                  <w:tcBorders>
                    <w:tl2br w:val="nil"/>
                    <w:tr2bl w:val="nil"/>
                  </w:tcBorders>
                  <w:noWrap w:val="0"/>
                  <w:vAlign w:val="center"/>
                </w:tcPr>
                <w:p w14:paraId="583C3A3E">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1256" w:type="dxa"/>
                  <w:tcBorders>
                    <w:tl2br w:val="nil"/>
                    <w:tr2bl w:val="nil"/>
                  </w:tcBorders>
                  <w:noWrap w:val="0"/>
                  <w:vAlign w:val="center"/>
                </w:tcPr>
                <w:p w14:paraId="3B6D3D57">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eastAsia="宋体" w:cs="Times New Roman"/>
                      <w:bCs w:val="0"/>
                      <w:color w:val="auto"/>
                      <w:kern w:val="2"/>
                      <w:sz w:val="18"/>
                      <w:szCs w:val="18"/>
                      <w:highlight w:val="none"/>
                      <w:lang w:val="en-US" w:eastAsia="zh-CN" w:bidi="ar-SA"/>
                    </w:rPr>
                    <w:t>投料、破碎、球磨、搅拌、切割、焊接</w:t>
                  </w:r>
                </w:p>
              </w:tc>
              <w:tc>
                <w:tcPr>
                  <w:tcW w:w="1028" w:type="dxa"/>
                  <w:tcBorders>
                    <w:tl2br w:val="nil"/>
                    <w:tr2bl w:val="nil"/>
                  </w:tcBorders>
                  <w:noWrap w:val="0"/>
                  <w:vAlign w:val="center"/>
                </w:tcPr>
                <w:p w14:paraId="5BA7D43C">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eastAsia="宋体" w:cs="Times New Roman"/>
                      <w:color w:val="auto"/>
                      <w:spacing w:val="3"/>
                      <w:sz w:val="18"/>
                      <w:szCs w:val="18"/>
                      <w:highlight w:val="none"/>
                      <w:lang w:eastAsia="zh-CN"/>
                    </w:rPr>
                  </w:pPr>
                  <w:r>
                    <w:rPr>
                      <w:rFonts w:hint="default" w:ascii="Times New Roman" w:hAnsi="Times New Roman" w:cs="Times New Roman"/>
                      <w:color w:val="auto"/>
                      <w:sz w:val="18"/>
                      <w:szCs w:val="18"/>
                      <w:highlight w:val="none"/>
                      <w:lang w:val="en-US" w:eastAsia="zh-CN"/>
                    </w:rPr>
                    <w:t>颗粒物</w:t>
                  </w:r>
                </w:p>
              </w:tc>
              <w:tc>
                <w:tcPr>
                  <w:tcW w:w="588" w:type="dxa"/>
                  <w:vMerge w:val="continue"/>
                  <w:tcBorders>
                    <w:tl2br w:val="nil"/>
                    <w:tr2bl w:val="nil"/>
                  </w:tcBorders>
                  <w:noWrap w:val="0"/>
                  <w:vAlign w:val="center"/>
                </w:tcPr>
                <w:p w14:paraId="2A9BC4DC">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323" w:type="dxa"/>
                  <w:tcBorders>
                    <w:tl2br w:val="nil"/>
                    <w:tr2bl w:val="nil"/>
                  </w:tcBorders>
                  <w:noWrap w:val="0"/>
                  <w:vAlign w:val="center"/>
                </w:tcPr>
                <w:p w14:paraId="43CEDDB0">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426" w:type="dxa"/>
                  <w:gridSpan w:val="2"/>
                  <w:tcBorders>
                    <w:tl2br w:val="nil"/>
                    <w:tr2bl w:val="nil"/>
                  </w:tcBorders>
                  <w:noWrap w:val="0"/>
                  <w:vAlign w:val="center"/>
                </w:tcPr>
                <w:p w14:paraId="34C712AC">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w:t>
                  </w:r>
                </w:p>
              </w:tc>
              <w:tc>
                <w:tcPr>
                  <w:tcW w:w="953" w:type="dxa"/>
                  <w:tcBorders>
                    <w:tl2br w:val="nil"/>
                    <w:tr2bl w:val="nil"/>
                  </w:tcBorders>
                  <w:noWrap w:val="0"/>
                  <w:vAlign w:val="center"/>
                </w:tcPr>
                <w:p w14:paraId="147152A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w:t>
                  </w:r>
                </w:p>
              </w:tc>
              <w:tc>
                <w:tcPr>
                  <w:tcW w:w="775" w:type="dxa"/>
                  <w:vMerge w:val="continue"/>
                  <w:tcBorders>
                    <w:tl2br w:val="nil"/>
                    <w:tr2bl w:val="nil"/>
                  </w:tcBorders>
                  <w:noWrap w:val="0"/>
                  <w:vAlign w:val="center"/>
                </w:tcPr>
                <w:p w14:paraId="2EF3C0A9">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p>
              </w:tc>
            </w:tr>
          </w:tbl>
          <w:p w14:paraId="0CB80FB7">
            <w:pPr>
              <w:adjustRightInd w:val="0"/>
              <w:snapToGrid w:val="0"/>
              <w:spacing w:line="240" w:lineRule="auto"/>
              <w:ind w:firstLine="0" w:firstLineChars="0"/>
              <w:jc w:val="center"/>
              <w:rPr>
                <w:rFonts w:hint="default" w:ascii="Times New Roman" w:hAnsi="Times New Roman" w:cs="Times New Roman"/>
                <w:b/>
                <w:bCs w:val="0"/>
                <w:color w:val="auto"/>
                <w:sz w:val="21"/>
                <w:szCs w:val="21"/>
                <w:highlight w:val="none"/>
                <w:lang w:eastAsia="zh-CN"/>
              </w:rPr>
            </w:pPr>
            <w:r>
              <w:rPr>
                <w:rFonts w:hint="default" w:ascii="Times New Roman" w:hAnsi="Times New Roman" w:cs="Times New Roman"/>
                <w:b/>
                <w:bCs w:val="0"/>
                <w:color w:val="auto"/>
                <w:sz w:val="21"/>
                <w:szCs w:val="21"/>
                <w:highlight w:val="none"/>
                <w:lang w:eastAsia="zh-CN"/>
              </w:rPr>
              <w:t>表4-</w:t>
            </w:r>
            <w:r>
              <w:rPr>
                <w:rFonts w:hint="default" w:ascii="Times New Roman" w:hAnsi="Times New Roman" w:cs="Times New Roman"/>
                <w:b/>
                <w:bCs w:val="0"/>
                <w:color w:val="auto"/>
                <w:sz w:val="21"/>
                <w:szCs w:val="21"/>
                <w:highlight w:val="none"/>
                <w:lang w:val="en-US" w:eastAsia="zh-CN"/>
              </w:rPr>
              <w:t>2</w:t>
            </w:r>
            <w:r>
              <w:rPr>
                <w:rFonts w:hint="default" w:ascii="Times New Roman" w:hAnsi="Times New Roman" w:cs="Times New Roman"/>
                <w:b/>
                <w:bCs w:val="0"/>
                <w:color w:val="auto"/>
                <w:sz w:val="21"/>
                <w:szCs w:val="21"/>
                <w:highlight w:val="none"/>
                <w:lang w:eastAsia="zh-CN"/>
              </w:rPr>
              <w:t xml:space="preserve"> 废气污染源源强核算结果及相关参数一览表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
              <w:gridCol w:w="593"/>
              <w:gridCol w:w="587"/>
              <w:gridCol w:w="425"/>
              <w:gridCol w:w="550"/>
              <w:gridCol w:w="575"/>
              <w:gridCol w:w="500"/>
              <w:gridCol w:w="525"/>
              <w:gridCol w:w="654"/>
              <w:gridCol w:w="558"/>
              <w:gridCol w:w="481"/>
              <w:gridCol w:w="647"/>
              <w:gridCol w:w="572"/>
              <w:gridCol w:w="541"/>
              <w:gridCol w:w="400"/>
            </w:tblGrid>
            <w:tr w14:paraId="604E9E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85" w:type="pct"/>
                  <w:gridSpan w:val="2"/>
                  <w:vMerge w:val="restart"/>
                  <w:tcBorders>
                    <w:tl2br w:val="nil"/>
                    <w:tr2bl w:val="nil"/>
                  </w:tcBorders>
                  <w:noWrap w:val="0"/>
                  <w:vAlign w:val="center"/>
                </w:tcPr>
                <w:p w14:paraId="7CD8135E">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排放源</w:t>
                  </w:r>
                </w:p>
              </w:tc>
              <w:tc>
                <w:tcPr>
                  <w:tcW w:w="369" w:type="pct"/>
                  <w:vMerge w:val="restart"/>
                  <w:tcBorders>
                    <w:tl2br w:val="nil"/>
                    <w:tr2bl w:val="nil"/>
                  </w:tcBorders>
                  <w:noWrap w:val="0"/>
                  <w:vAlign w:val="center"/>
                </w:tcPr>
                <w:p w14:paraId="760A53F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1620" w:type="pct"/>
                  <w:gridSpan w:val="5"/>
                  <w:tcBorders>
                    <w:tl2br w:val="nil"/>
                    <w:tr2bl w:val="nil"/>
                  </w:tcBorders>
                  <w:noWrap w:val="0"/>
                  <w:vAlign w:val="center"/>
                </w:tcPr>
                <w:p w14:paraId="7D3BCF4A">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污染物产生</w:t>
                  </w:r>
                </w:p>
              </w:tc>
              <w:tc>
                <w:tcPr>
                  <w:tcW w:w="762" w:type="pct"/>
                  <w:gridSpan w:val="2"/>
                  <w:tcBorders>
                    <w:tl2br w:val="nil"/>
                    <w:tr2bl w:val="nil"/>
                  </w:tcBorders>
                  <w:noWrap w:val="0"/>
                  <w:vAlign w:val="center"/>
                </w:tcPr>
                <w:p w14:paraId="7A4A381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w:t>
                  </w:r>
                </w:p>
                <w:p w14:paraId="7000139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措施</w:t>
                  </w:r>
                </w:p>
              </w:tc>
              <w:tc>
                <w:tcPr>
                  <w:tcW w:w="1410" w:type="pct"/>
                  <w:gridSpan w:val="4"/>
                  <w:tcBorders>
                    <w:tl2br w:val="nil"/>
                    <w:tr2bl w:val="nil"/>
                  </w:tcBorders>
                  <w:noWrap w:val="0"/>
                  <w:vAlign w:val="center"/>
                </w:tcPr>
                <w:p w14:paraId="2E355C3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污染物排放</w:t>
                  </w:r>
                </w:p>
              </w:tc>
              <w:tc>
                <w:tcPr>
                  <w:tcW w:w="251" w:type="pct"/>
                  <w:vMerge w:val="restart"/>
                  <w:tcBorders>
                    <w:tl2br w:val="nil"/>
                    <w:tr2bl w:val="nil"/>
                  </w:tcBorders>
                  <w:noWrap w:val="0"/>
                  <w:vAlign w:val="center"/>
                </w:tcPr>
                <w:p w14:paraId="772BCE6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排放时间/h</w:t>
                  </w:r>
                </w:p>
              </w:tc>
            </w:tr>
            <w:tr w14:paraId="67E46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85" w:type="pct"/>
                  <w:gridSpan w:val="2"/>
                  <w:vMerge w:val="continue"/>
                  <w:tcBorders>
                    <w:tl2br w:val="nil"/>
                    <w:tr2bl w:val="nil"/>
                  </w:tcBorders>
                  <w:noWrap w:val="0"/>
                  <w:vAlign w:val="center"/>
                </w:tcPr>
                <w:p w14:paraId="3C6FE25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p>
              </w:tc>
              <w:tc>
                <w:tcPr>
                  <w:tcW w:w="369" w:type="pct"/>
                  <w:vMerge w:val="continue"/>
                  <w:tcBorders>
                    <w:tl2br w:val="nil"/>
                    <w:tr2bl w:val="nil"/>
                  </w:tcBorders>
                  <w:noWrap w:val="0"/>
                  <w:vAlign w:val="center"/>
                </w:tcPr>
                <w:p w14:paraId="4C8D063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p>
              </w:tc>
              <w:tc>
                <w:tcPr>
                  <w:tcW w:w="267" w:type="pct"/>
                  <w:tcBorders>
                    <w:tl2br w:val="nil"/>
                    <w:tr2bl w:val="nil"/>
                  </w:tcBorders>
                  <w:noWrap w:val="0"/>
                  <w:vAlign w:val="center"/>
                </w:tcPr>
                <w:p w14:paraId="059FF04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核算方法</w:t>
                  </w:r>
                </w:p>
              </w:tc>
              <w:tc>
                <w:tcPr>
                  <w:tcW w:w="346" w:type="pct"/>
                  <w:tcBorders>
                    <w:tl2br w:val="nil"/>
                    <w:tr2bl w:val="nil"/>
                  </w:tcBorders>
                  <w:noWrap w:val="0"/>
                  <w:vAlign w:val="center"/>
                </w:tcPr>
                <w:p w14:paraId="3D81614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/h</w:t>
                  </w:r>
                </w:p>
              </w:tc>
              <w:tc>
                <w:tcPr>
                  <w:tcW w:w="361" w:type="pct"/>
                  <w:tcBorders>
                    <w:tl2br w:val="nil"/>
                    <w:tr2bl w:val="nil"/>
                  </w:tcBorders>
                  <w:noWrap w:val="0"/>
                  <w:vAlign w:val="center"/>
                </w:tcPr>
                <w:p w14:paraId="4084F1A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产生浓度mg/m</w:t>
                  </w:r>
                  <w:r>
                    <w:rPr>
                      <w:rFonts w:hint="default" w:ascii="Times New Roman" w:hAnsi="Times New Roman" w:cs="Times New Roman"/>
                      <w:color w:val="auto"/>
                      <w:sz w:val="18"/>
                      <w:szCs w:val="18"/>
                      <w:highlight w:val="none"/>
                      <w:vertAlign w:val="superscript"/>
                    </w:rPr>
                    <w:t>3</w:t>
                  </w:r>
                </w:p>
              </w:tc>
              <w:tc>
                <w:tcPr>
                  <w:tcW w:w="314" w:type="pct"/>
                  <w:tcBorders>
                    <w:tl2br w:val="nil"/>
                    <w:tr2bl w:val="nil"/>
                  </w:tcBorders>
                  <w:noWrap w:val="0"/>
                  <w:vAlign w:val="center"/>
                </w:tcPr>
                <w:p w14:paraId="34BBA39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产生速率kg/h</w:t>
                  </w:r>
                </w:p>
              </w:tc>
              <w:tc>
                <w:tcPr>
                  <w:tcW w:w="330" w:type="pct"/>
                  <w:tcBorders>
                    <w:tl2br w:val="nil"/>
                    <w:tr2bl w:val="nil"/>
                  </w:tcBorders>
                  <w:noWrap w:val="0"/>
                  <w:vAlign w:val="center"/>
                </w:tcPr>
                <w:p w14:paraId="46F5A65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产生量</w:t>
                  </w:r>
                </w:p>
                <w:p w14:paraId="7874FE0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411" w:type="pct"/>
                  <w:tcBorders>
                    <w:tl2br w:val="nil"/>
                    <w:tr2bl w:val="nil"/>
                  </w:tcBorders>
                  <w:noWrap w:val="0"/>
                  <w:vAlign w:val="center"/>
                </w:tcPr>
                <w:p w14:paraId="4586D1CA">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工艺</w:t>
                  </w:r>
                </w:p>
              </w:tc>
              <w:tc>
                <w:tcPr>
                  <w:tcW w:w="351" w:type="pct"/>
                  <w:tcBorders>
                    <w:tl2br w:val="nil"/>
                    <w:tr2bl w:val="nil"/>
                  </w:tcBorders>
                  <w:noWrap w:val="0"/>
                  <w:vAlign w:val="center"/>
                </w:tcPr>
                <w:p w14:paraId="05AA591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效率%</w:t>
                  </w:r>
                </w:p>
              </w:tc>
              <w:tc>
                <w:tcPr>
                  <w:tcW w:w="302" w:type="pct"/>
                  <w:tcBorders>
                    <w:tl2br w:val="nil"/>
                    <w:tr2bl w:val="nil"/>
                  </w:tcBorders>
                  <w:noWrap w:val="0"/>
                  <w:vAlign w:val="center"/>
                </w:tcPr>
                <w:p w14:paraId="2F0AA2E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核算方法</w:t>
                  </w:r>
                </w:p>
              </w:tc>
              <w:tc>
                <w:tcPr>
                  <w:tcW w:w="407" w:type="pct"/>
                  <w:tcBorders>
                    <w:tl2br w:val="nil"/>
                    <w:tr2bl w:val="nil"/>
                  </w:tcBorders>
                  <w:shd w:val="clear" w:color="auto" w:fill="auto"/>
                  <w:noWrap w:val="0"/>
                  <w:vAlign w:val="center"/>
                </w:tcPr>
                <w:p w14:paraId="381512E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w:t>
                  </w:r>
                </w:p>
                <w:p w14:paraId="37D69D7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浓度mg/m</w:t>
                  </w:r>
                  <w:r>
                    <w:rPr>
                      <w:rFonts w:hint="default" w:ascii="Times New Roman" w:hAnsi="Times New Roman" w:cs="Times New Roman"/>
                      <w:color w:val="auto"/>
                      <w:sz w:val="18"/>
                      <w:szCs w:val="18"/>
                      <w:highlight w:val="none"/>
                      <w:vertAlign w:val="superscript"/>
                    </w:rPr>
                    <w:t>3</w:t>
                  </w:r>
                </w:p>
              </w:tc>
              <w:tc>
                <w:tcPr>
                  <w:tcW w:w="359" w:type="pct"/>
                  <w:tcBorders>
                    <w:tl2br w:val="nil"/>
                    <w:tr2bl w:val="nil"/>
                  </w:tcBorders>
                  <w:shd w:val="clear" w:color="auto" w:fill="auto"/>
                  <w:noWrap w:val="0"/>
                  <w:vAlign w:val="center"/>
                </w:tcPr>
                <w:p w14:paraId="623FF31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排放速率kg/h</w:t>
                  </w:r>
                </w:p>
              </w:tc>
              <w:tc>
                <w:tcPr>
                  <w:tcW w:w="340" w:type="pct"/>
                  <w:tcBorders>
                    <w:tl2br w:val="nil"/>
                    <w:tr2bl w:val="nil"/>
                  </w:tcBorders>
                  <w:noWrap w:val="0"/>
                  <w:vAlign w:val="center"/>
                </w:tcPr>
                <w:p w14:paraId="68D90BD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排放量t/a</w:t>
                  </w:r>
                </w:p>
              </w:tc>
              <w:tc>
                <w:tcPr>
                  <w:tcW w:w="251" w:type="pct"/>
                  <w:vMerge w:val="continue"/>
                  <w:tcBorders>
                    <w:tl2br w:val="nil"/>
                    <w:tr2bl w:val="nil"/>
                  </w:tcBorders>
                  <w:noWrap w:val="0"/>
                  <w:vAlign w:val="center"/>
                </w:tcPr>
                <w:p w14:paraId="09E51C4E">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p>
              </w:tc>
            </w:tr>
            <w:tr w14:paraId="03A696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12" w:type="pct"/>
                  <w:vMerge w:val="restart"/>
                  <w:tcBorders>
                    <w:tl2br w:val="nil"/>
                    <w:tr2bl w:val="nil"/>
                  </w:tcBorders>
                  <w:noWrap w:val="0"/>
                  <w:vAlign w:val="center"/>
                </w:tcPr>
                <w:p w14:paraId="7A0AABF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有组织排放</w:t>
                  </w:r>
                </w:p>
              </w:tc>
              <w:tc>
                <w:tcPr>
                  <w:tcW w:w="373" w:type="pct"/>
                  <w:vMerge w:val="restart"/>
                  <w:tcBorders>
                    <w:tl2br w:val="nil"/>
                    <w:tr2bl w:val="nil"/>
                  </w:tcBorders>
                  <w:noWrap w:val="0"/>
                  <w:vAlign w:val="center"/>
                </w:tcPr>
                <w:p w14:paraId="4DB3166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燃生物质</w:t>
                  </w:r>
                  <w:r>
                    <w:rPr>
                      <w:rFonts w:hint="default" w:ascii="Times New Roman" w:hAnsi="Times New Roman" w:cs="Times New Roman"/>
                      <w:color w:val="auto"/>
                      <w:sz w:val="18"/>
                      <w:szCs w:val="18"/>
                      <w:highlight w:val="none"/>
                    </w:rPr>
                    <w:t>锅炉</w:t>
                  </w:r>
                </w:p>
              </w:tc>
              <w:tc>
                <w:tcPr>
                  <w:tcW w:w="369" w:type="pct"/>
                  <w:tcBorders>
                    <w:tl2br w:val="nil"/>
                    <w:tr2bl w:val="nil"/>
                  </w:tcBorders>
                  <w:noWrap w:val="0"/>
                  <w:vAlign w:val="center"/>
                </w:tcPr>
                <w:p w14:paraId="03FFA8B4">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bCs w:val="0"/>
                      <w:color w:val="auto"/>
                      <w:sz w:val="18"/>
                      <w:szCs w:val="18"/>
                      <w:highlight w:val="none"/>
                      <w:lang w:eastAsia="zh-CN"/>
                    </w:rPr>
                    <w:t>颗粒物</w:t>
                  </w:r>
                </w:p>
              </w:tc>
              <w:tc>
                <w:tcPr>
                  <w:tcW w:w="267" w:type="pct"/>
                  <w:vMerge w:val="restart"/>
                  <w:tcBorders>
                    <w:tl2br w:val="nil"/>
                    <w:tr2bl w:val="nil"/>
                  </w:tcBorders>
                  <w:noWrap w:val="0"/>
                  <w:vAlign w:val="center"/>
                </w:tcPr>
                <w:p w14:paraId="1DB8E93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物料衡算法</w:t>
                  </w:r>
                </w:p>
              </w:tc>
              <w:tc>
                <w:tcPr>
                  <w:tcW w:w="346" w:type="pct"/>
                  <w:vMerge w:val="restart"/>
                  <w:tcBorders>
                    <w:tl2br w:val="nil"/>
                    <w:tr2bl w:val="nil"/>
                  </w:tcBorders>
                  <w:noWrap w:val="0"/>
                  <w:vAlign w:val="center"/>
                </w:tcPr>
                <w:p w14:paraId="7572E27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bCs w:val="0"/>
                      <w:color w:val="auto"/>
                      <w:sz w:val="18"/>
                      <w:szCs w:val="18"/>
                      <w:highlight w:val="none"/>
                      <w:lang w:val="en-US" w:eastAsia="zh-CN"/>
                    </w:rPr>
                    <w:t>14333.3</w:t>
                  </w:r>
                </w:p>
              </w:tc>
              <w:tc>
                <w:tcPr>
                  <w:tcW w:w="361" w:type="pct"/>
                  <w:tcBorders>
                    <w:tl2br w:val="nil"/>
                    <w:tr2bl w:val="nil"/>
                  </w:tcBorders>
                  <w:noWrap w:val="0"/>
                  <w:vAlign w:val="center"/>
                </w:tcPr>
                <w:p w14:paraId="1E07FC4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6328</w:t>
                  </w:r>
                </w:p>
              </w:tc>
              <w:tc>
                <w:tcPr>
                  <w:tcW w:w="314" w:type="pct"/>
                  <w:tcBorders>
                    <w:tl2br w:val="nil"/>
                    <w:tr2bl w:val="nil"/>
                  </w:tcBorders>
                  <w:noWrap w:val="0"/>
                  <w:vAlign w:val="center"/>
                </w:tcPr>
                <w:p w14:paraId="3F131F7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90.7</w:t>
                  </w:r>
                </w:p>
              </w:tc>
              <w:tc>
                <w:tcPr>
                  <w:tcW w:w="330" w:type="pct"/>
                  <w:tcBorders>
                    <w:tl2br w:val="nil"/>
                    <w:tr2bl w:val="nil"/>
                  </w:tcBorders>
                  <w:noWrap w:val="0"/>
                  <w:vAlign w:val="center"/>
                </w:tcPr>
                <w:p w14:paraId="7C368EC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435.3</w:t>
                  </w:r>
                </w:p>
              </w:tc>
              <w:tc>
                <w:tcPr>
                  <w:tcW w:w="411" w:type="pct"/>
                  <w:vMerge w:val="restart"/>
                  <w:tcBorders>
                    <w:tl2br w:val="nil"/>
                    <w:tr2bl w:val="nil"/>
                  </w:tcBorders>
                  <w:noWrap w:val="0"/>
                  <w:vAlign w:val="center"/>
                </w:tcPr>
                <w:p w14:paraId="548ED63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低氮燃烧</w:t>
                  </w: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旋风除尘+</w:t>
                  </w:r>
                  <w:r>
                    <w:rPr>
                      <w:rFonts w:hint="default" w:ascii="Times New Roman" w:hAnsi="Times New Roman" w:cs="Times New Roman"/>
                      <w:color w:val="auto"/>
                      <w:sz w:val="18"/>
                      <w:szCs w:val="18"/>
                      <w:highlight w:val="none"/>
                      <w:lang w:val="en-US" w:eastAsia="zh-CN"/>
                    </w:rPr>
                    <w:t>布袋除尘器+40m高</w:t>
                  </w:r>
                  <w:r>
                    <w:rPr>
                      <w:rFonts w:hint="eastAsia" w:cs="Times New Roman"/>
                      <w:color w:val="auto"/>
                      <w:sz w:val="18"/>
                      <w:szCs w:val="18"/>
                      <w:highlight w:val="none"/>
                      <w:lang w:val="en-US" w:eastAsia="zh-CN"/>
                    </w:rPr>
                    <w:t>烟囱</w:t>
                  </w:r>
                  <w:r>
                    <w:rPr>
                      <w:rFonts w:hint="eastAsia" w:cs="Times New Roman"/>
                      <w:bCs w:val="0"/>
                      <w:color w:val="auto"/>
                      <w:sz w:val="18"/>
                      <w:szCs w:val="18"/>
                      <w:highlight w:val="none"/>
                      <w:lang w:val="en-US" w:eastAsia="zh-CN"/>
                    </w:rPr>
                    <w:t>（DA002）</w:t>
                  </w:r>
                </w:p>
              </w:tc>
              <w:tc>
                <w:tcPr>
                  <w:tcW w:w="351" w:type="pct"/>
                  <w:tcBorders>
                    <w:tl2br w:val="nil"/>
                    <w:tr2bl w:val="nil"/>
                  </w:tcBorders>
                  <w:noWrap w:val="0"/>
                  <w:vAlign w:val="center"/>
                </w:tcPr>
                <w:p w14:paraId="7FD538BE">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99.6</w:t>
                  </w:r>
                </w:p>
              </w:tc>
              <w:tc>
                <w:tcPr>
                  <w:tcW w:w="302" w:type="pct"/>
                  <w:vMerge w:val="restart"/>
                  <w:tcBorders>
                    <w:tl2br w:val="nil"/>
                    <w:tr2bl w:val="nil"/>
                  </w:tcBorders>
                  <w:noWrap w:val="0"/>
                  <w:vAlign w:val="center"/>
                </w:tcPr>
                <w:p w14:paraId="12BBC33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物料衡算法</w:t>
                  </w:r>
                </w:p>
              </w:tc>
              <w:tc>
                <w:tcPr>
                  <w:tcW w:w="407" w:type="pct"/>
                  <w:tcBorders>
                    <w:tl2br w:val="nil"/>
                    <w:tr2bl w:val="nil"/>
                  </w:tcBorders>
                  <w:shd w:val="clear" w:color="auto" w:fill="auto"/>
                  <w:noWrap w:val="0"/>
                  <w:vAlign w:val="center"/>
                </w:tcPr>
                <w:p w14:paraId="3038C30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25.3</w:t>
                  </w:r>
                </w:p>
              </w:tc>
              <w:tc>
                <w:tcPr>
                  <w:tcW w:w="359" w:type="pct"/>
                  <w:tcBorders>
                    <w:tl2br w:val="nil"/>
                    <w:tr2bl w:val="nil"/>
                  </w:tcBorders>
                  <w:shd w:val="clear" w:color="auto" w:fill="auto"/>
                  <w:noWrap w:val="0"/>
                  <w:vAlign w:val="center"/>
                </w:tcPr>
                <w:p w14:paraId="2DA3145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0.3</w:t>
                  </w:r>
                  <w:r>
                    <w:rPr>
                      <w:rFonts w:hint="eastAsia" w:ascii="Times New Roman" w:hAnsi="Times New Roman" w:eastAsia="宋体" w:cs="Times New Roman"/>
                      <w:color w:val="auto"/>
                      <w:sz w:val="18"/>
                      <w:szCs w:val="18"/>
                      <w:highlight w:val="none"/>
                      <w:lang w:val="en-US" w:eastAsia="zh-CN"/>
                    </w:rPr>
                    <w:t>6</w:t>
                  </w:r>
                </w:p>
              </w:tc>
              <w:tc>
                <w:tcPr>
                  <w:tcW w:w="340" w:type="pct"/>
                  <w:tcBorders>
                    <w:tl2br w:val="nil"/>
                    <w:tr2bl w:val="nil"/>
                  </w:tcBorders>
                  <w:noWrap w:val="0"/>
                  <w:vAlign w:val="center"/>
                </w:tcPr>
                <w:p w14:paraId="20B3368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1.74</w:t>
                  </w:r>
                </w:p>
              </w:tc>
              <w:tc>
                <w:tcPr>
                  <w:tcW w:w="251" w:type="pct"/>
                  <w:vMerge w:val="restart"/>
                  <w:tcBorders>
                    <w:tl2br w:val="nil"/>
                    <w:tr2bl w:val="nil"/>
                  </w:tcBorders>
                  <w:noWrap w:val="0"/>
                  <w:vAlign w:val="center"/>
                </w:tcPr>
                <w:p w14:paraId="012225E1">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4800</w:t>
                  </w:r>
                </w:p>
              </w:tc>
            </w:tr>
            <w:tr w14:paraId="5D3779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212" w:type="pct"/>
                  <w:vMerge w:val="continue"/>
                  <w:tcBorders>
                    <w:tl2br w:val="nil"/>
                    <w:tr2bl w:val="nil"/>
                  </w:tcBorders>
                  <w:noWrap w:val="0"/>
                  <w:vAlign w:val="center"/>
                </w:tcPr>
                <w:p w14:paraId="732EBC1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p>
              </w:tc>
              <w:tc>
                <w:tcPr>
                  <w:tcW w:w="373" w:type="pct"/>
                  <w:vMerge w:val="continue"/>
                  <w:tcBorders>
                    <w:tl2br w:val="nil"/>
                    <w:tr2bl w:val="nil"/>
                  </w:tcBorders>
                  <w:noWrap w:val="0"/>
                  <w:vAlign w:val="center"/>
                </w:tcPr>
                <w:p w14:paraId="66C5228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69" w:type="pct"/>
                  <w:tcBorders>
                    <w:tl2br w:val="nil"/>
                    <w:tr2bl w:val="nil"/>
                  </w:tcBorders>
                  <w:noWrap w:val="0"/>
                  <w:vAlign w:val="center"/>
                </w:tcPr>
                <w:p w14:paraId="015DB0BF">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eastAsia="zh-CN"/>
                    </w:rPr>
                    <w:t>二氧化硫</w:t>
                  </w:r>
                </w:p>
              </w:tc>
              <w:tc>
                <w:tcPr>
                  <w:tcW w:w="267" w:type="pct"/>
                  <w:vMerge w:val="continue"/>
                  <w:tcBorders>
                    <w:tl2br w:val="nil"/>
                    <w:tr2bl w:val="nil"/>
                  </w:tcBorders>
                  <w:noWrap w:val="0"/>
                  <w:vAlign w:val="center"/>
                </w:tcPr>
                <w:p w14:paraId="6702BD2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46" w:type="pct"/>
                  <w:vMerge w:val="continue"/>
                  <w:tcBorders>
                    <w:tl2br w:val="nil"/>
                    <w:tr2bl w:val="nil"/>
                  </w:tcBorders>
                  <w:noWrap w:val="0"/>
                  <w:vAlign w:val="center"/>
                </w:tcPr>
                <w:p w14:paraId="67BF2E71">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61" w:type="pct"/>
                  <w:tcBorders>
                    <w:tl2br w:val="nil"/>
                    <w:tr2bl w:val="nil"/>
                  </w:tcBorders>
                  <w:noWrap w:val="0"/>
                  <w:vAlign w:val="center"/>
                </w:tcPr>
                <w:p w14:paraId="20A0576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103</w:t>
                  </w:r>
                </w:p>
              </w:tc>
              <w:tc>
                <w:tcPr>
                  <w:tcW w:w="314" w:type="pct"/>
                  <w:tcBorders>
                    <w:tl2br w:val="nil"/>
                    <w:tr2bl w:val="nil"/>
                  </w:tcBorders>
                  <w:noWrap w:val="0"/>
                  <w:vAlign w:val="center"/>
                </w:tcPr>
                <w:p w14:paraId="6C45044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1.48</w:t>
                  </w:r>
                </w:p>
              </w:tc>
              <w:tc>
                <w:tcPr>
                  <w:tcW w:w="330" w:type="pct"/>
                  <w:tcBorders>
                    <w:tl2br w:val="nil"/>
                    <w:tr2bl w:val="nil"/>
                  </w:tcBorders>
                  <w:noWrap w:val="0"/>
                  <w:vAlign w:val="center"/>
                </w:tcPr>
                <w:p w14:paraId="69CEB69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7.08</w:t>
                  </w:r>
                </w:p>
              </w:tc>
              <w:tc>
                <w:tcPr>
                  <w:tcW w:w="411" w:type="pct"/>
                  <w:vMerge w:val="continue"/>
                  <w:tcBorders>
                    <w:tl2br w:val="nil"/>
                    <w:tr2bl w:val="nil"/>
                  </w:tcBorders>
                  <w:noWrap w:val="0"/>
                  <w:vAlign w:val="center"/>
                </w:tcPr>
                <w:p w14:paraId="7E18480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51" w:type="pct"/>
                  <w:tcBorders>
                    <w:tl2br w:val="nil"/>
                    <w:tr2bl w:val="nil"/>
                  </w:tcBorders>
                  <w:noWrap w:val="0"/>
                  <w:vAlign w:val="center"/>
                </w:tcPr>
                <w:p w14:paraId="1838781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02" w:type="pct"/>
                  <w:vMerge w:val="continue"/>
                  <w:tcBorders>
                    <w:tl2br w:val="nil"/>
                    <w:tr2bl w:val="nil"/>
                  </w:tcBorders>
                  <w:noWrap w:val="0"/>
                  <w:vAlign w:val="center"/>
                </w:tcPr>
                <w:p w14:paraId="2FEE8FA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407" w:type="pct"/>
                  <w:tcBorders>
                    <w:tl2br w:val="nil"/>
                    <w:tr2bl w:val="nil"/>
                  </w:tcBorders>
                  <w:shd w:val="clear" w:color="auto" w:fill="auto"/>
                  <w:noWrap w:val="0"/>
                  <w:vAlign w:val="center"/>
                </w:tcPr>
                <w:p w14:paraId="52F003A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103</w:t>
                  </w:r>
                </w:p>
              </w:tc>
              <w:tc>
                <w:tcPr>
                  <w:tcW w:w="359" w:type="pct"/>
                  <w:tcBorders>
                    <w:tl2br w:val="nil"/>
                    <w:tr2bl w:val="nil"/>
                  </w:tcBorders>
                  <w:shd w:val="clear" w:color="auto" w:fill="auto"/>
                  <w:noWrap w:val="0"/>
                  <w:vAlign w:val="center"/>
                </w:tcPr>
                <w:p w14:paraId="4EDD707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1.48</w:t>
                  </w:r>
                </w:p>
              </w:tc>
              <w:tc>
                <w:tcPr>
                  <w:tcW w:w="340" w:type="pct"/>
                  <w:tcBorders>
                    <w:tl2br w:val="nil"/>
                    <w:tr2bl w:val="nil"/>
                  </w:tcBorders>
                  <w:noWrap w:val="0"/>
                  <w:vAlign w:val="center"/>
                </w:tcPr>
                <w:p w14:paraId="5C9580B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7.08</w:t>
                  </w:r>
                </w:p>
              </w:tc>
              <w:tc>
                <w:tcPr>
                  <w:tcW w:w="251" w:type="pct"/>
                  <w:vMerge w:val="continue"/>
                  <w:tcBorders>
                    <w:tl2br w:val="nil"/>
                    <w:tr2bl w:val="nil"/>
                  </w:tcBorders>
                  <w:noWrap w:val="0"/>
                  <w:vAlign w:val="center"/>
                </w:tcPr>
                <w:p w14:paraId="6BCF9C5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r>
            <w:tr w14:paraId="10FF94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2BB7065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vMerge w:val="continue"/>
                  <w:tcBorders>
                    <w:tl2br w:val="nil"/>
                    <w:tr2bl w:val="nil"/>
                  </w:tcBorders>
                  <w:noWrap w:val="0"/>
                  <w:vAlign w:val="center"/>
                </w:tcPr>
                <w:p w14:paraId="20C8B89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69" w:type="pct"/>
                  <w:tcBorders>
                    <w:tl2br w:val="nil"/>
                    <w:tr2bl w:val="nil"/>
                  </w:tcBorders>
                  <w:noWrap w:val="0"/>
                  <w:vAlign w:val="center"/>
                </w:tcPr>
                <w:p w14:paraId="725D79F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eastAsia="zh-CN"/>
                    </w:rPr>
                    <w:t>氮氧化物</w:t>
                  </w:r>
                </w:p>
              </w:tc>
              <w:tc>
                <w:tcPr>
                  <w:tcW w:w="267" w:type="pct"/>
                  <w:vMerge w:val="continue"/>
                  <w:tcBorders>
                    <w:tl2br w:val="nil"/>
                    <w:tr2bl w:val="nil"/>
                  </w:tcBorders>
                  <w:noWrap w:val="0"/>
                  <w:vAlign w:val="center"/>
                </w:tcPr>
                <w:p w14:paraId="70A9725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46" w:type="pct"/>
                  <w:vMerge w:val="continue"/>
                  <w:tcBorders>
                    <w:tl2br w:val="nil"/>
                    <w:tr2bl w:val="nil"/>
                  </w:tcBorders>
                  <w:noWrap w:val="0"/>
                  <w:vAlign w:val="center"/>
                </w:tcPr>
                <w:p w14:paraId="7E50349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61" w:type="pct"/>
                  <w:tcBorders>
                    <w:tl2br w:val="nil"/>
                    <w:tr2bl w:val="nil"/>
                  </w:tcBorders>
                  <w:noWrap w:val="0"/>
                  <w:vAlign w:val="center"/>
                </w:tcPr>
                <w:p w14:paraId="56092C5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122</w:t>
                  </w:r>
                </w:p>
              </w:tc>
              <w:tc>
                <w:tcPr>
                  <w:tcW w:w="314" w:type="pct"/>
                  <w:tcBorders>
                    <w:tl2br w:val="nil"/>
                    <w:tr2bl w:val="nil"/>
                  </w:tcBorders>
                  <w:noWrap w:val="0"/>
                  <w:vAlign w:val="center"/>
                </w:tcPr>
                <w:p w14:paraId="1692F27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1.76</w:t>
                  </w:r>
                </w:p>
              </w:tc>
              <w:tc>
                <w:tcPr>
                  <w:tcW w:w="330" w:type="pct"/>
                  <w:tcBorders>
                    <w:tl2br w:val="nil"/>
                    <w:tr2bl w:val="nil"/>
                  </w:tcBorders>
                  <w:noWrap w:val="0"/>
                  <w:vAlign w:val="center"/>
                </w:tcPr>
                <w:p w14:paraId="721E319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8.45</w:t>
                  </w:r>
                </w:p>
              </w:tc>
              <w:tc>
                <w:tcPr>
                  <w:tcW w:w="411" w:type="pct"/>
                  <w:vMerge w:val="continue"/>
                  <w:tcBorders>
                    <w:tl2br w:val="nil"/>
                    <w:tr2bl w:val="nil"/>
                  </w:tcBorders>
                  <w:noWrap w:val="0"/>
                  <w:vAlign w:val="center"/>
                </w:tcPr>
                <w:p w14:paraId="2AC2408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51" w:type="pct"/>
                  <w:tcBorders>
                    <w:tl2br w:val="nil"/>
                    <w:tr2bl w:val="nil"/>
                  </w:tcBorders>
                  <w:noWrap w:val="0"/>
                  <w:vAlign w:val="center"/>
                </w:tcPr>
                <w:p w14:paraId="6A6DFCB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02" w:type="pct"/>
                  <w:vMerge w:val="continue"/>
                  <w:tcBorders>
                    <w:tl2br w:val="nil"/>
                    <w:tr2bl w:val="nil"/>
                  </w:tcBorders>
                  <w:noWrap w:val="0"/>
                  <w:vAlign w:val="center"/>
                </w:tcPr>
                <w:p w14:paraId="0F2AD49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407" w:type="pct"/>
                  <w:tcBorders>
                    <w:tl2br w:val="nil"/>
                    <w:tr2bl w:val="nil"/>
                  </w:tcBorders>
                  <w:shd w:val="clear" w:color="auto" w:fill="auto"/>
                  <w:noWrap w:val="0"/>
                  <w:vAlign w:val="center"/>
                </w:tcPr>
                <w:p w14:paraId="02F77A5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122</w:t>
                  </w:r>
                </w:p>
              </w:tc>
              <w:tc>
                <w:tcPr>
                  <w:tcW w:w="359" w:type="pct"/>
                  <w:tcBorders>
                    <w:tl2br w:val="nil"/>
                    <w:tr2bl w:val="nil"/>
                  </w:tcBorders>
                  <w:shd w:val="clear" w:color="auto" w:fill="auto"/>
                  <w:noWrap w:val="0"/>
                  <w:vAlign w:val="center"/>
                </w:tcPr>
                <w:p w14:paraId="1F37E83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1.76</w:t>
                  </w:r>
                </w:p>
              </w:tc>
              <w:tc>
                <w:tcPr>
                  <w:tcW w:w="340" w:type="pct"/>
                  <w:tcBorders>
                    <w:tl2br w:val="nil"/>
                    <w:tr2bl w:val="nil"/>
                  </w:tcBorders>
                  <w:noWrap w:val="0"/>
                  <w:vAlign w:val="center"/>
                </w:tcPr>
                <w:p w14:paraId="4644C02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8.45</w:t>
                  </w:r>
                </w:p>
              </w:tc>
              <w:tc>
                <w:tcPr>
                  <w:tcW w:w="251" w:type="pct"/>
                  <w:vMerge w:val="continue"/>
                  <w:tcBorders>
                    <w:tl2br w:val="nil"/>
                    <w:tr2bl w:val="nil"/>
                  </w:tcBorders>
                  <w:noWrap w:val="0"/>
                  <w:vAlign w:val="center"/>
                </w:tcPr>
                <w:p w14:paraId="3C8CD51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r>
            <w:tr w14:paraId="71DD7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7E572D0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vMerge w:val="continue"/>
                  <w:tcBorders>
                    <w:tl2br w:val="nil"/>
                    <w:tr2bl w:val="nil"/>
                  </w:tcBorders>
                  <w:noWrap w:val="0"/>
                  <w:vAlign w:val="center"/>
                </w:tcPr>
                <w:p w14:paraId="507719A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69" w:type="pct"/>
                  <w:tcBorders>
                    <w:tl2br w:val="nil"/>
                    <w:tr2bl w:val="nil"/>
                  </w:tcBorders>
                  <w:noWrap w:val="0"/>
                  <w:vAlign w:val="center"/>
                </w:tcPr>
                <w:p w14:paraId="2280764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r>
                    <w:rPr>
                      <w:rFonts w:hint="eastAsia" w:cs="Times New Roman"/>
                      <w:bCs w:val="0"/>
                      <w:color w:val="auto"/>
                      <w:sz w:val="18"/>
                      <w:szCs w:val="18"/>
                      <w:highlight w:val="none"/>
                      <w:lang w:val="en-US" w:eastAsia="zh-CN"/>
                    </w:rPr>
                    <w:t>汞及其化合物</w:t>
                  </w:r>
                </w:p>
              </w:tc>
              <w:tc>
                <w:tcPr>
                  <w:tcW w:w="267" w:type="pct"/>
                  <w:vMerge w:val="continue"/>
                  <w:tcBorders>
                    <w:tl2br w:val="nil"/>
                    <w:tr2bl w:val="nil"/>
                  </w:tcBorders>
                  <w:noWrap w:val="0"/>
                  <w:vAlign w:val="center"/>
                </w:tcPr>
                <w:p w14:paraId="43FF908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46" w:type="pct"/>
                  <w:vMerge w:val="continue"/>
                  <w:tcBorders>
                    <w:tl2br w:val="nil"/>
                    <w:tr2bl w:val="nil"/>
                  </w:tcBorders>
                  <w:noWrap w:val="0"/>
                  <w:vAlign w:val="center"/>
                </w:tcPr>
                <w:p w14:paraId="1CF8226E">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1006" w:type="pct"/>
                  <w:gridSpan w:val="3"/>
                  <w:tcBorders>
                    <w:tl2br w:val="nil"/>
                    <w:tr2bl w:val="nil"/>
                  </w:tcBorders>
                  <w:noWrap w:val="0"/>
                  <w:vAlign w:val="center"/>
                </w:tcPr>
                <w:p w14:paraId="79DC077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11" w:type="pct"/>
                  <w:vMerge w:val="continue"/>
                  <w:tcBorders>
                    <w:tl2br w:val="nil"/>
                    <w:tr2bl w:val="nil"/>
                  </w:tcBorders>
                  <w:noWrap w:val="0"/>
                  <w:vAlign w:val="center"/>
                </w:tcPr>
                <w:p w14:paraId="3A06C07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51" w:type="pct"/>
                  <w:tcBorders>
                    <w:tl2br w:val="nil"/>
                    <w:tr2bl w:val="nil"/>
                  </w:tcBorders>
                  <w:noWrap w:val="0"/>
                  <w:vAlign w:val="center"/>
                </w:tcPr>
                <w:p w14:paraId="6D3E665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302" w:type="pct"/>
                  <w:vMerge w:val="continue"/>
                  <w:tcBorders>
                    <w:tl2br w:val="nil"/>
                    <w:tr2bl w:val="nil"/>
                  </w:tcBorders>
                  <w:noWrap w:val="0"/>
                  <w:vAlign w:val="center"/>
                </w:tcPr>
                <w:p w14:paraId="563CE86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1107" w:type="pct"/>
                  <w:gridSpan w:val="3"/>
                  <w:tcBorders>
                    <w:tl2br w:val="nil"/>
                    <w:tr2bl w:val="nil"/>
                  </w:tcBorders>
                  <w:shd w:val="clear" w:color="auto" w:fill="auto"/>
                  <w:noWrap w:val="0"/>
                  <w:vAlign w:val="center"/>
                </w:tcPr>
                <w:p w14:paraId="014F8F6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51" w:type="pct"/>
                  <w:vMerge w:val="continue"/>
                  <w:tcBorders>
                    <w:tl2br w:val="nil"/>
                    <w:tr2bl w:val="nil"/>
                  </w:tcBorders>
                  <w:noWrap w:val="0"/>
                  <w:vAlign w:val="center"/>
                </w:tcPr>
                <w:p w14:paraId="1034AEC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r>
            <w:tr w14:paraId="799A16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2B692B2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vMerge w:val="continue"/>
                  <w:tcBorders>
                    <w:tl2br w:val="nil"/>
                    <w:tr2bl w:val="nil"/>
                  </w:tcBorders>
                  <w:noWrap w:val="0"/>
                  <w:vAlign w:val="center"/>
                </w:tcPr>
                <w:p w14:paraId="50CC8C1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69" w:type="pct"/>
                  <w:tcBorders>
                    <w:tl2br w:val="nil"/>
                    <w:tr2bl w:val="nil"/>
                  </w:tcBorders>
                  <w:noWrap w:val="0"/>
                  <w:vAlign w:val="center"/>
                </w:tcPr>
                <w:p w14:paraId="0F4C2FE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r>
                    <w:rPr>
                      <w:rFonts w:hint="eastAsia" w:cs="Times New Roman"/>
                      <w:bCs w:val="0"/>
                      <w:color w:val="auto"/>
                      <w:sz w:val="18"/>
                      <w:szCs w:val="18"/>
                      <w:highlight w:val="none"/>
                      <w:lang w:val="en-US" w:eastAsia="zh-CN"/>
                    </w:rPr>
                    <w:t>林格曼黑度</w:t>
                  </w:r>
                </w:p>
              </w:tc>
              <w:tc>
                <w:tcPr>
                  <w:tcW w:w="267" w:type="pct"/>
                  <w:vMerge w:val="continue"/>
                  <w:tcBorders>
                    <w:tl2br w:val="nil"/>
                    <w:tr2bl w:val="nil"/>
                  </w:tcBorders>
                  <w:noWrap w:val="0"/>
                  <w:vAlign w:val="center"/>
                </w:tcPr>
                <w:p w14:paraId="7FE5E85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46" w:type="pct"/>
                  <w:vMerge w:val="continue"/>
                  <w:tcBorders>
                    <w:tl2br w:val="nil"/>
                    <w:tr2bl w:val="nil"/>
                  </w:tcBorders>
                  <w:noWrap w:val="0"/>
                  <w:vAlign w:val="center"/>
                </w:tcPr>
                <w:p w14:paraId="51F0B03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1006" w:type="pct"/>
                  <w:gridSpan w:val="3"/>
                  <w:tcBorders>
                    <w:tl2br w:val="nil"/>
                    <w:tr2bl w:val="nil"/>
                  </w:tcBorders>
                  <w:noWrap w:val="0"/>
                  <w:vAlign w:val="center"/>
                </w:tcPr>
                <w:p w14:paraId="54E2401A">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11" w:type="pct"/>
                  <w:vMerge w:val="continue"/>
                  <w:tcBorders>
                    <w:tl2br w:val="nil"/>
                    <w:tr2bl w:val="nil"/>
                  </w:tcBorders>
                  <w:noWrap w:val="0"/>
                  <w:vAlign w:val="center"/>
                </w:tcPr>
                <w:p w14:paraId="44AD91D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51" w:type="pct"/>
                  <w:tcBorders>
                    <w:tl2br w:val="nil"/>
                    <w:tr2bl w:val="nil"/>
                  </w:tcBorders>
                  <w:noWrap w:val="0"/>
                  <w:vAlign w:val="center"/>
                </w:tcPr>
                <w:p w14:paraId="6CA16B0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302" w:type="pct"/>
                  <w:vMerge w:val="continue"/>
                  <w:tcBorders>
                    <w:tl2br w:val="nil"/>
                    <w:tr2bl w:val="nil"/>
                  </w:tcBorders>
                  <w:noWrap w:val="0"/>
                  <w:vAlign w:val="center"/>
                </w:tcPr>
                <w:p w14:paraId="52E270C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1107" w:type="pct"/>
                  <w:gridSpan w:val="3"/>
                  <w:tcBorders>
                    <w:tl2br w:val="nil"/>
                    <w:tr2bl w:val="nil"/>
                  </w:tcBorders>
                  <w:shd w:val="clear" w:color="auto" w:fill="auto"/>
                  <w:noWrap w:val="0"/>
                  <w:vAlign w:val="center"/>
                </w:tcPr>
                <w:p w14:paraId="0CFADD5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51" w:type="pct"/>
                  <w:vMerge w:val="continue"/>
                  <w:tcBorders>
                    <w:tl2br w:val="nil"/>
                    <w:tr2bl w:val="nil"/>
                  </w:tcBorders>
                  <w:noWrap w:val="0"/>
                  <w:vAlign w:val="center"/>
                </w:tcPr>
                <w:p w14:paraId="49B8516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r>
            <w:tr w14:paraId="18E4E8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071DA61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tcBorders>
                    <w:tl2br w:val="nil"/>
                    <w:tr2bl w:val="nil"/>
                  </w:tcBorders>
                  <w:noWrap w:val="0"/>
                  <w:vAlign w:val="center"/>
                </w:tcPr>
                <w:p w14:paraId="140357D1">
                  <w:pPr>
                    <w:keepNext w:val="0"/>
                    <w:keepLines w:val="0"/>
                    <w:pageBreakBefore w:val="0"/>
                    <w:widowControl w:val="0"/>
                    <w:wordWrap/>
                    <w:topLinePunct w:val="0"/>
                    <w:autoSpaceDE/>
                    <w:autoSpaceDN/>
                    <w:bidi w:val="0"/>
                    <w:spacing w:before="0" w:beforeLines="0" w:after="0" w:afterLines="0"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eastAsia" w:cs="Times New Roman"/>
                      <w:bCs w:val="0"/>
                      <w:color w:val="auto"/>
                      <w:sz w:val="18"/>
                      <w:szCs w:val="18"/>
                      <w:highlight w:val="none"/>
                      <w:lang w:val="en-US" w:eastAsia="zh-CN"/>
                    </w:rPr>
                    <w:t>1#生产</w:t>
                  </w:r>
                  <w:r>
                    <w:rPr>
                      <w:rFonts w:hint="default" w:ascii="Times New Roman" w:hAnsi="Times New Roman" w:cs="Times New Roman"/>
                      <w:bCs w:val="0"/>
                      <w:color w:val="auto"/>
                      <w:sz w:val="18"/>
                      <w:szCs w:val="18"/>
                      <w:highlight w:val="none"/>
                      <w:lang w:val="en-US" w:eastAsia="zh-CN"/>
                    </w:rPr>
                    <w:t>车间</w:t>
                  </w:r>
                  <w:r>
                    <w:rPr>
                      <w:rFonts w:hint="eastAsia" w:ascii="Times New Roman" w:hAnsi="Times New Roman" w:cs="Times New Roman"/>
                      <w:bCs w:val="0"/>
                      <w:color w:val="auto"/>
                      <w:sz w:val="18"/>
                      <w:szCs w:val="18"/>
                      <w:highlight w:val="none"/>
                      <w:lang w:val="en-US" w:eastAsia="zh-CN"/>
                    </w:rPr>
                    <w:t>（</w:t>
                  </w:r>
                  <w:r>
                    <w:rPr>
                      <w:rFonts w:hint="default" w:ascii="Times New Roman" w:hAnsi="Times New Roman" w:eastAsia="宋体" w:cs="Times New Roman"/>
                      <w:bCs w:val="0"/>
                      <w:color w:val="auto"/>
                      <w:kern w:val="2"/>
                      <w:sz w:val="18"/>
                      <w:szCs w:val="18"/>
                      <w:highlight w:val="none"/>
                      <w:lang w:val="en-US" w:eastAsia="zh-CN" w:bidi="ar-SA"/>
                    </w:rPr>
                    <w:t>破碎、球磨、搅拌</w:t>
                  </w:r>
                  <w:r>
                    <w:rPr>
                      <w:rFonts w:hint="eastAsia" w:ascii="Times New Roman" w:hAnsi="Times New Roman" w:cs="Times New Roman"/>
                      <w:bCs w:val="0"/>
                      <w:color w:val="auto"/>
                      <w:sz w:val="18"/>
                      <w:szCs w:val="18"/>
                      <w:highlight w:val="none"/>
                      <w:lang w:val="en-US" w:eastAsia="zh-CN"/>
                    </w:rPr>
                    <w:t>）</w:t>
                  </w:r>
                </w:p>
              </w:tc>
              <w:tc>
                <w:tcPr>
                  <w:tcW w:w="369" w:type="pct"/>
                  <w:tcBorders>
                    <w:tl2br w:val="nil"/>
                    <w:tr2bl w:val="nil"/>
                  </w:tcBorders>
                  <w:noWrap w:val="0"/>
                  <w:vAlign w:val="center"/>
                </w:tcPr>
                <w:p w14:paraId="386C6B18">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颗粒物</w:t>
                  </w:r>
                </w:p>
              </w:tc>
              <w:tc>
                <w:tcPr>
                  <w:tcW w:w="267" w:type="pct"/>
                  <w:tcBorders>
                    <w:tl2br w:val="nil"/>
                    <w:tr2bl w:val="nil"/>
                  </w:tcBorders>
                  <w:noWrap w:val="0"/>
                  <w:vAlign w:val="center"/>
                </w:tcPr>
                <w:p w14:paraId="2E015FA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产污系数法</w:t>
                  </w:r>
                </w:p>
              </w:tc>
              <w:tc>
                <w:tcPr>
                  <w:tcW w:w="346" w:type="pct"/>
                  <w:tcBorders>
                    <w:tl2br w:val="nil"/>
                    <w:tr2bl w:val="nil"/>
                  </w:tcBorders>
                  <w:noWrap w:val="0"/>
                  <w:vAlign w:val="center"/>
                </w:tcPr>
                <w:p w14:paraId="51F1414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4000</w:t>
                  </w:r>
                </w:p>
              </w:tc>
              <w:tc>
                <w:tcPr>
                  <w:tcW w:w="361" w:type="pct"/>
                  <w:tcBorders>
                    <w:tl2br w:val="nil"/>
                    <w:tr2bl w:val="nil"/>
                  </w:tcBorders>
                  <w:noWrap w:val="0"/>
                  <w:vAlign w:val="center"/>
                </w:tcPr>
                <w:p w14:paraId="74B2251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1968</w:t>
                  </w:r>
                </w:p>
              </w:tc>
              <w:tc>
                <w:tcPr>
                  <w:tcW w:w="314" w:type="pct"/>
                  <w:tcBorders>
                    <w:tl2br w:val="nil"/>
                    <w:tr2bl w:val="nil"/>
                  </w:tcBorders>
                  <w:noWrap w:val="0"/>
                  <w:vAlign w:val="center"/>
                </w:tcPr>
                <w:p w14:paraId="20C0C8E1">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7.87</w:t>
                  </w:r>
                </w:p>
              </w:tc>
              <w:tc>
                <w:tcPr>
                  <w:tcW w:w="330" w:type="pct"/>
                  <w:tcBorders>
                    <w:tl2br w:val="nil"/>
                    <w:tr2bl w:val="nil"/>
                  </w:tcBorders>
                  <w:noWrap w:val="0"/>
                  <w:vAlign w:val="center"/>
                </w:tcPr>
                <w:p w14:paraId="666A99C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37.79</w:t>
                  </w:r>
                </w:p>
              </w:tc>
              <w:tc>
                <w:tcPr>
                  <w:tcW w:w="411" w:type="pct"/>
                  <w:tcBorders>
                    <w:tl2br w:val="nil"/>
                    <w:tr2bl w:val="nil"/>
                  </w:tcBorders>
                  <w:noWrap w:val="0"/>
                  <w:vAlign w:val="center"/>
                </w:tcPr>
                <w:p w14:paraId="4C445447">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布袋除尘器+1</w:t>
                  </w:r>
                  <w:r>
                    <w:rPr>
                      <w:rFonts w:hint="eastAsia" w:cs="Times New Roman"/>
                      <w:bCs w:val="0"/>
                      <w:color w:val="auto"/>
                      <w:sz w:val="18"/>
                      <w:szCs w:val="18"/>
                      <w:highlight w:val="none"/>
                      <w:lang w:val="en-US" w:eastAsia="zh-CN"/>
                    </w:rPr>
                    <w:t>7</w:t>
                  </w:r>
                  <w:r>
                    <w:rPr>
                      <w:rFonts w:hint="default" w:ascii="Times New Roman" w:hAnsi="Times New Roman" w:cs="Times New Roman"/>
                      <w:bCs w:val="0"/>
                      <w:color w:val="auto"/>
                      <w:sz w:val="18"/>
                      <w:szCs w:val="18"/>
                      <w:highlight w:val="none"/>
                      <w:lang w:val="en-US" w:eastAsia="zh-CN"/>
                    </w:rPr>
                    <w:t>m排气筒</w:t>
                  </w:r>
                  <w:r>
                    <w:rPr>
                      <w:rFonts w:hint="eastAsia" w:cs="Times New Roman"/>
                      <w:bCs w:val="0"/>
                      <w:color w:val="auto"/>
                      <w:sz w:val="18"/>
                      <w:szCs w:val="18"/>
                      <w:highlight w:val="none"/>
                      <w:lang w:val="en-US" w:eastAsia="zh-CN"/>
                    </w:rPr>
                    <w:t>（DA003）</w:t>
                  </w:r>
                </w:p>
              </w:tc>
              <w:tc>
                <w:tcPr>
                  <w:tcW w:w="351" w:type="pct"/>
                  <w:tcBorders>
                    <w:tl2br w:val="nil"/>
                    <w:tr2bl w:val="nil"/>
                  </w:tcBorders>
                  <w:noWrap w:val="0"/>
                  <w:vAlign w:val="center"/>
                </w:tcPr>
                <w:p w14:paraId="4BABAA7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99</w:t>
                  </w:r>
                </w:p>
              </w:tc>
              <w:tc>
                <w:tcPr>
                  <w:tcW w:w="302" w:type="pct"/>
                  <w:tcBorders>
                    <w:tl2br w:val="nil"/>
                    <w:tr2bl w:val="nil"/>
                  </w:tcBorders>
                  <w:noWrap w:val="0"/>
                  <w:vAlign w:val="center"/>
                </w:tcPr>
                <w:p w14:paraId="32F5B6F7">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物料衡算法</w:t>
                  </w:r>
                </w:p>
              </w:tc>
              <w:tc>
                <w:tcPr>
                  <w:tcW w:w="407" w:type="pct"/>
                  <w:tcBorders>
                    <w:tl2br w:val="nil"/>
                    <w:tr2bl w:val="nil"/>
                  </w:tcBorders>
                  <w:noWrap w:val="0"/>
                  <w:vAlign w:val="center"/>
                </w:tcPr>
                <w:p w14:paraId="4E6C1D21">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17.7</w:t>
                  </w:r>
                </w:p>
              </w:tc>
              <w:tc>
                <w:tcPr>
                  <w:tcW w:w="359" w:type="pct"/>
                  <w:tcBorders>
                    <w:tl2br w:val="nil"/>
                    <w:tr2bl w:val="nil"/>
                  </w:tcBorders>
                  <w:noWrap w:val="0"/>
                  <w:vAlign w:val="center"/>
                </w:tcPr>
                <w:p w14:paraId="7ACAD4D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07</w:t>
                  </w:r>
                </w:p>
              </w:tc>
              <w:tc>
                <w:tcPr>
                  <w:tcW w:w="340" w:type="pct"/>
                  <w:tcBorders>
                    <w:tl2br w:val="nil"/>
                    <w:tr2bl w:val="nil"/>
                  </w:tcBorders>
                  <w:noWrap w:val="0"/>
                  <w:vAlign w:val="center"/>
                </w:tcPr>
                <w:p w14:paraId="2A57B05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34</w:t>
                  </w:r>
                </w:p>
              </w:tc>
              <w:tc>
                <w:tcPr>
                  <w:tcW w:w="251" w:type="pct"/>
                  <w:tcBorders>
                    <w:tl2br w:val="nil"/>
                    <w:tr2bl w:val="nil"/>
                  </w:tcBorders>
                  <w:noWrap w:val="0"/>
                  <w:vAlign w:val="center"/>
                </w:tcPr>
                <w:p w14:paraId="5398BCCE">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4800</w:t>
                  </w:r>
                </w:p>
              </w:tc>
            </w:tr>
            <w:tr w14:paraId="01FE8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0B0680C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tcBorders>
                    <w:tl2br w:val="nil"/>
                    <w:tr2bl w:val="nil"/>
                  </w:tcBorders>
                  <w:noWrap w:val="0"/>
                  <w:vAlign w:val="center"/>
                </w:tcPr>
                <w:p w14:paraId="6F9D36B5">
                  <w:pPr>
                    <w:keepNext w:val="0"/>
                    <w:keepLines w:val="0"/>
                    <w:pageBreakBefore w:val="0"/>
                    <w:widowControl w:val="0"/>
                    <w:wordWrap/>
                    <w:topLinePunct w:val="0"/>
                    <w:autoSpaceDE/>
                    <w:autoSpaceDN/>
                    <w:bidi w:val="0"/>
                    <w:spacing w:before="0" w:beforeLines="0" w:after="0" w:afterLines="0" w:line="240" w:lineRule="auto"/>
                    <w:ind w:left="0" w:leftChars="0" w:right="0" w:rightChars="0" w:firstLine="0" w:firstLineChars="0"/>
                    <w:jc w:val="center"/>
                    <w:rPr>
                      <w:rFonts w:hint="eastAsia" w:cs="Times New Roman"/>
                      <w:bCs w:val="0"/>
                      <w:color w:val="auto"/>
                      <w:sz w:val="18"/>
                      <w:szCs w:val="18"/>
                      <w:highlight w:val="none"/>
                      <w:lang w:val="en-US" w:eastAsia="zh-CN"/>
                    </w:rPr>
                  </w:pPr>
                  <w:r>
                    <w:rPr>
                      <w:rFonts w:hint="eastAsia" w:cs="Times New Roman"/>
                      <w:bCs w:val="0"/>
                      <w:color w:val="auto"/>
                      <w:sz w:val="18"/>
                      <w:szCs w:val="18"/>
                      <w:highlight w:val="none"/>
                      <w:lang w:val="en-US" w:eastAsia="zh-CN"/>
                    </w:rPr>
                    <w:t>2#生产</w:t>
                  </w:r>
                  <w:r>
                    <w:rPr>
                      <w:rFonts w:hint="default" w:ascii="Times New Roman" w:hAnsi="Times New Roman" w:cs="Times New Roman"/>
                      <w:bCs w:val="0"/>
                      <w:color w:val="auto"/>
                      <w:sz w:val="18"/>
                      <w:szCs w:val="18"/>
                      <w:highlight w:val="none"/>
                      <w:lang w:val="en-US" w:eastAsia="zh-CN"/>
                    </w:rPr>
                    <w:t>车间</w:t>
                  </w:r>
                  <w:r>
                    <w:rPr>
                      <w:rFonts w:hint="eastAsia" w:ascii="Times New Roman" w:hAnsi="Times New Roman" w:cs="Times New Roman"/>
                      <w:bCs w:val="0"/>
                      <w:color w:val="auto"/>
                      <w:sz w:val="18"/>
                      <w:szCs w:val="18"/>
                      <w:highlight w:val="none"/>
                      <w:lang w:val="en-US" w:eastAsia="zh-CN"/>
                    </w:rPr>
                    <w:t>（</w:t>
                  </w:r>
                  <w:r>
                    <w:rPr>
                      <w:rFonts w:hint="default" w:ascii="Times New Roman" w:hAnsi="Times New Roman" w:eastAsia="宋体" w:cs="Times New Roman"/>
                      <w:bCs w:val="0"/>
                      <w:color w:val="auto"/>
                      <w:kern w:val="2"/>
                      <w:sz w:val="18"/>
                      <w:szCs w:val="18"/>
                      <w:highlight w:val="none"/>
                      <w:lang w:val="en-US" w:eastAsia="zh-CN" w:bidi="ar-SA"/>
                    </w:rPr>
                    <w:t>破碎、球磨、搅拌</w:t>
                  </w:r>
                  <w:r>
                    <w:rPr>
                      <w:rFonts w:hint="eastAsia" w:ascii="Times New Roman" w:hAnsi="Times New Roman" w:cs="Times New Roman"/>
                      <w:bCs w:val="0"/>
                      <w:color w:val="auto"/>
                      <w:sz w:val="18"/>
                      <w:szCs w:val="18"/>
                      <w:highlight w:val="none"/>
                      <w:lang w:val="en-US" w:eastAsia="zh-CN"/>
                    </w:rPr>
                    <w:t>）</w:t>
                  </w:r>
                </w:p>
              </w:tc>
              <w:tc>
                <w:tcPr>
                  <w:tcW w:w="369" w:type="pct"/>
                  <w:tcBorders>
                    <w:tl2br w:val="nil"/>
                    <w:tr2bl w:val="nil"/>
                  </w:tcBorders>
                  <w:noWrap w:val="0"/>
                  <w:vAlign w:val="center"/>
                </w:tcPr>
                <w:p w14:paraId="1DB059EB">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颗粒物</w:t>
                  </w:r>
                </w:p>
              </w:tc>
              <w:tc>
                <w:tcPr>
                  <w:tcW w:w="267" w:type="pct"/>
                  <w:vMerge w:val="restart"/>
                  <w:tcBorders>
                    <w:tl2br w:val="nil"/>
                    <w:tr2bl w:val="nil"/>
                  </w:tcBorders>
                  <w:noWrap w:val="0"/>
                  <w:vAlign w:val="center"/>
                </w:tcPr>
                <w:p w14:paraId="4BB5A34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产污系数法</w:t>
                  </w:r>
                </w:p>
              </w:tc>
              <w:tc>
                <w:tcPr>
                  <w:tcW w:w="346" w:type="pct"/>
                  <w:tcBorders>
                    <w:tl2br w:val="nil"/>
                    <w:tr2bl w:val="nil"/>
                  </w:tcBorders>
                  <w:noWrap w:val="0"/>
                  <w:vAlign w:val="center"/>
                </w:tcPr>
                <w:p w14:paraId="6F7251E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4000</w:t>
                  </w:r>
                </w:p>
              </w:tc>
              <w:tc>
                <w:tcPr>
                  <w:tcW w:w="361" w:type="pct"/>
                  <w:tcBorders>
                    <w:tl2br w:val="nil"/>
                    <w:tr2bl w:val="nil"/>
                  </w:tcBorders>
                  <w:noWrap w:val="0"/>
                  <w:vAlign w:val="center"/>
                </w:tcPr>
                <w:p w14:paraId="26F56F8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1968</w:t>
                  </w:r>
                </w:p>
              </w:tc>
              <w:tc>
                <w:tcPr>
                  <w:tcW w:w="314" w:type="pct"/>
                  <w:tcBorders>
                    <w:tl2br w:val="nil"/>
                    <w:tr2bl w:val="nil"/>
                  </w:tcBorders>
                  <w:noWrap w:val="0"/>
                  <w:vAlign w:val="center"/>
                </w:tcPr>
                <w:p w14:paraId="427C464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7.87</w:t>
                  </w:r>
                </w:p>
              </w:tc>
              <w:tc>
                <w:tcPr>
                  <w:tcW w:w="330" w:type="pct"/>
                  <w:tcBorders>
                    <w:tl2br w:val="nil"/>
                    <w:tr2bl w:val="nil"/>
                  </w:tcBorders>
                  <w:noWrap w:val="0"/>
                  <w:vAlign w:val="center"/>
                </w:tcPr>
                <w:p w14:paraId="4F41D91E">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37.79</w:t>
                  </w:r>
                </w:p>
              </w:tc>
              <w:tc>
                <w:tcPr>
                  <w:tcW w:w="411" w:type="pct"/>
                  <w:tcBorders>
                    <w:tl2br w:val="nil"/>
                    <w:tr2bl w:val="nil"/>
                  </w:tcBorders>
                  <w:noWrap w:val="0"/>
                  <w:vAlign w:val="center"/>
                </w:tcPr>
                <w:p w14:paraId="027A1F4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布袋除尘器+1</w:t>
                  </w:r>
                  <w:r>
                    <w:rPr>
                      <w:rFonts w:hint="eastAsia" w:cs="Times New Roman"/>
                      <w:bCs w:val="0"/>
                      <w:color w:val="auto"/>
                      <w:sz w:val="18"/>
                      <w:szCs w:val="18"/>
                      <w:highlight w:val="none"/>
                      <w:lang w:val="en-US" w:eastAsia="zh-CN"/>
                    </w:rPr>
                    <w:t>7</w:t>
                  </w:r>
                  <w:r>
                    <w:rPr>
                      <w:rFonts w:hint="default" w:ascii="Times New Roman" w:hAnsi="Times New Roman" w:cs="Times New Roman"/>
                      <w:bCs w:val="0"/>
                      <w:color w:val="auto"/>
                      <w:sz w:val="18"/>
                      <w:szCs w:val="18"/>
                      <w:highlight w:val="none"/>
                      <w:lang w:val="en-US" w:eastAsia="zh-CN"/>
                    </w:rPr>
                    <w:t>m排气筒</w:t>
                  </w:r>
                  <w:r>
                    <w:rPr>
                      <w:rFonts w:hint="eastAsia" w:cs="Times New Roman"/>
                      <w:bCs w:val="0"/>
                      <w:color w:val="auto"/>
                      <w:sz w:val="18"/>
                      <w:szCs w:val="18"/>
                      <w:highlight w:val="none"/>
                      <w:lang w:val="en-US" w:eastAsia="zh-CN"/>
                    </w:rPr>
                    <w:t>（DA004）</w:t>
                  </w:r>
                </w:p>
              </w:tc>
              <w:tc>
                <w:tcPr>
                  <w:tcW w:w="351" w:type="pct"/>
                  <w:tcBorders>
                    <w:tl2br w:val="nil"/>
                    <w:tr2bl w:val="nil"/>
                  </w:tcBorders>
                  <w:noWrap w:val="0"/>
                  <w:vAlign w:val="center"/>
                </w:tcPr>
                <w:p w14:paraId="0B745007">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99</w:t>
                  </w:r>
                </w:p>
              </w:tc>
              <w:tc>
                <w:tcPr>
                  <w:tcW w:w="302" w:type="pct"/>
                  <w:vMerge w:val="restart"/>
                  <w:tcBorders>
                    <w:tl2br w:val="nil"/>
                    <w:tr2bl w:val="nil"/>
                  </w:tcBorders>
                  <w:noWrap w:val="0"/>
                  <w:vAlign w:val="center"/>
                </w:tcPr>
                <w:p w14:paraId="5D5972C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物料衡算法</w:t>
                  </w:r>
                </w:p>
              </w:tc>
              <w:tc>
                <w:tcPr>
                  <w:tcW w:w="407" w:type="pct"/>
                  <w:tcBorders>
                    <w:tl2br w:val="nil"/>
                    <w:tr2bl w:val="nil"/>
                  </w:tcBorders>
                  <w:noWrap w:val="0"/>
                  <w:vAlign w:val="center"/>
                </w:tcPr>
                <w:p w14:paraId="5465ED1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17.7</w:t>
                  </w:r>
                </w:p>
              </w:tc>
              <w:tc>
                <w:tcPr>
                  <w:tcW w:w="359" w:type="pct"/>
                  <w:tcBorders>
                    <w:tl2br w:val="nil"/>
                    <w:tr2bl w:val="nil"/>
                  </w:tcBorders>
                  <w:noWrap w:val="0"/>
                  <w:vAlign w:val="center"/>
                </w:tcPr>
                <w:p w14:paraId="344227A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07</w:t>
                  </w:r>
                </w:p>
              </w:tc>
              <w:tc>
                <w:tcPr>
                  <w:tcW w:w="340" w:type="pct"/>
                  <w:tcBorders>
                    <w:tl2br w:val="nil"/>
                    <w:tr2bl w:val="nil"/>
                  </w:tcBorders>
                  <w:noWrap w:val="0"/>
                  <w:vAlign w:val="center"/>
                </w:tcPr>
                <w:p w14:paraId="02F7B8A1">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34</w:t>
                  </w:r>
                </w:p>
              </w:tc>
              <w:tc>
                <w:tcPr>
                  <w:tcW w:w="251" w:type="pct"/>
                  <w:tcBorders>
                    <w:tl2br w:val="nil"/>
                    <w:tr2bl w:val="nil"/>
                  </w:tcBorders>
                  <w:noWrap w:val="0"/>
                  <w:vAlign w:val="center"/>
                </w:tcPr>
                <w:p w14:paraId="5D2577D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r>
            <w:tr w14:paraId="0D464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47F5801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tcBorders>
                    <w:tl2br w:val="nil"/>
                    <w:tr2bl w:val="nil"/>
                  </w:tcBorders>
                  <w:noWrap w:val="0"/>
                  <w:vAlign w:val="center"/>
                </w:tcPr>
                <w:p w14:paraId="24E4F0E1">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钢筋防腐浸泡、</w:t>
                  </w:r>
                  <w:r>
                    <w:rPr>
                      <w:rFonts w:hint="eastAsia" w:cs="Times New Roman"/>
                      <w:bCs w:val="0"/>
                      <w:color w:val="auto"/>
                      <w:sz w:val="18"/>
                      <w:szCs w:val="18"/>
                      <w:highlight w:val="none"/>
                      <w:lang w:val="en-US" w:eastAsia="zh-CN"/>
                    </w:rPr>
                    <w:t>烘干</w:t>
                  </w:r>
                </w:p>
              </w:tc>
              <w:tc>
                <w:tcPr>
                  <w:tcW w:w="369" w:type="pct"/>
                  <w:tcBorders>
                    <w:tl2br w:val="nil"/>
                    <w:tr2bl w:val="nil"/>
                  </w:tcBorders>
                  <w:noWrap w:val="0"/>
                  <w:vAlign w:val="center"/>
                </w:tcPr>
                <w:p w14:paraId="2FD4BAA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eastAsia="zh-CN"/>
                    </w:rPr>
                    <w:t>非甲烷总烃</w:t>
                  </w:r>
                </w:p>
              </w:tc>
              <w:tc>
                <w:tcPr>
                  <w:tcW w:w="267" w:type="pct"/>
                  <w:vMerge w:val="continue"/>
                  <w:tcBorders>
                    <w:tl2br w:val="nil"/>
                    <w:tr2bl w:val="nil"/>
                  </w:tcBorders>
                  <w:noWrap w:val="0"/>
                  <w:vAlign w:val="center"/>
                </w:tcPr>
                <w:p w14:paraId="46F8E84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46" w:type="pct"/>
                  <w:tcBorders>
                    <w:tl2br w:val="nil"/>
                    <w:tr2bl w:val="nil"/>
                  </w:tcBorders>
                  <w:noWrap w:val="0"/>
                  <w:vAlign w:val="center"/>
                </w:tcPr>
                <w:p w14:paraId="124E149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1000</w:t>
                  </w:r>
                </w:p>
              </w:tc>
              <w:tc>
                <w:tcPr>
                  <w:tcW w:w="361" w:type="pct"/>
                  <w:tcBorders>
                    <w:tl2br w:val="nil"/>
                    <w:tr2bl w:val="nil"/>
                  </w:tcBorders>
                  <w:noWrap w:val="0"/>
                  <w:vAlign w:val="center"/>
                </w:tcPr>
                <w:p w14:paraId="481805A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80</w:t>
                  </w:r>
                </w:p>
              </w:tc>
              <w:tc>
                <w:tcPr>
                  <w:tcW w:w="314" w:type="pct"/>
                  <w:tcBorders>
                    <w:tl2br w:val="nil"/>
                    <w:tr2bl w:val="nil"/>
                  </w:tcBorders>
                  <w:noWrap w:val="0"/>
                  <w:vAlign w:val="center"/>
                </w:tcPr>
                <w:p w14:paraId="7297E73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0.08</w:t>
                  </w:r>
                </w:p>
              </w:tc>
              <w:tc>
                <w:tcPr>
                  <w:tcW w:w="330" w:type="pct"/>
                  <w:tcBorders>
                    <w:tl2br w:val="nil"/>
                    <w:tr2bl w:val="nil"/>
                  </w:tcBorders>
                  <w:noWrap w:val="0"/>
                  <w:vAlign w:val="center"/>
                </w:tcPr>
                <w:p w14:paraId="704064A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0.39</w:t>
                  </w:r>
                </w:p>
              </w:tc>
              <w:tc>
                <w:tcPr>
                  <w:tcW w:w="411" w:type="pct"/>
                  <w:tcBorders>
                    <w:tl2br w:val="nil"/>
                    <w:tr2bl w:val="nil"/>
                  </w:tcBorders>
                  <w:noWrap w:val="0"/>
                  <w:vAlign w:val="center"/>
                </w:tcPr>
                <w:p w14:paraId="28EEE206">
                  <w:pPr>
                    <w:keepNext w:val="0"/>
                    <w:keepLines w:val="0"/>
                    <w:pageBreakBefore w:val="0"/>
                    <w:kinsoku/>
                    <w:wordWrap/>
                    <w:overflowPunct/>
                    <w:topLinePunct w:val="0"/>
                    <w:autoSpaceDE/>
                    <w:autoSpaceDN/>
                    <w:bidi w:val="0"/>
                    <w:snapToGrid/>
                    <w:spacing w:line="240" w:lineRule="auto"/>
                    <w:ind w:left="0" w:leftChars="0" w:right="0" w:rightChars="0" w:firstLine="0" w:firstLineChars="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活性炭吸附装置+15m排气筒</w:t>
                  </w:r>
                  <w:r>
                    <w:rPr>
                      <w:rFonts w:hint="eastAsia" w:cs="Times New Roman"/>
                      <w:bCs w:val="0"/>
                      <w:color w:val="auto"/>
                      <w:sz w:val="18"/>
                      <w:szCs w:val="18"/>
                      <w:highlight w:val="none"/>
                      <w:lang w:val="en-US" w:eastAsia="zh-CN"/>
                    </w:rPr>
                    <w:t>（DA001）</w:t>
                  </w:r>
                </w:p>
              </w:tc>
              <w:tc>
                <w:tcPr>
                  <w:tcW w:w="351" w:type="pct"/>
                  <w:tcBorders>
                    <w:tl2br w:val="nil"/>
                    <w:tr2bl w:val="nil"/>
                  </w:tcBorders>
                  <w:noWrap w:val="0"/>
                  <w:vAlign w:val="center"/>
                </w:tcPr>
                <w:p w14:paraId="4A2AE94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w:t>
                  </w:r>
                </w:p>
              </w:tc>
              <w:tc>
                <w:tcPr>
                  <w:tcW w:w="302" w:type="pct"/>
                  <w:vMerge w:val="continue"/>
                  <w:tcBorders>
                    <w:tl2br w:val="nil"/>
                    <w:tr2bl w:val="nil"/>
                  </w:tcBorders>
                  <w:noWrap w:val="0"/>
                  <w:vAlign w:val="center"/>
                </w:tcPr>
                <w:p w14:paraId="30EFB6E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407" w:type="pct"/>
                  <w:tcBorders>
                    <w:tl2br w:val="nil"/>
                    <w:tr2bl w:val="nil"/>
                  </w:tcBorders>
                  <w:shd w:val="clear" w:color="auto" w:fill="auto"/>
                  <w:noWrap w:val="0"/>
                  <w:vAlign w:val="center"/>
                </w:tcPr>
                <w:p w14:paraId="2106973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7.4</w:t>
                  </w:r>
                </w:p>
              </w:tc>
              <w:tc>
                <w:tcPr>
                  <w:tcW w:w="359" w:type="pct"/>
                  <w:tcBorders>
                    <w:tl2br w:val="nil"/>
                    <w:tr2bl w:val="nil"/>
                  </w:tcBorders>
                  <w:shd w:val="clear" w:color="auto" w:fill="auto"/>
                  <w:noWrap w:val="0"/>
                  <w:vAlign w:val="center"/>
                </w:tcPr>
                <w:p w14:paraId="13D2A90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0.007</w:t>
                  </w:r>
                </w:p>
              </w:tc>
              <w:tc>
                <w:tcPr>
                  <w:tcW w:w="340" w:type="pct"/>
                  <w:tcBorders>
                    <w:tl2br w:val="nil"/>
                    <w:tr2bl w:val="nil"/>
                  </w:tcBorders>
                  <w:shd w:val="clear" w:color="auto" w:fill="auto"/>
                  <w:noWrap w:val="0"/>
                  <w:vAlign w:val="center"/>
                </w:tcPr>
                <w:p w14:paraId="31A7CCF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0.035</w:t>
                  </w:r>
                </w:p>
              </w:tc>
              <w:tc>
                <w:tcPr>
                  <w:tcW w:w="251" w:type="pct"/>
                  <w:tcBorders>
                    <w:tl2br w:val="nil"/>
                    <w:tr2bl w:val="nil"/>
                  </w:tcBorders>
                  <w:noWrap w:val="0"/>
                  <w:vAlign w:val="center"/>
                </w:tcPr>
                <w:p w14:paraId="00C85A1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4800</w:t>
                  </w:r>
                </w:p>
              </w:tc>
            </w:tr>
            <w:tr w14:paraId="183CE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restart"/>
                  <w:tcBorders>
                    <w:tl2br w:val="nil"/>
                    <w:tr2bl w:val="nil"/>
                  </w:tcBorders>
                  <w:noWrap w:val="0"/>
                  <w:vAlign w:val="center"/>
                </w:tcPr>
                <w:p w14:paraId="5A191A7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无组织排放</w:t>
                  </w:r>
                </w:p>
              </w:tc>
              <w:tc>
                <w:tcPr>
                  <w:tcW w:w="373" w:type="pct"/>
                  <w:tcBorders>
                    <w:tl2br w:val="nil"/>
                    <w:tr2bl w:val="nil"/>
                  </w:tcBorders>
                  <w:noWrap w:val="0"/>
                  <w:vAlign w:val="center"/>
                </w:tcPr>
                <w:p w14:paraId="27CC3701">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钢筋防腐浸泡、</w:t>
                  </w:r>
                  <w:r>
                    <w:rPr>
                      <w:rFonts w:hint="eastAsia" w:cs="Times New Roman"/>
                      <w:bCs w:val="0"/>
                      <w:color w:val="auto"/>
                      <w:sz w:val="18"/>
                      <w:szCs w:val="18"/>
                      <w:highlight w:val="none"/>
                      <w:lang w:val="en-US" w:eastAsia="zh-CN"/>
                    </w:rPr>
                    <w:t>烘干</w:t>
                  </w:r>
                </w:p>
              </w:tc>
              <w:tc>
                <w:tcPr>
                  <w:tcW w:w="369" w:type="pct"/>
                  <w:tcBorders>
                    <w:tl2br w:val="nil"/>
                    <w:tr2bl w:val="nil"/>
                  </w:tcBorders>
                  <w:noWrap w:val="0"/>
                  <w:vAlign w:val="center"/>
                </w:tcPr>
                <w:p w14:paraId="5A5BE231">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NMHC</w:t>
                  </w:r>
                </w:p>
              </w:tc>
              <w:tc>
                <w:tcPr>
                  <w:tcW w:w="267" w:type="pct"/>
                  <w:vMerge w:val="continue"/>
                  <w:tcBorders>
                    <w:tl2br w:val="nil"/>
                    <w:tr2bl w:val="nil"/>
                  </w:tcBorders>
                  <w:noWrap w:val="0"/>
                  <w:vAlign w:val="center"/>
                </w:tcPr>
                <w:p w14:paraId="4F99C861">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707" w:type="pct"/>
                  <w:gridSpan w:val="2"/>
                  <w:vMerge w:val="restart"/>
                  <w:tcBorders>
                    <w:tl2br w:val="nil"/>
                    <w:tr2bl w:val="nil"/>
                  </w:tcBorders>
                  <w:noWrap w:val="0"/>
                  <w:vAlign w:val="center"/>
                </w:tcPr>
                <w:p w14:paraId="1AB762F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14" w:type="pct"/>
                  <w:tcBorders>
                    <w:tl2br w:val="nil"/>
                    <w:tr2bl w:val="nil"/>
                  </w:tcBorders>
                  <w:noWrap w:val="0"/>
                  <w:vAlign w:val="center"/>
                </w:tcPr>
                <w:p w14:paraId="3B06D9F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0.008</w:t>
                  </w:r>
                </w:p>
              </w:tc>
              <w:tc>
                <w:tcPr>
                  <w:tcW w:w="330" w:type="pct"/>
                  <w:tcBorders>
                    <w:tl2br w:val="nil"/>
                    <w:tr2bl w:val="nil"/>
                  </w:tcBorders>
                  <w:noWrap w:val="0"/>
                  <w:vAlign w:val="center"/>
                </w:tcPr>
                <w:p w14:paraId="52149E9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0.039</w:t>
                  </w:r>
                </w:p>
              </w:tc>
              <w:tc>
                <w:tcPr>
                  <w:tcW w:w="411" w:type="pct"/>
                  <w:tcBorders>
                    <w:tl2br w:val="nil"/>
                    <w:tr2bl w:val="nil"/>
                  </w:tcBorders>
                  <w:noWrap w:val="0"/>
                  <w:vAlign w:val="center"/>
                </w:tcPr>
                <w:p w14:paraId="109614F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车间密闭</w:t>
                  </w:r>
                </w:p>
              </w:tc>
              <w:tc>
                <w:tcPr>
                  <w:tcW w:w="351" w:type="pct"/>
                  <w:tcBorders>
                    <w:tl2br w:val="nil"/>
                    <w:tr2bl w:val="nil"/>
                  </w:tcBorders>
                  <w:noWrap w:val="0"/>
                  <w:vAlign w:val="center"/>
                </w:tcPr>
                <w:p w14:paraId="0A15845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02" w:type="pct"/>
                  <w:vMerge w:val="continue"/>
                  <w:tcBorders>
                    <w:tl2br w:val="nil"/>
                    <w:tr2bl w:val="nil"/>
                  </w:tcBorders>
                  <w:noWrap w:val="0"/>
                  <w:vAlign w:val="center"/>
                </w:tcPr>
                <w:p w14:paraId="1F73C56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407" w:type="pct"/>
                  <w:tcBorders>
                    <w:tl2br w:val="nil"/>
                    <w:tr2bl w:val="nil"/>
                  </w:tcBorders>
                  <w:noWrap w:val="0"/>
                  <w:vAlign w:val="center"/>
                </w:tcPr>
                <w:p w14:paraId="31C7B59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59" w:type="pct"/>
                  <w:tcBorders>
                    <w:tl2br w:val="nil"/>
                    <w:tr2bl w:val="nil"/>
                  </w:tcBorders>
                  <w:noWrap w:val="0"/>
                  <w:vAlign w:val="center"/>
                </w:tcPr>
                <w:p w14:paraId="63AFC12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0.008</w:t>
                  </w:r>
                </w:p>
              </w:tc>
              <w:tc>
                <w:tcPr>
                  <w:tcW w:w="340" w:type="pct"/>
                  <w:tcBorders>
                    <w:tl2br w:val="nil"/>
                    <w:tr2bl w:val="nil"/>
                  </w:tcBorders>
                  <w:noWrap w:val="0"/>
                  <w:vAlign w:val="center"/>
                </w:tcPr>
                <w:p w14:paraId="035AC97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0.039</w:t>
                  </w:r>
                </w:p>
              </w:tc>
              <w:tc>
                <w:tcPr>
                  <w:tcW w:w="251" w:type="pct"/>
                  <w:vMerge w:val="restart"/>
                  <w:tcBorders>
                    <w:tl2br w:val="nil"/>
                    <w:tr2bl w:val="nil"/>
                  </w:tcBorders>
                  <w:noWrap w:val="0"/>
                  <w:vAlign w:val="center"/>
                </w:tcPr>
                <w:p w14:paraId="64256E0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4800</w:t>
                  </w:r>
                </w:p>
              </w:tc>
            </w:tr>
            <w:tr w14:paraId="1A7013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6B08D01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tcBorders>
                    <w:tl2br w:val="nil"/>
                    <w:tr2bl w:val="nil"/>
                  </w:tcBorders>
                  <w:noWrap w:val="0"/>
                  <w:vAlign w:val="center"/>
                </w:tcPr>
                <w:p w14:paraId="4AC48DA4">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eastAsia="宋体" w:cs="Times New Roman"/>
                      <w:bCs w:val="0"/>
                      <w:color w:val="auto"/>
                      <w:kern w:val="2"/>
                      <w:sz w:val="18"/>
                      <w:szCs w:val="18"/>
                      <w:highlight w:val="none"/>
                      <w:lang w:val="en-US" w:eastAsia="zh-CN" w:bidi="ar-SA"/>
                    </w:rPr>
                    <w:t>投料</w:t>
                  </w:r>
                  <w:r>
                    <w:rPr>
                      <w:rFonts w:hint="eastAsia" w:cs="Times New Roman"/>
                      <w:bCs w:val="0"/>
                      <w:color w:val="auto"/>
                      <w:kern w:val="2"/>
                      <w:sz w:val="18"/>
                      <w:szCs w:val="18"/>
                      <w:highlight w:val="none"/>
                      <w:lang w:val="en-US" w:eastAsia="zh-CN" w:bidi="ar-SA"/>
                    </w:rPr>
                    <w:t>（</w:t>
                  </w:r>
                  <w:r>
                    <w:rPr>
                      <w:rFonts w:hint="eastAsia" w:cs="Times New Roman"/>
                      <w:bCs w:val="0"/>
                      <w:color w:val="auto"/>
                      <w:sz w:val="18"/>
                      <w:szCs w:val="18"/>
                      <w:highlight w:val="none"/>
                      <w:lang w:val="en-US" w:eastAsia="zh-CN"/>
                    </w:rPr>
                    <w:t>1#生产</w:t>
                  </w:r>
                  <w:r>
                    <w:rPr>
                      <w:rFonts w:hint="default" w:ascii="Times New Roman" w:hAnsi="Times New Roman" w:cs="Times New Roman"/>
                      <w:bCs w:val="0"/>
                      <w:color w:val="auto"/>
                      <w:sz w:val="18"/>
                      <w:szCs w:val="18"/>
                      <w:highlight w:val="none"/>
                      <w:lang w:val="en-US" w:eastAsia="zh-CN"/>
                    </w:rPr>
                    <w:t>车间</w:t>
                  </w:r>
                  <w:r>
                    <w:rPr>
                      <w:rFonts w:hint="eastAsia" w:cs="Times New Roman"/>
                      <w:bCs w:val="0"/>
                      <w:color w:val="auto"/>
                      <w:kern w:val="2"/>
                      <w:sz w:val="18"/>
                      <w:szCs w:val="18"/>
                      <w:highlight w:val="none"/>
                      <w:lang w:val="en-US" w:eastAsia="zh-CN" w:bidi="ar-SA"/>
                    </w:rPr>
                    <w:t>）</w:t>
                  </w:r>
                </w:p>
              </w:tc>
              <w:tc>
                <w:tcPr>
                  <w:tcW w:w="369" w:type="pct"/>
                  <w:vMerge w:val="restart"/>
                  <w:tcBorders>
                    <w:tl2br w:val="nil"/>
                    <w:tr2bl w:val="nil"/>
                  </w:tcBorders>
                  <w:noWrap w:val="0"/>
                  <w:vAlign w:val="center"/>
                </w:tcPr>
                <w:p w14:paraId="16A2CD7F">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颗粒物</w:t>
                  </w:r>
                </w:p>
              </w:tc>
              <w:tc>
                <w:tcPr>
                  <w:tcW w:w="267" w:type="pct"/>
                  <w:vMerge w:val="continue"/>
                  <w:tcBorders>
                    <w:tl2br w:val="nil"/>
                    <w:tr2bl w:val="nil"/>
                  </w:tcBorders>
                  <w:noWrap w:val="0"/>
                  <w:vAlign w:val="center"/>
                </w:tcPr>
                <w:p w14:paraId="3FB30E5A">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707" w:type="pct"/>
                  <w:gridSpan w:val="2"/>
                  <w:vMerge w:val="continue"/>
                  <w:tcBorders>
                    <w:tl2br w:val="nil"/>
                    <w:tr2bl w:val="nil"/>
                  </w:tcBorders>
                  <w:noWrap w:val="0"/>
                  <w:vAlign w:val="center"/>
                </w:tcPr>
                <w:p w14:paraId="72C8B5A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14" w:type="pct"/>
                  <w:tcBorders>
                    <w:tl2br w:val="nil"/>
                    <w:tr2bl w:val="nil"/>
                  </w:tcBorders>
                  <w:noWrap w:val="0"/>
                  <w:vAlign w:val="center"/>
                </w:tcPr>
                <w:p w14:paraId="27B4395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30" w:type="pct"/>
                  <w:tcBorders>
                    <w:tl2br w:val="nil"/>
                    <w:tr2bl w:val="nil"/>
                  </w:tcBorders>
                  <w:noWrap w:val="0"/>
                  <w:vAlign w:val="center"/>
                </w:tcPr>
                <w:p w14:paraId="7A91CEB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30.73</w:t>
                  </w:r>
                </w:p>
              </w:tc>
              <w:tc>
                <w:tcPr>
                  <w:tcW w:w="411" w:type="pct"/>
                  <w:tcBorders>
                    <w:tl2br w:val="nil"/>
                    <w:tr2bl w:val="nil"/>
                  </w:tcBorders>
                  <w:noWrap w:val="0"/>
                  <w:vAlign w:val="center"/>
                </w:tcPr>
                <w:p w14:paraId="2461D86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布袋除尘器</w:t>
                  </w:r>
                </w:p>
              </w:tc>
              <w:tc>
                <w:tcPr>
                  <w:tcW w:w="351" w:type="pct"/>
                  <w:tcBorders>
                    <w:tl2br w:val="nil"/>
                    <w:tr2bl w:val="nil"/>
                  </w:tcBorders>
                  <w:noWrap w:val="0"/>
                  <w:vAlign w:val="center"/>
                </w:tcPr>
                <w:p w14:paraId="2E42651E">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99</w:t>
                  </w:r>
                </w:p>
              </w:tc>
              <w:tc>
                <w:tcPr>
                  <w:tcW w:w="302" w:type="pct"/>
                  <w:vMerge w:val="continue"/>
                  <w:tcBorders>
                    <w:tl2br w:val="nil"/>
                    <w:tr2bl w:val="nil"/>
                  </w:tcBorders>
                  <w:noWrap w:val="0"/>
                  <w:vAlign w:val="center"/>
                </w:tcPr>
                <w:p w14:paraId="030508D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407" w:type="pct"/>
                  <w:tcBorders>
                    <w:tl2br w:val="nil"/>
                    <w:tr2bl w:val="nil"/>
                  </w:tcBorders>
                  <w:noWrap w:val="0"/>
                  <w:vAlign w:val="center"/>
                </w:tcPr>
                <w:p w14:paraId="082D5FC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59" w:type="pct"/>
                  <w:tcBorders>
                    <w:tl2br w:val="nil"/>
                    <w:tr2bl w:val="nil"/>
                  </w:tcBorders>
                  <w:noWrap w:val="0"/>
                  <w:vAlign w:val="center"/>
                </w:tcPr>
                <w:p w14:paraId="6985715A">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0" w:type="pct"/>
                  <w:tcBorders>
                    <w:tl2br w:val="nil"/>
                    <w:tr2bl w:val="nil"/>
                  </w:tcBorders>
                  <w:noWrap w:val="0"/>
                  <w:vAlign w:val="center"/>
                </w:tcPr>
                <w:p w14:paraId="5741E417">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307</w:t>
                  </w:r>
                </w:p>
              </w:tc>
              <w:tc>
                <w:tcPr>
                  <w:tcW w:w="251" w:type="pct"/>
                  <w:vMerge w:val="continue"/>
                  <w:tcBorders>
                    <w:tl2br w:val="nil"/>
                    <w:tr2bl w:val="nil"/>
                  </w:tcBorders>
                  <w:noWrap w:val="0"/>
                  <w:vAlign w:val="center"/>
                </w:tcPr>
                <w:p w14:paraId="1B91FD6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r>
            <w:tr w14:paraId="1CB3FE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60EAD8C1">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tcBorders>
                    <w:tl2br w:val="nil"/>
                    <w:tr2bl w:val="nil"/>
                  </w:tcBorders>
                  <w:noWrap w:val="0"/>
                  <w:vAlign w:val="center"/>
                </w:tcPr>
                <w:p w14:paraId="36B34F67">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bidi="ar-SA"/>
                    </w:rPr>
                    <w:t>投料</w:t>
                  </w:r>
                  <w:r>
                    <w:rPr>
                      <w:rFonts w:hint="eastAsia" w:cs="Times New Roman"/>
                      <w:bCs w:val="0"/>
                      <w:color w:val="auto"/>
                      <w:kern w:val="2"/>
                      <w:sz w:val="18"/>
                      <w:szCs w:val="18"/>
                      <w:highlight w:val="none"/>
                      <w:lang w:val="en-US" w:eastAsia="zh-CN" w:bidi="ar-SA"/>
                    </w:rPr>
                    <w:t>（</w:t>
                  </w:r>
                  <w:r>
                    <w:rPr>
                      <w:rFonts w:hint="eastAsia" w:cs="Times New Roman"/>
                      <w:bCs w:val="0"/>
                      <w:color w:val="auto"/>
                      <w:sz w:val="18"/>
                      <w:szCs w:val="18"/>
                      <w:highlight w:val="none"/>
                      <w:lang w:val="en-US" w:eastAsia="zh-CN"/>
                    </w:rPr>
                    <w:t>2#生产</w:t>
                  </w:r>
                  <w:r>
                    <w:rPr>
                      <w:rFonts w:hint="default" w:ascii="Times New Roman" w:hAnsi="Times New Roman" w:cs="Times New Roman"/>
                      <w:bCs w:val="0"/>
                      <w:color w:val="auto"/>
                      <w:sz w:val="18"/>
                      <w:szCs w:val="18"/>
                      <w:highlight w:val="none"/>
                      <w:lang w:val="en-US" w:eastAsia="zh-CN"/>
                    </w:rPr>
                    <w:t>车间</w:t>
                  </w:r>
                  <w:r>
                    <w:rPr>
                      <w:rFonts w:hint="eastAsia" w:cs="Times New Roman"/>
                      <w:bCs w:val="0"/>
                      <w:color w:val="auto"/>
                      <w:kern w:val="2"/>
                      <w:sz w:val="18"/>
                      <w:szCs w:val="18"/>
                      <w:highlight w:val="none"/>
                      <w:lang w:val="en-US" w:eastAsia="zh-CN" w:bidi="ar-SA"/>
                    </w:rPr>
                    <w:t>）</w:t>
                  </w:r>
                </w:p>
              </w:tc>
              <w:tc>
                <w:tcPr>
                  <w:tcW w:w="369" w:type="pct"/>
                  <w:vMerge w:val="continue"/>
                  <w:tcBorders>
                    <w:tl2br w:val="nil"/>
                    <w:tr2bl w:val="nil"/>
                  </w:tcBorders>
                  <w:noWrap w:val="0"/>
                  <w:vAlign w:val="center"/>
                </w:tcPr>
                <w:p w14:paraId="356EFF9B">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p>
              </w:tc>
              <w:tc>
                <w:tcPr>
                  <w:tcW w:w="267" w:type="pct"/>
                  <w:vMerge w:val="continue"/>
                  <w:tcBorders>
                    <w:tl2br w:val="nil"/>
                    <w:tr2bl w:val="nil"/>
                  </w:tcBorders>
                  <w:noWrap w:val="0"/>
                  <w:vAlign w:val="center"/>
                </w:tcPr>
                <w:p w14:paraId="347F12D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707" w:type="pct"/>
                  <w:gridSpan w:val="2"/>
                  <w:vMerge w:val="continue"/>
                  <w:tcBorders>
                    <w:tl2br w:val="nil"/>
                    <w:tr2bl w:val="nil"/>
                  </w:tcBorders>
                  <w:noWrap w:val="0"/>
                  <w:vAlign w:val="center"/>
                </w:tcPr>
                <w:p w14:paraId="02F14AE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14" w:type="pct"/>
                  <w:tcBorders>
                    <w:tl2br w:val="nil"/>
                    <w:tr2bl w:val="nil"/>
                  </w:tcBorders>
                  <w:noWrap w:val="0"/>
                  <w:vAlign w:val="center"/>
                </w:tcPr>
                <w:p w14:paraId="681037B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330" w:type="pct"/>
                  <w:tcBorders>
                    <w:tl2br w:val="nil"/>
                    <w:tr2bl w:val="nil"/>
                  </w:tcBorders>
                  <w:noWrap w:val="0"/>
                  <w:vAlign w:val="center"/>
                </w:tcPr>
                <w:p w14:paraId="4D7A574E">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12.05</w:t>
                  </w:r>
                </w:p>
              </w:tc>
              <w:tc>
                <w:tcPr>
                  <w:tcW w:w="411" w:type="pct"/>
                  <w:tcBorders>
                    <w:tl2br w:val="nil"/>
                    <w:tr2bl w:val="nil"/>
                  </w:tcBorders>
                  <w:noWrap w:val="0"/>
                  <w:vAlign w:val="center"/>
                </w:tcPr>
                <w:p w14:paraId="3D255E1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布袋除尘器</w:t>
                  </w:r>
                </w:p>
              </w:tc>
              <w:tc>
                <w:tcPr>
                  <w:tcW w:w="351" w:type="pct"/>
                  <w:tcBorders>
                    <w:tl2br w:val="nil"/>
                    <w:tr2bl w:val="nil"/>
                  </w:tcBorders>
                  <w:noWrap w:val="0"/>
                  <w:vAlign w:val="center"/>
                </w:tcPr>
                <w:p w14:paraId="2D1CF2C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99</w:t>
                  </w:r>
                </w:p>
              </w:tc>
              <w:tc>
                <w:tcPr>
                  <w:tcW w:w="302" w:type="pct"/>
                  <w:vMerge w:val="continue"/>
                  <w:tcBorders>
                    <w:tl2br w:val="nil"/>
                    <w:tr2bl w:val="nil"/>
                  </w:tcBorders>
                  <w:noWrap w:val="0"/>
                  <w:vAlign w:val="center"/>
                </w:tcPr>
                <w:p w14:paraId="1AAE4F9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407" w:type="pct"/>
                  <w:tcBorders>
                    <w:tl2br w:val="nil"/>
                    <w:tr2bl w:val="nil"/>
                  </w:tcBorders>
                  <w:noWrap w:val="0"/>
                  <w:vAlign w:val="center"/>
                </w:tcPr>
                <w:p w14:paraId="523FC067">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59" w:type="pct"/>
                  <w:tcBorders>
                    <w:tl2br w:val="nil"/>
                    <w:tr2bl w:val="nil"/>
                  </w:tcBorders>
                  <w:noWrap w:val="0"/>
                  <w:vAlign w:val="center"/>
                </w:tcPr>
                <w:p w14:paraId="5E069AB7">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0" w:type="pct"/>
                  <w:tcBorders>
                    <w:tl2br w:val="nil"/>
                    <w:tr2bl w:val="nil"/>
                  </w:tcBorders>
                  <w:noWrap w:val="0"/>
                  <w:vAlign w:val="center"/>
                </w:tcPr>
                <w:p w14:paraId="2BFE2FF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0.12</w:t>
                  </w:r>
                </w:p>
              </w:tc>
              <w:tc>
                <w:tcPr>
                  <w:tcW w:w="251" w:type="pct"/>
                  <w:vMerge w:val="continue"/>
                  <w:tcBorders>
                    <w:tl2br w:val="nil"/>
                    <w:tr2bl w:val="nil"/>
                  </w:tcBorders>
                  <w:noWrap w:val="0"/>
                  <w:vAlign w:val="center"/>
                </w:tcPr>
                <w:p w14:paraId="66EF319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r>
            <w:tr w14:paraId="317E79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77332BFA">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tcBorders>
                    <w:tl2br w:val="nil"/>
                    <w:tr2bl w:val="nil"/>
                  </w:tcBorders>
                  <w:noWrap w:val="0"/>
                  <w:vAlign w:val="center"/>
                </w:tcPr>
                <w:p w14:paraId="6E5F17E7">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bCs w:val="0"/>
                      <w:color w:val="auto"/>
                      <w:kern w:val="2"/>
                      <w:sz w:val="18"/>
                      <w:szCs w:val="18"/>
                      <w:highlight w:val="none"/>
                      <w:lang w:val="en-US" w:eastAsia="zh-CN" w:bidi="ar-SA"/>
                    </w:rPr>
                    <w:t>破碎、球磨、搅拌</w:t>
                  </w:r>
                </w:p>
              </w:tc>
              <w:tc>
                <w:tcPr>
                  <w:tcW w:w="369" w:type="pct"/>
                  <w:tcBorders>
                    <w:tl2br w:val="nil"/>
                    <w:tr2bl w:val="nil"/>
                  </w:tcBorders>
                  <w:noWrap w:val="0"/>
                  <w:vAlign w:val="center"/>
                </w:tcPr>
                <w:p w14:paraId="44C22AF7">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颗粒物</w:t>
                  </w:r>
                </w:p>
              </w:tc>
              <w:tc>
                <w:tcPr>
                  <w:tcW w:w="267" w:type="pct"/>
                  <w:vMerge w:val="continue"/>
                  <w:tcBorders>
                    <w:tl2br w:val="nil"/>
                    <w:tr2bl w:val="nil"/>
                  </w:tcBorders>
                  <w:noWrap w:val="0"/>
                  <w:vAlign w:val="center"/>
                </w:tcPr>
                <w:p w14:paraId="3911E381">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707" w:type="pct"/>
                  <w:gridSpan w:val="2"/>
                  <w:vMerge w:val="continue"/>
                  <w:tcBorders>
                    <w:tl2br w:val="nil"/>
                    <w:tr2bl w:val="nil"/>
                  </w:tcBorders>
                  <w:noWrap w:val="0"/>
                  <w:vAlign w:val="center"/>
                </w:tcPr>
                <w:p w14:paraId="48C9821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14" w:type="pct"/>
                  <w:tcBorders>
                    <w:tl2br w:val="nil"/>
                    <w:tr2bl w:val="nil"/>
                  </w:tcBorders>
                  <w:noWrap w:val="0"/>
                  <w:vAlign w:val="center"/>
                </w:tcPr>
                <w:p w14:paraId="32B58D9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30" w:type="pct"/>
                  <w:tcBorders>
                    <w:tl2br w:val="nil"/>
                    <w:tr2bl w:val="nil"/>
                  </w:tcBorders>
                  <w:noWrap w:val="0"/>
                  <w:vAlign w:val="center"/>
                </w:tcPr>
                <w:p w14:paraId="1B0AAF7A">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7.56</w:t>
                  </w:r>
                </w:p>
              </w:tc>
              <w:tc>
                <w:tcPr>
                  <w:tcW w:w="411" w:type="pct"/>
                  <w:tcBorders>
                    <w:tl2br w:val="nil"/>
                    <w:tr2bl w:val="nil"/>
                  </w:tcBorders>
                  <w:noWrap w:val="0"/>
                  <w:vAlign w:val="center"/>
                </w:tcPr>
                <w:p w14:paraId="406F4BC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51" w:type="pct"/>
                  <w:tcBorders>
                    <w:tl2br w:val="nil"/>
                    <w:tr2bl w:val="nil"/>
                  </w:tcBorders>
                  <w:noWrap w:val="0"/>
                  <w:vAlign w:val="center"/>
                </w:tcPr>
                <w:p w14:paraId="61FFE8B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02" w:type="pct"/>
                  <w:vMerge w:val="continue"/>
                  <w:tcBorders>
                    <w:tl2br w:val="nil"/>
                    <w:tr2bl w:val="nil"/>
                  </w:tcBorders>
                  <w:noWrap w:val="0"/>
                  <w:vAlign w:val="center"/>
                </w:tcPr>
                <w:p w14:paraId="1BF2B23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407" w:type="pct"/>
                  <w:tcBorders>
                    <w:tl2br w:val="nil"/>
                    <w:tr2bl w:val="nil"/>
                  </w:tcBorders>
                  <w:noWrap w:val="0"/>
                  <w:vAlign w:val="center"/>
                </w:tcPr>
                <w:p w14:paraId="584BBF1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59" w:type="pct"/>
                  <w:tcBorders>
                    <w:tl2br w:val="nil"/>
                    <w:tr2bl w:val="nil"/>
                  </w:tcBorders>
                  <w:noWrap w:val="0"/>
                  <w:vAlign w:val="center"/>
                </w:tcPr>
                <w:p w14:paraId="34EFC027">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0" w:type="pct"/>
                  <w:tcBorders>
                    <w:tl2br w:val="nil"/>
                    <w:tr2bl w:val="nil"/>
                  </w:tcBorders>
                  <w:noWrap w:val="0"/>
                  <w:vAlign w:val="center"/>
                </w:tcPr>
                <w:p w14:paraId="503DF40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7.56</w:t>
                  </w:r>
                </w:p>
              </w:tc>
              <w:tc>
                <w:tcPr>
                  <w:tcW w:w="251" w:type="pct"/>
                  <w:tcBorders>
                    <w:tl2br w:val="nil"/>
                    <w:tr2bl w:val="nil"/>
                  </w:tcBorders>
                  <w:noWrap w:val="0"/>
                  <w:vAlign w:val="center"/>
                </w:tcPr>
                <w:p w14:paraId="78752872">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4800</w:t>
                  </w:r>
                </w:p>
              </w:tc>
            </w:tr>
            <w:tr w14:paraId="12D71F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1E71F261">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tcBorders>
                    <w:tl2br w:val="nil"/>
                    <w:tr2bl w:val="nil"/>
                  </w:tcBorders>
                  <w:noWrap w:val="0"/>
                  <w:vAlign w:val="center"/>
                </w:tcPr>
                <w:p w14:paraId="7E29EE8A">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bidi="ar-SA"/>
                    </w:rPr>
                    <w:t>焊接</w:t>
                  </w:r>
                </w:p>
              </w:tc>
              <w:tc>
                <w:tcPr>
                  <w:tcW w:w="369" w:type="pct"/>
                  <w:tcBorders>
                    <w:tl2br w:val="nil"/>
                    <w:tr2bl w:val="nil"/>
                  </w:tcBorders>
                  <w:noWrap w:val="0"/>
                  <w:vAlign w:val="center"/>
                </w:tcPr>
                <w:p w14:paraId="5550574C">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颗粒物</w:t>
                  </w:r>
                </w:p>
              </w:tc>
              <w:tc>
                <w:tcPr>
                  <w:tcW w:w="267" w:type="pct"/>
                  <w:tcBorders>
                    <w:tl2br w:val="nil"/>
                    <w:tr2bl w:val="nil"/>
                  </w:tcBorders>
                  <w:noWrap w:val="0"/>
                  <w:vAlign w:val="center"/>
                </w:tcPr>
                <w:p w14:paraId="5447421C">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707" w:type="pct"/>
                  <w:gridSpan w:val="2"/>
                  <w:tcBorders>
                    <w:tl2br w:val="nil"/>
                    <w:tr2bl w:val="nil"/>
                  </w:tcBorders>
                  <w:noWrap w:val="0"/>
                  <w:vAlign w:val="center"/>
                </w:tcPr>
                <w:p w14:paraId="14D14DA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14" w:type="pct"/>
                  <w:tcBorders>
                    <w:tl2br w:val="nil"/>
                    <w:tr2bl w:val="nil"/>
                  </w:tcBorders>
                  <w:noWrap w:val="0"/>
                  <w:vAlign w:val="center"/>
                </w:tcPr>
                <w:p w14:paraId="05AD8BA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30" w:type="pct"/>
                  <w:tcBorders>
                    <w:tl2br w:val="nil"/>
                    <w:tr2bl w:val="nil"/>
                  </w:tcBorders>
                  <w:noWrap w:val="0"/>
                  <w:vAlign w:val="center"/>
                </w:tcPr>
                <w:p w14:paraId="5828BF2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0.012</w:t>
                  </w:r>
                </w:p>
              </w:tc>
              <w:tc>
                <w:tcPr>
                  <w:tcW w:w="411" w:type="pct"/>
                  <w:tcBorders>
                    <w:tl2br w:val="nil"/>
                    <w:tr2bl w:val="nil"/>
                  </w:tcBorders>
                  <w:noWrap w:val="0"/>
                  <w:vAlign w:val="center"/>
                </w:tcPr>
                <w:p w14:paraId="71F73A20">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移动式焊接烟尘净化器</w:t>
                  </w:r>
                </w:p>
              </w:tc>
              <w:tc>
                <w:tcPr>
                  <w:tcW w:w="351" w:type="pct"/>
                  <w:tcBorders>
                    <w:tl2br w:val="nil"/>
                    <w:tr2bl w:val="nil"/>
                  </w:tcBorders>
                  <w:noWrap w:val="0"/>
                  <w:vAlign w:val="center"/>
                </w:tcPr>
                <w:p w14:paraId="1D24168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80</w:t>
                  </w:r>
                </w:p>
              </w:tc>
              <w:tc>
                <w:tcPr>
                  <w:tcW w:w="302" w:type="pct"/>
                  <w:tcBorders>
                    <w:tl2br w:val="nil"/>
                    <w:tr2bl w:val="nil"/>
                  </w:tcBorders>
                  <w:noWrap w:val="0"/>
                  <w:vAlign w:val="center"/>
                </w:tcPr>
                <w:p w14:paraId="51121B25">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407" w:type="pct"/>
                  <w:tcBorders>
                    <w:tl2br w:val="nil"/>
                    <w:tr2bl w:val="nil"/>
                  </w:tcBorders>
                  <w:noWrap w:val="0"/>
                  <w:vAlign w:val="center"/>
                </w:tcPr>
                <w:p w14:paraId="0C26142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59" w:type="pct"/>
                  <w:tcBorders>
                    <w:tl2br w:val="nil"/>
                    <w:tr2bl w:val="nil"/>
                  </w:tcBorders>
                  <w:noWrap w:val="0"/>
                  <w:vAlign w:val="center"/>
                </w:tcPr>
                <w:p w14:paraId="046C864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0" w:type="pct"/>
                  <w:tcBorders>
                    <w:tl2br w:val="nil"/>
                    <w:tr2bl w:val="nil"/>
                  </w:tcBorders>
                  <w:noWrap w:val="0"/>
                  <w:vAlign w:val="center"/>
                </w:tcPr>
                <w:p w14:paraId="21CA873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0.002</w:t>
                  </w:r>
                </w:p>
              </w:tc>
              <w:tc>
                <w:tcPr>
                  <w:tcW w:w="251" w:type="pct"/>
                  <w:tcBorders>
                    <w:tl2br w:val="nil"/>
                    <w:tr2bl w:val="nil"/>
                  </w:tcBorders>
                  <w:noWrap w:val="0"/>
                  <w:vAlign w:val="center"/>
                </w:tcPr>
                <w:p w14:paraId="4EF9650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2400</w:t>
                  </w:r>
                </w:p>
              </w:tc>
            </w:tr>
          </w:tbl>
          <w:p w14:paraId="41DFC2A0">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本项目营运期间产生废气主要包括</w:t>
            </w:r>
            <w:r>
              <w:rPr>
                <w:rFonts w:hint="default" w:ascii="Times New Roman" w:hAnsi="Times New Roman" w:cs="Times New Roman"/>
                <w:color w:val="auto"/>
                <w:spacing w:val="-4"/>
                <w:sz w:val="21"/>
                <w:szCs w:val="21"/>
                <w:highlight w:val="none"/>
              </w:rPr>
              <w:t>锅</w:t>
            </w:r>
            <w:r>
              <w:rPr>
                <w:rFonts w:hint="default" w:ascii="Times New Roman" w:hAnsi="Times New Roman" w:cs="Times New Roman"/>
                <w:color w:val="auto"/>
                <w:spacing w:val="-1"/>
                <w:sz w:val="21"/>
                <w:szCs w:val="21"/>
                <w:highlight w:val="none"/>
              </w:rPr>
              <w:t>炉废气、投料破碎球磨</w:t>
            </w:r>
            <w:r>
              <w:rPr>
                <w:rFonts w:hint="default" w:ascii="Times New Roman" w:hAnsi="Times New Roman" w:cs="Times New Roman"/>
                <w:color w:val="auto"/>
                <w:spacing w:val="-1"/>
                <w:sz w:val="21"/>
                <w:szCs w:val="21"/>
                <w:highlight w:val="none"/>
                <w:lang w:val="en-US" w:eastAsia="zh-CN"/>
              </w:rPr>
              <w:t>粉尘、</w:t>
            </w:r>
            <w:r>
              <w:rPr>
                <w:rFonts w:hint="default" w:ascii="Times New Roman" w:hAnsi="Times New Roman" w:cs="Times New Roman"/>
                <w:color w:val="auto"/>
                <w:spacing w:val="-3"/>
                <w:sz w:val="21"/>
                <w:szCs w:val="21"/>
                <w:highlight w:val="none"/>
              </w:rPr>
              <w:t>钢筋焊接烟气、浸泡、</w:t>
            </w:r>
            <w:r>
              <w:rPr>
                <w:rFonts w:hint="eastAsia" w:ascii="Times New Roman" w:hAnsi="Times New Roman" w:cs="Times New Roman"/>
                <w:color w:val="auto"/>
                <w:spacing w:val="-3"/>
                <w:sz w:val="21"/>
                <w:szCs w:val="21"/>
                <w:highlight w:val="none"/>
                <w:lang w:eastAsia="zh-CN"/>
              </w:rPr>
              <w:t>烘干</w:t>
            </w:r>
            <w:r>
              <w:rPr>
                <w:rFonts w:hint="default" w:ascii="Times New Roman" w:hAnsi="Times New Roman" w:cs="Times New Roman"/>
                <w:color w:val="auto"/>
                <w:spacing w:val="-4"/>
                <w:sz w:val="21"/>
                <w:szCs w:val="21"/>
                <w:highlight w:val="none"/>
              </w:rPr>
              <w:t>废气</w:t>
            </w:r>
            <w:r>
              <w:rPr>
                <w:rFonts w:hint="default" w:ascii="Times New Roman" w:hAnsi="Times New Roman" w:cs="Times New Roman"/>
                <w:color w:val="auto"/>
                <w:spacing w:val="-1"/>
                <w:sz w:val="21"/>
                <w:szCs w:val="21"/>
                <w:highlight w:val="none"/>
              </w:rPr>
              <w:t>。</w:t>
            </w:r>
          </w:p>
          <w:p w14:paraId="323B0B90">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val="0"/>
                <w:bCs w:val="0"/>
                <w:color w:val="auto"/>
                <w:sz w:val="21"/>
                <w:szCs w:val="21"/>
                <w:highlight w:val="none"/>
                <w:lang w:eastAsia="zh-CN"/>
              </w:rPr>
              <w:t>①锅炉烟气：</w:t>
            </w:r>
          </w:p>
          <w:p w14:paraId="3A5F6FD7">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本项目使用生物质专用锅炉，</w:t>
            </w:r>
            <w:r>
              <w:rPr>
                <w:rFonts w:hint="default" w:ascii="Times New Roman" w:hAnsi="Times New Roman" w:cs="Times New Roman"/>
                <w:color w:val="auto"/>
                <w:sz w:val="21"/>
                <w:szCs w:val="21"/>
                <w:highlight w:val="none"/>
              </w:rPr>
              <w:t>根据</w:t>
            </w:r>
            <w:r>
              <w:rPr>
                <w:rFonts w:hint="default" w:ascii="Times New Roman" w:hAnsi="Times New Roman" w:cs="Times New Roman"/>
                <w:color w:val="auto"/>
                <w:sz w:val="21"/>
                <w:szCs w:val="21"/>
                <w:highlight w:val="none"/>
                <w:lang w:val="en-US" w:eastAsia="zh-CN"/>
              </w:rPr>
              <w:t>生物质成分</w:t>
            </w:r>
            <w:r>
              <w:rPr>
                <w:rFonts w:hint="default" w:ascii="Times New Roman" w:hAnsi="Times New Roman" w:cs="Times New Roman"/>
                <w:color w:val="auto"/>
                <w:sz w:val="21"/>
                <w:szCs w:val="21"/>
                <w:highlight w:val="none"/>
              </w:rPr>
              <w:t>分析报告可知，收到基低位发热量为</w:t>
            </w:r>
            <w:r>
              <w:rPr>
                <w:rFonts w:hint="default" w:ascii="Times New Roman" w:hAnsi="Times New Roman" w:cs="Times New Roman"/>
                <w:color w:val="auto"/>
                <w:sz w:val="21"/>
                <w:szCs w:val="21"/>
                <w:highlight w:val="none"/>
                <w:lang w:val="en-US" w:eastAsia="zh-CN"/>
              </w:rPr>
              <w:t>14.</w:t>
            </w:r>
            <w:r>
              <w:rPr>
                <w:rFonts w:hint="eastAsia" w:cs="Times New Roman"/>
                <w:color w:val="auto"/>
                <w:sz w:val="21"/>
                <w:szCs w:val="21"/>
                <w:highlight w:val="none"/>
                <w:lang w:val="en-US" w:eastAsia="zh-CN"/>
              </w:rPr>
              <w:t>132</w:t>
            </w:r>
            <w:r>
              <w:rPr>
                <w:rFonts w:hint="default" w:ascii="Times New Roman" w:hAnsi="Times New Roman" w:cs="Times New Roman"/>
                <w:color w:val="auto"/>
                <w:sz w:val="21"/>
                <w:szCs w:val="21"/>
                <w:highlight w:val="none"/>
              </w:rPr>
              <w:t>MJ/kg，锅炉热效率为8</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生物质</w:t>
            </w:r>
            <w:r>
              <w:rPr>
                <w:rFonts w:hint="default" w:ascii="Times New Roman" w:hAnsi="Times New Roman" w:cs="Times New Roman"/>
                <w:color w:val="auto"/>
                <w:sz w:val="21"/>
                <w:szCs w:val="21"/>
                <w:highlight w:val="none"/>
              </w:rPr>
              <w:t>蒸汽锅炉每小时消耗量=60万大卡*吨位/燃料热值/锅炉燃烧效率，1台</w:t>
            </w:r>
            <w:r>
              <w:rPr>
                <w:rFonts w:hint="default" w:ascii="Times New Roman" w:hAnsi="Times New Roman" w:cs="Times New Roman"/>
                <w:color w:val="auto"/>
                <w:sz w:val="21"/>
                <w:szCs w:val="21"/>
                <w:highlight w:val="none"/>
                <w:lang w:val="en-US" w:eastAsia="zh-CN"/>
              </w:rPr>
              <w:t>12</w:t>
            </w:r>
            <w:r>
              <w:rPr>
                <w:rFonts w:hint="default" w:ascii="Times New Roman" w:hAnsi="Times New Roman" w:cs="Times New Roman"/>
                <w:color w:val="auto"/>
                <w:sz w:val="21"/>
                <w:szCs w:val="21"/>
                <w:highlight w:val="none"/>
              </w:rPr>
              <w:t>t/h</w:t>
            </w:r>
            <w:r>
              <w:rPr>
                <w:rFonts w:hint="default" w:ascii="Times New Roman" w:hAnsi="Times New Roman" w:cs="Times New Roman"/>
                <w:color w:val="auto"/>
                <w:sz w:val="21"/>
                <w:szCs w:val="21"/>
                <w:highlight w:val="none"/>
                <w:lang w:val="en-US" w:eastAsia="zh-CN"/>
              </w:rPr>
              <w:t>生物质蒸汽</w:t>
            </w:r>
            <w:r>
              <w:rPr>
                <w:rFonts w:hint="default" w:ascii="Times New Roman" w:hAnsi="Times New Roman" w:cs="Times New Roman"/>
                <w:color w:val="auto"/>
                <w:sz w:val="21"/>
                <w:szCs w:val="21"/>
                <w:highlight w:val="none"/>
              </w:rPr>
              <w:t>锅炉年运行</w:t>
            </w:r>
            <w:r>
              <w:rPr>
                <w:rFonts w:hint="default" w:ascii="Times New Roman" w:hAnsi="Times New Roman" w:cs="Times New Roman"/>
                <w:color w:val="auto"/>
                <w:sz w:val="21"/>
                <w:szCs w:val="21"/>
                <w:highlight w:val="none"/>
                <w:lang w:val="en-US" w:eastAsia="zh-CN"/>
              </w:rPr>
              <w:t>4800</w:t>
            </w:r>
            <w:r>
              <w:rPr>
                <w:rFonts w:hint="default" w:ascii="Times New Roman" w:hAnsi="Times New Roman" w:cs="Times New Roman"/>
                <w:color w:val="auto"/>
                <w:sz w:val="21"/>
                <w:szCs w:val="21"/>
                <w:highlight w:val="none"/>
              </w:rPr>
              <w:t>h，</w:t>
            </w:r>
            <w:r>
              <w:rPr>
                <w:rFonts w:hint="eastAsia" w:cs="Times New Roman"/>
                <w:color w:val="auto"/>
                <w:sz w:val="21"/>
                <w:szCs w:val="21"/>
                <w:highlight w:val="none"/>
                <w:lang w:eastAsia="zh-CN"/>
              </w:rPr>
              <w:t>锅炉热负荷率为</w:t>
            </w:r>
            <w:r>
              <w:rPr>
                <w:rFonts w:hint="eastAsia" w:cs="Times New Roman"/>
                <w:color w:val="auto"/>
                <w:sz w:val="21"/>
                <w:szCs w:val="21"/>
                <w:highlight w:val="none"/>
                <w:lang w:val="en-US" w:eastAsia="zh-CN"/>
              </w:rPr>
              <w:t>99.6%，基本维持满负荷工况运行。</w:t>
            </w:r>
            <w:r>
              <w:rPr>
                <w:rFonts w:hint="default" w:ascii="Times New Roman" w:hAnsi="Times New Roman" w:cs="Times New Roman"/>
                <w:color w:val="auto"/>
                <w:sz w:val="21"/>
                <w:szCs w:val="21"/>
                <w:highlight w:val="none"/>
              </w:rPr>
              <w:t>则燃</w:t>
            </w:r>
            <w:r>
              <w:rPr>
                <w:rFonts w:hint="eastAsia" w:cs="Times New Roman"/>
                <w:color w:val="auto"/>
                <w:sz w:val="21"/>
                <w:szCs w:val="21"/>
                <w:highlight w:val="none"/>
                <w:lang w:val="en-US" w:eastAsia="zh-CN"/>
              </w:rPr>
              <w:t>生物质颗粒</w:t>
            </w:r>
            <w:r>
              <w:rPr>
                <w:rFonts w:hint="default" w:ascii="Times New Roman" w:hAnsi="Times New Roman" w:cs="Times New Roman"/>
                <w:color w:val="auto"/>
                <w:sz w:val="21"/>
                <w:szCs w:val="21"/>
                <w:highlight w:val="none"/>
              </w:rPr>
              <w:t>量为</w:t>
            </w:r>
            <w:r>
              <w:rPr>
                <w:rFonts w:hint="eastAsia" w:cs="Times New Roman"/>
                <w:color w:val="auto"/>
                <w:sz w:val="21"/>
                <w:szCs w:val="21"/>
                <w:highlight w:val="none"/>
                <w:lang w:val="en-US" w:eastAsia="zh-CN"/>
              </w:rPr>
              <w:t>2.48</w:t>
            </w:r>
            <w:r>
              <w:rPr>
                <w:rFonts w:hint="default" w:ascii="Times New Roman" w:hAnsi="Times New Roman" w:cs="Times New Roman"/>
                <w:color w:val="auto"/>
                <w:sz w:val="21"/>
                <w:szCs w:val="21"/>
                <w:highlight w:val="none"/>
                <w:lang w:val="en-US" w:eastAsia="zh-CN"/>
              </w:rPr>
              <w:t>t/h，1</w:t>
            </w:r>
            <w:r>
              <w:rPr>
                <w:rFonts w:hint="eastAsia" w:cs="Times New Roman"/>
                <w:color w:val="auto"/>
                <w:sz w:val="21"/>
                <w:szCs w:val="21"/>
                <w:highlight w:val="none"/>
                <w:lang w:val="en-US" w:eastAsia="zh-CN"/>
              </w:rPr>
              <w:t>1904</w:t>
            </w:r>
            <w:r>
              <w:rPr>
                <w:rFonts w:hint="default" w:ascii="Times New Roman" w:hAnsi="Times New Roman" w:cs="Times New Roman"/>
                <w:color w:val="auto"/>
                <w:sz w:val="21"/>
                <w:szCs w:val="21"/>
                <w:highlight w:val="none"/>
              </w:rPr>
              <w:t>t</w:t>
            </w:r>
            <w:r>
              <w:rPr>
                <w:rFonts w:hint="default" w:ascii="Times New Roman" w:hAnsi="Times New Roman" w:cs="Times New Roman"/>
                <w:color w:val="auto"/>
                <w:sz w:val="21"/>
                <w:szCs w:val="21"/>
                <w:highlight w:val="none"/>
                <w:lang w:val="en-US" w:eastAsia="zh-CN"/>
              </w:rPr>
              <w:t>/a</w:t>
            </w:r>
            <w:r>
              <w:rPr>
                <w:rFonts w:hint="default" w:ascii="Times New Roman" w:hAnsi="Times New Roman" w:cs="Times New Roman"/>
                <w:color w:val="auto"/>
                <w:sz w:val="21"/>
                <w:szCs w:val="21"/>
                <w:highlight w:val="none"/>
              </w:rPr>
              <w:t>。</w:t>
            </w:r>
          </w:p>
          <w:p w14:paraId="215641C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12t/h</w:t>
            </w:r>
            <w:r>
              <w:rPr>
                <w:rFonts w:hint="default" w:ascii="Times New Roman" w:hAnsi="Times New Roman" w:eastAsia="宋体" w:cs="Times New Roman"/>
                <w:color w:val="auto"/>
                <w:sz w:val="21"/>
                <w:szCs w:val="21"/>
                <w:highlight w:val="none"/>
              </w:rPr>
              <w:t>锅炉使用生物质颗粒为燃料，锅炉年运行</w:t>
            </w:r>
            <w:r>
              <w:rPr>
                <w:rFonts w:hint="default" w:ascii="Times New Roman" w:hAnsi="Times New Roman" w:eastAsia="宋体" w:cs="Times New Roman"/>
                <w:color w:val="auto"/>
                <w:sz w:val="21"/>
                <w:szCs w:val="21"/>
                <w:highlight w:val="none"/>
                <w:lang w:val="en-US" w:eastAsia="zh-CN"/>
              </w:rPr>
              <w:t>4800</w:t>
            </w:r>
            <w:r>
              <w:rPr>
                <w:rFonts w:hint="default" w:ascii="Times New Roman" w:hAnsi="Times New Roman" w:eastAsia="宋体" w:cs="Times New Roman"/>
                <w:color w:val="auto"/>
                <w:sz w:val="21"/>
                <w:szCs w:val="21"/>
                <w:highlight w:val="none"/>
              </w:rPr>
              <w:t>h，年消耗生物质颗粒</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1904</w:t>
            </w:r>
            <w:r>
              <w:rPr>
                <w:rFonts w:hint="default" w:ascii="Times New Roman" w:hAnsi="Times New Roman" w:eastAsia="宋体" w:cs="Times New Roman"/>
                <w:color w:val="auto"/>
                <w:sz w:val="21"/>
                <w:szCs w:val="21"/>
                <w:highlight w:val="none"/>
              </w:rPr>
              <w:t>吨。污染物主要为颗粒物、SO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r>
              <w:rPr>
                <w:rFonts w:hint="default" w:ascii="Times New Roman" w:hAnsi="Times New Roman" w:eastAsia="宋体" w:cs="Times New Roman"/>
                <w:color w:val="auto"/>
                <w:sz w:val="21"/>
                <w:szCs w:val="21"/>
                <w:highlight w:val="none"/>
              </w:rPr>
              <w:t>、烟气黑度。生物质锅炉废气经</w:t>
            </w:r>
            <w:r>
              <w:rPr>
                <w:rFonts w:hint="eastAsia" w:cs="Times New Roman"/>
                <w:color w:val="auto"/>
                <w:sz w:val="21"/>
                <w:szCs w:val="21"/>
                <w:highlight w:val="none"/>
                <w:lang w:val="en-US" w:eastAsia="zh-CN"/>
              </w:rPr>
              <w:t>旋风除尘+低氮燃烧</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布袋除尘器</w:t>
            </w:r>
            <w:r>
              <w:rPr>
                <w:rFonts w:hint="default" w:ascii="Times New Roman" w:hAnsi="Times New Roman" w:eastAsia="宋体" w:cs="Times New Roman"/>
                <w:color w:val="auto"/>
                <w:sz w:val="21"/>
                <w:szCs w:val="21"/>
                <w:highlight w:val="none"/>
              </w:rPr>
              <w:t>处理后由</w:t>
            </w:r>
            <w:r>
              <w:rPr>
                <w:rFonts w:hint="default" w:ascii="Times New Roman" w:hAnsi="Times New Roman" w:eastAsia="宋体" w:cs="Times New Roman"/>
                <w:color w:val="auto"/>
                <w:sz w:val="21"/>
                <w:szCs w:val="21"/>
                <w:highlight w:val="none"/>
                <w:lang w:val="en-US" w:eastAsia="zh-CN"/>
              </w:rPr>
              <w:t>40m高排气筒</w:t>
            </w:r>
            <w:r>
              <w:rPr>
                <w:rFonts w:hint="default" w:ascii="Times New Roman" w:hAnsi="Times New Roman" w:eastAsia="宋体" w:cs="Times New Roman"/>
                <w:color w:val="auto"/>
                <w:sz w:val="21"/>
                <w:szCs w:val="21"/>
                <w:highlight w:val="none"/>
              </w:rPr>
              <w:t>排放</w:t>
            </w:r>
            <w:r>
              <w:rPr>
                <w:rFonts w:hint="default" w:ascii="Times New Roman" w:hAnsi="Times New Roman" w:eastAsia="宋体" w:cs="Times New Roman"/>
                <w:color w:val="auto"/>
                <w:sz w:val="21"/>
                <w:szCs w:val="21"/>
                <w:highlight w:val="none"/>
                <w:lang w:eastAsia="zh-CN"/>
              </w:rPr>
              <w:t>，除尘效率99.6%</w:t>
            </w:r>
            <w:r>
              <w:rPr>
                <w:rFonts w:hint="default" w:ascii="Times New Roman" w:hAnsi="Times New Roman" w:eastAsia="宋体" w:cs="Times New Roman"/>
                <w:color w:val="auto"/>
                <w:sz w:val="21"/>
                <w:szCs w:val="21"/>
                <w:highlight w:val="none"/>
              </w:rPr>
              <w:t>。各污染物排放满足</w:t>
            </w:r>
            <w:r>
              <w:rPr>
                <w:rFonts w:hint="default" w:ascii="Times New Roman" w:hAnsi="Times New Roman" w:eastAsia="宋体" w:cs="Times New Roman"/>
                <w:color w:val="auto"/>
                <w:sz w:val="21"/>
                <w:szCs w:val="21"/>
                <w:highlight w:val="none"/>
                <w:lang w:val="zh-CN"/>
              </w:rPr>
              <w:t>《锅炉大气污染物排放标准》（GB13271-2014）表</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zh-CN"/>
              </w:rPr>
              <w:t>中</w:t>
            </w:r>
            <w:r>
              <w:rPr>
                <w:rFonts w:hint="default" w:ascii="Times New Roman" w:hAnsi="Times New Roman" w:eastAsia="宋体" w:cs="Times New Roman"/>
                <w:color w:val="auto"/>
                <w:sz w:val="21"/>
                <w:szCs w:val="21"/>
                <w:highlight w:val="none"/>
              </w:rPr>
              <w:t>燃煤锅炉的相关</w:t>
            </w:r>
            <w:r>
              <w:rPr>
                <w:rFonts w:hint="default" w:ascii="Times New Roman" w:hAnsi="Times New Roman" w:eastAsia="宋体" w:cs="Times New Roman"/>
                <w:color w:val="auto"/>
                <w:sz w:val="21"/>
                <w:szCs w:val="21"/>
                <w:highlight w:val="none"/>
                <w:lang w:val="zh-CN"/>
              </w:rPr>
              <w:t>限值要求</w:t>
            </w:r>
            <w:r>
              <w:rPr>
                <w:rFonts w:hint="default" w:ascii="Times New Roman" w:hAnsi="Times New Roman" w:eastAsia="宋体" w:cs="Times New Roman"/>
                <w:color w:val="auto"/>
                <w:sz w:val="21"/>
                <w:szCs w:val="21"/>
                <w:highlight w:val="none"/>
              </w:rPr>
              <w:t>。</w:t>
            </w:r>
          </w:p>
          <w:p w14:paraId="30E0B55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1"/>
                <w:szCs w:val="21"/>
                <w:highlight w:val="none"/>
              </w:rPr>
              <w:t>烟气排放量：根据《污染源源强核算技术指南</w:t>
            </w:r>
            <w:r>
              <w:rPr>
                <w:rFonts w:hint="eastAsia"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锅炉》（HJ991-2018）及《排污许可证申请与核发技术规范</w:t>
            </w:r>
            <w:r>
              <w:rPr>
                <w:rFonts w:hint="eastAsia"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锅炉》（HJ953-2018）排放量计算过程如下：</w:t>
            </w:r>
          </w:p>
          <w:p w14:paraId="64B4038D">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m:oMath>
              <m:sSub>
                <m:sSubPr>
                  <m:ctrlPr>
                    <w:rPr>
                      <w:rFonts w:hint="default" w:ascii="Cambria Math" w:hAnsi="Cambria Math" w:cs="Times New Roman"/>
                      <w:color w:val="auto"/>
                      <w:sz w:val="21"/>
                      <w:szCs w:val="21"/>
                      <w:highlight w:val="none"/>
                    </w:rPr>
                  </m:ctrlPr>
                </m:sSubPr>
                <m:e>
                  <m:r>
                    <m:rPr>
                      <m:nor/>
                      <m:sty m:val="p"/>
                    </m:rPr>
                    <w:rPr>
                      <w:rFonts w:hint="default" w:ascii="Times New Roman" w:hAnsi="Times New Roman" w:cs="Times New Roman"/>
                      <w:b w:val="0"/>
                      <w:i w:val="0"/>
                      <w:color w:val="auto"/>
                      <w:sz w:val="21"/>
                      <w:szCs w:val="21"/>
                      <w:highlight w:val="none"/>
                      <w:lang w:val="en-US" w:eastAsia="zh-CN"/>
                    </w:rPr>
                    <m:t>V</m:t>
                  </m:r>
                  <m:ctrlPr>
                    <w:rPr>
                      <w:rFonts w:hint="default" w:ascii="Cambria Math" w:hAnsi="Cambria Math" w:cs="Times New Roman"/>
                      <w:color w:val="auto"/>
                      <w:sz w:val="21"/>
                      <w:szCs w:val="21"/>
                      <w:highlight w:val="none"/>
                    </w:rPr>
                  </m:ctrlPr>
                </m:e>
                <m:sub>
                  <m:r>
                    <m:rPr>
                      <m:nor/>
                      <m:sty m:val="p"/>
                    </m:rPr>
                    <w:rPr>
                      <w:rFonts w:hint="default" w:ascii="Times New Roman" w:hAnsi="Times New Roman" w:cs="Times New Roman"/>
                      <w:b w:val="0"/>
                      <w:i w:val="0"/>
                      <w:color w:val="auto"/>
                      <w:sz w:val="21"/>
                      <w:szCs w:val="21"/>
                      <w:highlight w:val="none"/>
                      <w:lang w:val="en-US" w:eastAsia="zh-CN"/>
                    </w:rPr>
                    <m:t>0</m:t>
                  </m:r>
                  <m:ctrlPr>
                    <w:rPr>
                      <w:rFonts w:hint="default" w:ascii="Cambria Math" w:hAnsi="Cambria Math" w:cs="Times New Roman"/>
                      <w:color w:val="auto"/>
                      <w:sz w:val="21"/>
                      <w:szCs w:val="21"/>
                      <w:highlight w:val="none"/>
                    </w:rPr>
                  </m:ctrlPr>
                </m:sub>
              </m:sSub>
              <m:r>
                <m:rPr>
                  <m:nor/>
                  <m:sty m:val="p"/>
                </m:rPr>
                <w:rPr>
                  <w:rFonts w:hint="default" w:ascii="Times New Roman" w:hAnsi="Times New Roman" w:cs="Times New Roman"/>
                  <w:b w:val="0"/>
                  <w:i w:val="0"/>
                  <w:color w:val="auto"/>
                  <w:sz w:val="21"/>
                  <w:szCs w:val="21"/>
                  <w:highlight w:val="none"/>
                </w:rPr>
                <m:t>=</m:t>
              </m:r>
              <m:r>
                <m:rPr>
                  <m:nor/>
                  <m:sty m:val="p"/>
                </m:rPr>
                <w:rPr>
                  <w:rFonts w:hint="default" w:ascii="Times New Roman" w:hAnsi="Times New Roman" w:cs="Times New Roman"/>
                  <w:b w:val="0"/>
                  <w:i w:val="0"/>
                  <w:color w:val="auto"/>
                  <w:sz w:val="21"/>
                  <w:szCs w:val="21"/>
                  <w:highlight w:val="none"/>
                  <w:lang w:val="en-US" w:eastAsia="zh-CN"/>
                </w:rPr>
                <m:t>0.0889(</m:t>
              </m:r>
              <m:sSub>
                <m:sSubPr>
                  <m:ctrlPr>
                    <w:rPr>
                      <w:rFonts w:hint="default" w:ascii="Cambria Math" w:hAnsi="Cambria Math" w:cs="Times New Roman"/>
                      <w:color w:val="auto"/>
                      <w:sz w:val="21"/>
                      <w:szCs w:val="21"/>
                      <w:highlight w:val="none"/>
                      <w:lang w:val="en-US" w:eastAsia="zh-CN"/>
                    </w:rPr>
                  </m:ctrlPr>
                </m:sSubPr>
                <m:e>
                  <m:r>
                    <m:rPr>
                      <m:nor/>
                      <m:sty m:val="p"/>
                    </m:rPr>
                    <w:rPr>
                      <w:rFonts w:hint="default" w:ascii="Times New Roman" w:hAnsi="Times New Roman" w:cs="Times New Roman"/>
                      <w:b w:val="0"/>
                      <w:i w:val="0"/>
                      <w:color w:val="auto"/>
                      <w:sz w:val="21"/>
                      <w:szCs w:val="21"/>
                      <w:highlight w:val="none"/>
                      <w:lang w:val="en-US" w:eastAsia="zh-CN"/>
                    </w:rPr>
                    <m:t>C</m:t>
                  </m:r>
                  <m:ctrlPr>
                    <w:rPr>
                      <w:rFonts w:hint="default" w:ascii="Cambria Math" w:hAnsi="Cambria Math" w:cs="Times New Roman"/>
                      <w:color w:val="auto"/>
                      <w:sz w:val="21"/>
                      <w:szCs w:val="21"/>
                      <w:highlight w:val="none"/>
                      <w:lang w:val="en-US" w:eastAsia="zh-CN"/>
                    </w:rPr>
                  </m:ctrlPr>
                </m:e>
                <m:sub>
                  <m:r>
                    <m:rPr>
                      <m:nor/>
                      <m:sty m:val="p"/>
                    </m:rPr>
                    <w:rPr>
                      <w:rFonts w:hint="default" w:ascii="Times New Roman" w:hAnsi="Times New Roman" w:cs="Times New Roman"/>
                      <w:b w:val="0"/>
                      <w:i w:val="0"/>
                      <w:color w:val="auto"/>
                      <w:sz w:val="21"/>
                      <w:szCs w:val="21"/>
                      <w:highlight w:val="none"/>
                      <w:lang w:val="en-US" w:eastAsia="zh-CN"/>
                    </w:rPr>
                    <m:t>ar</m:t>
                  </m:r>
                  <m:ctrlPr>
                    <w:rPr>
                      <w:rFonts w:hint="default" w:ascii="Cambria Math" w:hAnsi="Cambria Math" w:cs="Times New Roman"/>
                      <w:color w:val="auto"/>
                      <w:sz w:val="21"/>
                      <w:szCs w:val="21"/>
                      <w:highlight w:val="none"/>
                      <w:lang w:val="en-US" w:eastAsia="zh-CN"/>
                    </w:rPr>
                  </m:ctrlPr>
                </m:sub>
              </m:sSub>
              <m:r>
                <m:rPr>
                  <m:nor/>
                  <m:sty m:val="p"/>
                </m:rPr>
                <w:rPr>
                  <w:rFonts w:hint="default" w:ascii="Times New Roman" w:hAnsi="Times New Roman" w:cs="Times New Roman"/>
                  <w:b w:val="0"/>
                  <w:i w:val="0"/>
                  <w:color w:val="auto"/>
                  <w:sz w:val="21"/>
                  <w:szCs w:val="21"/>
                  <w:highlight w:val="none"/>
                  <w:lang w:val="en-US"/>
                </w:rPr>
                <m:t>+</m:t>
              </m:r>
              <m:r>
                <m:rPr>
                  <m:nor/>
                  <m:sty m:val="p"/>
                </m:rPr>
                <w:rPr>
                  <w:rFonts w:hint="default" w:ascii="Times New Roman" w:hAnsi="Times New Roman" w:cs="Times New Roman"/>
                  <w:b w:val="0"/>
                  <w:i w:val="0"/>
                  <w:color w:val="auto"/>
                  <w:sz w:val="21"/>
                  <w:szCs w:val="21"/>
                  <w:highlight w:val="none"/>
                  <w:lang w:val="en-US" w:eastAsia="zh-CN"/>
                </w:rPr>
                <m:t>0.375</m:t>
              </m:r>
              <m:sSub>
                <m:sSubPr>
                  <m:ctrlPr>
                    <w:rPr>
                      <w:rFonts w:hint="default" w:ascii="Cambria Math" w:hAnsi="Cambria Math" w:cs="Times New Roman"/>
                      <w:color w:val="auto"/>
                      <w:sz w:val="21"/>
                      <w:szCs w:val="21"/>
                      <w:highlight w:val="none"/>
                      <w:lang w:val="en-US" w:eastAsia="zh-CN"/>
                    </w:rPr>
                  </m:ctrlPr>
                </m:sSubPr>
                <m:e>
                  <m:r>
                    <m:rPr>
                      <m:nor/>
                      <m:sty m:val="p"/>
                    </m:rPr>
                    <w:rPr>
                      <w:rFonts w:hint="default" w:ascii="Times New Roman" w:hAnsi="Times New Roman" w:cs="Times New Roman"/>
                      <w:b w:val="0"/>
                      <w:i w:val="0"/>
                      <w:color w:val="auto"/>
                      <w:sz w:val="21"/>
                      <w:szCs w:val="21"/>
                      <w:highlight w:val="none"/>
                      <w:lang w:val="en-US" w:eastAsia="zh-CN"/>
                    </w:rPr>
                    <m:t>S</m:t>
                  </m:r>
                  <m:ctrlPr>
                    <w:rPr>
                      <w:rFonts w:hint="default" w:ascii="Cambria Math" w:hAnsi="Cambria Math" w:cs="Times New Roman"/>
                      <w:color w:val="auto"/>
                      <w:sz w:val="21"/>
                      <w:szCs w:val="21"/>
                      <w:highlight w:val="none"/>
                      <w:lang w:val="en-US" w:eastAsia="zh-CN"/>
                    </w:rPr>
                  </m:ctrlPr>
                </m:e>
                <m:sub>
                  <m:r>
                    <m:rPr>
                      <m:nor/>
                      <m:sty m:val="p"/>
                    </m:rPr>
                    <w:rPr>
                      <w:rFonts w:hint="default" w:ascii="Times New Roman" w:hAnsi="Times New Roman" w:cs="Times New Roman"/>
                      <w:b w:val="0"/>
                      <w:i w:val="0"/>
                      <w:color w:val="auto"/>
                      <w:sz w:val="21"/>
                      <w:szCs w:val="21"/>
                      <w:highlight w:val="none"/>
                      <w:lang w:val="en-US" w:eastAsia="zh-CN"/>
                    </w:rPr>
                    <m:t>ar</m:t>
                  </m:r>
                  <m:ctrlPr>
                    <w:rPr>
                      <w:rFonts w:hint="default" w:ascii="Cambria Math" w:hAnsi="Cambria Math" w:cs="Times New Roman"/>
                      <w:color w:val="auto"/>
                      <w:sz w:val="21"/>
                      <w:szCs w:val="21"/>
                      <w:highlight w:val="none"/>
                      <w:lang w:val="en-US" w:eastAsia="zh-CN"/>
                    </w:rPr>
                  </m:ctrlPr>
                </m:sub>
              </m:sSub>
              <m:r>
                <m:rPr>
                  <m:nor/>
                  <m:sty m:val="p"/>
                </m:rPr>
                <w:rPr>
                  <w:rFonts w:hint="default" w:ascii="Times New Roman" w:hAnsi="Times New Roman" w:cs="Times New Roman"/>
                  <w:b w:val="0"/>
                  <w:i w:val="0"/>
                  <w:color w:val="auto"/>
                  <w:sz w:val="21"/>
                  <w:szCs w:val="21"/>
                  <w:highlight w:val="none"/>
                  <w:lang w:val="en-US" w:eastAsia="zh-CN"/>
                </w:rPr>
                <m:t>)+0.265</m:t>
              </m:r>
              <m:sSub>
                <m:sSubPr>
                  <m:ctrlPr>
                    <w:rPr>
                      <w:rFonts w:hint="default" w:ascii="Cambria Math" w:hAnsi="Cambria Math" w:cs="Times New Roman"/>
                      <w:color w:val="auto"/>
                      <w:sz w:val="21"/>
                      <w:szCs w:val="21"/>
                      <w:highlight w:val="none"/>
                      <w:lang w:val="en-US" w:eastAsia="zh-CN"/>
                    </w:rPr>
                  </m:ctrlPr>
                </m:sSubPr>
                <m:e>
                  <m:r>
                    <m:rPr>
                      <m:nor/>
                      <m:sty m:val="p"/>
                    </m:rPr>
                    <w:rPr>
                      <w:rFonts w:hint="default" w:ascii="Times New Roman" w:hAnsi="Times New Roman" w:cs="Times New Roman"/>
                      <w:b w:val="0"/>
                      <w:i w:val="0"/>
                      <w:color w:val="auto"/>
                      <w:sz w:val="21"/>
                      <w:szCs w:val="21"/>
                      <w:highlight w:val="none"/>
                      <w:lang w:val="en-US" w:eastAsia="zh-CN"/>
                    </w:rPr>
                    <m:t>H</m:t>
                  </m:r>
                  <m:ctrlPr>
                    <w:rPr>
                      <w:rFonts w:hint="default" w:ascii="Cambria Math" w:hAnsi="Cambria Math" w:cs="Times New Roman"/>
                      <w:color w:val="auto"/>
                      <w:sz w:val="21"/>
                      <w:szCs w:val="21"/>
                      <w:highlight w:val="none"/>
                      <w:lang w:val="en-US" w:eastAsia="zh-CN"/>
                    </w:rPr>
                  </m:ctrlPr>
                </m:e>
                <m:sub>
                  <m:r>
                    <m:rPr>
                      <m:nor/>
                      <m:sty m:val="p"/>
                    </m:rPr>
                    <w:rPr>
                      <w:rFonts w:hint="default" w:ascii="Times New Roman" w:hAnsi="Times New Roman" w:cs="Times New Roman"/>
                      <w:b w:val="0"/>
                      <w:i w:val="0"/>
                      <w:color w:val="auto"/>
                      <w:sz w:val="21"/>
                      <w:szCs w:val="21"/>
                      <w:highlight w:val="none"/>
                      <w:lang w:val="en-US" w:eastAsia="zh-CN"/>
                    </w:rPr>
                    <m:t>ar</m:t>
                  </m:r>
                  <m:ctrlPr>
                    <w:rPr>
                      <w:rFonts w:hint="default" w:ascii="Cambria Math" w:hAnsi="Cambria Math" w:cs="Times New Roman"/>
                      <w:color w:val="auto"/>
                      <w:sz w:val="21"/>
                      <w:szCs w:val="21"/>
                      <w:highlight w:val="none"/>
                      <w:lang w:val="en-US" w:eastAsia="zh-CN"/>
                    </w:rPr>
                  </m:ctrlPr>
                </m:sub>
              </m:sSub>
              <m:r>
                <m:rPr>
                  <m:nor/>
                  <m:sty m:val="p"/>
                </m:rPr>
                <w:rPr>
                  <w:rFonts w:hint="default" w:ascii="Times New Roman" w:hAnsi="Times New Roman" w:cs="Times New Roman"/>
                  <w:b w:val="0"/>
                  <w:i w:val="0"/>
                  <w:color w:val="auto"/>
                  <w:sz w:val="21"/>
                  <w:szCs w:val="21"/>
                  <w:highlight w:val="none"/>
                  <w:lang w:val="en-US" w:eastAsia="zh-CN"/>
                </w:rPr>
                <m:t>−0.0333</m:t>
              </m:r>
              <m:sSub>
                <m:sSubPr>
                  <m:ctrlPr>
                    <w:rPr>
                      <w:rFonts w:hint="default" w:ascii="Cambria Math" w:hAnsi="Cambria Math" w:cs="Times New Roman"/>
                      <w:color w:val="auto"/>
                      <w:sz w:val="21"/>
                      <w:szCs w:val="21"/>
                      <w:highlight w:val="none"/>
                      <w:lang w:val="en-US" w:eastAsia="zh-CN"/>
                    </w:rPr>
                  </m:ctrlPr>
                </m:sSubPr>
                <m:e>
                  <m:r>
                    <m:rPr>
                      <m:nor/>
                      <m:sty m:val="p"/>
                    </m:rPr>
                    <w:rPr>
                      <w:rFonts w:hint="default" w:ascii="Times New Roman" w:hAnsi="Times New Roman" w:cs="Times New Roman"/>
                      <w:b w:val="0"/>
                      <w:i w:val="0"/>
                      <w:color w:val="auto"/>
                      <w:sz w:val="21"/>
                      <w:szCs w:val="21"/>
                      <w:highlight w:val="none"/>
                      <w:lang w:val="en-US" w:eastAsia="zh-CN"/>
                    </w:rPr>
                    <m:t>O</m:t>
                  </m:r>
                  <m:ctrlPr>
                    <w:rPr>
                      <w:rFonts w:hint="default" w:ascii="Cambria Math" w:hAnsi="Cambria Math" w:cs="Times New Roman"/>
                      <w:color w:val="auto"/>
                      <w:sz w:val="21"/>
                      <w:szCs w:val="21"/>
                      <w:highlight w:val="none"/>
                      <w:lang w:val="en-US" w:eastAsia="zh-CN"/>
                    </w:rPr>
                  </m:ctrlPr>
                </m:e>
                <m:sub>
                  <m:r>
                    <m:rPr>
                      <m:nor/>
                      <m:sty m:val="p"/>
                    </m:rPr>
                    <w:rPr>
                      <w:rFonts w:hint="default" w:ascii="Times New Roman" w:hAnsi="Times New Roman" w:cs="Times New Roman"/>
                      <w:b w:val="0"/>
                      <w:i w:val="0"/>
                      <w:color w:val="auto"/>
                      <w:sz w:val="21"/>
                      <w:szCs w:val="21"/>
                      <w:highlight w:val="none"/>
                      <w:lang w:val="en-US" w:eastAsia="zh-CN"/>
                    </w:rPr>
                    <m:t>ar</m:t>
                  </m:r>
                  <m:ctrlPr>
                    <w:rPr>
                      <w:rFonts w:hint="default" w:ascii="Cambria Math" w:hAnsi="Cambria Math" w:cs="Times New Roman"/>
                      <w:color w:val="auto"/>
                      <w:sz w:val="21"/>
                      <w:szCs w:val="21"/>
                      <w:highlight w:val="none"/>
                      <w:lang w:val="en-US" w:eastAsia="zh-CN"/>
                    </w:rPr>
                  </m:ctrlPr>
                </m:sub>
              </m:sSub>
            </m:oMath>
            <w:r>
              <w:rPr>
                <w:rFonts w:hint="default" w:ascii="Times New Roman" w:hAnsi="Times New Roman" w:eastAsia="宋体" w:cs="Times New Roman"/>
                <w:color w:val="auto"/>
                <w:sz w:val="21"/>
                <w:szCs w:val="21"/>
                <w:highlight w:val="none"/>
                <w:lang w:val="en-US" w:eastAsia="zh-CN"/>
              </w:rPr>
              <w:t xml:space="preserve">    (1)</w:t>
            </w:r>
          </w:p>
          <w:p w14:paraId="23B8ECC3">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m:oMath>
              <m:sSub>
                <m:sSubPr>
                  <m:ctrlPr>
                    <w:rPr>
                      <w:rFonts w:hint="default" w:ascii="Cambria Math" w:hAnsi="Cambria Math" w:cs="Times New Roman"/>
                      <w:color w:val="auto"/>
                      <w:sz w:val="21"/>
                      <w:szCs w:val="21"/>
                      <w:highlight w:val="none"/>
                      <w:lang w:val="en-US"/>
                    </w:rPr>
                  </m:ctrlPr>
                </m:sSubPr>
                <m:e>
                  <m:r>
                    <m:rPr>
                      <m:nor/>
                      <m:sty m:val="p"/>
                    </m:rPr>
                    <w:rPr>
                      <w:rFonts w:hint="default" w:ascii="Times New Roman" w:hAnsi="Times New Roman" w:cs="Times New Roman"/>
                      <w:b w:val="0"/>
                      <w:i w:val="0"/>
                      <w:color w:val="auto"/>
                      <w:sz w:val="21"/>
                      <w:szCs w:val="21"/>
                      <w:highlight w:val="none"/>
                      <w:lang w:val="en-US" w:eastAsia="zh-CN"/>
                    </w:rPr>
                    <m:t>V</m:t>
                  </m:r>
                  <m:ctrlPr>
                    <w:rPr>
                      <w:rFonts w:hint="default" w:ascii="Cambria Math" w:hAnsi="Cambria Math" w:cs="Times New Roman"/>
                      <w:color w:val="auto"/>
                      <w:sz w:val="21"/>
                      <w:szCs w:val="21"/>
                      <w:highlight w:val="none"/>
                      <w:lang w:val="en-US"/>
                    </w:rPr>
                  </m:ctrlPr>
                </m:e>
                <m:sub>
                  <m:r>
                    <m:rPr>
                      <m:nor/>
                      <m:sty m:val="p"/>
                    </m:rPr>
                    <w:rPr>
                      <w:rFonts w:hint="default" w:ascii="Times New Roman" w:hAnsi="Times New Roman" w:cs="Times New Roman"/>
                      <w:b w:val="0"/>
                      <w:i w:val="0"/>
                      <w:color w:val="auto"/>
                      <w:sz w:val="21"/>
                      <w:szCs w:val="21"/>
                      <w:highlight w:val="none"/>
                      <w:lang w:val="en-US" w:eastAsia="zh-CN"/>
                    </w:rPr>
                    <m:t>gy</m:t>
                  </m:r>
                  <m:ctrlPr>
                    <w:rPr>
                      <w:rFonts w:hint="default" w:ascii="Cambria Math" w:hAnsi="Cambria Math" w:cs="Times New Roman"/>
                      <w:color w:val="auto"/>
                      <w:sz w:val="21"/>
                      <w:szCs w:val="21"/>
                      <w:highlight w:val="none"/>
                      <w:lang w:val="en-US"/>
                    </w:rPr>
                  </m:ctrlPr>
                </m:sub>
              </m:sSub>
              <m:r>
                <m:rPr>
                  <m:nor/>
                  <m:sty m:val="p"/>
                </m:rPr>
                <w:rPr>
                  <w:rFonts w:hint="default" w:ascii="Times New Roman" w:hAnsi="Times New Roman" w:cs="Times New Roman"/>
                  <w:b w:val="0"/>
                  <w:i w:val="0"/>
                  <w:color w:val="auto"/>
                  <w:sz w:val="21"/>
                  <w:szCs w:val="21"/>
                  <w:highlight w:val="none"/>
                  <w:lang w:val="en-US" w:eastAsia="zh-CN"/>
                </w:rPr>
                <m:t>=1.866×</m:t>
              </m:r>
              <m:f>
                <m:fPr>
                  <m:ctrlPr>
                    <w:rPr>
                      <w:rFonts w:hint="default" w:ascii="Cambria Math" w:hAnsi="Cambria Math" w:cs="Times New Roman"/>
                      <w:color w:val="auto"/>
                      <w:sz w:val="21"/>
                      <w:szCs w:val="21"/>
                      <w:highlight w:val="none"/>
                      <w:lang w:val="en-US" w:eastAsia="zh-CN"/>
                    </w:rPr>
                  </m:ctrlPr>
                </m:fPr>
                <m:num>
                  <m:sSub>
                    <m:sSubPr>
                      <m:ctrlPr>
                        <w:rPr>
                          <w:rFonts w:hint="default" w:ascii="Cambria Math" w:hAnsi="Cambria Math" w:cs="Times New Roman"/>
                          <w:color w:val="auto"/>
                          <w:sz w:val="21"/>
                          <w:szCs w:val="21"/>
                          <w:highlight w:val="none"/>
                          <w:lang w:val="en-US" w:eastAsia="zh-CN"/>
                        </w:rPr>
                      </m:ctrlPr>
                    </m:sSubPr>
                    <m:e>
                      <m:r>
                        <m:rPr>
                          <m:nor/>
                          <m:sty m:val="p"/>
                        </m:rPr>
                        <w:rPr>
                          <w:rFonts w:hint="default" w:ascii="Times New Roman" w:hAnsi="Times New Roman" w:cs="Times New Roman"/>
                          <w:b w:val="0"/>
                          <w:i w:val="0"/>
                          <w:color w:val="auto"/>
                          <w:sz w:val="21"/>
                          <w:szCs w:val="21"/>
                          <w:highlight w:val="none"/>
                          <w:lang w:val="en-US" w:eastAsia="zh-CN"/>
                        </w:rPr>
                        <m:t>C</m:t>
                      </m:r>
                      <m:ctrlPr>
                        <w:rPr>
                          <w:rFonts w:hint="default" w:ascii="Cambria Math" w:hAnsi="Cambria Math" w:cs="Times New Roman"/>
                          <w:color w:val="auto"/>
                          <w:sz w:val="21"/>
                          <w:szCs w:val="21"/>
                          <w:highlight w:val="none"/>
                          <w:lang w:val="en-US" w:eastAsia="zh-CN"/>
                        </w:rPr>
                      </m:ctrlPr>
                    </m:e>
                    <m:sub>
                      <m:r>
                        <m:rPr>
                          <m:nor/>
                          <m:sty m:val="p"/>
                        </m:rPr>
                        <w:rPr>
                          <w:rFonts w:hint="default" w:ascii="Times New Roman" w:hAnsi="Times New Roman" w:cs="Times New Roman"/>
                          <w:b w:val="0"/>
                          <w:i w:val="0"/>
                          <w:color w:val="auto"/>
                          <w:sz w:val="21"/>
                          <w:szCs w:val="21"/>
                          <w:highlight w:val="none"/>
                          <w:lang w:val="en-US" w:eastAsia="zh-CN"/>
                        </w:rPr>
                        <m:t>ar</m:t>
                      </m:r>
                      <m:ctrlPr>
                        <w:rPr>
                          <w:rFonts w:hint="default" w:ascii="Cambria Math" w:hAnsi="Cambria Math" w:cs="Times New Roman"/>
                          <w:color w:val="auto"/>
                          <w:sz w:val="21"/>
                          <w:szCs w:val="21"/>
                          <w:highlight w:val="none"/>
                          <w:lang w:val="en-US" w:eastAsia="zh-CN"/>
                        </w:rPr>
                      </m:ctrlPr>
                    </m:sub>
                  </m:sSub>
                  <m:r>
                    <m:rPr>
                      <m:nor/>
                      <m:sty m:val="p"/>
                    </m:rPr>
                    <w:rPr>
                      <w:rFonts w:hint="default" w:ascii="Times New Roman" w:hAnsi="Times New Roman" w:cs="Times New Roman"/>
                      <w:b w:val="0"/>
                      <w:i w:val="0"/>
                      <w:color w:val="auto"/>
                      <w:sz w:val="21"/>
                      <w:szCs w:val="21"/>
                      <w:highlight w:val="none"/>
                      <w:lang w:val="en-US" w:eastAsia="zh-CN"/>
                    </w:rPr>
                    <m:t>+0.375</m:t>
                  </m:r>
                  <m:sSub>
                    <m:sSubPr>
                      <m:ctrlPr>
                        <w:rPr>
                          <w:rFonts w:hint="default" w:ascii="Cambria Math" w:hAnsi="Cambria Math" w:cs="Times New Roman"/>
                          <w:color w:val="auto"/>
                          <w:sz w:val="21"/>
                          <w:szCs w:val="21"/>
                          <w:highlight w:val="none"/>
                          <w:lang w:val="en-US" w:eastAsia="zh-CN"/>
                        </w:rPr>
                      </m:ctrlPr>
                    </m:sSubPr>
                    <m:e>
                      <m:r>
                        <m:rPr>
                          <m:nor/>
                          <m:sty m:val="p"/>
                        </m:rPr>
                        <w:rPr>
                          <w:rFonts w:hint="default" w:ascii="Times New Roman" w:hAnsi="Times New Roman" w:cs="Times New Roman"/>
                          <w:b w:val="0"/>
                          <w:i w:val="0"/>
                          <w:color w:val="auto"/>
                          <w:sz w:val="21"/>
                          <w:szCs w:val="21"/>
                          <w:highlight w:val="none"/>
                          <w:lang w:val="en-US" w:eastAsia="zh-CN"/>
                        </w:rPr>
                        <m:t>S</m:t>
                      </m:r>
                      <m:ctrlPr>
                        <w:rPr>
                          <w:rFonts w:hint="default" w:ascii="Cambria Math" w:hAnsi="Cambria Math" w:cs="Times New Roman"/>
                          <w:color w:val="auto"/>
                          <w:sz w:val="21"/>
                          <w:szCs w:val="21"/>
                          <w:highlight w:val="none"/>
                          <w:lang w:val="en-US" w:eastAsia="zh-CN"/>
                        </w:rPr>
                      </m:ctrlPr>
                    </m:e>
                    <m:sub>
                      <m:r>
                        <m:rPr>
                          <m:nor/>
                          <m:sty m:val="p"/>
                        </m:rPr>
                        <w:rPr>
                          <w:rFonts w:hint="default" w:ascii="Times New Roman" w:hAnsi="Times New Roman" w:cs="Times New Roman"/>
                          <w:b w:val="0"/>
                          <w:i w:val="0"/>
                          <w:color w:val="auto"/>
                          <w:sz w:val="21"/>
                          <w:szCs w:val="21"/>
                          <w:highlight w:val="none"/>
                          <w:lang w:val="en-US" w:eastAsia="zh-CN"/>
                        </w:rPr>
                        <m:t>ar</m:t>
                      </m:r>
                      <m:ctrlPr>
                        <w:rPr>
                          <w:rFonts w:hint="default" w:ascii="Cambria Math" w:hAnsi="Cambria Math" w:cs="Times New Roman"/>
                          <w:color w:val="auto"/>
                          <w:sz w:val="21"/>
                          <w:szCs w:val="21"/>
                          <w:highlight w:val="none"/>
                          <w:lang w:val="en-US" w:eastAsia="zh-CN"/>
                        </w:rPr>
                      </m:ctrlPr>
                    </m:sub>
                  </m:sSub>
                  <m:ctrlPr>
                    <w:rPr>
                      <w:rFonts w:hint="default" w:ascii="Cambria Math" w:hAnsi="Cambria Math" w:cs="Times New Roman"/>
                      <w:color w:val="auto"/>
                      <w:sz w:val="21"/>
                      <w:szCs w:val="21"/>
                      <w:highlight w:val="none"/>
                      <w:lang w:val="en-US" w:eastAsia="zh-CN"/>
                    </w:rPr>
                  </m:ctrlPr>
                </m:num>
                <m:den>
                  <m:r>
                    <m:rPr>
                      <m:nor/>
                      <m:sty m:val="p"/>
                    </m:rPr>
                    <w:rPr>
                      <w:rFonts w:hint="default" w:ascii="Times New Roman" w:hAnsi="Times New Roman" w:cs="Times New Roman"/>
                      <w:b w:val="0"/>
                      <w:i w:val="0"/>
                      <w:color w:val="auto"/>
                      <w:sz w:val="21"/>
                      <w:szCs w:val="21"/>
                      <w:highlight w:val="none"/>
                      <w:lang w:val="en-US" w:eastAsia="zh-CN"/>
                    </w:rPr>
                    <m:t>100</m:t>
                  </m:r>
                  <m:ctrlPr>
                    <w:rPr>
                      <w:rFonts w:hint="default" w:ascii="Cambria Math" w:hAnsi="Cambria Math" w:cs="Times New Roman"/>
                      <w:color w:val="auto"/>
                      <w:sz w:val="21"/>
                      <w:szCs w:val="21"/>
                      <w:highlight w:val="none"/>
                      <w:lang w:val="en-US" w:eastAsia="zh-CN"/>
                    </w:rPr>
                  </m:ctrlPr>
                </m:den>
              </m:f>
              <m:r>
                <m:rPr>
                  <m:nor/>
                  <m:sty m:val="p"/>
                </m:rPr>
                <w:rPr>
                  <w:rFonts w:hint="default" w:ascii="Times New Roman" w:hAnsi="Times New Roman" w:cs="Times New Roman"/>
                  <w:b w:val="0"/>
                  <w:i w:val="0"/>
                  <w:color w:val="auto"/>
                  <w:sz w:val="21"/>
                  <w:szCs w:val="21"/>
                  <w:highlight w:val="none"/>
                  <w:lang w:val="en-US" w:eastAsia="zh-CN"/>
                </w:rPr>
                <m:t>+0.79</m:t>
              </m:r>
              <m:sSub>
                <m:sSubPr>
                  <m:ctrlPr>
                    <w:rPr>
                      <w:rFonts w:hint="default" w:ascii="Cambria Math" w:hAnsi="Cambria Math" w:cs="Times New Roman"/>
                      <w:color w:val="auto"/>
                      <w:sz w:val="21"/>
                      <w:szCs w:val="21"/>
                      <w:highlight w:val="none"/>
                      <w:lang w:val="en-US" w:eastAsia="zh-CN"/>
                    </w:rPr>
                  </m:ctrlPr>
                </m:sSubPr>
                <m:e>
                  <m:r>
                    <m:rPr>
                      <m:nor/>
                      <m:sty m:val="p"/>
                    </m:rPr>
                    <w:rPr>
                      <w:rFonts w:hint="default" w:ascii="Times New Roman" w:hAnsi="Times New Roman" w:cs="Times New Roman"/>
                      <w:b w:val="0"/>
                      <w:i w:val="0"/>
                      <w:color w:val="auto"/>
                      <w:sz w:val="21"/>
                      <w:szCs w:val="21"/>
                      <w:highlight w:val="none"/>
                      <w:lang w:val="en-US" w:eastAsia="zh-CN"/>
                    </w:rPr>
                    <m:t>V</m:t>
                  </m:r>
                  <m:ctrlPr>
                    <w:rPr>
                      <w:rFonts w:hint="default" w:ascii="Cambria Math" w:hAnsi="Cambria Math" w:cs="Times New Roman"/>
                      <w:color w:val="auto"/>
                      <w:sz w:val="21"/>
                      <w:szCs w:val="21"/>
                      <w:highlight w:val="none"/>
                      <w:lang w:val="en-US" w:eastAsia="zh-CN"/>
                    </w:rPr>
                  </m:ctrlPr>
                </m:e>
                <m:sub>
                  <m:r>
                    <m:rPr>
                      <m:nor/>
                      <m:sty m:val="p"/>
                    </m:rPr>
                    <w:rPr>
                      <w:rFonts w:hint="default" w:ascii="Times New Roman" w:hAnsi="Times New Roman" w:cs="Times New Roman"/>
                      <w:b w:val="0"/>
                      <w:i w:val="0"/>
                      <w:color w:val="auto"/>
                      <w:sz w:val="21"/>
                      <w:szCs w:val="21"/>
                      <w:highlight w:val="none"/>
                      <w:lang w:val="en-US" w:eastAsia="zh-CN"/>
                    </w:rPr>
                    <m:t>0</m:t>
                  </m:r>
                  <m:ctrlPr>
                    <w:rPr>
                      <w:rFonts w:hint="default" w:ascii="Cambria Math" w:hAnsi="Cambria Math" w:cs="Times New Roman"/>
                      <w:color w:val="auto"/>
                      <w:sz w:val="21"/>
                      <w:szCs w:val="21"/>
                      <w:highlight w:val="none"/>
                      <w:lang w:val="en-US" w:eastAsia="zh-CN"/>
                    </w:rPr>
                  </m:ctrlPr>
                </m:sub>
              </m:sSub>
              <m:r>
                <m:rPr>
                  <m:nor/>
                  <m:sty m:val="p"/>
                </m:rPr>
                <w:rPr>
                  <w:rFonts w:hint="default" w:ascii="Times New Roman" w:hAnsi="Times New Roman" w:cs="Times New Roman"/>
                  <w:b w:val="0"/>
                  <w:i w:val="0"/>
                  <w:color w:val="auto"/>
                  <w:sz w:val="21"/>
                  <w:szCs w:val="21"/>
                  <w:highlight w:val="none"/>
                  <w:lang w:val="en-US" w:eastAsia="zh-CN"/>
                </w:rPr>
                <m:t>+0.8×</m:t>
              </m:r>
              <m:f>
                <m:fPr>
                  <m:ctrlPr>
                    <w:rPr>
                      <w:rFonts w:hint="default" w:ascii="Cambria Math" w:hAnsi="Cambria Math" w:cs="Times New Roman"/>
                      <w:color w:val="auto"/>
                      <w:sz w:val="21"/>
                      <w:szCs w:val="21"/>
                      <w:highlight w:val="none"/>
                      <w:lang w:val="en-US" w:eastAsia="zh-CN"/>
                    </w:rPr>
                  </m:ctrlPr>
                </m:fPr>
                <m:num>
                  <m:sSub>
                    <m:sSubPr>
                      <m:ctrlPr>
                        <w:rPr>
                          <w:rFonts w:hint="default" w:ascii="Cambria Math" w:hAnsi="Cambria Math" w:cs="Times New Roman"/>
                          <w:color w:val="auto"/>
                          <w:sz w:val="21"/>
                          <w:szCs w:val="21"/>
                          <w:highlight w:val="none"/>
                          <w:lang w:val="en-US" w:eastAsia="zh-CN"/>
                        </w:rPr>
                      </m:ctrlPr>
                    </m:sSubPr>
                    <m:e>
                      <m:r>
                        <m:rPr>
                          <m:nor/>
                          <m:sty m:val="p"/>
                        </m:rPr>
                        <w:rPr>
                          <w:rFonts w:hint="default" w:ascii="Times New Roman" w:hAnsi="Times New Roman" w:cs="Times New Roman"/>
                          <w:b w:val="0"/>
                          <w:i w:val="0"/>
                          <w:color w:val="auto"/>
                          <w:sz w:val="21"/>
                          <w:szCs w:val="21"/>
                          <w:highlight w:val="none"/>
                          <w:lang w:val="en-US" w:eastAsia="zh-CN"/>
                        </w:rPr>
                        <m:t>N</m:t>
                      </m:r>
                      <m:ctrlPr>
                        <w:rPr>
                          <w:rFonts w:hint="default" w:ascii="Cambria Math" w:hAnsi="Cambria Math" w:cs="Times New Roman"/>
                          <w:color w:val="auto"/>
                          <w:sz w:val="21"/>
                          <w:szCs w:val="21"/>
                          <w:highlight w:val="none"/>
                          <w:lang w:val="en-US" w:eastAsia="zh-CN"/>
                        </w:rPr>
                      </m:ctrlPr>
                    </m:e>
                    <m:sub>
                      <m:r>
                        <m:rPr>
                          <m:nor/>
                          <m:sty m:val="p"/>
                        </m:rPr>
                        <w:rPr>
                          <w:rFonts w:hint="default" w:ascii="Times New Roman" w:hAnsi="Times New Roman" w:cs="Times New Roman"/>
                          <w:b w:val="0"/>
                          <w:i w:val="0"/>
                          <w:color w:val="auto"/>
                          <w:sz w:val="21"/>
                          <w:szCs w:val="21"/>
                          <w:highlight w:val="none"/>
                          <w:lang w:val="en-US" w:eastAsia="zh-CN"/>
                        </w:rPr>
                        <m:t>ar</m:t>
                      </m:r>
                      <m:ctrlPr>
                        <w:rPr>
                          <w:rFonts w:hint="default" w:ascii="Cambria Math" w:hAnsi="Cambria Math" w:cs="Times New Roman"/>
                          <w:color w:val="auto"/>
                          <w:sz w:val="21"/>
                          <w:szCs w:val="21"/>
                          <w:highlight w:val="none"/>
                          <w:lang w:val="en-US" w:eastAsia="zh-CN"/>
                        </w:rPr>
                      </m:ctrlPr>
                    </m:sub>
                  </m:sSub>
                  <m:ctrlPr>
                    <w:rPr>
                      <w:rFonts w:hint="default" w:ascii="Cambria Math" w:hAnsi="Cambria Math" w:cs="Times New Roman"/>
                      <w:color w:val="auto"/>
                      <w:sz w:val="21"/>
                      <w:szCs w:val="21"/>
                      <w:highlight w:val="none"/>
                      <w:lang w:val="en-US" w:eastAsia="zh-CN"/>
                    </w:rPr>
                  </m:ctrlPr>
                </m:num>
                <m:den>
                  <m:r>
                    <m:rPr>
                      <m:nor/>
                      <m:sty m:val="p"/>
                    </m:rPr>
                    <w:rPr>
                      <w:rFonts w:hint="default" w:ascii="Times New Roman" w:hAnsi="Times New Roman" w:cs="Times New Roman"/>
                      <w:b w:val="0"/>
                      <w:i w:val="0"/>
                      <w:color w:val="auto"/>
                      <w:sz w:val="21"/>
                      <w:szCs w:val="21"/>
                      <w:highlight w:val="none"/>
                      <w:lang w:val="en-US" w:eastAsia="zh-CN"/>
                    </w:rPr>
                    <m:t>100</m:t>
                  </m:r>
                  <m:ctrlPr>
                    <w:rPr>
                      <w:rFonts w:hint="default" w:ascii="Cambria Math" w:hAnsi="Cambria Math" w:cs="Times New Roman"/>
                      <w:color w:val="auto"/>
                      <w:sz w:val="21"/>
                      <w:szCs w:val="21"/>
                      <w:highlight w:val="none"/>
                      <w:lang w:val="en-US" w:eastAsia="zh-CN"/>
                    </w:rPr>
                  </m:ctrlPr>
                </m:den>
              </m:f>
              <m:r>
                <m:rPr>
                  <m:nor/>
                  <m:sty m:val="p"/>
                </m:rPr>
                <w:rPr>
                  <w:rFonts w:hint="default" w:ascii="Times New Roman" w:hAnsi="Times New Roman" w:cs="Times New Roman"/>
                  <w:b w:val="0"/>
                  <w:i w:val="0"/>
                  <w:color w:val="auto"/>
                  <w:sz w:val="21"/>
                  <w:szCs w:val="21"/>
                  <w:highlight w:val="none"/>
                  <w:lang w:val="en-US" w:eastAsia="zh-CN"/>
                </w:rPr>
                <m:t>+(</m:t>
              </m:r>
              <m:r>
                <m:rPr>
                  <m:nor/>
                  <m:sty m:val="p"/>
                </m:rPr>
                <w:rPr>
                  <w:rFonts w:hint="default" w:ascii="Times New Roman" w:hAnsi="Times New Roman" w:cs="Times New Roman"/>
                  <w:b w:val="0"/>
                  <w:i w:val="0"/>
                  <w:color w:val="auto"/>
                  <w:sz w:val="21"/>
                  <w:szCs w:val="21"/>
                  <w:highlight w:val="none"/>
                  <w:lang w:val="en-US"/>
                </w:rPr>
                <m:t>α</m:t>
              </m:r>
              <m:r>
                <m:rPr>
                  <m:nor/>
                  <m:sty m:val="p"/>
                </m:rPr>
                <w:rPr>
                  <w:rFonts w:hint="default" w:ascii="Times New Roman" w:hAnsi="Times New Roman" w:cs="Times New Roman"/>
                  <w:b w:val="0"/>
                  <w:i w:val="0"/>
                  <w:color w:val="auto"/>
                  <w:sz w:val="21"/>
                  <w:szCs w:val="21"/>
                  <w:highlight w:val="none"/>
                  <w:lang w:val="en-US" w:eastAsia="zh-CN"/>
                </w:rPr>
                <m:t>−1)</m:t>
              </m:r>
              <m:sSub>
                <m:sSubPr>
                  <m:ctrlPr>
                    <w:rPr>
                      <w:rFonts w:hint="default" w:ascii="Cambria Math" w:hAnsi="Cambria Math" w:cs="Times New Roman"/>
                      <w:color w:val="auto"/>
                      <w:sz w:val="21"/>
                      <w:szCs w:val="21"/>
                      <w:highlight w:val="none"/>
                      <w:lang w:val="en-US" w:eastAsia="zh-CN"/>
                    </w:rPr>
                  </m:ctrlPr>
                </m:sSubPr>
                <m:e>
                  <m:r>
                    <m:rPr>
                      <m:nor/>
                      <m:sty m:val="p"/>
                    </m:rPr>
                    <w:rPr>
                      <w:rFonts w:hint="default" w:ascii="Times New Roman" w:hAnsi="Times New Roman" w:cs="Times New Roman"/>
                      <w:b w:val="0"/>
                      <w:i w:val="0"/>
                      <w:color w:val="auto"/>
                      <w:sz w:val="21"/>
                      <w:szCs w:val="21"/>
                      <w:highlight w:val="none"/>
                      <w:lang w:val="en-US" w:eastAsia="zh-CN"/>
                    </w:rPr>
                    <m:t>V</m:t>
                  </m:r>
                  <m:ctrlPr>
                    <w:rPr>
                      <w:rFonts w:hint="default" w:ascii="Cambria Math" w:hAnsi="Cambria Math" w:cs="Times New Roman"/>
                      <w:color w:val="auto"/>
                      <w:sz w:val="21"/>
                      <w:szCs w:val="21"/>
                      <w:highlight w:val="none"/>
                      <w:lang w:val="en-US" w:eastAsia="zh-CN"/>
                    </w:rPr>
                  </m:ctrlPr>
                </m:e>
                <m:sub>
                  <m:r>
                    <m:rPr>
                      <m:nor/>
                      <m:sty m:val="p"/>
                    </m:rPr>
                    <w:rPr>
                      <w:rFonts w:hint="default" w:ascii="Times New Roman" w:hAnsi="Times New Roman" w:cs="Times New Roman"/>
                      <w:b w:val="0"/>
                      <w:i w:val="0"/>
                      <w:color w:val="auto"/>
                      <w:sz w:val="21"/>
                      <w:szCs w:val="21"/>
                      <w:highlight w:val="none"/>
                      <w:lang w:val="en-US" w:eastAsia="zh-CN"/>
                    </w:rPr>
                    <m:t>0</m:t>
                  </m:r>
                  <m:ctrlPr>
                    <w:rPr>
                      <w:rFonts w:hint="default" w:ascii="Cambria Math" w:hAnsi="Cambria Math" w:cs="Times New Roman"/>
                      <w:color w:val="auto"/>
                      <w:sz w:val="21"/>
                      <w:szCs w:val="21"/>
                      <w:highlight w:val="none"/>
                      <w:lang w:val="en-US" w:eastAsia="zh-CN"/>
                    </w:rPr>
                  </m:ctrlPr>
                </m:sub>
              </m:sSub>
            </m:oMath>
            <w:r>
              <w:rPr>
                <w:rFonts w:hint="default" w:ascii="Times New Roman" w:hAnsi="Times New Roman" w:eastAsia="宋体" w:cs="Times New Roman"/>
                <w:color w:val="auto"/>
                <w:sz w:val="21"/>
                <w:szCs w:val="21"/>
                <w:highlight w:val="none"/>
                <w:lang w:val="en-US" w:eastAsia="zh-CN"/>
              </w:rPr>
              <w:t xml:space="preserve">   (2)</w:t>
            </w:r>
          </w:p>
          <w:p w14:paraId="4716904E">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式中：</w:t>
            </w:r>
          </w:p>
          <w:p w14:paraId="76618148">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V0----理论空气量，m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/kg；</w:t>
            </w:r>
          </w:p>
          <w:p w14:paraId="5242582C">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Vgy----基准烟气量，m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/kg；</w:t>
            </w:r>
          </w:p>
          <w:p w14:paraId="1B35E6E7">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Car----收到基碳含量，%，3</w:t>
            </w:r>
            <w:r>
              <w:rPr>
                <w:rFonts w:hint="eastAsia" w:cs="Times New Roman"/>
                <w:color w:val="auto"/>
                <w:sz w:val="21"/>
                <w:szCs w:val="21"/>
                <w:highlight w:val="none"/>
                <w:lang w:val="en-US" w:eastAsia="zh-CN"/>
              </w:rPr>
              <w:t>8.82</w:t>
            </w:r>
            <w:r>
              <w:rPr>
                <w:rFonts w:hint="default" w:ascii="Times New Roman" w:hAnsi="Times New Roman" w:eastAsia="宋体" w:cs="Times New Roman"/>
                <w:color w:val="auto"/>
                <w:sz w:val="21"/>
                <w:szCs w:val="21"/>
                <w:highlight w:val="none"/>
                <w:lang w:val="en-US" w:eastAsia="zh-CN"/>
              </w:rPr>
              <w:t>%；</w:t>
            </w:r>
          </w:p>
          <w:p w14:paraId="45417EC8">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Sar----收到基硫含量，%，0.07%，根据生物质成分分析报告得出；</w:t>
            </w:r>
          </w:p>
          <w:p w14:paraId="7933A6C3">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Nar----收到基氮含量，%，0.</w:t>
            </w:r>
            <w:r>
              <w:rPr>
                <w:rFonts w:hint="eastAsia" w:cs="Times New Roman"/>
                <w:color w:val="auto"/>
                <w:sz w:val="21"/>
                <w:szCs w:val="21"/>
                <w:highlight w:val="none"/>
                <w:lang w:val="en-US" w:eastAsia="zh-CN"/>
              </w:rPr>
              <w:t>27</w:t>
            </w:r>
            <w:r>
              <w:rPr>
                <w:rFonts w:hint="default" w:ascii="Times New Roman" w:hAnsi="Times New Roman" w:eastAsia="宋体" w:cs="Times New Roman"/>
                <w:color w:val="auto"/>
                <w:sz w:val="21"/>
                <w:szCs w:val="21"/>
                <w:highlight w:val="none"/>
                <w:lang w:val="en-US" w:eastAsia="zh-CN"/>
              </w:rPr>
              <w:t>%，根据生物质成分分析报告得出；</w:t>
            </w:r>
          </w:p>
          <w:p w14:paraId="75F4A688">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Har----收到基氢含量，%，4.</w:t>
            </w:r>
            <w:r>
              <w:rPr>
                <w:rFonts w:hint="eastAsia" w:cs="Times New Roman"/>
                <w:color w:val="auto"/>
                <w:sz w:val="21"/>
                <w:szCs w:val="21"/>
                <w:highlight w:val="none"/>
                <w:lang w:val="en-US" w:eastAsia="zh-CN"/>
              </w:rPr>
              <w:t>38</w:t>
            </w:r>
            <w:r>
              <w:rPr>
                <w:rFonts w:hint="default" w:ascii="Times New Roman" w:hAnsi="Times New Roman" w:eastAsia="宋体" w:cs="Times New Roman"/>
                <w:color w:val="auto"/>
                <w:sz w:val="21"/>
                <w:szCs w:val="21"/>
                <w:highlight w:val="none"/>
                <w:lang w:val="en-US" w:eastAsia="zh-CN"/>
              </w:rPr>
              <w:t>%，根据生物质成分分析报告得出；</w:t>
            </w:r>
          </w:p>
          <w:p w14:paraId="2A48CE26">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Oar----收到基氧含量，%，3</w:t>
            </w:r>
            <w:r>
              <w:rPr>
                <w:rFonts w:hint="eastAsia" w:cs="Times New Roman"/>
                <w:color w:val="auto"/>
                <w:sz w:val="21"/>
                <w:szCs w:val="21"/>
                <w:highlight w:val="none"/>
                <w:lang w:val="en-US" w:eastAsia="zh-CN"/>
              </w:rPr>
              <w:t>3.13</w:t>
            </w:r>
            <w:r>
              <w:rPr>
                <w:rFonts w:hint="default" w:ascii="Times New Roman" w:hAnsi="Times New Roman" w:eastAsia="宋体" w:cs="Times New Roman"/>
                <w:color w:val="auto"/>
                <w:sz w:val="21"/>
                <w:szCs w:val="21"/>
                <w:highlight w:val="none"/>
                <w:lang w:val="en-US" w:eastAsia="zh-CN"/>
              </w:rPr>
              <w:t>%，根据生物质成分分析报告得出；</w:t>
            </w:r>
          </w:p>
          <w:p w14:paraId="2D44D76A">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a----过量空气系数，燃料燃烧时实际空气供给量与理论空气需要量之比值，燃生物质锅炉的过量空气系数为1.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5。</w:t>
            </w:r>
          </w:p>
          <w:p w14:paraId="464242FB">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则本项目的</w:t>
            </w:r>
            <w:r>
              <w:rPr>
                <w:rFonts w:hint="eastAsia" w:cs="Times New Roman"/>
                <w:color w:val="auto"/>
                <w:sz w:val="21"/>
                <w:szCs w:val="21"/>
                <w:highlight w:val="none"/>
                <w:lang w:val="en-US" w:eastAsia="zh-CN"/>
              </w:rPr>
              <w:t>理论空气量</w:t>
            </w:r>
            <w:r>
              <w:rPr>
                <w:rFonts w:hint="default" w:ascii="Times New Roman" w:hAnsi="Times New Roman" w:eastAsia="宋体" w:cs="Times New Roman"/>
                <w:color w:val="auto"/>
                <w:sz w:val="21"/>
                <w:szCs w:val="21"/>
                <w:highlight w:val="none"/>
                <w:lang w:val="en-US" w:eastAsia="zh-CN"/>
              </w:rPr>
              <w:t>V</w:t>
            </w:r>
            <w:r>
              <w:rPr>
                <w:rFonts w:hint="default" w:ascii="Times New Roman" w:hAnsi="Times New Roman" w:eastAsia="宋体" w:cs="Times New Roman"/>
                <w:color w:val="auto"/>
                <w:sz w:val="21"/>
                <w:szCs w:val="21"/>
                <w:highlight w:val="none"/>
                <w:vertAlign w:val="subscript"/>
                <w:lang w:val="en-US" w:eastAsia="zh-CN"/>
              </w:rPr>
              <w:t>0</w:t>
            </w:r>
            <w:r>
              <w:rPr>
                <w:rFonts w:hint="eastAsia" w:ascii="Times New Roman" w:hAnsi="Times New Roman" w:eastAsia="宋体" w:cs="Times New Roman"/>
                <w:color w:val="auto"/>
                <w:sz w:val="21"/>
                <w:szCs w:val="21"/>
                <w:highlight w:val="none"/>
                <w:lang w:val="en-US" w:eastAsia="zh-CN"/>
              </w:rPr>
              <w:t>=3.51</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/kg；</w:t>
            </w:r>
          </w:p>
          <w:p w14:paraId="7F7F25AC">
            <w:pPr>
              <w:bidi w:val="0"/>
              <w:spacing w:line="360" w:lineRule="auto"/>
              <w:ind w:firstLine="1470" w:firstLineChars="7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基准烟气量为Vgy=</w:t>
            </w:r>
            <w:r>
              <w:rPr>
                <w:rFonts w:hint="eastAsia" w:cs="Times New Roman"/>
                <w:color w:val="auto"/>
                <w:sz w:val="21"/>
                <w:szCs w:val="21"/>
                <w:highlight w:val="none"/>
                <w:lang w:val="en-US" w:eastAsia="zh-CN"/>
              </w:rPr>
              <w:t>5.78</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/kg</w:t>
            </w:r>
          </w:p>
          <w:p w14:paraId="7484E56B">
            <w:pPr>
              <w:bidi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则总烟气量为：</w:t>
            </w:r>
            <w:r>
              <w:rPr>
                <w:rFonts w:hint="eastAsia" w:cs="Times New Roman"/>
                <w:color w:val="auto"/>
                <w:sz w:val="21"/>
                <w:szCs w:val="21"/>
                <w:highlight w:val="none"/>
                <w:lang w:val="en-US" w:eastAsia="zh-CN"/>
              </w:rPr>
              <w:t>5.78</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1904</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6.88</w:t>
            </w:r>
            <w:r>
              <w:rPr>
                <w:rFonts w:hint="default" w:ascii="Times New Roman" w:hAnsi="Times New Roman" w:eastAsia="宋体" w:cs="Times New Roman"/>
                <w:color w:val="auto"/>
                <w:sz w:val="21"/>
                <w:szCs w:val="21"/>
                <w:highlight w:val="none"/>
                <w:lang w:val="en-US" w:eastAsia="zh-CN"/>
              </w:rPr>
              <w:t>×10</w:t>
            </w:r>
            <w:r>
              <w:rPr>
                <w:rFonts w:hint="eastAsia" w:cs="Times New Roman"/>
                <w:color w:val="auto"/>
                <w:sz w:val="21"/>
                <w:szCs w:val="21"/>
                <w:highlight w:val="none"/>
                <w:vertAlign w:val="superscript"/>
                <w:lang w:val="en-US" w:eastAsia="zh-CN"/>
              </w:rPr>
              <w:t>7</w:t>
            </w:r>
            <w:r>
              <w:rPr>
                <w:rFonts w:hint="default" w:ascii="Times New Roman" w:hAnsi="Times New Roman" w:eastAsia="宋体" w:cs="Times New Roman"/>
                <w:color w:val="auto"/>
                <w:sz w:val="21"/>
                <w:szCs w:val="21"/>
                <w:highlight w:val="none"/>
                <w:lang w:val="en-US" w:eastAsia="zh-CN"/>
              </w:rPr>
              <w:t>Nm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/a</w:t>
            </w:r>
          </w:p>
          <w:p w14:paraId="269620C2">
            <w:pPr>
              <w:bidi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颗粒物（颗粒物）排放量</w:t>
            </w:r>
            <w:r>
              <w:rPr>
                <w:rFonts w:hint="default" w:ascii="Times New Roman" w:hAnsi="Times New Roman" w:eastAsia="宋体" w:cs="Times New Roman"/>
                <w:color w:val="auto"/>
                <w:sz w:val="21"/>
                <w:szCs w:val="21"/>
                <w:highlight w:val="none"/>
                <w:lang w:eastAsia="zh-CN"/>
              </w:rPr>
              <w:t>：</w:t>
            </w:r>
          </w:p>
          <w:p w14:paraId="7FF2E702">
            <w:pPr>
              <w:bidi w:val="0"/>
              <w:spacing w:line="360" w:lineRule="auto"/>
              <w:ind w:firstLine="480" w:firstLineChars="20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object>
                <v:shape id="_x0000_i1028" o:spt="75" type="#_x0000_t75" style="height:65.25pt;width:149.25pt;" o:ole="t" filled="f" o:preferrelative="t" stroked="f" coordsize="21600,21600">
                  <v:path/>
                  <v:fill on="f" focussize="0,0"/>
                  <v:stroke on="f"/>
                  <v:imagedata r:id="rId22" o:title=""/>
                  <o:lock v:ext="edit" aspectratio="t"/>
                  <w10:wrap type="none"/>
                  <w10:anchorlock/>
                </v:shape>
                <o:OLEObject Type="Embed" ProgID="Equation.3" ShapeID="_x0000_i1028" DrawAspect="Content" ObjectID="_1468075728" r:id="rId21">
                  <o:LockedField>false</o:LockedField>
                </o:OLEObject>
              </w:object>
            </w:r>
          </w:p>
          <w:p w14:paraId="6C0D7BD1">
            <w:pPr>
              <w:bidi w:val="0"/>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式中：EA----核算时段内颗粒物（烟尘）排放量，t；</w:t>
            </w:r>
          </w:p>
          <w:p w14:paraId="751B93C8">
            <w:pPr>
              <w:bidi w:val="0"/>
              <w:spacing w:line="360" w:lineRule="auto"/>
              <w:ind w:firstLine="1050" w:firstLineChars="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R----核算时段内锅炉燃料耗量，</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1904</w:t>
            </w:r>
            <w:r>
              <w:rPr>
                <w:rFonts w:hint="default" w:ascii="Times New Roman" w:hAnsi="Times New Roman" w:eastAsia="宋体" w:cs="Times New Roman"/>
                <w:color w:val="auto"/>
                <w:sz w:val="21"/>
                <w:szCs w:val="21"/>
                <w:highlight w:val="none"/>
              </w:rPr>
              <w:t>t；</w:t>
            </w:r>
          </w:p>
          <w:p w14:paraId="558D07E7">
            <w:pPr>
              <w:bidi w:val="0"/>
              <w:spacing w:line="360" w:lineRule="auto"/>
              <w:ind w:firstLine="1050" w:firstLineChars="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Aar----收到基灰分的质量分数，%；取</w:t>
            </w:r>
            <w:r>
              <w:rPr>
                <w:rFonts w:hint="eastAsia" w:cs="Times New Roman"/>
                <w:color w:val="auto"/>
                <w:sz w:val="21"/>
                <w:szCs w:val="21"/>
                <w:highlight w:val="none"/>
                <w:lang w:val="en-US" w:eastAsia="zh-CN"/>
              </w:rPr>
              <w:t>6.33</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根据生物质成分分析报告得出</w:t>
            </w:r>
            <w:r>
              <w:rPr>
                <w:rFonts w:hint="default" w:ascii="Times New Roman" w:hAnsi="Times New Roman" w:eastAsia="宋体" w:cs="Times New Roman"/>
                <w:color w:val="auto"/>
                <w:sz w:val="21"/>
                <w:szCs w:val="21"/>
                <w:highlight w:val="none"/>
              </w:rPr>
              <w:t>；</w:t>
            </w:r>
          </w:p>
          <w:p w14:paraId="2264C1CF">
            <w:pPr>
              <w:bidi w:val="0"/>
              <w:spacing w:line="360" w:lineRule="auto"/>
              <w:ind w:firstLine="1050" w:firstLineChars="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dfh----锅炉烟气带出的灰分份额，%；取</w:t>
            </w:r>
            <w:r>
              <w:rPr>
                <w:rFonts w:hint="default" w:ascii="Times New Roman" w:hAnsi="Times New Roman" w:eastAsia="宋体"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%。（链条炉排炉灰分份额为1</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%-20%，本项目取20%，燃生物质时飞灰份额加30%，则最终灰分份额取50%）；</w:t>
            </w:r>
          </w:p>
          <w:p w14:paraId="3F903491">
            <w:pPr>
              <w:bidi w:val="0"/>
              <w:spacing w:line="360" w:lineRule="auto"/>
              <w:ind w:firstLine="1050" w:firstLineChars="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ƞc----综合除尘效率，%；取</w:t>
            </w:r>
            <w:r>
              <w:rPr>
                <w:rFonts w:hint="default" w:ascii="Times New Roman" w:hAnsi="Times New Roman" w:eastAsia="宋体" w:cs="Times New Roman"/>
                <w:color w:val="auto"/>
                <w:sz w:val="21"/>
                <w:szCs w:val="21"/>
                <w:highlight w:val="none"/>
                <w:lang w:val="en-US" w:eastAsia="zh-CN"/>
              </w:rPr>
              <w:t>99.6</w:t>
            </w:r>
            <w:r>
              <w:rPr>
                <w:rFonts w:hint="default" w:ascii="Times New Roman" w:hAnsi="Times New Roman" w:eastAsia="宋体" w:cs="Times New Roman"/>
                <w:color w:val="auto"/>
                <w:sz w:val="21"/>
                <w:szCs w:val="21"/>
                <w:highlight w:val="none"/>
              </w:rPr>
              <w:t>%。根据《污染源源强核算技术指南锅炉》（HJ991-2018），本次</w:t>
            </w:r>
            <w:r>
              <w:rPr>
                <w:rFonts w:hint="eastAsia" w:cs="Times New Roman"/>
                <w:color w:val="auto"/>
                <w:sz w:val="21"/>
                <w:szCs w:val="21"/>
                <w:highlight w:val="none"/>
                <w:lang w:val="en-US" w:eastAsia="zh-CN"/>
              </w:rPr>
              <w:t>旋风除尘+低氮燃烧</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袋式除尘器</w:t>
            </w:r>
            <w:r>
              <w:rPr>
                <w:rFonts w:hint="default" w:ascii="Times New Roman" w:hAnsi="Times New Roman" w:eastAsia="宋体" w:cs="Times New Roman"/>
                <w:color w:val="auto"/>
                <w:sz w:val="21"/>
                <w:szCs w:val="21"/>
                <w:highlight w:val="none"/>
                <w:lang w:val="en-US" w:eastAsia="zh-CN"/>
              </w:rPr>
              <w:t>综合</w:t>
            </w:r>
            <w:r>
              <w:rPr>
                <w:rFonts w:hint="default" w:ascii="Times New Roman" w:hAnsi="Times New Roman" w:eastAsia="宋体" w:cs="Times New Roman"/>
                <w:color w:val="auto"/>
                <w:sz w:val="21"/>
                <w:szCs w:val="21"/>
                <w:highlight w:val="none"/>
              </w:rPr>
              <w:t>去除效率按</w:t>
            </w:r>
            <w:r>
              <w:rPr>
                <w:rFonts w:hint="default" w:ascii="Times New Roman" w:hAnsi="Times New Roman" w:eastAsia="宋体" w:cs="Times New Roman"/>
                <w:color w:val="auto"/>
                <w:sz w:val="21"/>
                <w:szCs w:val="21"/>
                <w:highlight w:val="none"/>
                <w:lang w:val="en-US" w:eastAsia="zh-CN"/>
              </w:rPr>
              <w:t>99.6</w:t>
            </w:r>
            <w:r>
              <w:rPr>
                <w:rFonts w:hint="default" w:ascii="Times New Roman" w:hAnsi="Times New Roman" w:eastAsia="宋体" w:cs="Times New Roman"/>
                <w:color w:val="auto"/>
                <w:sz w:val="21"/>
                <w:szCs w:val="21"/>
                <w:highlight w:val="none"/>
              </w:rPr>
              <w:t>%计算。</w:t>
            </w:r>
          </w:p>
          <w:p w14:paraId="209E2C95">
            <w:pPr>
              <w:bidi w:val="0"/>
              <w:spacing w:line="360" w:lineRule="auto"/>
              <w:ind w:firstLine="1050" w:firstLineChars="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Cfh----飞灰中可燃物含量，%。取1</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%。（项目使用生物质成型燃料，</w:t>
            </w:r>
            <w:r>
              <w:rPr>
                <w:rFonts w:hint="eastAsia" w:cs="Times New Roman"/>
                <w:color w:val="auto"/>
                <w:sz w:val="21"/>
                <w:szCs w:val="21"/>
                <w:highlight w:val="none"/>
                <w:lang w:val="en-US" w:eastAsia="zh-CN"/>
              </w:rPr>
              <w:t>根据</w:t>
            </w:r>
            <w:r>
              <w:rPr>
                <w:rFonts w:hint="eastAsia"/>
                <w:color w:val="auto"/>
                <w:highlight w:val="none"/>
                <w:vertAlign w:val="baseline"/>
              </w:rPr>
              <w:t>《生物质锅炉技术规范》（GB/T44906-2024）</w:t>
            </w:r>
            <w:r>
              <w:rPr>
                <w:rFonts w:hint="default" w:ascii="Times New Roman" w:hAnsi="Times New Roman" w:eastAsia="宋体" w:cs="Times New Roman"/>
                <w:color w:val="auto"/>
                <w:sz w:val="21"/>
                <w:szCs w:val="21"/>
                <w:highlight w:val="none"/>
              </w:rPr>
              <w:t>，取1</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w:t>
            </w:r>
          </w:p>
          <w:p w14:paraId="6283C61B">
            <w:pPr>
              <w:bidi w:val="0"/>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由计算可得出颗粒物</w:t>
            </w:r>
            <w:r>
              <w:rPr>
                <w:rFonts w:hint="default" w:ascii="Times New Roman" w:hAnsi="Times New Roman" w:eastAsia="宋体" w:cs="Times New Roman"/>
                <w:color w:val="auto"/>
                <w:sz w:val="21"/>
                <w:szCs w:val="21"/>
                <w:highlight w:val="none"/>
                <w:lang w:val="en-US" w:eastAsia="zh-CN"/>
              </w:rPr>
              <w:t>产生</w:t>
            </w:r>
            <w:r>
              <w:rPr>
                <w:rFonts w:hint="default" w:ascii="Times New Roman" w:hAnsi="Times New Roman" w:eastAsia="宋体" w:cs="Times New Roman"/>
                <w:color w:val="auto"/>
                <w:sz w:val="21"/>
                <w:szCs w:val="21"/>
                <w:highlight w:val="none"/>
              </w:rPr>
              <w:t>量为</w:t>
            </w:r>
            <w:r>
              <w:rPr>
                <w:rFonts w:hint="eastAsia" w:cs="Times New Roman"/>
                <w:color w:val="auto"/>
                <w:sz w:val="21"/>
                <w:szCs w:val="21"/>
                <w:highlight w:val="none"/>
                <w:lang w:val="en-US" w:eastAsia="zh-CN"/>
              </w:rPr>
              <w:t>435.3</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产生速率</w:t>
            </w:r>
            <w:r>
              <w:rPr>
                <w:rFonts w:hint="eastAsia" w:cs="Times New Roman"/>
                <w:color w:val="auto"/>
                <w:sz w:val="21"/>
                <w:szCs w:val="21"/>
                <w:highlight w:val="none"/>
                <w:lang w:val="en-US" w:eastAsia="zh-CN"/>
              </w:rPr>
              <w:t>90.7</w:t>
            </w:r>
            <w:r>
              <w:rPr>
                <w:rFonts w:hint="default" w:ascii="Times New Roman" w:hAnsi="Times New Roman" w:eastAsia="宋体" w:cs="Times New Roman"/>
                <w:color w:val="auto"/>
                <w:sz w:val="21"/>
                <w:szCs w:val="21"/>
                <w:highlight w:val="none"/>
              </w:rPr>
              <w:t>kg/h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产生</w:t>
            </w:r>
            <w:r>
              <w:rPr>
                <w:rFonts w:hint="default" w:ascii="Times New Roman" w:hAnsi="Times New Roman" w:eastAsia="宋体" w:cs="Times New Roman"/>
                <w:color w:val="auto"/>
                <w:sz w:val="21"/>
                <w:szCs w:val="21"/>
                <w:highlight w:val="none"/>
                <w:lang w:eastAsia="zh-CN"/>
              </w:rPr>
              <w:t>浓度为</w:t>
            </w:r>
            <w:r>
              <w:rPr>
                <w:rFonts w:hint="eastAsia" w:cs="Times New Roman"/>
                <w:color w:val="auto"/>
                <w:sz w:val="21"/>
                <w:szCs w:val="21"/>
                <w:highlight w:val="none"/>
                <w:lang w:val="en-US" w:eastAsia="zh-CN"/>
              </w:rPr>
              <w:t>6328</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。颗粒物排放量为</w:t>
            </w:r>
            <w:r>
              <w:rPr>
                <w:rFonts w:hint="eastAsia" w:cs="Times New Roman"/>
                <w:color w:val="auto"/>
                <w:sz w:val="21"/>
                <w:szCs w:val="21"/>
                <w:highlight w:val="none"/>
                <w:lang w:val="en-US" w:eastAsia="zh-CN"/>
              </w:rPr>
              <w:t>1.74</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排放速率</w:t>
            </w:r>
            <w:r>
              <w:rPr>
                <w:rFonts w:hint="eastAsia" w:cs="Times New Roman"/>
                <w:color w:val="auto"/>
                <w:sz w:val="21"/>
                <w:szCs w:val="21"/>
                <w:highlight w:val="none"/>
                <w:lang w:val="en-US" w:eastAsia="zh-CN"/>
              </w:rPr>
              <w:t>0.36</w:t>
            </w:r>
            <w:r>
              <w:rPr>
                <w:rFonts w:hint="default" w:ascii="Times New Roman" w:hAnsi="Times New Roman" w:eastAsia="宋体" w:cs="Times New Roman"/>
                <w:color w:val="auto"/>
                <w:sz w:val="21"/>
                <w:szCs w:val="21"/>
                <w:highlight w:val="none"/>
              </w:rPr>
              <w:t>kg/h</w:t>
            </w:r>
            <w:r>
              <w:rPr>
                <w:rFonts w:hint="default" w:ascii="Times New Roman" w:hAnsi="Times New Roman" w:eastAsia="宋体" w:cs="Times New Roman"/>
                <w:color w:val="auto"/>
                <w:sz w:val="21"/>
                <w:szCs w:val="21"/>
                <w:highlight w:val="none"/>
                <w:lang w:eastAsia="zh-CN"/>
              </w:rPr>
              <w:t>，排放浓度为</w:t>
            </w:r>
            <w:r>
              <w:rPr>
                <w:rFonts w:hint="eastAsia" w:cs="Times New Roman"/>
                <w:color w:val="auto"/>
                <w:sz w:val="21"/>
                <w:szCs w:val="21"/>
                <w:highlight w:val="none"/>
                <w:lang w:val="en-US" w:eastAsia="zh-CN"/>
              </w:rPr>
              <w:t>25.3</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w:t>
            </w:r>
          </w:p>
          <w:p w14:paraId="50677F03">
            <w:pPr>
              <w:bidi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二氧化硫排放量</w:t>
            </w:r>
            <w:r>
              <w:rPr>
                <w:rFonts w:hint="default" w:ascii="Times New Roman" w:hAnsi="Times New Roman" w:eastAsia="宋体" w:cs="Times New Roman"/>
                <w:color w:val="auto"/>
                <w:sz w:val="21"/>
                <w:szCs w:val="21"/>
                <w:highlight w:val="none"/>
                <w:lang w:eastAsia="zh-CN"/>
              </w:rPr>
              <w:t>：</w:t>
            </w:r>
          </w:p>
          <w:p w14:paraId="3191793F">
            <w:pPr>
              <w:bidi w:val="0"/>
              <w:spacing w:line="360" w:lineRule="auto"/>
              <w:ind w:firstLine="480" w:firstLineChars="20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object>
                <v:shape id="_x0000_i1029" o:spt="75" type="#_x0000_t75" style="height:33pt;width:204pt;" o:ole="t" filled="f" o:preferrelative="t" stroked="f" coordsize="21600,21600">
                  <v:path/>
                  <v:fill on="f" focussize="0,0"/>
                  <v:stroke on="f" joinstyle="miter"/>
                  <v:imagedata r:id="rId24" o:title=""/>
                  <o:lock v:ext="edit" aspectratio="t"/>
                  <w10:wrap type="none"/>
                  <w10:anchorlock/>
                </v:shape>
                <o:OLEObject Type="Embed" ProgID="Equation.3" ShapeID="_x0000_i1029" DrawAspect="Content" ObjectID="_1468075729" r:id="rId23">
                  <o:LockedField>false</o:LockedField>
                </o:OLEObject>
              </w:object>
            </w:r>
          </w:p>
          <w:p w14:paraId="41BE057D">
            <w:pPr>
              <w:bidi w:val="0"/>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式中：ESO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----核算时段内二氧化硫排放量，t；</w:t>
            </w:r>
          </w:p>
          <w:p w14:paraId="64D5D703">
            <w:pPr>
              <w:bidi w:val="0"/>
              <w:spacing w:line="360" w:lineRule="auto"/>
              <w:ind w:firstLine="1050" w:firstLineChars="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R----核算时段内锅炉燃料耗量，t，</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1904t</w:t>
            </w:r>
            <w:r>
              <w:rPr>
                <w:rFonts w:hint="default" w:ascii="Times New Roman" w:hAnsi="Times New Roman" w:eastAsia="宋体" w:cs="Times New Roman"/>
                <w:color w:val="auto"/>
                <w:sz w:val="21"/>
                <w:szCs w:val="21"/>
                <w:highlight w:val="none"/>
              </w:rPr>
              <w:t>；</w:t>
            </w:r>
          </w:p>
          <w:p w14:paraId="7FF0FCA7">
            <w:pPr>
              <w:bidi w:val="0"/>
              <w:spacing w:line="360" w:lineRule="auto"/>
              <w:ind w:firstLine="1050" w:firstLineChars="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Sar----收到基硫的质量分数，%，0.</w:t>
            </w:r>
            <w:r>
              <w:rPr>
                <w:rFonts w:hint="default" w:ascii="Times New Roman" w:hAnsi="Times New Roman" w:eastAsia="宋体" w:cs="Times New Roman"/>
                <w:color w:val="auto"/>
                <w:sz w:val="21"/>
                <w:szCs w:val="21"/>
                <w:highlight w:val="none"/>
                <w:lang w:val="en-US" w:eastAsia="zh-CN"/>
              </w:rPr>
              <w:t>07</w:t>
            </w:r>
            <w:r>
              <w:rPr>
                <w:rFonts w:hint="default" w:ascii="Times New Roman" w:hAnsi="Times New Roman" w:eastAsia="宋体" w:cs="Times New Roman"/>
                <w:color w:val="auto"/>
                <w:sz w:val="21"/>
                <w:szCs w:val="21"/>
                <w:highlight w:val="none"/>
              </w:rPr>
              <w:t>；</w:t>
            </w:r>
          </w:p>
          <w:p w14:paraId="1A96B838">
            <w:pPr>
              <w:bidi w:val="0"/>
              <w:spacing w:line="360" w:lineRule="auto"/>
              <w:ind w:firstLine="1050" w:firstLineChars="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q4----锅炉机械不完全燃烧热损失，%；取15，（链条炉排炉不完全燃烧热损失5%-15%）；</w:t>
            </w:r>
          </w:p>
          <w:p w14:paraId="201091EB">
            <w:pPr>
              <w:bidi w:val="0"/>
              <w:spacing w:line="360" w:lineRule="auto"/>
              <w:ind w:firstLine="1050" w:firstLineChars="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Ƞs----脱硫效率，%，取0；</w:t>
            </w:r>
          </w:p>
          <w:p w14:paraId="7C58B145">
            <w:pPr>
              <w:bidi w:val="0"/>
              <w:spacing w:line="360" w:lineRule="auto"/>
              <w:ind w:firstLine="1050" w:firstLineChars="5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K----燃料中的硫燃烧后氧化成二氧化硫的份额，量纲一的量。取0.</w:t>
            </w:r>
            <w:r>
              <w:rPr>
                <w:rFonts w:hint="eastAsia"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w:t>
            </w:r>
          </w:p>
          <w:p w14:paraId="7312F5C9">
            <w:pPr>
              <w:bidi w:val="0"/>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由计算可得出SO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排放量为</w:t>
            </w:r>
            <w:r>
              <w:rPr>
                <w:rFonts w:hint="eastAsia" w:cs="Times New Roman"/>
                <w:color w:val="auto"/>
                <w:sz w:val="21"/>
                <w:szCs w:val="21"/>
                <w:highlight w:val="none"/>
                <w:lang w:val="en-US" w:eastAsia="zh-CN"/>
              </w:rPr>
              <w:t>7.08</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z w:val="21"/>
                <w:szCs w:val="21"/>
                <w:highlight w:val="none"/>
                <w:lang w:val="en-US" w:eastAsia="zh-CN"/>
              </w:rPr>
              <w:t>排放速率为</w:t>
            </w:r>
            <w:r>
              <w:rPr>
                <w:rFonts w:hint="eastAsia" w:cs="Times New Roman"/>
                <w:color w:val="auto"/>
                <w:sz w:val="21"/>
                <w:szCs w:val="21"/>
                <w:highlight w:val="none"/>
                <w:lang w:val="en-US" w:eastAsia="zh-CN"/>
              </w:rPr>
              <w:t>1.48</w:t>
            </w:r>
            <w:r>
              <w:rPr>
                <w:rFonts w:hint="default" w:ascii="Times New Roman" w:hAnsi="Times New Roman" w:eastAsia="宋体" w:cs="Times New Roman"/>
                <w:color w:val="auto"/>
                <w:sz w:val="21"/>
                <w:szCs w:val="21"/>
                <w:highlight w:val="none"/>
              </w:rPr>
              <w:t>kg/h，</w:t>
            </w:r>
            <w:r>
              <w:rPr>
                <w:rFonts w:hint="default" w:ascii="Times New Roman" w:hAnsi="Times New Roman" w:eastAsia="宋体" w:cs="Times New Roman"/>
                <w:color w:val="auto"/>
                <w:sz w:val="21"/>
                <w:szCs w:val="21"/>
                <w:highlight w:val="none"/>
                <w:lang w:val="en-US" w:eastAsia="zh-CN"/>
              </w:rPr>
              <w:t>排放浓度为</w:t>
            </w:r>
            <w:r>
              <w:rPr>
                <w:rFonts w:hint="eastAsia" w:cs="Times New Roman"/>
                <w:color w:val="auto"/>
                <w:sz w:val="21"/>
                <w:szCs w:val="21"/>
                <w:highlight w:val="none"/>
                <w:lang w:val="en-US" w:eastAsia="zh-CN"/>
              </w:rPr>
              <w:t>103</w:t>
            </w:r>
            <w:r>
              <w:rPr>
                <w:rFonts w:hint="default" w:ascii="Times New Roman" w:hAnsi="Times New Roman" w:eastAsia="宋体" w:cs="Times New Roman"/>
                <w:color w:val="auto"/>
                <w:sz w:val="21"/>
                <w:szCs w:val="21"/>
                <w:highlight w:val="none"/>
              </w:rPr>
              <w:t>mg/m³。</w:t>
            </w:r>
          </w:p>
          <w:p w14:paraId="75E98DFF">
            <w:pPr>
              <w:bidi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氮氧化物排放量</w:t>
            </w:r>
            <w:r>
              <w:rPr>
                <w:rFonts w:hint="default" w:ascii="Times New Roman" w:hAnsi="Times New Roman" w:eastAsia="宋体" w:cs="Times New Roman"/>
                <w:color w:val="auto"/>
                <w:sz w:val="21"/>
                <w:szCs w:val="21"/>
                <w:highlight w:val="none"/>
                <w:lang w:eastAsia="zh-CN"/>
              </w:rPr>
              <w:t>：</w:t>
            </w:r>
          </w:p>
          <w:p w14:paraId="1EC69882">
            <w:pPr>
              <w:bidi w:val="0"/>
              <w:spacing w:line="360" w:lineRule="auto"/>
              <w:ind w:firstLine="420" w:firstLineChars="200"/>
              <w:rPr>
                <w:rFonts w:hint="default" w:ascii="Times New Roman" w:hAnsi="Times New Roman" w:cs="Times New Roman"/>
                <w:color w:val="auto"/>
                <w:spacing w:val="-3"/>
                <w:sz w:val="21"/>
                <w:szCs w:val="21"/>
                <w:highlight w:val="none"/>
              </w:rPr>
            </w:pPr>
            <w:r>
              <w:rPr>
                <w:rFonts w:hint="eastAsia" w:ascii="Times New Roman" w:hAnsi="Times New Roman" w:eastAsia="宋体" w:cs="Times New Roman"/>
                <w:color w:val="auto"/>
                <w:sz w:val="21"/>
                <w:szCs w:val="21"/>
                <w:highlight w:val="none"/>
                <w:lang w:val="en-US" w:eastAsia="zh-CN"/>
              </w:rPr>
              <w:t>本项目氮氧化物采用低氮燃烧技术，</w:t>
            </w:r>
            <w:r>
              <w:rPr>
                <w:rFonts w:hint="eastAsia" w:cs="Times New Roman"/>
                <w:color w:val="auto"/>
                <w:sz w:val="21"/>
                <w:szCs w:val="21"/>
                <w:highlight w:val="none"/>
                <w:lang w:val="en-US" w:eastAsia="zh-CN"/>
              </w:rPr>
              <w:t>根据</w:t>
            </w:r>
            <w:r>
              <w:rPr>
                <w:rFonts w:hint="default" w:ascii="Times New Roman" w:hAnsi="Times New Roman" w:eastAsia="宋体" w:cs="Times New Roman"/>
                <w:color w:val="auto"/>
                <w:sz w:val="21"/>
                <w:szCs w:val="21"/>
                <w:highlight w:val="none"/>
              </w:rPr>
              <w:t>《排污许可证申请与核发技术规范</w:t>
            </w:r>
            <w:r>
              <w:rPr>
                <w:rFonts w:hint="eastAsia"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锅炉》（HJ953-2018）</w:t>
            </w:r>
            <w:r>
              <w:rPr>
                <w:rFonts w:hint="eastAsia" w:ascii="Times New Roman" w:hAnsi="Times New Roman" w:eastAsia="宋体" w:cs="Times New Roman"/>
                <w:color w:val="auto"/>
                <w:sz w:val="21"/>
                <w:szCs w:val="21"/>
                <w:highlight w:val="none"/>
                <w:lang w:val="en-US" w:eastAsia="zh-CN"/>
              </w:rPr>
              <w:t>中表F.4燃生物质工业锅炉的废气产排污系数。氮氧化物产污系数为0.71kg/吨燃料。本项目燃料量为11904t，则</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r>
              <w:rPr>
                <w:rFonts w:hint="eastAsia" w:cs="Times New Roman"/>
                <w:color w:val="auto"/>
                <w:sz w:val="21"/>
                <w:szCs w:val="21"/>
                <w:highlight w:val="none"/>
                <w:vertAlign w:val="baseline"/>
                <w:lang w:val="en-US" w:eastAsia="zh-CN"/>
              </w:rPr>
              <w:t>产生</w:t>
            </w:r>
            <w:r>
              <w:rPr>
                <w:rFonts w:hint="default" w:ascii="Times New Roman" w:hAnsi="Times New Roman" w:eastAsia="宋体" w:cs="Times New Roman"/>
                <w:color w:val="auto"/>
                <w:sz w:val="21"/>
                <w:szCs w:val="21"/>
                <w:highlight w:val="none"/>
              </w:rPr>
              <w:t>量为</w:t>
            </w:r>
            <w:r>
              <w:rPr>
                <w:rFonts w:hint="eastAsia" w:cs="Times New Roman"/>
                <w:color w:val="auto"/>
                <w:sz w:val="21"/>
                <w:szCs w:val="21"/>
                <w:highlight w:val="none"/>
                <w:lang w:val="en-US" w:eastAsia="zh-CN"/>
              </w:rPr>
              <w:t>8.45</w:t>
            </w:r>
            <w:r>
              <w:rPr>
                <w:rFonts w:hint="default" w:ascii="Times New Roman" w:hAnsi="Times New Roman" w:eastAsia="宋体" w:cs="Times New Roman"/>
                <w:color w:val="auto"/>
                <w:sz w:val="21"/>
                <w:szCs w:val="21"/>
                <w:highlight w:val="none"/>
              </w:rPr>
              <w:t>t/a，</w:t>
            </w:r>
            <w:r>
              <w:rPr>
                <w:rFonts w:hint="eastAsia" w:cs="Times New Roman"/>
                <w:color w:val="auto"/>
                <w:sz w:val="21"/>
                <w:szCs w:val="21"/>
                <w:highlight w:val="none"/>
                <w:vertAlign w:val="baseline"/>
                <w:lang w:val="en-US" w:eastAsia="zh-CN"/>
              </w:rPr>
              <w:t>产生</w:t>
            </w:r>
            <w:r>
              <w:rPr>
                <w:rFonts w:hint="default" w:ascii="Times New Roman" w:hAnsi="Times New Roman" w:eastAsia="宋体" w:cs="Times New Roman"/>
                <w:color w:val="auto"/>
                <w:sz w:val="21"/>
                <w:szCs w:val="21"/>
                <w:highlight w:val="none"/>
                <w:lang w:val="en-US" w:eastAsia="zh-CN"/>
              </w:rPr>
              <w:t>速率为</w:t>
            </w:r>
            <w:r>
              <w:rPr>
                <w:rFonts w:hint="eastAsia" w:cs="Times New Roman"/>
                <w:color w:val="auto"/>
                <w:sz w:val="21"/>
                <w:szCs w:val="21"/>
                <w:highlight w:val="none"/>
                <w:lang w:val="en-US" w:eastAsia="zh-CN"/>
              </w:rPr>
              <w:t>1.76</w:t>
            </w:r>
            <w:r>
              <w:rPr>
                <w:rFonts w:hint="default" w:ascii="Times New Roman" w:hAnsi="Times New Roman" w:eastAsia="宋体" w:cs="Times New Roman"/>
                <w:color w:val="auto"/>
                <w:sz w:val="21"/>
                <w:szCs w:val="21"/>
                <w:highlight w:val="none"/>
              </w:rPr>
              <w:t>kg/h，</w:t>
            </w:r>
            <w:r>
              <w:rPr>
                <w:rFonts w:hint="eastAsia" w:cs="Times New Roman"/>
                <w:color w:val="auto"/>
                <w:sz w:val="21"/>
                <w:szCs w:val="21"/>
                <w:highlight w:val="none"/>
                <w:vertAlign w:val="baseline"/>
                <w:lang w:val="en-US" w:eastAsia="zh-CN"/>
              </w:rPr>
              <w:t>产生</w:t>
            </w:r>
            <w:r>
              <w:rPr>
                <w:rFonts w:hint="default" w:ascii="Times New Roman" w:hAnsi="Times New Roman" w:eastAsia="宋体" w:cs="Times New Roman"/>
                <w:color w:val="auto"/>
                <w:sz w:val="21"/>
                <w:szCs w:val="21"/>
                <w:highlight w:val="none"/>
                <w:lang w:val="en-US" w:eastAsia="zh-CN"/>
              </w:rPr>
              <w:t>浓度为</w:t>
            </w:r>
            <w:r>
              <w:rPr>
                <w:rFonts w:hint="eastAsia" w:cs="Times New Roman"/>
                <w:color w:val="auto"/>
                <w:sz w:val="21"/>
                <w:szCs w:val="21"/>
                <w:highlight w:val="none"/>
                <w:lang w:val="en-US" w:eastAsia="zh-CN"/>
              </w:rPr>
              <w:t>122</w:t>
            </w:r>
            <w:r>
              <w:rPr>
                <w:rFonts w:hint="default" w:ascii="Times New Roman" w:hAnsi="Times New Roman" w:eastAsia="宋体" w:cs="Times New Roman"/>
                <w:color w:val="auto"/>
                <w:sz w:val="21"/>
                <w:szCs w:val="21"/>
                <w:highlight w:val="none"/>
              </w:rPr>
              <w:t>mg/m³。</w:t>
            </w:r>
          </w:p>
          <w:p w14:paraId="27BDBC20">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0" w:firstLineChars="200"/>
              <w:textAlignment w:val="auto"/>
              <w:rPr>
                <w:rFonts w:hint="eastAsia" w:ascii="Times New Roman" w:hAnsi="Times New Roman" w:cs="Times New Roman"/>
                <w:color w:val="auto"/>
                <w:spacing w:val="-5"/>
                <w:sz w:val="21"/>
                <w:szCs w:val="21"/>
                <w:highlight w:val="none"/>
                <w:lang w:eastAsia="zh-CN"/>
              </w:rPr>
            </w:pPr>
            <w:r>
              <w:rPr>
                <w:rFonts w:hint="eastAsia" w:ascii="Times New Roman" w:hAnsi="Times New Roman" w:cs="Times New Roman"/>
                <w:color w:val="auto"/>
                <w:spacing w:val="-5"/>
                <w:sz w:val="21"/>
                <w:szCs w:val="21"/>
                <w:highlight w:val="none"/>
                <w:lang w:eastAsia="zh-CN"/>
              </w:rPr>
              <w:t>汞：</w:t>
            </w:r>
          </w:p>
          <w:p w14:paraId="74DA781A">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0" w:firstLineChars="200"/>
              <w:textAlignment w:val="auto"/>
              <w:rPr>
                <w:rFonts w:hint="eastAsia" w:ascii="Times New Roman" w:hAnsi="Times New Roman" w:eastAsia="宋体" w:cs="Times New Roman"/>
                <w:color w:val="auto"/>
                <w:spacing w:val="-5"/>
                <w:sz w:val="21"/>
                <w:szCs w:val="21"/>
                <w:highlight w:val="none"/>
                <w:lang w:eastAsia="zh-CN"/>
              </w:rPr>
            </w:pPr>
            <w:r>
              <w:rPr>
                <w:rFonts w:hint="eastAsia" w:ascii="Times New Roman" w:hAnsi="Times New Roman" w:cs="Times New Roman"/>
                <w:color w:val="auto"/>
                <w:spacing w:val="-5"/>
                <w:sz w:val="21"/>
                <w:szCs w:val="21"/>
                <w:highlight w:val="none"/>
                <w:lang w:eastAsia="zh-CN"/>
              </w:rPr>
              <w:t>本项目锅炉使用的燃料是成型的生物质颗粒，生物质原料中汞为天然微量重金属，含量极低，根据《直接法测定固体生物质燃料中汞的试验研究》（第35卷第6期2020年11月），每1g生物质成型燃料含15.47ng汞，汞的含量极微少，属于微量水平，燃烧后产生的汞极少，不会对周边环境质量产生影响，本次评价不做定量分析。</w:t>
            </w:r>
          </w:p>
          <w:p w14:paraId="49703660">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5"/>
                <w:sz w:val="21"/>
                <w:szCs w:val="21"/>
                <w:highlight w:val="none"/>
              </w:rPr>
              <w:t>②投料、破碎、球磨粉尘</w:t>
            </w:r>
          </w:p>
          <w:p w14:paraId="31693F5D">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388"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8"/>
                <w:sz w:val="21"/>
                <w:szCs w:val="21"/>
                <w:highlight w:val="none"/>
              </w:rPr>
              <w:t>根据建设方提供的资料，本项目原料输送过程会尽量减少落差</w:t>
            </w:r>
            <w:r>
              <w:rPr>
                <w:rFonts w:hint="default" w:ascii="Times New Roman" w:hAnsi="Times New Roman" w:eastAsia="宋体" w:cs="Times New Roman"/>
                <w:color w:val="auto"/>
                <w:spacing w:val="-9"/>
                <w:sz w:val="21"/>
                <w:szCs w:val="21"/>
                <w:highlight w:val="none"/>
              </w:rPr>
              <w:t>，选用密封设备，</w:t>
            </w:r>
            <w:r>
              <w:rPr>
                <w:rFonts w:hint="default" w:ascii="Times New Roman" w:hAnsi="Times New Roman" w:eastAsia="宋体" w:cs="Times New Roman"/>
                <w:color w:val="auto"/>
                <w:spacing w:val="-3"/>
                <w:sz w:val="21"/>
                <w:szCs w:val="21"/>
                <w:highlight w:val="none"/>
              </w:rPr>
              <w:t>控制粉尘的扩散</w:t>
            </w:r>
            <w:r>
              <w:rPr>
                <w:rFonts w:hint="eastAsia" w:ascii="Times New Roman" w:hAnsi="Times New Roman" w:cs="Times New Roman"/>
                <w:color w:val="auto"/>
                <w:spacing w:val="-3"/>
                <w:sz w:val="21"/>
                <w:szCs w:val="21"/>
                <w:highlight w:val="none"/>
                <w:lang w:eastAsia="zh-CN"/>
              </w:rPr>
              <w:t>。搅拌设备及切割设备密闭作业，切割工序为湿法切割。</w:t>
            </w:r>
            <w:r>
              <w:rPr>
                <w:rFonts w:hint="default" w:ascii="Times New Roman" w:hAnsi="Times New Roman" w:eastAsia="宋体" w:cs="Times New Roman"/>
                <w:color w:val="auto"/>
                <w:spacing w:val="-3"/>
                <w:sz w:val="21"/>
                <w:szCs w:val="21"/>
                <w:highlight w:val="none"/>
              </w:rPr>
              <w:t>故项目粉尘主要来源有筒仓粉尘、原料破碎、球磨粉尘。</w:t>
            </w:r>
          </w:p>
          <w:p w14:paraId="5825A172">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12"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sz w:val="21"/>
                <w:szCs w:val="21"/>
                <w:highlight w:val="none"/>
                <w:lang w:val="en-US" w:eastAsia="zh-CN"/>
              </w:rPr>
              <w:t>a</w:t>
            </w:r>
            <w:r>
              <w:rPr>
                <w:rFonts w:hint="default" w:ascii="Times New Roman" w:hAnsi="Times New Roman" w:eastAsia="宋体" w:cs="Times New Roman"/>
                <w:color w:val="auto"/>
                <w:spacing w:val="-2"/>
                <w:sz w:val="21"/>
                <w:szCs w:val="21"/>
                <w:highlight w:val="none"/>
              </w:rPr>
              <w:t>破碎粉尘</w:t>
            </w:r>
          </w:p>
          <w:p w14:paraId="7A3C833B">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pacing w:val="-3"/>
                <w:sz w:val="21"/>
                <w:szCs w:val="21"/>
                <w:highlight w:val="none"/>
                <w:lang w:val="en-US" w:eastAsia="zh-CN"/>
              </w:rPr>
              <w:t>砌块生产过程产生的破碎粉尘</w:t>
            </w:r>
            <w:r>
              <w:rPr>
                <w:rFonts w:hint="default" w:ascii="Times New Roman" w:hAnsi="Times New Roman" w:eastAsia="宋体" w:cs="Times New Roman"/>
                <w:color w:val="auto"/>
                <w:spacing w:val="-3"/>
                <w:sz w:val="21"/>
                <w:szCs w:val="21"/>
                <w:highlight w:val="none"/>
              </w:rPr>
              <w:t>根据《排放源统计调查产排污核算方法和系数手册》中《303砖瓦、石材等建</w:t>
            </w:r>
            <w:r>
              <w:rPr>
                <w:rFonts w:hint="default" w:ascii="Times New Roman" w:hAnsi="Times New Roman" w:eastAsia="宋体" w:cs="Times New Roman"/>
                <w:color w:val="auto"/>
                <w:spacing w:val="-2"/>
                <w:sz w:val="21"/>
                <w:szCs w:val="21"/>
                <w:highlight w:val="none"/>
              </w:rPr>
              <w:t>筑材料制造行业系数手册》，3031  粘土砖瓦及建筑砌块制造产排污系数</w:t>
            </w:r>
            <w:r>
              <w:rPr>
                <w:rFonts w:hint="default" w:ascii="Times New Roman" w:hAnsi="Times New Roman" w:eastAsia="宋体" w:cs="Times New Roman"/>
                <w:color w:val="auto"/>
                <w:spacing w:val="-2"/>
                <w:sz w:val="21"/>
                <w:szCs w:val="21"/>
                <w:highlight w:val="none"/>
                <w:lang w:eastAsia="zh-CN"/>
              </w:rPr>
              <w:t>，</w:t>
            </w:r>
            <w:r>
              <w:rPr>
                <w:rFonts w:hint="eastAsia" w:ascii="Times New Roman" w:hAnsi="Times New Roman" w:cs="Times New Roman"/>
                <w:color w:val="auto"/>
                <w:spacing w:val="-3"/>
                <w:sz w:val="21"/>
                <w:szCs w:val="21"/>
                <w:highlight w:val="none"/>
                <w:lang w:val="en-US" w:eastAsia="zh-CN"/>
              </w:rPr>
              <w:t>板材生产过程产生的破碎粉尘参照表4-3执行。</w:t>
            </w:r>
            <w:r>
              <w:rPr>
                <w:rFonts w:hint="default" w:ascii="Times New Roman" w:hAnsi="Times New Roman" w:eastAsia="宋体" w:cs="Times New Roman"/>
                <w:color w:val="auto"/>
                <w:spacing w:val="-2"/>
                <w:sz w:val="21"/>
                <w:szCs w:val="21"/>
                <w:highlight w:val="none"/>
              </w:rPr>
              <w:t>见下表：</w:t>
            </w:r>
          </w:p>
          <w:p w14:paraId="61C9A610">
            <w:pPr>
              <w:pStyle w:val="10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pacing w:val="6"/>
                <w:sz w:val="21"/>
                <w:szCs w:val="21"/>
                <w:highlight w:val="none"/>
              </w:rPr>
              <w:t>表</w:t>
            </w:r>
            <w:r>
              <w:rPr>
                <w:rFonts w:hint="default" w:ascii="Times New Roman" w:hAnsi="Times New Roman" w:eastAsia="宋体" w:cs="Times New Roman"/>
                <w:color w:val="auto"/>
                <w:spacing w:val="-36"/>
                <w:sz w:val="21"/>
                <w:szCs w:val="21"/>
                <w:highlight w:val="none"/>
              </w:rPr>
              <w:t xml:space="preserve"> </w:t>
            </w:r>
            <w:r>
              <w:rPr>
                <w:rFonts w:hint="default" w:ascii="Times New Roman" w:hAnsi="Times New Roman" w:eastAsia="宋体" w:cs="Times New Roman"/>
                <w:b/>
                <w:bCs/>
                <w:color w:val="auto"/>
                <w:spacing w:val="6"/>
                <w:sz w:val="21"/>
                <w:szCs w:val="21"/>
                <w:highlight w:val="none"/>
              </w:rPr>
              <w:t>4-</w:t>
            </w:r>
            <w:r>
              <w:rPr>
                <w:rFonts w:hint="default" w:ascii="Times New Roman" w:hAnsi="Times New Roman" w:eastAsia="宋体" w:cs="Times New Roman"/>
                <w:b/>
                <w:bCs/>
                <w:color w:val="auto"/>
                <w:spacing w:val="6"/>
                <w:sz w:val="21"/>
                <w:szCs w:val="21"/>
                <w:highlight w:val="none"/>
                <w:lang w:val="en-US" w:eastAsia="zh-CN"/>
              </w:rPr>
              <w:t>3</w:t>
            </w:r>
            <w:r>
              <w:rPr>
                <w:rFonts w:hint="default" w:ascii="Times New Roman" w:hAnsi="Times New Roman" w:eastAsia="宋体" w:cs="Times New Roman"/>
                <w:b/>
                <w:bCs/>
                <w:color w:val="auto"/>
                <w:spacing w:val="6"/>
                <w:sz w:val="21"/>
                <w:szCs w:val="21"/>
                <w:highlight w:val="none"/>
              </w:rPr>
              <w:t xml:space="preserve">  303砖瓦、石材等建筑材料制造行业系数手册</w:t>
            </w:r>
          </w:p>
          <w:p w14:paraId="2154C306">
            <w:pPr>
              <w:spacing w:line="22" w:lineRule="exact"/>
              <w:rPr>
                <w:rFonts w:hint="default" w:ascii="Times New Roman" w:hAnsi="Times New Roman" w:eastAsia="宋体" w:cs="Times New Roman"/>
                <w:color w:val="auto"/>
                <w:sz w:val="21"/>
                <w:szCs w:val="21"/>
                <w:highlight w:val="none"/>
              </w:rPr>
            </w:pPr>
          </w:p>
          <w:tbl>
            <w:tblPr>
              <w:tblStyle w:val="101"/>
              <w:tblW w:w="5000" w:type="pct"/>
              <w:jc w:val="center"/>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752"/>
              <w:gridCol w:w="1109"/>
              <w:gridCol w:w="1160"/>
              <w:gridCol w:w="1074"/>
              <w:gridCol w:w="894"/>
              <w:gridCol w:w="936"/>
              <w:gridCol w:w="1020"/>
            </w:tblGrid>
            <w:tr w14:paraId="03558949">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6" w:hRule="atLeast"/>
                <w:jc w:val="center"/>
              </w:trPr>
              <w:tc>
                <w:tcPr>
                  <w:tcW w:w="1752" w:type="dxa"/>
                  <w:tcBorders>
                    <w:tl2br w:val="nil"/>
                    <w:tr2bl w:val="nil"/>
                  </w:tcBorders>
                  <w:vAlign w:val="center"/>
                </w:tcPr>
                <w:p w14:paraId="3A3F811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7"/>
                      <w:sz w:val="18"/>
                      <w:szCs w:val="18"/>
                      <w:highlight w:val="none"/>
                    </w:rPr>
                    <w:t>产品名称</w:t>
                  </w:r>
                </w:p>
              </w:tc>
              <w:tc>
                <w:tcPr>
                  <w:tcW w:w="1109" w:type="dxa"/>
                  <w:tcBorders>
                    <w:tl2br w:val="nil"/>
                    <w:tr2bl w:val="nil"/>
                  </w:tcBorders>
                  <w:vAlign w:val="center"/>
                </w:tcPr>
                <w:p w14:paraId="3F26CB5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6"/>
                      <w:sz w:val="18"/>
                      <w:szCs w:val="18"/>
                      <w:highlight w:val="none"/>
                    </w:rPr>
                    <w:t>原料名称</w:t>
                  </w:r>
                </w:p>
              </w:tc>
              <w:tc>
                <w:tcPr>
                  <w:tcW w:w="1160" w:type="dxa"/>
                  <w:tcBorders>
                    <w:tl2br w:val="nil"/>
                    <w:tr2bl w:val="nil"/>
                  </w:tcBorders>
                  <w:vAlign w:val="center"/>
                </w:tcPr>
                <w:p w14:paraId="47DD8EC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工艺</w:t>
                  </w:r>
                </w:p>
              </w:tc>
              <w:tc>
                <w:tcPr>
                  <w:tcW w:w="1074" w:type="dxa"/>
                  <w:tcBorders>
                    <w:tl2br w:val="nil"/>
                    <w:tr2bl w:val="nil"/>
                  </w:tcBorders>
                  <w:vAlign w:val="center"/>
                </w:tcPr>
                <w:p w14:paraId="075472A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7"/>
                      <w:sz w:val="18"/>
                      <w:szCs w:val="18"/>
                      <w:highlight w:val="none"/>
                    </w:rPr>
                    <w:t>规模等级</w:t>
                  </w:r>
                </w:p>
              </w:tc>
              <w:tc>
                <w:tcPr>
                  <w:tcW w:w="894" w:type="dxa"/>
                  <w:tcBorders>
                    <w:tl2br w:val="nil"/>
                    <w:tr2bl w:val="nil"/>
                  </w:tcBorders>
                  <w:vAlign w:val="center"/>
                </w:tcPr>
                <w:p w14:paraId="78F8465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6"/>
                      <w:sz w:val="18"/>
                      <w:szCs w:val="18"/>
                      <w:highlight w:val="none"/>
                    </w:rPr>
                    <w:t>污染物</w:t>
                  </w:r>
                </w:p>
              </w:tc>
              <w:tc>
                <w:tcPr>
                  <w:tcW w:w="936" w:type="dxa"/>
                  <w:tcBorders>
                    <w:tl2br w:val="nil"/>
                    <w:tr2bl w:val="nil"/>
                  </w:tcBorders>
                  <w:vAlign w:val="center"/>
                </w:tcPr>
                <w:p w14:paraId="76F11C4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单位</w:t>
                  </w:r>
                </w:p>
              </w:tc>
              <w:tc>
                <w:tcPr>
                  <w:tcW w:w="1020" w:type="dxa"/>
                  <w:tcBorders>
                    <w:tl2br w:val="nil"/>
                    <w:tr2bl w:val="nil"/>
                  </w:tcBorders>
                  <w:vAlign w:val="center"/>
                </w:tcPr>
                <w:p w14:paraId="631DB88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7"/>
                      <w:sz w:val="18"/>
                      <w:szCs w:val="18"/>
                      <w:highlight w:val="none"/>
                    </w:rPr>
                    <w:t>产污系数</w:t>
                  </w:r>
                </w:p>
              </w:tc>
            </w:tr>
            <w:tr w14:paraId="010898C6">
              <w:tblPrEx>
                <w:tblBorders>
                  <w:top w:val="single" w:color="000000" w:sz="2" w:space="0"/>
                  <w:left w:val="none" w:color="auto" w:sz="0" w:space="0"/>
                  <w:bottom w:val="single" w:color="000000" w:sz="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23" w:hRule="atLeast"/>
                <w:jc w:val="center"/>
              </w:trPr>
              <w:tc>
                <w:tcPr>
                  <w:tcW w:w="1752" w:type="dxa"/>
                  <w:tcBorders>
                    <w:tl2br w:val="nil"/>
                    <w:tr2bl w:val="nil"/>
                  </w:tcBorders>
                  <w:vAlign w:val="center"/>
                </w:tcPr>
                <w:p w14:paraId="678BF0F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8"/>
                      <w:sz w:val="18"/>
                      <w:szCs w:val="18"/>
                      <w:highlight w:val="none"/>
                    </w:rPr>
                    <w:t>烧结类砖瓦及</w:t>
                  </w:r>
                  <w:r>
                    <w:rPr>
                      <w:rFonts w:hint="default" w:ascii="Times New Roman" w:hAnsi="Times New Roman" w:eastAsia="宋体" w:cs="Times New Roman"/>
                      <w:color w:val="auto"/>
                      <w:sz w:val="18"/>
                      <w:szCs w:val="18"/>
                      <w:highlight w:val="none"/>
                    </w:rPr>
                    <w:t>建筑砌块、煤矸石砖、蒸养砖等</w:t>
                  </w:r>
                </w:p>
              </w:tc>
              <w:tc>
                <w:tcPr>
                  <w:tcW w:w="1109" w:type="dxa"/>
                  <w:tcBorders>
                    <w:tl2br w:val="nil"/>
                    <w:tr2bl w:val="nil"/>
                  </w:tcBorders>
                  <w:vAlign w:val="center"/>
                </w:tcPr>
                <w:p w14:paraId="17D2BFB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6"/>
                      <w:sz w:val="18"/>
                      <w:szCs w:val="18"/>
                      <w:highlight w:val="none"/>
                    </w:rPr>
                    <w:t>粘土、页岩、</w:t>
                  </w:r>
                </w:p>
                <w:p w14:paraId="4145EA8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粉煤灰、煤矸</w:t>
                  </w:r>
                </w:p>
                <w:p w14:paraId="7EC8533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石等</w:t>
                  </w:r>
                </w:p>
              </w:tc>
              <w:tc>
                <w:tcPr>
                  <w:tcW w:w="1160" w:type="dxa"/>
                  <w:tcBorders>
                    <w:tl2br w:val="nil"/>
                    <w:tr2bl w:val="nil"/>
                  </w:tcBorders>
                  <w:vAlign w:val="center"/>
                </w:tcPr>
                <w:p w14:paraId="1CF3842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7"/>
                      <w:sz w:val="18"/>
                      <w:szCs w:val="18"/>
                      <w:highlight w:val="none"/>
                    </w:rPr>
                    <w:t>破碎、筛</w:t>
                  </w:r>
                </w:p>
                <w:p w14:paraId="6D9EC25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分、成型干</w:t>
                  </w:r>
                </w:p>
                <w:p w14:paraId="4EF29CF2">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燥等</w:t>
                  </w:r>
                </w:p>
              </w:tc>
              <w:tc>
                <w:tcPr>
                  <w:tcW w:w="1074" w:type="dxa"/>
                  <w:tcBorders>
                    <w:tl2br w:val="nil"/>
                    <w:tr2bl w:val="nil"/>
                  </w:tcBorders>
                  <w:vAlign w:val="center"/>
                </w:tcPr>
                <w:p w14:paraId="0D92BC9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7"/>
                      <w:sz w:val="18"/>
                      <w:szCs w:val="18"/>
                      <w:highlight w:val="none"/>
                    </w:rPr>
                    <w:t>所有规模</w:t>
                  </w:r>
                </w:p>
              </w:tc>
              <w:tc>
                <w:tcPr>
                  <w:tcW w:w="894" w:type="dxa"/>
                  <w:tcBorders>
                    <w:tl2br w:val="nil"/>
                    <w:tr2bl w:val="nil"/>
                  </w:tcBorders>
                  <w:vAlign w:val="center"/>
                </w:tcPr>
                <w:p w14:paraId="35EFC7F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7"/>
                      <w:sz w:val="18"/>
                      <w:szCs w:val="18"/>
                      <w:highlight w:val="none"/>
                    </w:rPr>
                    <w:t>颗粒物</w:t>
                  </w:r>
                </w:p>
              </w:tc>
              <w:tc>
                <w:tcPr>
                  <w:tcW w:w="936" w:type="dxa"/>
                  <w:tcBorders>
                    <w:tl2br w:val="nil"/>
                    <w:tr2bl w:val="nil"/>
                  </w:tcBorders>
                  <w:vAlign w:val="center"/>
                </w:tcPr>
                <w:p w14:paraId="161D031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5"/>
                      <w:sz w:val="18"/>
                      <w:szCs w:val="18"/>
                      <w:highlight w:val="none"/>
                    </w:rPr>
                    <w:t>千克/万</w:t>
                  </w:r>
                  <w:r>
                    <w:rPr>
                      <w:rFonts w:hint="default" w:ascii="Times New Roman" w:hAnsi="Times New Roman" w:eastAsia="宋体" w:cs="Times New Roman"/>
                      <w:color w:val="auto"/>
                      <w:spacing w:val="6"/>
                      <w:sz w:val="18"/>
                      <w:szCs w:val="18"/>
                      <w:highlight w:val="none"/>
                    </w:rPr>
                    <w:t>块标砖</w:t>
                  </w:r>
                </w:p>
              </w:tc>
              <w:tc>
                <w:tcPr>
                  <w:tcW w:w="1020" w:type="dxa"/>
                  <w:tcBorders>
                    <w:tl2br w:val="nil"/>
                    <w:tr2bl w:val="nil"/>
                  </w:tcBorders>
                  <w:vAlign w:val="center"/>
                </w:tcPr>
                <w:p w14:paraId="351025D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1.23</w:t>
                  </w:r>
                </w:p>
              </w:tc>
            </w:tr>
          </w:tbl>
          <w:p w14:paraId="42C119C0">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rPr>
              <w:t>根据建设单位提供资料，</w:t>
            </w:r>
            <w:r>
              <w:rPr>
                <w:rFonts w:hint="default" w:ascii="Times New Roman" w:hAnsi="Times New Roman" w:eastAsia="宋体" w:cs="Times New Roman"/>
                <w:color w:val="auto"/>
                <w:spacing w:val="-3"/>
                <w:sz w:val="21"/>
                <w:szCs w:val="21"/>
                <w:highlight w:val="none"/>
                <w:lang w:val="en-US" w:eastAsia="zh-CN"/>
              </w:rPr>
              <w:t>1m</w:t>
            </w:r>
            <w:r>
              <w:rPr>
                <w:rFonts w:hint="default" w:ascii="Times New Roman" w:hAnsi="Times New Roman" w:eastAsia="宋体" w:cs="Times New Roman"/>
                <w:color w:val="auto"/>
                <w:spacing w:val="-3"/>
                <w:sz w:val="21"/>
                <w:szCs w:val="21"/>
                <w:highlight w:val="none"/>
                <w:vertAlign w:val="superscript"/>
                <w:lang w:val="en-US" w:eastAsia="zh-CN"/>
              </w:rPr>
              <w:t>3</w:t>
            </w:r>
            <w:r>
              <w:rPr>
                <w:rFonts w:hint="default" w:ascii="Times New Roman" w:hAnsi="Times New Roman" w:eastAsia="宋体" w:cs="Times New Roman"/>
                <w:color w:val="auto"/>
                <w:spacing w:val="-3"/>
                <w:sz w:val="21"/>
                <w:szCs w:val="21"/>
                <w:highlight w:val="none"/>
              </w:rPr>
              <w:t>建筑砌块约为</w:t>
            </w:r>
            <w:r>
              <w:rPr>
                <w:rFonts w:hint="default" w:ascii="Times New Roman" w:hAnsi="Times New Roman" w:eastAsia="宋体" w:cs="Times New Roman"/>
                <w:color w:val="auto"/>
                <w:spacing w:val="-48"/>
                <w:sz w:val="21"/>
                <w:szCs w:val="21"/>
                <w:highlight w:val="none"/>
              </w:rPr>
              <w:t xml:space="preserve"> </w:t>
            </w:r>
            <w:r>
              <w:rPr>
                <w:rFonts w:hint="default" w:ascii="Times New Roman" w:hAnsi="Times New Roman" w:eastAsia="宋体" w:cs="Times New Roman"/>
                <w:color w:val="auto"/>
                <w:spacing w:val="-3"/>
                <w:sz w:val="21"/>
                <w:szCs w:val="21"/>
                <w:highlight w:val="none"/>
              </w:rPr>
              <w:t>512</w:t>
            </w:r>
            <w:r>
              <w:rPr>
                <w:rFonts w:hint="default" w:ascii="Times New Roman" w:hAnsi="Times New Roman" w:eastAsia="宋体" w:cs="Times New Roman"/>
                <w:color w:val="auto"/>
                <w:spacing w:val="-4"/>
                <w:sz w:val="21"/>
                <w:szCs w:val="21"/>
                <w:highlight w:val="none"/>
              </w:rPr>
              <w:t>块标砖，则本项目量约</w:t>
            </w:r>
            <w:r>
              <w:rPr>
                <w:rFonts w:hint="default" w:ascii="Times New Roman" w:hAnsi="Times New Roman" w:eastAsia="宋体" w:cs="Times New Roman"/>
                <w:color w:val="auto"/>
                <w:spacing w:val="-1"/>
                <w:sz w:val="21"/>
                <w:szCs w:val="21"/>
                <w:highlight w:val="none"/>
              </w:rPr>
              <w:t>为</w:t>
            </w:r>
            <w:r>
              <w:rPr>
                <w:rFonts w:hint="eastAsia" w:ascii="Times New Roman" w:hAnsi="Times New Roman" w:eastAsia="宋体" w:cs="Times New Roman"/>
                <w:color w:val="auto"/>
                <w:spacing w:val="-1"/>
                <w:sz w:val="21"/>
                <w:szCs w:val="21"/>
                <w:highlight w:val="none"/>
                <w:lang w:val="en-US" w:eastAsia="zh-CN"/>
              </w:rPr>
              <w:t>15360</w:t>
            </w:r>
            <w:r>
              <w:rPr>
                <w:rFonts w:hint="default" w:ascii="Times New Roman" w:hAnsi="Times New Roman" w:eastAsia="宋体" w:cs="Times New Roman"/>
                <w:color w:val="auto"/>
                <w:spacing w:val="-1"/>
                <w:sz w:val="21"/>
                <w:szCs w:val="21"/>
                <w:highlight w:val="none"/>
              </w:rPr>
              <w:t>万块，则本项目破碎粉尘量约</w:t>
            </w:r>
            <w:r>
              <w:rPr>
                <w:rFonts w:hint="default" w:ascii="Times New Roman" w:hAnsi="Times New Roman" w:eastAsia="宋体" w:cs="Times New Roman"/>
                <w:color w:val="auto"/>
                <w:spacing w:val="-1"/>
                <w:sz w:val="21"/>
                <w:szCs w:val="21"/>
                <w:highlight w:val="none"/>
                <w:lang w:val="en-US" w:eastAsia="zh-CN"/>
              </w:rPr>
              <w:t>为</w:t>
            </w:r>
            <w:r>
              <w:rPr>
                <w:rFonts w:hint="eastAsia" w:ascii="Times New Roman" w:hAnsi="Times New Roman" w:eastAsia="宋体" w:cs="Times New Roman"/>
                <w:color w:val="auto"/>
                <w:spacing w:val="-1"/>
                <w:sz w:val="21"/>
                <w:szCs w:val="21"/>
                <w:highlight w:val="none"/>
                <w:lang w:val="en-US" w:eastAsia="zh-CN"/>
              </w:rPr>
              <w:t>18.895</w:t>
            </w:r>
            <w:r>
              <w:rPr>
                <w:rFonts w:hint="default" w:ascii="Times New Roman" w:hAnsi="Times New Roman" w:eastAsia="宋体" w:cs="Times New Roman"/>
                <w:color w:val="auto"/>
                <w:spacing w:val="-2"/>
                <w:sz w:val="21"/>
                <w:szCs w:val="21"/>
                <w:highlight w:val="none"/>
              </w:rPr>
              <w:t>t/a。项目</w:t>
            </w:r>
            <w:r>
              <w:rPr>
                <w:rFonts w:hint="eastAsia" w:ascii="Times New Roman" w:hAnsi="Times New Roman" w:eastAsia="宋体" w:cs="Times New Roman"/>
                <w:color w:val="auto"/>
                <w:spacing w:val="-2"/>
                <w:sz w:val="21"/>
                <w:szCs w:val="21"/>
                <w:highlight w:val="none"/>
                <w:lang w:val="en-US" w:eastAsia="zh-CN"/>
              </w:rPr>
              <w:t>在破碎上方设置1个集气罩</w:t>
            </w:r>
            <w:r>
              <w:rPr>
                <w:rFonts w:hint="default" w:ascii="Times New Roman" w:hAnsi="Times New Roman" w:eastAsia="宋体" w:cs="Times New Roman"/>
                <w:color w:val="auto"/>
                <w:spacing w:val="-2"/>
                <w:sz w:val="21"/>
                <w:szCs w:val="21"/>
                <w:highlight w:val="none"/>
              </w:rPr>
              <w:t>（收集效率</w:t>
            </w:r>
            <w:r>
              <w:rPr>
                <w:rFonts w:hint="default" w:ascii="Times New Roman" w:hAnsi="Times New Roman" w:eastAsia="宋体" w:cs="Times New Roman"/>
                <w:color w:val="auto"/>
                <w:spacing w:val="-50"/>
                <w:sz w:val="21"/>
                <w:szCs w:val="21"/>
                <w:highlight w:val="none"/>
              </w:rPr>
              <w:t xml:space="preserve"> </w:t>
            </w:r>
            <w:r>
              <w:rPr>
                <w:rFonts w:hint="default" w:ascii="Times New Roman" w:hAnsi="Times New Roman" w:eastAsia="宋体" w:cs="Times New Roman"/>
                <w:color w:val="auto"/>
                <w:spacing w:val="-2"/>
                <w:sz w:val="21"/>
                <w:szCs w:val="21"/>
                <w:highlight w:val="none"/>
              </w:rPr>
              <w:t>90%</w:t>
            </w:r>
            <w:r>
              <w:rPr>
                <w:rFonts w:hint="default" w:ascii="Times New Roman" w:hAnsi="Times New Roman" w:eastAsia="宋体" w:cs="Times New Roman"/>
                <w:color w:val="auto"/>
                <w:spacing w:val="-32"/>
                <w:sz w:val="21"/>
                <w:szCs w:val="21"/>
                <w:highlight w:val="none"/>
              </w:rPr>
              <w:t xml:space="preserve"> </w:t>
            </w:r>
            <w:r>
              <w:rPr>
                <w:rFonts w:hint="default" w:ascii="Times New Roman" w:hAnsi="Times New Roman" w:eastAsia="宋体" w:cs="Times New Roman"/>
                <w:color w:val="auto"/>
                <w:spacing w:val="-2"/>
                <w:sz w:val="21"/>
                <w:szCs w:val="21"/>
                <w:highlight w:val="none"/>
              </w:rPr>
              <w:t>，风量</w:t>
            </w:r>
            <w:r>
              <w:rPr>
                <w:rFonts w:hint="default" w:ascii="Times New Roman" w:hAnsi="Times New Roman" w:eastAsia="宋体" w:cs="Times New Roman"/>
                <w:color w:val="auto"/>
                <w:spacing w:val="-3"/>
                <w:sz w:val="21"/>
                <w:szCs w:val="21"/>
                <w:highlight w:val="none"/>
              </w:rPr>
              <w:t>为</w:t>
            </w:r>
            <w:r>
              <w:rPr>
                <w:rFonts w:hint="default" w:ascii="Times New Roman" w:hAnsi="Times New Roman" w:eastAsia="宋体" w:cs="Times New Roman"/>
                <w:color w:val="auto"/>
                <w:spacing w:val="-55"/>
                <w:sz w:val="21"/>
                <w:szCs w:val="21"/>
                <w:highlight w:val="none"/>
              </w:rPr>
              <w:t xml:space="preserve"> </w:t>
            </w:r>
            <w:r>
              <w:rPr>
                <w:rFonts w:hint="default" w:ascii="Times New Roman" w:hAnsi="Times New Roman" w:eastAsia="宋体" w:cs="Times New Roman"/>
                <w:color w:val="auto"/>
                <w:spacing w:val="-3"/>
                <w:sz w:val="21"/>
                <w:szCs w:val="21"/>
                <w:highlight w:val="none"/>
              </w:rPr>
              <w:t>2000m</w:t>
            </w:r>
            <w:r>
              <w:rPr>
                <w:rFonts w:hint="default" w:ascii="Times New Roman" w:hAnsi="Times New Roman" w:eastAsia="宋体" w:cs="Times New Roman"/>
                <w:color w:val="auto"/>
                <w:spacing w:val="-3"/>
                <w:sz w:val="21"/>
                <w:szCs w:val="21"/>
                <w:highlight w:val="none"/>
                <w:vertAlign w:val="superscript"/>
                <w:lang w:val="en-US" w:eastAsia="zh-CN"/>
              </w:rPr>
              <w:t>3</w:t>
            </w:r>
            <w:r>
              <w:rPr>
                <w:rFonts w:hint="default" w:ascii="Times New Roman" w:hAnsi="Times New Roman" w:eastAsia="宋体" w:cs="Times New Roman"/>
                <w:color w:val="auto"/>
                <w:spacing w:val="-3"/>
                <w:sz w:val="21"/>
                <w:szCs w:val="21"/>
                <w:highlight w:val="none"/>
              </w:rPr>
              <w:t>/h）</w:t>
            </w:r>
            <w:r>
              <w:rPr>
                <w:rFonts w:hint="eastAsia" w:ascii="Times New Roman" w:hAnsi="Times New Roman" w:eastAsia="宋体" w:cs="Times New Roman"/>
                <w:color w:val="auto"/>
                <w:spacing w:val="-2"/>
                <w:sz w:val="21"/>
                <w:szCs w:val="21"/>
                <w:highlight w:val="none"/>
                <w:lang w:val="en-US" w:eastAsia="zh-CN"/>
              </w:rPr>
              <w:t>，收集的粉尘通过同一台布袋除尘器</w:t>
            </w:r>
            <w:r>
              <w:rPr>
                <w:rFonts w:hint="default" w:ascii="Times New Roman" w:hAnsi="Times New Roman" w:eastAsia="宋体" w:cs="Times New Roman"/>
                <w:color w:val="auto"/>
                <w:spacing w:val="-2"/>
                <w:sz w:val="21"/>
                <w:szCs w:val="21"/>
                <w:highlight w:val="none"/>
              </w:rPr>
              <w:t>（处理效率</w:t>
            </w:r>
            <w:r>
              <w:rPr>
                <w:rFonts w:hint="default" w:ascii="Times New Roman" w:hAnsi="Times New Roman" w:eastAsia="宋体" w:cs="Times New Roman"/>
                <w:color w:val="auto"/>
                <w:spacing w:val="-38"/>
                <w:sz w:val="21"/>
                <w:szCs w:val="21"/>
                <w:highlight w:val="none"/>
              </w:rPr>
              <w:t xml:space="preserve"> </w:t>
            </w:r>
            <w:r>
              <w:rPr>
                <w:rFonts w:hint="default" w:ascii="Times New Roman" w:hAnsi="Times New Roman" w:eastAsia="宋体" w:cs="Times New Roman"/>
                <w:color w:val="auto"/>
                <w:spacing w:val="-2"/>
                <w:sz w:val="21"/>
                <w:szCs w:val="21"/>
                <w:highlight w:val="none"/>
              </w:rPr>
              <w:t>99%）</w:t>
            </w:r>
            <w:r>
              <w:rPr>
                <w:rFonts w:hint="eastAsia" w:ascii="Times New Roman" w:hAnsi="Times New Roman" w:eastAsia="宋体" w:cs="Times New Roman"/>
                <w:color w:val="auto"/>
                <w:spacing w:val="-2"/>
                <w:sz w:val="21"/>
                <w:szCs w:val="21"/>
                <w:highlight w:val="none"/>
                <w:lang w:val="en-US" w:eastAsia="zh-CN"/>
              </w:rPr>
              <w:t>处理后经1</w:t>
            </w:r>
            <w:r>
              <w:rPr>
                <w:rFonts w:hint="eastAsia" w:ascii="Times New Roman" w:hAnsi="Times New Roman" w:cs="Times New Roman"/>
                <w:color w:val="auto"/>
                <w:spacing w:val="-2"/>
                <w:sz w:val="21"/>
                <w:szCs w:val="21"/>
                <w:highlight w:val="none"/>
                <w:lang w:val="en-US" w:eastAsia="zh-CN"/>
              </w:rPr>
              <w:t>7</w:t>
            </w:r>
            <w:r>
              <w:rPr>
                <w:rFonts w:hint="eastAsia" w:ascii="Times New Roman" w:hAnsi="Times New Roman" w:eastAsia="宋体" w:cs="Times New Roman"/>
                <w:color w:val="auto"/>
                <w:spacing w:val="-2"/>
                <w:sz w:val="21"/>
                <w:szCs w:val="21"/>
                <w:highlight w:val="none"/>
                <w:lang w:val="en-US" w:eastAsia="zh-CN"/>
              </w:rPr>
              <w:t>m高排气筒排放</w:t>
            </w:r>
            <w:r>
              <w:rPr>
                <w:rFonts w:hint="default" w:ascii="Times New Roman" w:hAnsi="Times New Roman" w:eastAsia="宋体" w:cs="Times New Roman"/>
                <w:color w:val="auto"/>
                <w:spacing w:val="-2"/>
                <w:sz w:val="21"/>
                <w:szCs w:val="21"/>
                <w:highlight w:val="none"/>
              </w:rPr>
              <w:t>（DA003）。</w:t>
            </w:r>
            <w:r>
              <w:rPr>
                <w:rFonts w:hint="default" w:ascii="Times New Roman" w:hAnsi="Times New Roman" w:eastAsia="宋体" w:cs="Times New Roman"/>
                <w:color w:val="auto"/>
                <w:spacing w:val="-2"/>
                <w:sz w:val="21"/>
                <w:szCs w:val="21"/>
                <w:highlight w:val="none"/>
                <w:lang w:val="en-US" w:eastAsia="zh-CN"/>
              </w:rPr>
              <w:t>有组织排放量为0.</w:t>
            </w:r>
            <w:r>
              <w:rPr>
                <w:rFonts w:hint="eastAsia" w:ascii="Times New Roman" w:hAnsi="Times New Roman" w:eastAsia="宋体" w:cs="Times New Roman"/>
                <w:color w:val="auto"/>
                <w:spacing w:val="-2"/>
                <w:sz w:val="21"/>
                <w:szCs w:val="21"/>
                <w:highlight w:val="none"/>
                <w:lang w:val="en-US" w:eastAsia="zh-CN"/>
              </w:rPr>
              <w:t>17</w:t>
            </w:r>
            <w:r>
              <w:rPr>
                <w:rFonts w:hint="default" w:ascii="Times New Roman" w:hAnsi="Times New Roman" w:eastAsia="宋体" w:cs="Times New Roman"/>
                <w:color w:val="auto"/>
                <w:spacing w:val="-2"/>
                <w:sz w:val="21"/>
                <w:szCs w:val="21"/>
                <w:highlight w:val="none"/>
                <w:lang w:val="en-US" w:eastAsia="zh-CN"/>
              </w:rPr>
              <w:t>t/a，排放速率为0.0</w:t>
            </w:r>
            <w:r>
              <w:rPr>
                <w:rFonts w:hint="eastAsia" w:ascii="Times New Roman" w:hAnsi="Times New Roman" w:eastAsia="宋体" w:cs="Times New Roman"/>
                <w:color w:val="auto"/>
                <w:spacing w:val="-2"/>
                <w:sz w:val="21"/>
                <w:szCs w:val="21"/>
                <w:highlight w:val="none"/>
                <w:lang w:val="en-US" w:eastAsia="zh-CN"/>
              </w:rPr>
              <w:t>35</w:t>
            </w:r>
            <w:r>
              <w:rPr>
                <w:rFonts w:hint="default" w:ascii="Times New Roman" w:hAnsi="Times New Roman" w:eastAsia="宋体" w:cs="Times New Roman"/>
                <w:color w:val="auto"/>
                <w:spacing w:val="-2"/>
                <w:sz w:val="21"/>
                <w:szCs w:val="21"/>
                <w:highlight w:val="none"/>
                <w:lang w:val="en-US" w:eastAsia="zh-CN"/>
              </w:rPr>
              <w:t>kg/h，排放浓度为</w:t>
            </w:r>
            <w:r>
              <w:rPr>
                <w:rFonts w:hint="eastAsia" w:ascii="Times New Roman" w:hAnsi="Times New Roman" w:eastAsia="宋体" w:cs="Times New Roman"/>
                <w:color w:val="auto"/>
                <w:spacing w:val="-2"/>
                <w:sz w:val="21"/>
                <w:szCs w:val="21"/>
                <w:highlight w:val="none"/>
                <w:lang w:val="en-US" w:eastAsia="zh-CN"/>
              </w:rPr>
              <w:t>17.7</w:t>
            </w:r>
            <w:r>
              <w:rPr>
                <w:rFonts w:hint="default" w:ascii="Times New Roman" w:hAnsi="Times New Roman" w:eastAsia="宋体" w:cs="Times New Roman"/>
                <w:color w:val="auto"/>
                <w:spacing w:val="-2"/>
                <w:sz w:val="21"/>
                <w:szCs w:val="21"/>
                <w:highlight w:val="none"/>
                <w:lang w:val="en-US" w:eastAsia="zh-CN"/>
              </w:rPr>
              <w:t>mg/m</w:t>
            </w:r>
            <w:r>
              <w:rPr>
                <w:rFonts w:hint="default" w:ascii="Times New Roman" w:hAnsi="Times New Roman" w:eastAsia="宋体" w:cs="Times New Roman"/>
                <w:color w:val="auto"/>
                <w:spacing w:val="-2"/>
                <w:sz w:val="21"/>
                <w:szCs w:val="21"/>
                <w:highlight w:val="none"/>
                <w:vertAlign w:val="superscript"/>
                <w:lang w:val="en-US" w:eastAsia="zh-CN"/>
              </w:rPr>
              <w:t>3</w:t>
            </w:r>
            <w:r>
              <w:rPr>
                <w:rFonts w:hint="default" w:ascii="Times New Roman" w:hAnsi="Times New Roman" w:eastAsia="宋体" w:cs="Times New Roman"/>
                <w:color w:val="auto"/>
                <w:spacing w:val="-2"/>
                <w:sz w:val="21"/>
                <w:szCs w:val="21"/>
                <w:highlight w:val="none"/>
                <w:lang w:val="en-US" w:eastAsia="zh-CN"/>
              </w:rPr>
              <w:t>。无组织排放量为</w:t>
            </w:r>
            <w:r>
              <w:rPr>
                <w:rFonts w:hint="eastAsia" w:ascii="Times New Roman" w:hAnsi="Times New Roman" w:eastAsia="宋体" w:cs="Times New Roman"/>
                <w:color w:val="auto"/>
                <w:spacing w:val="-2"/>
                <w:sz w:val="21"/>
                <w:szCs w:val="21"/>
                <w:highlight w:val="none"/>
                <w:lang w:val="en-US" w:eastAsia="zh-CN"/>
              </w:rPr>
              <w:t>1.89</w:t>
            </w:r>
            <w:r>
              <w:rPr>
                <w:rFonts w:hint="default" w:ascii="Times New Roman" w:hAnsi="Times New Roman" w:eastAsia="宋体" w:cs="Times New Roman"/>
                <w:color w:val="auto"/>
                <w:spacing w:val="-2"/>
                <w:sz w:val="21"/>
                <w:szCs w:val="21"/>
                <w:highlight w:val="none"/>
                <w:lang w:val="en-US" w:eastAsia="zh-CN"/>
              </w:rPr>
              <w:t>t/a，排放速率为0.</w:t>
            </w:r>
            <w:r>
              <w:rPr>
                <w:rFonts w:hint="eastAsia" w:ascii="Times New Roman" w:hAnsi="Times New Roman" w:eastAsia="宋体" w:cs="Times New Roman"/>
                <w:color w:val="auto"/>
                <w:spacing w:val="-2"/>
                <w:sz w:val="21"/>
                <w:szCs w:val="21"/>
                <w:highlight w:val="none"/>
                <w:lang w:val="en-US" w:eastAsia="zh-CN"/>
              </w:rPr>
              <w:t>39</w:t>
            </w:r>
            <w:r>
              <w:rPr>
                <w:rFonts w:hint="default" w:ascii="Times New Roman" w:hAnsi="Times New Roman" w:eastAsia="宋体" w:cs="Times New Roman"/>
                <w:color w:val="auto"/>
                <w:spacing w:val="-2"/>
                <w:sz w:val="21"/>
                <w:szCs w:val="21"/>
                <w:highlight w:val="none"/>
                <w:lang w:val="en-US" w:eastAsia="zh-CN"/>
              </w:rPr>
              <w:t>kg/h。</w:t>
            </w:r>
          </w:p>
          <w:p w14:paraId="5B776FBC">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eastAsia="宋体" w:cs="Times New Roman"/>
                <w:color w:val="auto"/>
                <w:spacing w:val="-3"/>
                <w:sz w:val="21"/>
                <w:szCs w:val="21"/>
                <w:highlight w:val="none"/>
                <w:lang w:val="en-US" w:eastAsia="zh-CN"/>
              </w:rPr>
            </w:pPr>
            <w:r>
              <w:rPr>
                <w:rFonts w:hint="eastAsia" w:ascii="Times New Roman" w:hAnsi="Times New Roman" w:cs="Times New Roman"/>
                <w:color w:val="auto"/>
                <w:spacing w:val="-3"/>
                <w:sz w:val="21"/>
                <w:szCs w:val="21"/>
                <w:highlight w:val="none"/>
                <w:lang w:val="en-US" w:eastAsia="zh-CN"/>
              </w:rPr>
              <w:t>板材生产过程产生的破碎粉尘参照表4-3执行。</w:t>
            </w:r>
            <w:r>
              <w:rPr>
                <w:rFonts w:hint="default" w:ascii="Times New Roman" w:hAnsi="Times New Roman" w:eastAsia="宋体" w:cs="Times New Roman"/>
                <w:color w:val="auto"/>
                <w:spacing w:val="-3"/>
                <w:sz w:val="21"/>
                <w:szCs w:val="21"/>
                <w:highlight w:val="none"/>
              </w:rPr>
              <w:t>根据建设单位提供资料，</w:t>
            </w:r>
            <w:r>
              <w:rPr>
                <w:rFonts w:hint="default" w:ascii="Times New Roman" w:hAnsi="Times New Roman" w:eastAsia="宋体" w:cs="Times New Roman"/>
                <w:color w:val="auto"/>
                <w:spacing w:val="-3"/>
                <w:sz w:val="21"/>
                <w:szCs w:val="21"/>
                <w:highlight w:val="none"/>
                <w:lang w:val="en-US" w:eastAsia="zh-CN"/>
              </w:rPr>
              <w:t>1m</w:t>
            </w:r>
            <w:r>
              <w:rPr>
                <w:rFonts w:hint="default" w:ascii="Times New Roman" w:hAnsi="Times New Roman" w:eastAsia="宋体" w:cs="Times New Roman"/>
                <w:color w:val="auto"/>
                <w:spacing w:val="-3"/>
                <w:sz w:val="21"/>
                <w:szCs w:val="21"/>
                <w:highlight w:val="none"/>
                <w:vertAlign w:val="superscript"/>
                <w:lang w:val="en-US" w:eastAsia="zh-CN"/>
              </w:rPr>
              <w:t>3</w:t>
            </w:r>
            <w:r>
              <w:rPr>
                <w:rFonts w:hint="default" w:ascii="Times New Roman" w:hAnsi="Times New Roman" w:eastAsia="宋体" w:cs="Times New Roman"/>
                <w:color w:val="auto"/>
                <w:spacing w:val="-3"/>
                <w:sz w:val="21"/>
                <w:szCs w:val="21"/>
                <w:highlight w:val="none"/>
              </w:rPr>
              <w:t>建筑</w:t>
            </w:r>
            <w:r>
              <w:rPr>
                <w:rFonts w:hint="eastAsia" w:ascii="Times New Roman" w:hAnsi="Times New Roman" w:eastAsia="宋体" w:cs="Times New Roman"/>
                <w:color w:val="auto"/>
                <w:spacing w:val="-3"/>
                <w:sz w:val="21"/>
                <w:szCs w:val="21"/>
                <w:highlight w:val="none"/>
                <w:lang w:val="en-US" w:eastAsia="zh-CN"/>
              </w:rPr>
              <w:t>板材</w:t>
            </w:r>
            <w:r>
              <w:rPr>
                <w:rFonts w:hint="default" w:ascii="Times New Roman" w:hAnsi="Times New Roman" w:eastAsia="宋体" w:cs="Times New Roman"/>
                <w:color w:val="auto"/>
                <w:spacing w:val="-3"/>
                <w:sz w:val="21"/>
                <w:szCs w:val="21"/>
                <w:highlight w:val="none"/>
              </w:rPr>
              <w:t>约为</w:t>
            </w:r>
            <w:r>
              <w:rPr>
                <w:rFonts w:hint="default" w:ascii="Times New Roman" w:hAnsi="Times New Roman" w:eastAsia="宋体" w:cs="Times New Roman"/>
                <w:color w:val="auto"/>
                <w:spacing w:val="-48"/>
                <w:sz w:val="21"/>
                <w:szCs w:val="21"/>
                <w:highlight w:val="none"/>
              </w:rPr>
              <w:t xml:space="preserve"> </w:t>
            </w:r>
            <w:r>
              <w:rPr>
                <w:rFonts w:hint="default" w:ascii="Times New Roman" w:hAnsi="Times New Roman" w:eastAsia="宋体" w:cs="Times New Roman"/>
                <w:color w:val="auto"/>
                <w:spacing w:val="-3"/>
                <w:sz w:val="21"/>
                <w:szCs w:val="21"/>
                <w:highlight w:val="none"/>
              </w:rPr>
              <w:t>512</w:t>
            </w:r>
            <w:r>
              <w:rPr>
                <w:rFonts w:hint="default" w:ascii="Times New Roman" w:hAnsi="Times New Roman" w:eastAsia="宋体" w:cs="Times New Roman"/>
                <w:color w:val="auto"/>
                <w:spacing w:val="-4"/>
                <w:sz w:val="21"/>
                <w:szCs w:val="21"/>
                <w:highlight w:val="none"/>
              </w:rPr>
              <w:t>块标砖，则本项目量约</w:t>
            </w:r>
            <w:r>
              <w:rPr>
                <w:rFonts w:hint="default" w:ascii="Times New Roman" w:hAnsi="Times New Roman" w:eastAsia="宋体" w:cs="Times New Roman"/>
                <w:color w:val="auto"/>
                <w:spacing w:val="-1"/>
                <w:sz w:val="21"/>
                <w:szCs w:val="21"/>
                <w:highlight w:val="none"/>
              </w:rPr>
              <w:t>为</w:t>
            </w:r>
            <w:r>
              <w:rPr>
                <w:rFonts w:hint="eastAsia" w:ascii="Times New Roman" w:hAnsi="Times New Roman" w:eastAsia="宋体" w:cs="Times New Roman"/>
                <w:color w:val="auto"/>
                <w:spacing w:val="-1"/>
                <w:sz w:val="21"/>
                <w:szCs w:val="21"/>
                <w:highlight w:val="none"/>
                <w:lang w:val="en-US" w:eastAsia="zh-CN"/>
              </w:rPr>
              <w:t>15360</w:t>
            </w:r>
            <w:r>
              <w:rPr>
                <w:rFonts w:hint="default" w:ascii="Times New Roman" w:hAnsi="Times New Roman" w:eastAsia="宋体" w:cs="Times New Roman"/>
                <w:color w:val="auto"/>
                <w:spacing w:val="-1"/>
                <w:sz w:val="21"/>
                <w:szCs w:val="21"/>
                <w:highlight w:val="none"/>
              </w:rPr>
              <w:t>万块，则本项目破碎粉尘量约</w:t>
            </w:r>
            <w:r>
              <w:rPr>
                <w:rFonts w:hint="default" w:ascii="Times New Roman" w:hAnsi="Times New Roman" w:eastAsia="宋体" w:cs="Times New Roman"/>
                <w:color w:val="auto"/>
                <w:spacing w:val="-1"/>
                <w:sz w:val="21"/>
                <w:szCs w:val="21"/>
                <w:highlight w:val="none"/>
                <w:lang w:val="en-US" w:eastAsia="zh-CN"/>
              </w:rPr>
              <w:t>为</w:t>
            </w:r>
            <w:r>
              <w:rPr>
                <w:rFonts w:hint="eastAsia" w:ascii="Times New Roman" w:hAnsi="Times New Roman" w:eastAsia="宋体" w:cs="Times New Roman"/>
                <w:color w:val="auto"/>
                <w:spacing w:val="-1"/>
                <w:sz w:val="21"/>
                <w:szCs w:val="21"/>
                <w:highlight w:val="none"/>
                <w:lang w:val="en-US" w:eastAsia="zh-CN"/>
              </w:rPr>
              <w:t>18.895</w:t>
            </w:r>
            <w:r>
              <w:rPr>
                <w:rFonts w:hint="default" w:ascii="Times New Roman" w:hAnsi="Times New Roman" w:eastAsia="宋体" w:cs="Times New Roman"/>
                <w:color w:val="auto"/>
                <w:spacing w:val="-2"/>
                <w:sz w:val="21"/>
                <w:szCs w:val="21"/>
                <w:highlight w:val="none"/>
              </w:rPr>
              <w:t>t/a。项目</w:t>
            </w:r>
            <w:r>
              <w:rPr>
                <w:rFonts w:hint="eastAsia" w:ascii="Times New Roman" w:hAnsi="Times New Roman" w:eastAsia="宋体" w:cs="Times New Roman"/>
                <w:color w:val="auto"/>
                <w:spacing w:val="-2"/>
                <w:sz w:val="21"/>
                <w:szCs w:val="21"/>
                <w:highlight w:val="none"/>
                <w:lang w:val="en-US" w:eastAsia="zh-CN"/>
              </w:rPr>
              <w:t>在破碎上方设置1个集气罩</w:t>
            </w:r>
            <w:r>
              <w:rPr>
                <w:rFonts w:hint="default" w:ascii="Times New Roman" w:hAnsi="Times New Roman" w:eastAsia="宋体" w:cs="Times New Roman"/>
                <w:color w:val="auto"/>
                <w:spacing w:val="-2"/>
                <w:sz w:val="21"/>
                <w:szCs w:val="21"/>
                <w:highlight w:val="none"/>
              </w:rPr>
              <w:t>（收集效率</w:t>
            </w:r>
            <w:r>
              <w:rPr>
                <w:rFonts w:hint="default" w:ascii="Times New Roman" w:hAnsi="Times New Roman" w:eastAsia="宋体" w:cs="Times New Roman"/>
                <w:color w:val="auto"/>
                <w:spacing w:val="-50"/>
                <w:sz w:val="21"/>
                <w:szCs w:val="21"/>
                <w:highlight w:val="none"/>
              </w:rPr>
              <w:t xml:space="preserve"> </w:t>
            </w:r>
            <w:r>
              <w:rPr>
                <w:rFonts w:hint="default" w:ascii="Times New Roman" w:hAnsi="Times New Roman" w:eastAsia="宋体" w:cs="Times New Roman"/>
                <w:color w:val="auto"/>
                <w:spacing w:val="-2"/>
                <w:sz w:val="21"/>
                <w:szCs w:val="21"/>
                <w:highlight w:val="none"/>
              </w:rPr>
              <w:t>90%</w:t>
            </w:r>
            <w:r>
              <w:rPr>
                <w:rFonts w:hint="default" w:ascii="Times New Roman" w:hAnsi="Times New Roman" w:eastAsia="宋体" w:cs="Times New Roman"/>
                <w:color w:val="auto"/>
                <w:spacing w:val="-32"/>
                <w:sz w:val="21"/>
                <w:szCs w:val="21"/>
                <w:highlight w:val="none"/>
              </w:rPr>
              <w:t xml:space="preserve"> </w:t>
            </w:r>
            <w:r>
              <w:rPr>
                <w:rFonts w:hint="default" w:ascii="Times New Roman" w:hAnsi="Times New Roman" w:eastAsia="宋体" w:cs="Times New Roman"/>
                <w:color w:val="auto"/>
                <w:spacing w:val="-2"/>
                <w:sz w:val="21"/>
                <w:szCs w:val="21"/>
                <w:highlight w:val="none"/>
              </w:rPr>
              <w:t>，风量</w:t>
            </w:r>
            <w:r>
              <w:rPr>
                <w:rFonts w:hint="default" w:ascii="Times New Roman" w:hAnsi="Times New Roman" w:eastAsia="宋体" w:cs="Times New Roman"/>
                <w:color w:val="auto"/>
                <w:spacing w:val="-3"/>
                <w:sz w:val="21"/>
                <w:szCs w:val="21"/>
                <w:highlight w:val="none"/>
              </w:rPr>
              <w:t>为</w:t>
            </w:r>
            <w:r>
              <w:rPr>
                <w:rFonts w:hint="default" w:ascii="Times New Roman" w:hAnsi="Times New Roman" w:eastAsia="宋体" w:cs="Times New Roman"/>
                <w:color w:val="auto"/>
                <w:spacing w:val="-55"/>
                <w:sz w:val="21"/>
                <w:szCs w:val="21"/>
                <w:highlight w:val="none"/>
              </w:rPr>
              <w:t xml:space="preserve"> </w:t>
            </w:r>
            <w:r>
              <w:rPr>
                <w:rFonts w:hint="default" w:ascii="Times New Roman" w:hAnsi="Times New Roman" w:eastAsia="宋体" w:cs="Times New Roman"/>
                <w:color w:val="auto"/>
                <w:spacing w:val="-3"/>
                <w:sz w:val="21"/>
                <w:szCs w:val="21"/>
                <w:highlight w:val="none"/>
              </w:rPr>
              <w:t>2000m</w:t>
            </w:r>
            <w:r>
              <w:rPr>
                <w:rFonts w:hint="default" w:ascii="Times New Roman" w:hAnsi="Times New Roman" w:eastAsia="宋体" w:cs="Times New Roman"/>
                <w:color w:val="auto"/>
                <w:spacing w:val="-3"/>
                <w:sz w:val="21"/>
                <w:szCs w:val="21"/>
                <w:highlight w:val="none"/>
                <w:vertAlign w:val="superscript"/>
                <w:lang w:val="en-US" w:eastAsia="zh-CN"/>
              </w:rPr>
              <w:t>3</w:t>
            </w:r>
            <w:r>
              <w:rPr>
                <w:rFonts w:hint="default" w:ascii="Times New Roman" w:hAnsi="Times New Roman" w:eastAsia="宋体" w:cs="Times New Roman"/>
                <w:color w:val="auto"/>
                <w:spacing w:val="-3"/>
                <w:sz w:val="21"/>
                <w:szCs w:val="21"/>
                <w:highlight w:val="none"/>
              </w:rPr>
              <w:t>/h）</w:t>
            </w:r>
            <w:r>
              <w:rPr>
                <w:rFonts w:hint="eastAsia" w:ascii="Times New Roman" w:hAnsi="Times New Roman" w:eastAsia="宋体" w:cs="Times New Roman"/>
                <w:color w:val="auto"/>
                <w:spacing w:val="-2"/>
                <w:sz w:val="21"/>
                <w:szCs w:val="21"/>
                <w:highlight w:val="none"/>
                <w:lang w:val="en-US" w:eastAsia="zh-CN"/>
              </w:rPr>
              <w:t>，收集的粉尘通过同一台布袋除尘器</w:t>
            </w:r>
            <w:r>
              <w:rPr>
                <w:rFonts w:hint="default" w:ascii="Times New Roman" w:hAnsi="Times New Roman" w:eastAsia="宋体" w:cs="Times New Roman"/>
                <w:color w:val="auto"/>
                <w:spacing w:val="-2"/>
                <w:sz w:val="21"/>
                <w:szCs w:val="21"/>
                <w:highlight w:val="none"/>
              </w:rPr>
              <w:t>（处理效率</w:t>
            </w:r>
            <w:r>
              <w:rPr>
                <w:rFonts w:hint="default" w:ascii="Times New Roman" w:hAnsi="Times New Roman" w:eastAsia="宋体" w:cs="Times New Roman"/>
                <w:color w:val="auto"/>
                <w:spacing w:val="-38"/>
                <w:sz w:val="21"/>
                <w:szCs w:val="21"/>
                <w:highlight w:val="none"/>
              </w:rPr>
              <w:t xml:space="preserve"> </w:t>
            </w:r>
            <w:r>
              <w:rPr>
                <w:rFonts w:hint="default" w:ascii="Times New Roman" w:hAnsi="Times New Roman" w:eastAsia="宋体" w:cs="Times New Roman"/>
                <w:color w:val="auto"/>
                <w:spacing w:val="-2"/>
                <w:sz w:val="21"/>
                <w:szCs w:val="21"/>
                <w:highlight w:val="none"/>
              </w:rPr>
              <w:t>99%）</w:t>
            </w:r>
            <w:r>
              <w:rPr>
                <w:rFonts w:hint="eastAsia" w:ascii="Times New Roman" w:hAnsi="Times New Roman" w:eastAsia="宋体" w:cs="Times New Roman"/>
                <w:color w:val="auto"/>
                <w:spacing w:val="-2"/>
                <w:sz w:val="21"/>
                <w:szCs w:val="21"/>
                <w:highlight w:val="none"/>
                <w:lang w:val="en-US" w:eastAsia="zh-CN"/>
              </w:rPr>
              <w:t>处理后经1</w:t>
            </w:r>
            <w:r>
              <w:rPr>
                <w:rFonts w:hint="eastAsia" w:ascii="Times New Roman" w:hAnsi="Times New Roman" w:cs="Times New Roman"/>
                <w:color w:val="auto"/>
                <w:spacing w:val="-2"/>
                <w:sz w:val="21"/>
                <w:szCs w:val="21"/>
                <w:highlight w:val="none"/>
                <w:lang w:val="en-US" w:eastAsia="zh-CN"/>
              </w:rPr>
              <w:t>7</w:t>
            </w:r>
            <w:r>
              <w:rPr>
                <w:rFonts w:hint="eastAsia" w:ascii="Times New Roman" w:hAnsi="Times New Roman" w:eastAsia="宋体" w:cs="Times New Roman"/>
                <w:color w:val="auto"/>
                <w:spacing w:val="-2"/>
                <w:sz w:val="21"/>
                <w:szCs w:val="21"/>
                <w:highlight w:val="none"/>
                <w:lang w:val="en-US" w:eastAsia="zh-CN"/>
              </w:rPr>
              <w:t>m高排气筒排放</w:t>
            </w:r>
            <w:r>
              <w:rPr>
                <w:rFonts w:hint="default" w:ascii="Times New Roman" w:hAnsi="Times New Roman" w:eastAsia="宋体" w:cs="Times New Roman"/>
                <w:color w:val="auto"/>
                <w:spacing w:val="-2"/>
                <w:sz w:val="21"/>
                <w:szCs w:val="21"/>
                <w:highlight w:val="none"/>
              </w:rPr>
              <w:t>（DA00</w:t>
            </w:r>
            <w:r>
              <w:rPr>
                <w:rFonts w:hint="eastAsia" w:ascii="Times New Roman" w:hAnsi="Times New Roman" w:eastAsia="宋体" w:cs="Times New Roman"/>
                <w:color w:val="auto"/>
                <w:spacing w:val="-2"/>
                <w:sz w:val="21"/>
                <w:szCs w:val="21"/>
                <w:highlight w:val="none"/>
                <w:lang w:val="en-US" w:eastAsia="zh-CN"/>
              </w:rPr>
              <w:t>4</w:t>
            </w:r>
            <w:r>
              <w:rPr>
                <w:rFonts w:hint="default" w:ascii="Times New Roman" w:hAnsi="Times New Roman" w:eastAsia="宋体" w:cs="Times New Roman"/>
                <w:color w:val="auto"/>
                <w:spacing w:val="-2"/>
                <w:sz w:val="21"/>
                <w:szCs w:val="21"/>
                <w:highlight w:val="none"/>
              </w:rPr>
              <w:t>）。</w:t>
            </w:r>
            <w:r>
              <w:rPr>
                <w:rFonts w:hint="default" w:ascii="Times New Roman" w:hAnsi="Times New Roman" w:eastAsia="宋体" w:cs="Times New Roman"/>
                <w:color w:val="auto"/>
                <w:spacing w:val="-2"/>
                <w:sz w:val="21"/>
                <w:szCs w:val="21"/>
                <w:highlight w:val="none"/>
                <w:lang w:val="en-US" w:eastAsia="zh-CN"/>
              </w:rPr>
              <w:t>有组织排放量为0.</w:t>
            </w:r>
            <w:r>
              <w:rPr>
                <w:rFonts w:hint="eastAsia" w:ascii="Times New Roman" w:hAnsi="Times New Roman" w:eastAsia="宋体" w:cs="Times New Roman"/>
                <w:color w:val="auto"/>
                <w:spacing w:val="-2"/>
                <w:sz w:val="21"/>
                <w:szCs w:val="21"/>
                <w:highlight w:val="none"/>
                <w:lang w:val="en-US" w:eastAsia="zh-CN"/>
              </w:rPr>
              <w:t>17</w:t>
            </w:r>
            <w:r>
              <w:rPr>
                <w:rFonts w:hint="default" w:ascii="Times New Roman" w:hAnsi="Times New Roman" w:eastAsia="宋体" w:cs="Times New Roman"/>
                <w:color w:val="auto"/>
                <w:spacing w:val="-2"/>
                <w:sz w:val="21"/>
                <w:szCs w:val="21"/>
                <w:highlight w:val="none"/>
                <w:lang w:val="en-US" w:eastAsia="zh-CN"/>
              </w:rPr>
              <w:t>t/a，排放速率为0.0</w:t>
            </w:r>
            <w:r>
              <w:rPr>
                <w:rFonts w:hint="eastAsia" w:ascii="Times New Roman" w:hAnsi="Times New Roman" w:eastAsia="宋体" w:cs="Times New Roman"/>
                <w:color w:val="auto"/>
                <w:spacing w:val="-2"/>
                <w:sz w:val="21"/>
                <w:szCs w:val="21"/>
                <w:highlight w:val="none"/>
                <w:lang w:val="en-US" w:eastAsia="zh-CN"/>
              </w:rPr>
              <w:t>35</w:t>
            </w:r>
            <w:r>
              <w:rPr>
                <w:rFonts w:hint="default" w:ascii="Times New Roman" w:hAnsi="Times New Roman" w:eastAsia="宋体" w:cs="Times New Roman"/>
                <w:color w:val="auto"/>
                <w:spacing w:val="-2"/>
                <w:sz w:val="21"/>
                <w:szCs w:val="21"/>
                <w:highlight w:val="none"/>
                <w:lang w:val="en-US" w:eastAsia="zh-CN"/>
              </w:rPr>
              <w:t>kg/h，排放浓度为</w:t>
            </w:r>
            <w:r>
              <w:rPr>
                <w:rFonts w:hint="eastAsia" w:ascii="Times New Roman" w:hAnsi="Times New Roman" w:eastAsia="宋体" w:cs="Times New Roman"/>
                <w:color w:val="auto"/>
                <w:spacing w:val="-2"/>
                <w:sz w:val="21"/>
                <w:szCs w:val="21"/>
                <w:highlight w:val="none"/>
                <w:lang w:val="en-US" w:eastAsia="zh-CN"/>
              </w:rPr>
              <w:t>17.7</w:t>
            </w:r>
            <w:r>
              <w:rPr>
                <w:rFonts w:hint="default" w:ascii="Times New Roman" w:hAnsi="Times New Roman" w:eastAsia="宋体" w:cs="Times New Roman"/>
                <w:color w:val="auto"/>
                <w:spacing w:val="-2"/>
                <w:sz w:val="21"/>
                <w:szCs w:val="21"/>
                <w:highlight w:val="none"/>
                <w:lang w:val="en-US" w:eastAsia="zh-CN"/>
              </w:rPr>
              <w:t>mg/m</w:t>
            </w:r>
            <w:r>
              <w:rPr>
                <w:rFonts w:hint="default" w:ascii="Times New Roman" w:hAnsi="Times New Roman" w:eastAsia="宋体" w:cs="Times New Roman"/>
                <w:color w:val="auto"/>
                <w:spacing w:val="-2"/>
                <w:sz w:val="21"/>
                <w:szCs w:val="21"/>
                <w:highlight w:val="none"/>
                <w:vertAlign w:val="superscript"/>
                <w:lang w:val="en-US" w:eastAsia="zh-CN"/>
              </w:rPr>
              <w:t>3</w:t>
            </w:r>
            <w:r>
              <w:rPr>
                <w:rFonts w:hint="default" w:ascii="Times New Roman" w:hAnsi="Times New Roman" w:eastAsia="宋体" w:cs="Times New Roman"/>
                <w:color w:val="auto"/>
                <w:spacing w:val="-2"/>
                <w:sz w:val="21"/>
                <w:szCs w:val="21"/>
                <w:highlight w:val="none"/>
                <w:lang w:val="en-US" w:eastAsia="zh-CN"/>
              </w:rPr>
              <w:t>。无组织排放量为</w:t>
            </w:r>
            <w:r>
              <w:rPr>
                <w:rFonts w:hint="eastAsia" w:ascii="Times New Roman" w:hAnsi="Times New Roman" w:eastAsia="宋体" w:cs="Times New Roman"/>
                <w:color w:val="auto"/>
                <w:spacing w:val="-2"/>
                <w:sz w:val="21"/>
                <w:szCs w:val="21"/>
                <w:highlight w:val="none"/>
                <w:lang w:val="en-US" w:eastAsia="zh-CN"/>
              </w:rPr>
              <w:t>1.89</w:t>
            </w:r>
            <w:r>
              <w:rPr>
                <w:rFonts w:hint="default" w:ascii="Times New Roman" w:hAnsi="Times New Roman" w:eastAsia="宋体" w:cs="Times New Roman"/>
                <w:color w:val="auto"/>
                <w:spacing w:val="-2"/>
                <w:sz w:val="21"/>
                <w:szCs w:val="21"/>
                <w:highlight w:val="none"/>
                <w:lang w:val="en-US" w:eastAsia="zh-CN"/>
              </w:rPr>
              <w:t>t/a，排放速率为0.</w:t>
            </w:r>
            <w:r>
              <w:rPr>
                <w:rFonts w:hint="eastAsia" w:ascii="Times New Roman" w:hAnsi="Times New Roman" w:eastAsia="宋体" w:cs="Times New Roman"/>
                <w:color w:val="auto"/>
                <w:spacing w:val="-2"/>
                <w:sz w:val="21"/>
                <w:szCs w:val="21"/>
                <w:highlight w:val="none"/>
                <w:lang w:val="en-US" w:eastAsia="zh-CN"/>
              </w:rPr>
              <w:t>39</w:t>
            </w:r>
            <w:r>
              <w:rPr>
                <w:rFonts w:hint="default" w:ascii="Times New Roman" w:hAnsi="Times New Roman" w:eastAsia="宋体" w:cs="Times New Roman"/>
                <w:color w:val="auto"/>
                <w:spacing w:val="-2"/>
                <w:sz w:val="21"/>
                <w:szCs w:val="21"/>
                <w:highlight w:val="none"/>
                <w:lang w:val="en-US" w:eastAsia="zh-CN"/>
              </w:rPr>
              <w:t>kg/h。</w:t>
            </w:r>
          </w:p>
          <w:p w14:paraId="315F1A9F">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lang w:val="en-US" w:eastAsia="zh-CN"/>
              </w:rPr>
              <w:t>b</w:t>
            </w:r>
            <w:r>
              <w:rPr>
                <w:rFonts w:hint="default" w:ascii="Times New Roman" w:hAnsi="Times New Roman" w:eastAsia="宋体" w:cs="Times New Roman"/>
                <w:color w:val="auto"/>
                <w:spacing w:val="-3"/>
                <w:sz w:val="21"/>
                <w:szCs w:val="21"/>
                <w:highlight w:val="none"/>
              </w:rPr>
              <w:t>球磨粉尘</w:t>
            </w:r>
          </w:p>
          <w:p w14:paraId="2E4143D7">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eastAsia="宋体"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项目球磨粉尘参照表4-</w:t>
            </w:r>
            <w:r>
              <w:rPr>
                <w:rFonts w:hint="default" w:ascii="Times New Roman" w:hAnsi="Times New Roman" w:eastAsia="宋体" w:cs="Times New Roman"/>
                <w:color w:val="auto"/>
                <w:spacing w:val="-3"/>
                <w:sz w:val="21"/>
                <w:szCs w:val="21"/>
                <w:highlight w:val="none"/>
                <w:lang w:val="en-US" w:eastAsia="zh-CN"/>
              </w:rPr>
              <w:t>3</w:t>
            </w:r>
            <w:r>
              <w:rPr>
                <w:rFonts w:hint="default" w:ascii="Times New Roman" w:hAnsi="Times New Roman" w:eastAsia="宋体" w:cs="Times New Roman"/>
                <w:color w:val="auto"/>
                <w:spacing w:val="-3"/>
                <w:sz w:val="21"/>
                <w:szCs w:val="21"/>
                <w:highlight w:val="none"/>
              </w:rPr>
              <w:t>破碎工艺产污系数</w:t>
            </w:r>
            <w:r>
              <w:rPr>
                <w:rFonts w:hint="eastAsia" w:ascii="Times New Roman" w:hAnsi="Times New Roman" w:cs="Times New Roman"/>
                <w:color w:val="auto"/>
                <w:spacing w:val="-3"/>
                <w:sz w:val="21"/>
                <w:szCs w:val="21"/>
                <w:highlight w:val="none"/>
                <w:lang w:eastAsia="zh-CN"/>
              </w:rPr>
              <w:t>。</w:t>
            </w:r>
            <w:r>
              <w:rPr>
                <w:rFonts w:hint="eastAsia" w:ascii="Times New Roman" w:hAnsi="Times New Roman" w:cs="Times New Roman"/>
                <w:color w:val="auto"/>
                <w:spacing w:val="-3"/>
                <w:sz w:val="21"/>
                <w:szCs w:val="21"/>
                <w:highlight w:val="none"/>
                <w:lang w:val="en-US" w:eastAsia="zh-CN"/>
              </w:rPr>
              <w:t>砌块生产过程产生的球磨粉尘</w:t>
            </w:r>
            <w:r>
              <w:rPr>
                <w:rFonts w:hint="default" w:ascii="Times New Roman" w:hAnsi="Times New Roman" w:eastAsia="宋体" w:cs="Times New Roman"/>
                <w:color w:val="auto"/>
                <w:spacing w:val="-3"/>
                <w:sz w:val="21"/>
                <w:szCs w:val="21"/>
                <w:highlight w:val="none"/>
              </w:rPr>
              <w:t>量为</w:t>
            </w:r>
            <w:r>
              <w:rPr>
                <w:rFonts w:hint="eastAsia" w:ascii="Times New Roman" w:hAnsi="Times New Roman" w:eastAsia="宋体" w:cs="Times New Roman"/>
                <w:color w:val="auto"/>
                <w:spacing w:val="-1"/>
                <w:sz w:val="21"/>
                <w:szCs w:val="21"/>
                <w:highlight w:val="none"/>
                <w:lang w:val="en-US" w:eastAsia="zh-CN"/>
              </w:rPr>
              <w:t>18.895</w:t>
            </w:r>
            <w:r>
              <w:rPr>
                <w:rFonts w:hint="default" w:ascii="Times New Roman" w:hAnsi="Times New Roman" w:eastAsia="宋体" w:cs="Times New Roman"/>
                <w:color w:val="auto"/>
                <w:spacing w:val="-2"/>
                <w:sz w:val="21"/>
                <w:szCs w:val="21"/>
                <w:highlight w:val="none"/>
              </w:rPr>
              <w:t>t/a</w:t>
            </w:r>
            <w:r>
              <w:rPr>
                <w:rFonts w:hint="default" w:ascii="Times New Roman" w:hAnsi="Times New Roman" w:eastAsia="宋体" w:cs="Times New Roman"/>
                <w:color w:val="auto"/>
                <w:spacing w:val="-3"/>
                <w:sz w:val="21"/>
                <w:szCs w:val="21"/>
                <w:highlight w:val="none"/>
              </w:rPr>
              <w:t>。球磨工序设置于封闭车间内，球磨机处设置集气罩，球磨粉尘通过集尘罩（收集效率90%，风量为2000m</w:t>
            </w:r>
            <w:r>
              <w:rPr>
                <w:rFonts w:hint="default" w:ascii="Times New Roman" w:hAnsi="Times New Roman" w:eastAsia="宋体" w:cs="Times New Roman"/>
                <w:color w:val="auto"/>
                <w:spacing w:val="-3"/>
                <w:sz w:val="21"/>
                <w:szCs w:val="21"/>
                <w:highlight w:val="none"/>
                <w:vertAlign w:val="superscript"/>
              </w:rPr>
              <w:t>3</w:t>
            </w:r>
            <w:r>
              <w:rPr>
                <w:rFonts w:hint="default" w:ascii="Times New Roman" w:hAnsi="Times New Roman" w:eastAsia="宋体" w:cs="Times New Roman"/>
                <w:color w:val="auto"/>
                <w:spacing w:val="-3"/>
                <w:sz w:val="21"/>
                <w:szCs w:val="21"/>
                <w:highlight w:val="none"/>
              </w:rPr>
              <w:t>/h）+布袋除尘器（处理效率99%）+1</w:t>
            </w:r>
            <w:r>
              <w:rPr>
                <w:rFonts w:hint="eastAsia" w:ascii="Times New Roman" w:hAnsi="Times New Roman" w:cs="Times New Roman"/>
                <w:color w:val="auto"/>
                <w:spacing w:val="-3"/>
                <w:sz w:val="21"/>
                <w:szCs w:val="21"/>
                <w:highlight w:val="none"/>
                <w:lang w:val="en-US" w:eastAsia="zh-CN"/>
              </w:rPr>
              <w:t>7</w:t>
            </w:r>
            <w:r>
              <w:rPr>
                <w:rFonts w:hint="default" w:ascii="Times New Roman" w:hAnsi="Times New Roman" w:eastAsia="宋体" w:cs="Times New Roman"/>
                <w:color w:val="auto"/>
                <w:spacing w:val="-3"/>
                <w:sz w:val="21"/>
                <w:szCs w:val="21"/>
                <w:highlight w:val="none"/>
              </w:rPr>
              <w:t>m排气筒（DA00</w:t>
            </w:r>
            <w:r>
              <w:rPr>
                <w:rFonts w:hint="eastAsia" w:ascii="Times New Roman" w:hAnsi="Times New Roman" w:cs="Times New Roman"/>
                <w:color w:val="auto"/>
                <w:spacing w:val="-3"/>
                <w:sz w:val="21"/>
                <w:szCs w:val="21"/>
                <w:highlight w:val="none"/>
                <w:lang w:val="en-US" w:eastAsia="zh-CN"/>
              </w:rPr>
              <w:t>3</w:t>
            </w:r>
            <w:r>
              <w:rPr>
                <w:rFonts w:hint="default" w:ascii="Times New Roman" w:hAnsi="Times New Roman" w:eastAsia="宋体" w:cs="Times New Roman"/>
                <w:color w:val="auto"/>
                <w:spacing w:val="-3"/>
                <w:sz w:val="21"/>
                <w:szCs w:val="21"/>
                <w:highlight w:val="none"/>
              </w:rPr>
              <w:t>）排放。</w:t>
            </w:r>
            <w:r>
              <w:rPr>
                <w:rFonts w:hint="default" w:ascii="Times New Roman" w:hAnsi="Times New Roman" w:eastAsia="宋体" w:cs="Times New Roman"/>
                <w:color w:val="auto"/>
                <w:spacing w:val="-2"/>
                <w:sz w:val="21"/>
                <w:szCs w:val="21"/>
                <w:highlight w:val="none"/>
                <w:lang w:val="en-US" w:eastAsia="zh-CN"/>
              </w:rPr>
              <w:t>有组织排放量为0.</w:t>
            </w:r>
            <w:r>
              <w:rPr>
                <w:rFonts w:hint="eastAsia" w:ascii="Times New Roman" w:hAnsi="Times New Roman" w:eastAsia="宋体" w:cs="Times New Roman"/>
                <w:color w:val="auto"/>
                <w:spacing w:val="-2"/>
                <w:sz w:val="21"/>
                <w:szCs w:val="21"/>
                <w:highlight w:val="none"/>
                <w:lang w:val="en-US" w:eastAsia="zh-CN"/>
              </w:rPr>
              <w:t>17</w:t>
            </w:r>
            <w:r>
              <w:rPr>
                <w:rFonts w:hint="default" w:ascii="Times New Roman" w:hAnsi="Times New Roman" w:eastAsia="宋体" w:cs="Times New Roman"/>
                <w:color w:val="auto"/>
                <w:spacing w:val="-2"/>
                <w:sz w:val="21"/>
                <w:szCs w:val="21"/>
                <w:highlight w:val="none"/>
                <w:lang w:val="en-US" w:eastAsia="zh-CN"/>
              </w:rPr>
              <w:t>t/a，排放速率为0.0</w:t>
            </w:r>
            <w:r>
              <w:rPr>
                <w:rFonts w:hint="eastAsia" w:ascii="Times New Roman" w:hAnsi="Times New Roman" w:eastAsia="宋体" w:cs="Times New Roman"/>
                <w:color w:val="auto"/>
                <w:spacing w:val="-2"/>
                <w:sz w:val="21"/>
                <w:szCs w:val="21"/>
                <w:highlight w:val="none"/>
                <w:lang w:val="en-US" w:eastAsia="zh-CN"/>
              </w:rPr>
              <w:t>35</w:t>
            </w:r>
            <w:r>
              <w:rPr>
                <w:rFonts w:hint="default" w:ascii="Times New Roman" w:hAnsi="Times New Roman" w:eastAsia="宋体" w:cs="Times New Roman"/>
                <w:color w:val="auto"/>
                <w:spacing w:val="-2"/>
                <w:sz w:val="21"/>
                <w:szCs w:val="21"/>
                <w:highlight w:val="none"/>
                <w:lang w:val="en-US" w:eastAsia="zh-CN"/>
              </w:rPr>
              <w:t>kg/h，排放浓度为</w:t>
            </w:r>
            <w:r>
              <w:rPr>
                <w:rFonts w:hint="eastAsia" w:ascii="Times New Roman" w:hAnsi="Times New Roman" w:eastAsia="宋体" w:cs="Times New Roman"/>
                <w:color w:val="auto"/>
                <w:spacing w:val="-2"/>
                <w:sz w:val="21"/>
                <w:szCs w:val="21"/>
                <w:highlight w:val="none"/>
                <w:lang w:val="en-US" w:eastAsia="zh-CN"/>
              </w:rPr>
              <w:t>17.7</w:t>
            </w:r>
            <w:r>
              <w:rPr>
                <w:rFonts w:hint="default" w:ascii="Times New Roman" w:hAnsi="Times New Roman" w:eastAsia="宋体" w:cs="Times New Roman"/>
                <w:color w:val="auto"/>
                <w:spacing w:val="-2"/>
                <w:sz w:val="21"/>
                <w:szCs w:val="21"/>
                <w:highlight w:val="none"/>
                <w:lang w:val="en-US" w:eastAsia="zh-CN"/>
              </w:rPr>
              <w:t>mg/m</w:t>
            </w:r>
            <w:r>
              <w:rPr>
                <w:rFonts w:hint="default" w:ascii="Times New Roman" w:hAnsi="Times New Roman" w:eastAsia="宋体" w:cs="Times New Roman"/>
                <w:color w:val="auto"/>
                <w:spacing w:val="-2"/>
                <w:sz w:val="21"/>
                <w:szCs w:val="21"/>
                <w:highlight w:val="none"/>
                <w:vertAlign w:val="superscript"/>
                <w:lang w:val="en-US" w:eastAsia="zh-CN"/>
              </w:rPr>
              <w:t>3</w:t>
            </w:r>
            <w:r>
              <w:rPr>
                <w:rFonts w:hint="default" w:ascii="Times New Roman" w:hAnsi="Times New Roman" w:eastAsia="宋体" w:cs="Times New Roman"/>
                <w:color w:val="auto"/>
                <w:spacing w:val="-2"/>
                <w:sz w:val="21"/>
                <w:szCs w:val="21"/>
                <w:highlight w:val="none"/>
                <w:lang w:val="en-US" w:eastAsia="zh-CN"/>
              </w:rPr>
              <w:t>。无组织排放量为</w:t>
            </w:r>
            <w:r>
              <w:rPr>
                <w:rFonts w:hint="eastAsia" w:ascii="Times New Roman" w:hAnsi="Times New Roman" w:eastAsia="宋体" w:cs="Times New Roman"/>
                <w:color w:val="auto"/>
                <w:spacing w:val="-2"/>
                <w:sz w:val="21"/>
                <w:szCs w:val="21"/>
                <w:highlight w:val="none"/>
                <w:lang w:val="en-US" w:eastAsia="zh-CN"/>
              </w:rPr>
              <w:t>1.89</w:t>
            </w:r>
            <w:r>
              <w:rPr>
                <w:rFonts w:hint="default" w:ascii="Times New Roman" w:hAnsi="Times New Roman" w:eastAsia="宋体" w:cs="Times New Roman"/>
                <w:color w:val="auto"/>
                <w:spacing w:val="-2"/>
                <w:sz w:val="21"/>
                <w:szCs w:val="21"/>
                <w:highlight w:val="none"/>
                <w:lang w:val="en-US" w:eastAsia="zh-CN"/>
              </w:rPr>
              <w:t>t/a，排放速率为0.</w:t>
            </w:r>
            <w:r>
              <w:rPr>
                <w:rFonts w:hint="eastAsia" w:ascii="Times New Roman" w:hAnsi="Times New Roman" w:eastAsia="宋体" w:cs="Times New Roman"/>
                <w:color w:val="auto"/>
                <w:spacing w:val="-2"/>
                <w:sz w:val="21"/>
                <w:szCs w:val="21"/>
                <w:highlight w:val="none"/>
                <w:lang w:val="en-US" w:eastAsia="zh-CN"/>
              </w:rPr>
              <w:t>39</w:t>
            </w:r>
            <w:r>
              <w:rPr>
                <w:rFonts w:hint="default" w:ascii="Times New Roman" w:hAnsi="Times New Roman" w:eastAsia="宋体" w:cs="Times New Roman"/>
                <w:color w:val="auto"/>
                <w:spacing w:val="-2"/>
                <w:sz w:val="21"/>
                <w:szCs w:val="21"/>
                <w:highlight w:val="none"/>
                <w:lang w:val="en-US" w:eastAsia="zh-CN"/>
              </w:rPr>
              <w:t>kg/h。</w:t>
            </w:r>
          </w:p>
          <w:p w14:paraId="5DDDAF6D">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eastAsia="宋体" w:cs="Times New Roman"/>
                <w:color w:val="auto"/>
                <w:spacing w:val="-2"/>
                <w:sz w:val="21"/>
                <w:szCs w:val="21"/>
                <w:highlight w:val="none"/>
                <w:lang w:val="en-US" w:eastAsia="zh-CN"/>
              </w:rPr>
            </w:pPr>
            <w:r>
              <w:rPr>
                <w:rFonts w:hint="eastAsia" w:ascii="Times New Roman" w:hAnsi="Times New Roman" w:cs="Times New Roman"/>
                <w:color w:val="auto"/>
                <w:spacing w:val="-3"/>
                <w:sz w:val="21"/>
                <w:szCs w:val="21"/>
                <w:highlight w:val="none"/>
                <w:lang w:val="en-US" w:eastAsia="zh-CN"/>
              </w:rPr>
              <w:t>板材生产过程产生的球磨粉尘</w:t>
            </w:r>
            <w:r>
              <w:rPr>
                <w:rFonts w:hint="default" w:ascii="Times New Roman" w:hAnsi="Times New Roman" w:eastAsia="宋体" w:cs="Times New Roman"/>
                <w:color w:val="auto"/>
                <w:spacing w:val="-1"/>
                <w:sz w:val="21"/>
                <w:szCs w:val="21"/>
                <w:highlight w:val="none"/>
              </w:rPr>
              <w:t>量约</w:t>
            </w:r>
            <w:r>
              <w:rPr>
                <w:rFonts w:hint="default" w:ascii="Times New Roman" w:hAnsi="Times New Roman" w:eastAsia="宋体" w:cs="Times New Roman"/>
                <w:color w:val="auto"/>
                <w:spacing w:val="-1"/>
                <w:sz w:val="21"/>
                <w:szCs w:val="21"/>
                <w:highlight w:val="none"/>
                <w:lang w:val="en-US" w:eastAsia="zh-CN"/>
              </w:rPr>
              <w:t>为</w:t>
            </w:r>
            <w:r>
              <w:rPr>
                <w:rFonts w:hint="eastAsia" w:ascii="Times New Roman" w:hAnsi="Times New Roman" w:eastAsia="宋体" w:cs="Times New Roman"/>
                <w:color w:val="auto"/>
                <w:spacing w:val="-1"/>
                <w:sz w:val="21"/>
                <w:szCs w:val="21"/>
                <w:highlight w:val="none"/>
                <w:lang w:val="en-US" w:eastAsia="zh-CN"/>
              </w:rPr>
              <w:t>18.895</w:t>
            </w:r>
            <w:r>
              <w:rPr>
                <w:rFonts w:hint="default" w:ascii="Times New Roman" w:hAnsi="Times New Roman" w:eastAsia="宋体" w:cs="Times New Roman"/>
                <w:color w:val="auto"/>
                <w:spacing w:val="-2"/>
                <w:sz w:val="21"/>
                <w:szCs w:val="21"/>
                <w:highlight w:val="none"/>
              </w:rPr>
              <w:t>t/a。</w:t>
            </w:r>
            <w:r>
              <w:rPr>
                <w:rFonts w:hint="default" w:ascii="Times New Roman" w:hAnsi="Times New Roman" w:eastAsia="宋体" w:cs="Times New Roman"/>
                <w:color w:val="auto"/>
                <w:spacing w:val="-3"/>
                <w:sz w:val="21"/>
                <w:szCs w:val="21"/>
                <w:highlight w:val="none"/>
              </w:rPr>
              <w:t>球磨工序设置于封闭车间内，球磨机处设置集气罩，球磨粉尘通过集尘罩（收集效率90%，风量为2000m</w:t>
            </w:r>
            <w:r>
              <w:rPr>
                <w:rFonts w:hint="default" w:ascii="Times New Roman" w:hAnsi="Times New Roman" w:eastAsia="宋体" w:cs="Times New Roman"/>
                <w:color w:val="auto"/>
                <w:spacing w:val="-3"/>
                <w:sz w:val="21"/>
                <w:szCs w:val="21"/>
                <w:highlight w:val="none"/>
                <w:vertAlign w:val="superscript"/>
              </w:rPr>
              <w:t>3</w:t>
            </w:r>
            <w:r>
              <w:rPr>
                <w:rFonts w:hint="default" w:ascii="Times New Roman" w:hAnsi="Times New Roman" w:eastAsia="宋体" w:cs="Times New Roman"/>
                <w:color w:val="auto"/>
                <w:spacing w:val="-3"/>
                <w:sz w:val="21"/>
                <w:szCs w:val="21"/>
                <w:highlight w:val="none"/>
              </w:rPr>
              <w:t>/h）+布袋除尘器（处理效率99%）+1</w:t>
            </w:r>
            <w:r>
              <w:rPr>
                <w:rFonts w:hint="eastAsia" w:ascii="Times New Roman" w:hAnsi="Times New Roman" w:cs="Times New Roman"/>
                <w:color w:val="auto"/>
                <w:spacing w:val="-3"/>
                <w:sz w:val="21"/>
                <w:szCs w:val="21"/>
                <w:highlight w:val="none"/>
                <w:lang w:val="en-US" w:eastAsia="zh-CN"/>
              </w:rPr>
              <w:t>7</w:t>
            </w:r>
            <w:r>
              <w:rPr>
                <w:rFonts w:hint="default" w:ascii="Times New Roman" w:hAnsi="Times New Roman" w:eastAsia="宋体" w:cs="Times New Roman"/>
                <w:color w:val="auto"/>
                <w:spacing w:val="-3"/>
                <w:sz w:val="21"/>
                <w:szCs w:val="21"/>
                <w:highlight w:val="none"/>
              </w:rPr>
              <w:t>m排气筒（DA00</w:t>
            </w:r>
            <w:r>
              <w:rPr>
                <w:rFonts w:hint="eastAsia" w:ascii="Times New Roman" w:hAnsi="Times New Roman" w:cs="Times New Roman"/>
                <w:color w:val="auto"/>
                <w:spacing w:val="-3"/>
                <w:sz w:val="21"/>
                <w:szCs w:val="21"/>
                <w:highlight w:val="none"/>
                <w:lang w:val="en-US" w:eastAsia="zh-CN"/>
              </w:rPr>
              <w:t>4</w:t>
            </w:r>
            <w:r>
              <w:rPr>
                <w:rFonts w:hint="default" w:ascii="Times New Roman" w:hAnsi="Times New Roman" w:eastAsia="宋体" w:cs="Times New Roman"/>
                <w:color w:val="auto"/>
                <w:spacing w:val="-3"/>
                <w:sz w:val="21"/>
                <w:szCs w:val="21"/>
                <w:highlight w:val="none"/>
              </w:rPr>
              <w:t>）排放。</w:t>
            </w:r>
            <w:r>
              <w:rPr>
                <w:rFonts w:hint="default" w:ascii="Times New Roman" w:hAnsi="Times New Roman" w:eastAsia="宋体" w:cs="Times New Roman"/>
                <w:color w:val="auto"/>
                <w:spacing w:val="-2"/>
                <w:sz w:val="21"/>
                <w:szCs w:val="21"/>
                <w:highlight w:val="none"/>
                <w:lang w:val="en-US" w:eastAsia="zh-CN"/>
              </w:rPr>
              <w:t>有组织排放量为0.</w:t>
            </w:r>
            <w:r>
              <w:rPr>
                <w:rFonts w:hint="eastAsia" w:ascii="Times New Roman" w:hAnsi="Times New Roman" w:eastAsia="宋体" w:cs="Times New Roman"/>
                <w:color w:val="auto"/>
                <w:spacing w:val="-2"/>
                <w:sz w:val="21"/>
                <w:szCs w:val="21"/>
                <w:highlight w:val="none"/>
                <w:lang w:val="en-US" w:eastAsia="zh-CN"/>
              </w:rPr>
              <w:t>17</w:t>
            </w:r>
            <w:r>
              <w:rPr>
                <w:rFonts w:hint="default" w:ascii="Times New Roman" w:hAnsi="Times New Roman" w:eastAsia="宋体" w:cs="Times New Roman"/>
                <w:color w:val="auto"/>
                <w:spacing w:val="-2"/>
                <w:sz w:val="21"/>
                <w:szCs w:val="21"/>
                <w:highlight w:val="none"/>
                <w:lang w:val="en-US" w:eastAsia="zh-CN"/>
              </w:rPr>
              <w:t>t/a，排放速率为0.0</w:t>
            </w:r>
            <w:r>
              <w:rPr>
                <w:rFonts w:hint="eastAsia" w:ascii="Times New Roman" w:hAnsi="Times New Roman" w:eastAsia="宋体" w:cs="Times New Roman"/>
                <w:color w:val="auto"/>
                <w:spacing w:val="-2"/>
                <w:sz w:val="21"/>
                <w:szCs w:val="21"/>
                <w:highlight w:val="none"/>
                <w:lang w:val="en-US" w:eastAsia="zh-CN"/>
              </w:rPr>
              <w:t>35</w:t>
            </w:r>
            <w:r>
              <w:rPr>
                <w:rFonts w:hint="default" w:ascii="Times New Roman" w:hAnsi="Times New Roman" w:eastAsia="宋体" w:cs="Times New Roman"/>
                <w:color w:val="auto"/>
                <w:spacing w:val="-2"/>
                <w:sz w:val="21"/>
                <w:szCs w:val="21"/>
                <w:highlight w:val="none"/>
                <w:lang w:val="en-US" w:eastAsia="zh-CN"/>
              </w:rPr>
              <w:t>kg/h，排放浓度为</w:t>
            </w:r>
            <w:r>
              <w:rPr>
                <w:rFonts w:hint="eastAsia" w:ascii="Times New Roman" w:hAnsi="Times New Roman" w:eastAsia="宋体" w:cs="Times New Roman"/>
                <w:color w:val="auto"/>
                <w:spacing w:val="-2"/>
                <w:sz w:val="21"/>
                <w:szCs w:val="21"/>
                <w:highlight w:val="none"/>
                <w:lang w:val="en-US" w:eastAsia="zh-CN"/>
              </w:rPr>
              <w:t>17.7</w:t>
            </w:r>
            <w:r>
              <w:rPr>
                <w:rFonts w:hint="default" w:ascii="Times New Roman" w:hAnsi="Times New Roman" w:eastAsia="宋体" w:cs="Times New Roman"/>
                <w:color w:val="auto"/>
                <w:spacing w:val="-2"/>
                <w:sz w:val="21"/>
                <w:szCs w:val="21"/>
                <w:highlight w:val="none"/>
                <w:lang w:val="en-US" w:eastAsia="zh-CN"/>
              </w:rPr>
              <w:t>mg/m</w:t>
            </w:r>
            <w:r>
              <w:rPr>
                <w:rFonts w:hint="default" w:ascii="Times New Roman" w:hAnsi="Times New Roman" w:eastAsia="宋体" w:cs="Times New Roman"/>
                <w:color w:val="auto"/>
                <w:spacing w:val="-2"/>
                <w:sz w:val="21"/>
                <w:szCs w:val="21"/>
                <w:highlight w:val="none"/>
                <w:vertAlign w:val="superscript"/>
                <w:lang w:val="en-US" w:eastAsia="zh-CN"/>
              </w:rPr>
              <w:t>3</w:t>
            </w:r>
            <w:r>
              <w:rPr>
                <w:rFonts w:hint="default" w:ascii="Times New Roman" w:hAnsi="Times New Roman" w:eastAsia="宋体" w:cs="Times New Roman"/>
                <w:color w:val="auto"/>
                <w:spacing w:val="-2"/>
                <w:sz w:val="21"/>
                <w:szCs w:val="21"/>
                <w:highlight w:val="none"/>
                <w:lang w:val="en-US" w:eastAsia="zh-CN"/>
              </w:rPr>
              <w:t>。无组织排放量为</w:t>
            </w:r>
            <w:r>
              <w:rPr>
                <w:rFonts w:hint="eastAsia" w:ascii="Times New Roman" w:hAnsi="Times New Roman" w:eastAsia="宋体" w:cs="Times New Roman"/>
                <w:color w:val="auto"/>
                <w:spacing w:val="-2"/>
                <w:sz w:val="21"/>
                <w:szCs w:val="21"/>
                <w:highlight w:val="none"/>
                <w:lang w:val="en-US" w:eastAsia="zh-CN"/>
              </w:rPr>
              <w:t>1.89</w:t>
            </w:r>
            <w:r>
              <w:rPr>
                <w:rFonts w:hint="default" w:ascii="Times New Roman" w:hAnsi="Times New Roman" w:eastAsia="宋体" w:cs="Times New Roman"/>
                <w:color w:val="auto"/>
                <w:spacing w:val="-2"/>
                <w:sz w:val="21"/>
                <w:szCs w:val="21"/>
                <w:highlight w:val="none"/>
                <w:lang w:val="en-US" w:eastAsia="zh-CN"/>
              </w:rPr>
              <w:t>t/a，排放速率为0.</w:t>
            </w:r>
            <w:r>
              <w:rPr>
                <w:rFonts w:hint="eastAsia" w:ascii="Times New Roman" w:hAnsi="Times New Roman" w:eastAsia="宋体" w:cs="Times New Roman"/>
                <w:color w:val="auto"/>
                <w:spacing w:val="-2"/>
                <w:sz w:val="21"/>
                <w:szCs w:val="21"/>
                <w:highlight w:val="none"/>
                <w:lang w:val="en-US" w:eastAsia="zh-CN"/>
              </w:rPr>
              <w:t>39</w:t>
            </w:r>
            <w:r>
              <w:rPr>
                <w:rFonts w:hint="default" w:ascii="Times New Roman" w:hAnsi="Times New Roman" w:eastAsia="宋体" w:cs="Times New Roman"/>
                <w:color w:val="auto"/>
                <w:spacing w:val="-2"/>
                <w:sz w:val="21"/>
                <w:szCs w:val="21"/>
                <w:highlight w:val="none"/>
                <w:lang w:val="en-US" w:eastAsia="zh-CN"/>
              </w:rPr>
              <w:t>kg/h。</w:t>
            </w:r>
          </w:p>
          <w:p w14:paraId="585E217F">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3"/>
                <w:sz w:val="21"/>
                <w:szCs w:val="21"/>
                <w:highlight w:val="none"/>
                <w:lang w:val="en-US" w:eastAsia="zh-CN"/>
              </w:rPr>
              <w:t>c</w:t>
            </w:r>
            <w:r>
              <w:rPr>
                <w:rFonts w:hint="default" w:ascii="Times New Roman" w:hAnsi="Times New Roman" w:eastAsia="宋体" w:cs="Times New Roman"/>
                <w:color w:val="auto"/>
                <w:spacing w:val="-2"/>
                <w:sz w:val="21"/>
                <w:szCs w:val="21"/>
                <w:highlight w:val="none"/>
              </w:rPr>
              <w:t>罐仓粉尘</w:t>
            </w:r>
          </w:p>
          <w:p w14:paraId="147026A9">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eastAsia"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pacing w:val="-3"/>
                <w:sz w:val="21"/>
                <w:szCs w:val="21"/>
                <w:highlight w:val="none"/>
              </w:rPr>
              <w:t>本项目水泥通过罐车运至厂内，通过泵打入水泥储备罐。石</w:t>
            </w:r>
            <w:r>
              <w:rPr>
                <w:rFonts w:hint="default" w:ascii="Times New Roman" w:hAnsi="Times New Roman" w:eastAsia="宋体" w:cs="Times New Roman"/>
                <w:color w:val="auto"/>
                <w:spacing w:val="-4"/>
                <w:sz w:val="21"/>
                <w:szCs w:val="21"/>
                <w:highlight w:val="none"/>
              </w:rPr>
              <w:t>灰通过破碎机破碎</w:t>
            </w:r>
            <w:r>
              <w:rPr>
                <w:rFonts w:hint="default" w:ascii="Times New Roman" w:hAnsi="Times New Roman" w:eastAsia="宋体" w:cs="Times New Roman"/>
                <w:color w:val="auto"/>
                <w:spacing w:val="-3"/>
                <w:sz w:val="21"/>
                <w:szCs w:val="21"/>
                <w:highlight w:val="none"/>
              </w:rPr>
              <w:t>后存入块灰仓，块灰仓内石灰通过球磨机磨细后打入石灰储备罐备用。根据《第二</w:t>
            </w:r>
            <w:r>
              <w:rPr>
                <w:rFonts w:hint="default" w:ascii="Times New Roman" w:hAnsi="Times New Roman" w:eastAsia="宋体" w:cs="Times New Roman"/>
                <w:color w:val="auto"/>
                <w:spacing w:val="-1"/>
                <w:sz w:val="21"/>
                <w:szCs w:val="21"/>
                <w:highlight w:val="none"/>
              </w:rPr>
              <w:t>次全国污染源普查工业污染》（2019年）3021  水泥制品制造业（含3022  砼</w:t>
            </w:r>
            <w:r>
              <w:rPr>
                <w:rFonts w:hint="default" w:ascii="Times New Roman" w:hAnsi="Times New Roman" w:eastAsia="宋体" w:cs="Times New Roman"/>
                <w:color w:val="auto"/>
                <w:spacing w:val="-2"/>
                <w:sz w:val="21"/>
                <w:szCs w:val="21"/>
                <w:highlight w:val="none"/>
              </w:rPr>
              <w:t>结构</w:t>
            </w:r>
            <w:r>
              <w:rPr>
                <w:rFonts w:hint="default" w:ascii="Times New Roman" w:hAnsi="Times New Roman" w:eastAsia="宋体" w:cs="Times New Roman"/>
                <w:color w:val="auto"/>
                <w:sz w:val="21"/>
                <w:szCs w:val="21"/>
                <w:highlight w:val="none"/>
              </w:rPr>
              <w:t>构件制造、3029  其他水泥类似制品制造）产排污系数表可知，物料输送储存工序粉尘产污系数为0.19kg/t-水泥</w:t>
            </w:r>
            <w:r>
              <w:rPr>
                <w:rFonts w:hint="eastAsia" w:ascii="Times New Roman" w:hAnsi="Times New Roman" w:cs="Times New Roman"/>
                <w:color w:val="auto"/>
                <w:sz w:val="21"/>
                <w:szCs w:val="21"/>
                <w:highlight w:val="none"/>
                <w:lang w:eastAsia="zh-CN"/>
              </w:rPr>
              <w:t>。</w:t>
            </w:r>
          </w:p>
          <w:p w14:paraId="7441CC8C">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pacing w:val="-3"/>
                <w:sz w:val="21"/>
                <w:szCs w:val="21"/>
                <w:highlight w:val="none"/>
                <w:lang w:val="en-US" w:eastAsia="zh-CN"/>
              </w:rPr>
              <w:t>砌块生产过程</w:t>
            </w:r>
            <w:r>
              <w:rPr>
                <w:rFonts w:hint="eastAsia" w:ascii="Times New Roman" w:hAnsi="Times New Roman" w:eastAsia="宋体" w:cs="Times New Roman"/>
                <w:color w:val="auto"/>
                <w:sz w:val="21"/>
                <w:szCs w:val="21"/>
                <w:highlight w:val="none"/>
                <w:lang w:val="en-US" w:eastAsia="zh-CN"/>
              </w:rPr>
              <w:t>粉煤灰、</w:t>
            </w:r>
            <w:r>
              <w:rPr>
                <w:rFonts w:hint="default" w:ascii="Times New Roman" w:hAnsi="Times New Roman" w:eastAsia="宋体" w:cs="Times New Roman"/>
                <w:color w:val="auto"/>
                <w:sz w:val="21"/>
                <w:szCs w:val="21"/>
                <w:highlight w:val="none"/>
              </w:rPr>
              <w:t>水泥及石灰</w:t>
            </w:r>
            <w:r>
              <w:rPr>
                <w:rFonts w:hint="eastAsia" w:ascii="Times New Roman" w:hAnsi="Times New Roman" w:cs="Times New Roman"/>
                <w:color w:val="auto"/>
                <w:sz w:val="21"/>
                <w:szCs w:val="21"/>
                <w:highlight w:val="none"/>
                <w:lang w:val="en-US" w:eastAsia="zh-CN"/>
              </w:rPr>
              <w:t>用</w:t>
            </w:r>
            <w:r>
              <w:rPr>
                <w:rFonts w:hint="default" w:ascii="Times New Roman" w:hAnsi="Times New Roman" w:eastAsia="宋体" w:cs="Times New Roman"/>
                <w:color w:val="auto"/>
                <w:sz w:val="21"/>
                <w:szCs w:val="21"/>
                <w:highlight w:val="none"/>
              </w:rPr>
              <w:t>量为</w:t>
            </w:r>
            <w:r>
              <w:rPr>
                <w:rFonts w:hint="eastAsia" w:ascii="Times New Roman" w:hAnsi="Times New Roman" w:cs="Times New Roman"/>
                <w:color w:val="auto"/>
                <w:sz w:val="21"/>
                <w:szCs w:val="21"/>
                <w:highlight w:val="none"/>
                <w:lang w:val="en-US" w:eastAsia="zh-CN"/>
              </w:rPr>
              <w:t>161720</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pacing w:val="-1"/>
                <w:sz w:val="21"/>
                <w:szCs w:val="21"/>
                <w:highlight w:val="none"/>
              </w:rPr>
              <w:t>则罐仓粉尘量</w:t>
            </w:r>
            <w:r>
              <w:rPr>
                <w:rFonts w:hint="eastAsia" w:ascii="Times New Roman" w:hAnsi="Times New Roman" w:cs="Times New Roman"/>
                <w:color w:val="auto"/>
                <w:spacing w:val="-1"/>
                <w:sz w:val="21"/>
                <w:szCs w:val="21"/>
                <w:highlight w:val="none"/>
                <w:lang w:val="en-US" w:eastAsia="zh-CN"/>
              </w:rPr>
              <w:t>为30.73</w:t>
            </w:r>
            <w:r>
              <w:rPr>
                <w:rFonts w:hint="default" w:ascii="Times New Roman" w:hAnsi="Times New Roman" w:eastAsia="宋体" w:cs="Times New Roman"/>
                <w:color w:val="auto"/>
                <w:spacing w:val="-1"/>
                <w:sz w:val="21"/>
                <w:szCs w:val="21"/>
                <w:highlight w:val="none"/>
              </w:rPr>
              <w:t>t/a</w:t>
            </w:r>
            <w:r>
              <w:rPr>
                <w:rFonts w:hint="default" w:ascii="Times New Roman" w:hAnsi="Times New Roman" w:eastAsia="宋体" w:cs="Times New Roman"/>
                <w:color w:val="auto"/>
                <w:spacing w:val="-31"/>
                <w:sz w:val="21"/>
                <w:szCs w:val="21"/>
                <w:highlight w:val="none"/>
              </w:rPr>
              <w:t xml:space="preserve"> </w:t>
            </w:r>
            <w:r>
              <w:rPr>
                <w:rFonts w:hint="default" w:ascii="Times New Roman" w:hAnsi="Times New Roman" w:eastAsia="宋体" w:cs="Times New Roman"/>
                <w:color w:val="auto"/>
                <w:spacing w:val="-1"/>
                <w:sz w:val="21"/>
                <w:szCs w:val="21"/>
                <w:highlight w:val="none"/>
              </w:rPr>
              <w:t>，水泥储备罐、石灰储备罐</w:t>
            </w:r>
            <w:r>
              <w:rPr>
                <w:rFonts w:hint="eastAsia" w:ascii="Times New Roman" w:hAnsi="Times New Roman" w:cs="Times New Roman"/>
                <w:color w:val="auto"/>
                <w:spacing w:val="-1"/>
                <w:sz w:val="21"/>
                <w:szCs w:val="21"/>
                <w:highlight w:val="none"/>
                <w:lang w:eastAsia="zh-CN"/>
              </w:rPr>
              <w:t>及粉煤灰仓顶均</w:t>
            </w:r>
            <w:r>
              <w:rPr>
                <w:rFonts w:hint="default" w:ascii="Times New Roman" w:hAnsi="Times New Roman" w:eastAsia="宋体" w:cs="Times New Roman"/>
                <w:color w:val="auto"/>
                <w:spacing w:val="-1"/>
                <w:sz w:val="21"/>
                <w:szCs w:val="21"/>
                <w:highlight w:val="none"/>
              </w:rPr>
              <w:t>设置罐顶除尘器，收集处</w:t>
            </w:r>
            <w:r>
              <w:rPr>
                <w:rFonts w:hint="default" w:ascii="Times New Roman" w:hAnsi="Times New Roman" w:eastAsia="宋体" w:cs="Times New Roman"/>
                <w:color w:val="auto"/>
                <w:spacing w:val="-3"/>
                <w:sz w:val="21"/>
                <w:szCs w:val="21"/>
                <w:highlight w:val="none"/>
              </w:rPr>
              <w:t>理产生的粉尘，除尘器固定在罐顶，收集的粉尘重新落回各自罐仓内，除尘效率可</w:t>
            </w:r>
            <w:r>
              <w:rPr>
                <w:rFonts w:hint="default" w:ascii="Times New Roman" w:hAnsi="Times New Roman" w:eastAsia="宋体" w:cs="Times New Roman"/>
                <w:color w:val="auto"/>
                <w:spacing w:val="-2"/>
                <w:sz w:val="21"/>
                <w:szCs w:val="21"/>
                <w:highlight w:val="none"/>
              </w:rPr>
              <w:t>以达</w:t>
            </w:r>
            <w:r>
              <w:rPr>
                <w:rFonts w:hint="default" w:ascii="Times New Roman" w:hAnsi="Times New Roman" w:eastAsia="宋体" w:cs="Times New Roman"/>
                <w:color w:val="auto"/>
                <w:spacing w:val="-50"/>
                <w:sz w:val="21"/>
                <w:szCs w:val="21"/>
                <w:highlight w:val="none"/>
              </w:rPr>
              <w:t xml:space="preserve"> </w:t>
            </w:r>
            <w:r>
              <w:rPr>
                <w:rFonts w:hint="default" w:ascii="Times New Roman" w:hAnsi="Times New Roman" w:eastAsia="宋体" w:cs="Times New Roman"/>
                <w:color w:val="auto"/>
                <w:spacing w:val="-2"/>
                <w:sz w:val="21"/>
                <w:szCs w:val="21"/>
                <w:highlight w:val="none"/>
              </w:rPr>
              <w:t>99%。各罐仓不设排气筒，处理后经仓顶在车间内直接排放，在</w:t>
            </w:r>
            <w:r>
              <w:rPr>
                <w:rFonts w:hint="default" w:ascii="Times New Roman" w:hAnsi="Times New Roman" w:eastAsia="宋体" w:cs="Times New Roman"/>
                <w:color w:val="auto"/>
                <w:spacing w:val="-3"/>
                <w:sz w:val="21"/>
                <w:szCs w:val="21"/>
                <w:highlight w:val="none"/>
              </w:rPr>
              <w:t>厂房</w:t>
            </w:r>
            <w:r>
              <w:rPr>
                <w:rFonts w:hint="default" w:ascii="Times New Roman" w:hAnsi="Times New Roman" w:eastAsia="宋体" w:cs="Times New Roman"/>
                <w:color w:val="auto"/>
                <w:spacing w:val="-1"/>
                <w:sz w:val="21"/>
                <w:szCs w:val="21"/>
                <w:highlight w:val="none"/>
              </w:rPr>
              <w:t>内再次沉降后无组织排放，罐仓粉尘无组织排放量</w:t>
            </w:r>
            <w:r>
              <w:rPr>
                <w:rFonts w:hint="eastAsia" w:ascii="Times New Roman" w:hAnsi="Times New Roman" w:cs="Times New Roman"/>
                <w:color w:val="auto"/>
                <w:spacing w:val="-1"/>
                <w:sz w:val="21"/>
                <w:szCs w:val="21"/>
                <w:highlight w:val="none"/>
                <w:lang w:val="en-US" w:eastAsia="zh-CN"/>
              </w:rPr>
              <w:t>为0.307</w:t>
            </w:r>
            <w:r>
              <w:rPr>
                <w:rFonts w:hint="default" w:ascii="Times New Roman" w:hAnsi="Times New Roman" w:eastAsia="宋体" w:cs="Times New Roman"/>
                <w:color w:val="auto"/>
                <w:spacing w:val="-1"/>
                <w:sz w:val="21"/>
                <w:szCs w:val="21"/>
                <w:highlight w:val="none"/>
              </w:rPr>
              <w:t>t/a。</w:t>
            </w:r>
          </w:p>
          <w:p w14:paraId="1DB0A523">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pacing w:val="-3"/>
                <w:sz w:val="21"/>
                <w:szCs w:val="21"/>
                <w:highlight w:val="none"/>
                <w:lang w:val="en-US" w:eastAsia="zh-CN"/>
              </w:rPr>
              <w:t>板材生产过程</w:t>
            </w:r>
            <w:r>
              <w:rPr>
                <w:rFonts w:hint="default" w:ascii="Times New Roman" w:hAnsi="Times New Roman" w:eastAsia="宋体" w:cs="Times New Roman"/>
                <w:color w:val="auto"/>
                <w:sz w:val="21"/>
                <w:szCs w:val="21"/>
                <w:highlight w:val="none"/>
              </w:rPr>
              <w:t>水泥及石灰</w:t>
            </w:r>
            <w:r>
              <w:rPr>
                <w:rFonts w:hint="eastAsia" w:ascii="Times New Roman" w:hAnsi="Times New Roman" w:cs="Times New Roman"/>
                <w:color w:val="auto"/>
                <w:sz w:val="21"/>
                <w:szCs w:val="21"/>
                <w:highlight w:val="none"/>
                <w:lang w:val="en-US" w:eastAsia="zh-CN"/>
              </w:rPr>
              <w:t>用</w:t>
            </w:r>
            <w:r>
              <w:rPr>
                <w:rFonts w:hint="default" w:ascii="Times New Roman" w:hAnsi="Times New Roman" w:eastAsia="宋体" w:cs="Times New Roman"/>
                <w:color w:val="auto"/>
                <w:sz w:val="21"/>
                <w:szCs w:val="21"/>
                <w:highlight w:val="none"/>
              </w:rPr>
              <w:t>量为</w:t>
            </w:r>
            <w:r>
              <w:rPr>
                <w:rFonts w:hint="eastAsia" w:ascii="Times New Roman" w:hAnsi="Times New Roman" w:cs="Times New Roman"/>
                <w:color w:val="auto"/>
                <w:sz w:val="21"/>
                <w:szCs w:val="21"/>
                <w:highlight w:val="none"/>
                <w:lang w:val="en-US" w:eastAsia="zh-CN"/>
              </w:rPr>
              <w:t>63417</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pacing w:val="-1"/>
                <w:sz w:val="21"/>
                <w:szCs w:val="21"/>
                <w:highlight w:val="none"/>
              </w:rPr>
              <w:t>则罐仓粉尘量</w:t>
            </w:r>
            <w:r>
              <w:rPr>
                <w:rFonts w:hint="eastAsia" w:ascii="Times New Roman" w:hAnsi="Times New Roman" w:cs="Times New Roman"/>
                <w:color w:val="auto"/>
                <w:spacing w:val="-1"/>
                <w:sz w:val="21"/>
                <w:szCs w:val="21"/>
                <w:highlight w:val="none"/>
                <w:lang w:val="en-US" w:eastAsia="zh-CN"/>
              </w:rPr>
              <w:t>为12.05</w:t>
            </w:r>
            <w:r>
              <w:rPr>
                <w:rFonts w:hint="default" w:ascii="Times New Roman" w:hAnsi="Times New Roman" w:eastAsia="宋体" w:cs="Times New Roman"/>
                <w:color w:val="auto"/>
                <w:spacing w:val="-1"/>
                <w:sz w:val="21"/>
                <w:szCs w:val="21"/>
                <w:highlight w:val="none"/>
              </w:rPr>
              <w:t>t/a</w:t>
            </w:r>
            <w:r>
              <w:rPr>
                <w:rFonts w:hint="default" w:ascii="Times New Roman" w:hAnsi="Times New Roman" w:eastAsia="宋体" w:cs="Times New Roman"/>
                <w:color w:val="auto"/>
                <w:spacing w:val="-31"/>
                <w:sz w:val="21"/>
                <w:szCs w:val="21"/>
                <w:highlight w:val="none"/>
              </w:rPr>
              <w:t xml:space="preserve"> </w:t>
            </w:r>
            <w:r>
              <w:rPr>
                <w:rFonts w:hint="default" w:ascii="Times New Roman" w:hAnsi="Times New Roman" w:eastAsia="宋体" w:cs="Times New Roman"/>
                <w:color w:val="auto"/>
                <w:spacing w:val="-1"/>
                <w:sz w:val="21"/>
                <w:szCs w:val="21"/>
                <w:highlight w:val="none"/>
              </w:rPr>
              <w:t>，水泥储备罐、石灰储备罐</w:t>
            </w:r>
            <w:r>
              <w:rPr>
                <w:rFonts w:hint="eastAsia" w:ascii="Times New Roman" w:hAnsi="Times New Roman" w:cs="Times New Roman"/>
                <w:color w:val="auto"/>
                <w:spacing w:val="-1"/>
                <w:sz w:val="21"/>
                <w:szCs w:val="21"/>
                <w:highlight w:val="none"/>
                <w:lang w:eastAsia="zh-CN"/>
              </w:rPr>
              <w:t>仓顶均</w:t>
            </w:r>
            <w:r>
              <w:rPr>
                <w:rFonts w:hint="default" w:ascii="Times New Roman" w:hAnsi="Times New Roman" w:eastAsia="宋体" w:cs="Times New Roman"/>
                <w:color w:val="auto"/>
                <w:spacing w:val="-1"/>
                <w:sz w:val="21"/>
                <w:szCs w:val="21"/>
                <w:highlight w:val="none"/>
              </w:rPr>
              <w:t>设置罐顶除尘器，收集处</w:t>
            </w:r>
            <w:r>
              <w:rPr>
                <w:rFonts w:hint="default" w:ascii="Times New Roman" w:hAnsi="Times New Roman" w:eastAsia="宋体" w:cs="Times New Roman"/>
                <w:color w:val="auto"/>
                <w:spacing w:val="-3"/>
                <w:sz w:val="21"/>
                <w:szCs w:val="21"/>
                <w:highlight w:val="none"/>
              </w:rPr>
              <w:t>理产生的粉尘，除尘器固定在罐顶，收集的粉尘重新落回各自罐仓内，除尘效率可</w:t>
            </w:r>
            <w:r>
              <w:rPr>
                <w:rFonts w:hint="default" w:ascii="Times New Roman" w:hAnsi="Times New Roman" w:eastAsia="宋体" w:cs="Times New Roman"/>
                <w:color w:val="auto"/>
                <w:spacing w:val="-2"/>
                <w:sz w:val="21"/>
                <w:szCs w:val="21"/>
                <w:highlight w:val="none"/>
              </w:rPr>
              <w:t>以达</w:t>
            </w:r>
            <w:r>
              <w:rPr>
                <w:rFonts w:hint="default" w:ascii="Times New Roman" w:hAnsi="Times New Roman" w:eastAsia="宋体" w:cs="Times New Roman"/>
                <w:color w:val="auto"/>
                <w:spacing w:val="-50"/>
                <w:sz w:val="21"/>
                <w:szCs w:val="21"/>
                <w:highlight w:val="none"/>
              </w:rPr>
              <w:t xml:space="preserve"> </w:t>
            </w:r>
            <w:r>
              <w:rPr>
                <w:rFonts w:hint="default" w:ascii="Times New Roman" w:hAnsi="Times New Roman" w:eastAsia="宋体" w:cs="Times New Roman"/>
                <w:color w:val="auto"/>
                <w:spacing w:val="-2"/>
                <w:sz w:val="21"/>
                <w:szCs w:val="21"/>
                <w:highlight w:val="none"/>
              </w:rPr>
              <w:t>99%。各罐仓不设排气筒，处理后经仓顶在车间内直接排放，在</w:t>
            </w:r>
            <w:r>
              <w:rPr>
                <w:rFonts w:hint="default" w:ascii="Times New Roman" w:hAnsi="Times New Roman" w:eastAsia="宋体" w:cs="Times New Roman"/>
                <w:color w:val="auto"/>
                <w:spacing w:val="-3"/>
                <w:sz w:val="21"/>
                <w:szCs w:val="21"/>
                <w:highlight w:val="none"/>
              </w:rPr>
              <w:t>厂房</w:t>
            </w:r>
            <w:r>
              <w:rPr>
                <w:rFonts w:hint="default" w:ascii="Times New Roman" w:hAnsi="Times New Roman" w:eastAsia="宋体" w:cs="Times New Roman"/>
                <w:color w:val="auto"/>
                <w:spacing w:val="-1"/>
                <w:sz w:val="21"/>
                <w:szCs w:val="21"/>
                <w:highlight w:val="none"/>
              </w:rPr>
              <w:t>内再次沉降后无组织排放，罐仓粉尘无组织排放量</w:t>
            </w:r>
            <w:r>
              <w:rPr>
                <w:rFonts w:hint="eastAsia" w:ascii="Times New Roman" w:hAnsi="Times New Roman" w:cs="Times New Roman"/>
                <w:color w:val="auto"/>
                <w:spacing w:val="-1"/>
                <w:sz w:val="21"/>
                <w:szCs w:val="21"/>
                <w:highlight w:val="none"/>
                <w:lang w:val="en-US" w:eastAsia="zh-CN"/>
              </w:rPr>
              <w:t>为0.12</w:t>
            </w:r>
            <w:r>
              <w:rPr>
                <w:rFonts w:hint="default" w:ascii="Times New Roman" w:hAnsi="Times New Roman" w:eastAsia="宋体" w:cs="Times New Roman"/>
                <w:color w:val="auto"/>
                <w:spacing w:val="-1"/>
                <w:sz w:val="21"/>
                <w:szCs w:val="21"/>
                <w:highlight w:val="none"/>
              </w:rPr>
              <w:t>t/a。</w:t>
            </w:r>
          </w:p>
          <w:p w14:paraId="072DFCC1">
            <w:pPr>
              <w:pStyle w:val="100"/>
              <w:keepNext w:val="0"/>
              <w:keepLines w:val="0"/>
              <w:pageBreakBefore w:val="0"/>
              <w:widowControl w:val="0"/>
              <w:kinsoku/>
              <w:wordWrap/>
              <w:overflowPunct/>
              <w:topLinePunct w:val="0"/>
              <w:autoSpaceDE/>
              <w:autoSpaceDN/>
              <w:bidi w:val="0"/>
              <w:adjustRightInd/>
              <w:snapToGrid/>
              <w:spacing w:line="360" w:lineRule="auto"/>
              <w:ind w:left="0" w:firstLine="416" w:firstLineChars="200"/>
              <w:textAlignment w:val="auto"/>
              <w:rPr>
                <w:rFonts w:hint="default" w:ascii="Times New Roman" w:hAnsi="Times New Roman" w:eastAsia="宋体" w:cs="Times New Roman"/>
                <w:color w:val="auto"/>
                <w:spacing w:val="-2"/>
                <w:sz w:val="21"/>
                <w:szCs w:val="21"/>
                <w:highlight w:val="none"/>
                <w:lang w:val="en-US" w:eastAsia="zh-CN"/>
              </w:rPr>
            </w:pPr>
            <w:r>
              <w:rPr>
                <w:rFonts w:hint="eastAsia" w:ascii="Times New Roman" w:hAnsi="Times New Roman" w:cs="Times New Roman"/>
                <w:color w:val="auto"/>
                <w:spacing w:val="-1"/>
                <w:sz w:val="21"/>
                <w:szCs w:val="21"/>
                <w:highlight w:val="none"/>
                <w:lang w:val="en-US" w:eastAsia="zh-CN"/>
              </w:rPr>
              <w:t>综上所述，</w:t>
            </w:r>
            <w:r>
              <w:rPr>
                <w:rFonts w:hint="default" w:ascii="Times New Roman" w:hAnsi="Times New Roman" w:eastAsia="宋体" w:cs="Times New Roman"/>
                <w:color w:val="auto"/>
                <w:spacing w:val="-1"/>
                <w:sz w:val="21"/>
                <w:szCs w:val="21"/>
                <w:highlight w:val="none"/>
              </w:rPr>
              <w:t>1#生产厂房</w:t>
            </w:r>
            <w:r>
              <w:rPr>
                <w:rFonts w:hint="eastAsia" w:ascii="Times New Roman" w:hAnsi="Times New Roman" w:cs="Times New Roman"/>
                <w:color w:val="auto"/>
                <w:spacing w:val="-1"/>
                <w:sz w:val="21"/>
                <w:szCs w:val="21"/>
                <w:highlight w:val="none"/>
                <w:lang w:val="en-US" w:eastAsia="zh-CN"/>
              </w:rPr>
              <w:t>产生的</w:t>
            </w:r>
            <w:r>
              <w:rPr>
                <w:rFonts w:hint="default" w:ascii="Times New Roman" w:hAnsi="Times New Roman" w:cs="Times New Roman"/>
                <w:color w:val="auto"/>
                <w:spacing w:val="-1"/>
                <w:sz w:val="21"/>
                <w:szCs w:val="21"/>
                <w:highlight w:val="none"/>
              </w:rPr>
              <w:t>破碎球磨</w:t>
            </w:r>
            <w:r>
              <w:rPr>
                <w:rFonts w:hint="default" w:ascii="Times New Roman" w:hAnsi="Times New Roman" w:cs="Times New Roman"/>
                <w:color w:val="auto"/>
                <w:spacing w:val="-1"/>
                <w:sz w:val="21"/>
                <w:szCs w:val="21"/>
                <w:highlight w:val="none"/>
                <w:lang w:val="en-US" w:eastAsia="zh-CN"/>
              </w:rPr>
              <w:t>粉尘</w:t>
            </w:r>
            <w:r>
              <w:rPr>
                <w:rFonts w:hint="eastAsia" w:ascii="Times New Roman" w:hAnsi="Times New Roman" w:cs="Times New Roman"/>
                <w:color w:val="auto"/>
                <w:spacing w:val="-1"/>
                <w:sz w:val="21"/>
                <w:szCs w:val="21"/>
                <w:highlight w:val="none"/>
                <w:lang w:val="en-US" w:eastAsia="zh-CN"/>
              </w:rPr>
              <w:t>量为</w:t>
            </w:r>
            <w:r>
              <w:rPr>
                <w:rFonts w:hint="default" w:ascii="Times New Roman" w:hAnsi="Times New Roman" w:eastAsia="宋体" w:cs="Times New Roman"/>
                <w:color w:val="auto"/>
                <w:spacing w:val="-1"/>
                <w:sz w:val="21"/>
                <w:szCs w:val="21"/>
                <w:highlight w:val="none"/>
                <w:lang w:val="en-US" w:eastAsia="zh-CN"/>
              </w:rPr>
              <w:t>37.79</w:t>
            </w:r>
            <w:r>
              <w:rPr>
                <w:rFonts w:hint="default" w:ascii="Times New Roman" w:hAnsi="Times New Roman" w:eastAsia="宋体" w:cs="Times New Roman"/>
                <w:color w:val="auto"/>
                <w:spacing w:val="-2"/>
                <w:sz w:val="21"/>
                <w:szCs w:val="21"/>
                <w:highlight w:val="none"/>
              </w:rPr>
              <w:t>t/a。</w:t>
            </w:r>
            <w:r>
              <w:rPr>
                <w:rFonts w:hint="default" w:ascii="Times New Roman" w:hAnsi="Times New Roman" w:eastAsia="宋体" w:cs="Times New Roman"/>
                <w:color w:val="auto"/>
                <w:spacing w:val="-2"/>
                <w:sz w:val="21"/>
                <w:szCs w:val="21"/>
                <w:highlight w:val="none"/>
                <w:lang w:val="en-US" w:eastAsia="zh-CN"/>
              </w:rPr>
              <w:t>有组织排放量为0.</w:t>
            </w:r>
            <w:r>
              <w:rPr>
                <w:rFonts w:hint="eastAsia" w:ascii="Times New Roman" w:hAnsi="Times New Roman" w:eastAsia="宋体" w:cs="Times New Roman"/>
                <w:color w:val="auto"/>
                <w:spacing w:val="-2"/>
                <w:sz w:val="21"/>
                <w:szCs w:val="21"/>
                <w:highlight w:val="none"/>
                <w:lang w:val="en-US" w:eastAsia="zh-CN"/>
              </w:rPr>
              <w:t>34</w:t>
            </w:r>
            <w:r>
              <w:rPr>
                <w:rFonts w:hint="default" w:ascii="Times New Roman" w:hAnsi="Times New Roman" w:eastAsia="宋体" w:cs="Times New Roman"/>
                <w:color w:val="auto"/>
                <w:spacing w:val="-2"/>
                <w:sz w:val="21"/>
                <w:szCs w:val="21"/>
                <w:highlight w:val="none"/>
                <w:lang w:val="en-US" w:eastAsia="zh-CN"/>
              </w:rPr>
              <w:t>t/a，排放速率为0.0</w:t>
            </w:r>
            <w:r>
              <w:rPr>
                <w:rFonts w:hint="eastAsia" w:ascii="Times New Roman" w:hAnsi="Times New Roman" w:eastAsia="宋体" w:cs="Times New Roman"/>
                <w:color w:val="auto"/>
                <w:spacing w:val="-2"/>
                <w:sz w:val="21"/>
                <w:szCs w:val="21"/>
                <w:highlight w:val="none"/>
                <w:lang w:val="en-US" w:eastAsia="zh-CN"/>
              </w:rPr>
              <w:t>7</w:t>
            </w:r>
            <w:r>
              <w:rPr>
                <w:rFonts w:hint="default" w:ascii="Times New Roman" w:hAnsi="Times New Roman" w:eastAsia="宋体" w:cs="Times New Roman"/>
                <w:color w:val="auto"/>
                <w:spacing w:val="-2"/>
                <w:sz w:val="21"/>
                <w:szCs w:val="21"/>
                <w:highlight w:val="none"/>
                <w:lang w:val="en-US" w:eastAsia="zh-CN"/>
              </w:rPr>
              <w:t>kg/h，排放浓度为1</w:t>
            </w:r>
            <w:r>
              <w:rPr>
                <w:rFonts w:hint="eastAsia" w:ascii="Times New Roman" w:hAnsi="Times New Roman" w:eastAsia="宋体" w:cs="Times New Roman"/>
                <w:color w:val="auto"/>
                <w:spacing w:val="-2"/>
                <w:sz w:val="21"/>
                <w:szCs w:val="21"/>
                <w:highlight w:val="none"/>
                <w:lang w:val="en-US" w:eastAsia="zh-CN"/>
              </w:rPr>
              <w:t>7.7</w:t>
            </w:r>
            <w:r>
              <w:rPr>
                <w:rFonts w:hint="default" w:ascii="Times New Roman" w:hAnsi="Times New Roman" w:eastAsia="宋体" w:cs="Times New Roman"/>
                <w:color w:val="auto"/>
                <w:spacing w:val="-2"/>
                <w:sz w:val="21"/>
                <w:szCs w:val="21"/>
                <w:highlight w:val="none"/>
                <w:lang w:val="en-US" w:eastAsia="zh-CN"/>
              </w:rPr>
              <w:t>mg/m</w:t>
            </w:r>
            <w:r>
              <w:rPr>
                <w:rFonts w:hint="default" w:ascii="Times New Roman" w:hAnsi="Times New Roman" w:eastAsia="宋体" w:cs="Times New Roman"/>
                <w:color w:val="auto"/>
                <w:spacing w:val="-2"/>
                <w:sz w:val="21"/>
                <w:szCs w:val="21"/>
                <w:highlight w:val="none"/>
                <w:vertAlign w:val="superscript"/>
                <w:lang w:val="en-US" w:eastAsia="zh-CN"/>
              </w:rPr>
              <w:t>3</w:t>
            </w:r>
            <w:r>
              <w:rPr>
                <w:rFonts w:hint="default" w:ascii="Times New Roman" w:hAnsi="Times New Roman" w:eastAsia="宋体" w:cs="Times New Roman"/>
                <w:color w:val="auto"/>
                <w:spacing w:val="-2"/>
                <w:sz w:val="21"/>
                <w:szCs w:val="21"/>
                <w:highlight w:val="none"/>
                <w:lang w:val="en-US" w:eastAsia="zh-CN"/>
              </w:rPr>
              <w:t>。无组织排放量为3.78t/a，排放速率为0.7</w:t>
            </w:r>
            <w:r>
              <w:rPr>
                <w:rFonts w:hint="eastAsia" w:ascii="Times New Roman" w:hAnsi="Times New Roman" w:eastAsia="宋体" w:cs="Times New Roman"/>
                <w:color w:val="auto"/>
                <w:spacing w:val="-2"/>
                <w:sz w:val="21"/>
                <w:szCs w:val="21"/>
                <w:highlight w:val="none"/>
                <w:lang w:val="en-US" w:eastAsia="zh-CN"/>
              </w:rPr>
              <w:t>9</w:t>
            </w:r>
            <w:r>
              <w:rPr>
                <w:rFonts w:hint="default" w:ascii="Times New Roman" w:hAnsi="Times New Roman" w:eastAsia="宋体" w:cs="Times New Roman"/>
                <w:color w:val="auto"/>
                <w:spacing w:val="-2"/>
                <w:sz w:val="21"/>
                <w:szCs w:val="21"/>
                <w:highlight w:val="none"/>
                <w:lang w:val="en-US" w:eastAsia="zh-CN"/>
              </w:rPr>
              <w:t>kg/h。</w:t>
            </w:r>
            <w:r>
              <w:rPr>
                <w:rFonts w:hint="eastAsia" w:ascii="Times New Roman" w:hAnsi="Times New Roman" w:eastAsia="宋体" w:cs="Times New Roman"/>
                <w:color w:val="auto"/>
                <w:spacing w:val="-2"/>
                <w:sz w:val="21"/>
                <w:szCs w:val="21"/>
                <w:highlight w:val="none"/>
                <w:lang w:val="en-US" w:eastAsia="zh-CN"/>
              </w:rPr>
              <w:t>投料粉尘产生量为</w:t>
            </w:r>
            <w:r>
              <w:rPr>
                <w:rFonts w:hint="eastAsia" w:ascii="Times New Roman" w:hAnsi="Times New Roman" w:cs="Times New Roman"/>
                <w:color w:val="auto"/>
                <w:spacing w:val="-1"/>
                <w:sz w:val="21"/>
                <w:szCs w:val="21"/>
                <w:highlight w:val="none"/>
                <w:lang w:val="en-US" w:eastAsia="zh-CN"/>
              </w:rPr>
              <w:t>30.73</w:t>
            </w:r>
            <w:r>
              <w:rPr>
                <w:rFonts w:hint="default" w:ascii="Times New Roman" w:hAnsi="Times New Roman" w:eastAsia="宋体" w:cs="Times New Roman"/>
                <w:color w:val="auto"/>
                <w:spacing w:val="-1"/>
                <w:sz w:val="21"/>
                <w:szCs w:val="21"/>
                <w:highlight w:val="none"/>
              </w:rPr>
              <w:t>t/a</w:t>
            </w:r>
            <w:r>
              <w:rPr>
                <w:rFonts w:hint="default" w:ascii="Times New Roman" w:hAnsi="Times New Roman" w:eastAsia="宋体" w:cs="Times New Roman"/>
                <w:color w:val="auto"/>
                <w:spacing w:val="-31"/>
                <w:sz w:val="21"/>
                <w:szCs w:val="21"/>
                <w:highlight w:val="none"/>
              </w:rPr>
              <w:t xml:space="preserve"> </w:t>
            </w:r>
            <w:r>
              <w:rPr>
                <w:rFonts w:hint="eastAsia" w:ascii="Times New Roman" w:hAnsi="Times New Roman" w:eastAsia="宋体" w:cs="Times New Roman"/>
                <w:color w:val="auto"/>
                <w:spacing w:val="-31"/>
                <w:sz w:val="21"/>
                <w:szCs w:val="21"/>
                <w:highlight w:val="none"/>
                <w:lang w:eastAsia="zh-CN"/>
              </w:rPr>
              <w:t>，</w:t>
            </w:r>
            <w:r>
              <w:rPr>
                <w:rFonts w:hint="eastAsia"/>
                <w:color w:val="auto"/>
                <w:sz w:val="21"/>
                <w:szCs w:val="21"/>
                <w:highlight w:val="none"/>
                <w:lang w:val="en-US" w:eastAsia="zh-CN"/>
              </w:rPr>
              <w:t>粉尘经罐顶除尘器处理后</w:t>
            </w:r>
            <w:r>
              <w:rPr>
                <w:rFonts w:hint="default" w:ascii="Times New Roman" w:hAnsi="Times New Roman" w:eastAsia="宋体" w:cs="Times New Roman"/>
                <w:color w:val="auto"/>
                <w:spacing w:val="-1"/>
                <w:sz w:val="21"/>
                <w:szCs w:val="21"/>
                <w:highlight w:val="none"/>
              </w:rPr>
              <w:t>无组织排放</w:t>
            </w:r>
            <w:r>
              <w:rPr>
                <w:rFonts w:hint="eastAsia" w:ascii="Times New Roman" w:hAnsi="Times New Roman" w:eastAsia="宋体" w:cs="Times New Roman"/>
                <w:color w:val="auto"/>
                <w:spacing w:val="-1"/>
                <w:sz w:val="21"/>
                <w:szCs w:val="21"/>
                <w:highlight w:val="none"/>
                <w:lang w:eastAsia="zh-CN"/>
              </w:rPr>
              <w:t>，</w:t>
            </w:r>
            <w:r>
              <w:rPr>
                <w:rFonts w:hint="eastAsia" w:ascii="Times New Roman" w:hAnsi="Times New Roman" w:eastAsia="宋体" w:cs="Times New Roman"/>
                <w:color w:val="auto"/>
                <w:spacing w:val="-1"/>
                <w:sz w:val="21"/>
                <w:szCs w:val="21"/>
                <w:highlight w:val="none"/>
                <w:lang w:val="en-US" w:eastAsia="zh-CN"/>
              </w:rPr>
              <w:t>排放</w:t>
            </w:r>
            <w:r>
              <w:rPr>
                <w:rFonts w:hint="default" w:ascii="Times New Roman" w:hAnsi="Times New Roman" w:eastAsia="宋体" w:cs="Times New Roman"/>
                <w:color w:val="auto"/>
                <w:spacing w:val="-1"/>
                <w:sz w:val="21"/>
                <w:szCs w:val="21"/>
                <w:highlight w:val="none"/>
              </w:rPr>
              <w:t>量</w:t>
            </w:r>
            <w:r>
              <w:rPr>
                <w:rFonts w:hint="eastAsia" w:ascii="Times New Roman" w:hAnsi="Times New Roman" w:cs="Times New Roman"/>
                <w:color w:val="auto"/>
                <w:spacing w:val="-1"/>
                <w:sz w:val="21"/>
                <w:szCs w:val="21"/>
                <w:highlight w:val="none"/>
                <w:lang w:val="en-US" w:eastAsia="zh-CN"/>
              </w:rPr>
              <w:t>为0.307</w:t>
            </w:r>
            <w:r>
              <w:rPr>
                <w:rFonts w:hint="default" w:ascii="Times New Roman" w:hAnsi="Times New Roman" w:eastAsia="宋体" w:cs="Times New Roman"/>
                <w:color w:val="auto"/>
                <w:spacing w:val="-1"/>
                <w:sz w:val="21"/>
                <w:szCs w:val="21"/>
                <w:highlight w:val="none"/>
              </w:rPr>
              <w:t>t/a。</w:t>
            </w:r>
          </w:p>
          <w:p w14:paraId="483802C6">
            <w:pPr>
              <w:pStyle w:val="100"/>
              <w:keepNext w:val="0"/>
              <w:keepLines w:val="0"/>
              <w:pageBreakBefore w:val="0"/>
              <w:widowControl w:val="0"/>
              <w:kinsoku/>
              <w:wordWrap/>
              <w:overflowPunct/>
              <w:topLinePunct w:val="0"/>
              <w:autoSpaceDE/>
              <w:autoSpaceDN/>
              <w:bidi w:val="0"/>
              <w:adjustRightInd/>
              <w:snapToGrid/>
              <w:spacing w:line="360" w:lineRule="auto"/>
              <w:ind w:left="0" w:firstLine="416" w:firstLineChars="200"/>
              <w:textAlignment w:val="auto"/>
              <w:rPr>
                <w:rFonts w:hint="default" w:ascii="Times New Roman" w:hAnsi="Times New Roman" w:eastAsia="宋体" w:cs="Times New Roman"/>
                <w:color w:val="auto"/>
                <w:spacing w:val="-1"/>
                <w:sz w:val="21"/>
                <w:szCs w:val="21"/>
                <w:highlight w:val="none"/>
                <w:lang w:val="en-US"/>
              </w:rPr>
            </w:pPr>
            <w:r>
              <w:rPr>
                <w:rFonts w:hint="eastAsia" w:ascii="Times New Roman" w:hAnsi="Times New Roman" w:eastAsia="宋体" w:cs="Times New Roman"/>
                <w:color w:val="auto"/>
                <w:spacing w:val="-1"/>
                <w:sz w:val="21"/>
                <w:szCs w:val="21"/>
                <w:highlight w:val="none"/>
                <w:lang w:val="en-US" w:eastAsia="zh-CN"/>
              </w:rPr>
              <w:t>2</w:t>
            </w:r>
            <w:r>
              <w:rPr>
                <w:rFonts w:hint="default" w:ascii="Times New Roman" w:hAnsi="Times New Roman" w:eastAsia="宋体" w:cs="Times New Roman"/>
                <w:color w:val="auto"/>
                <w:spacing w:val="-1"/>
                <w:sz w:val="21"/>
                <w:szCs w:val="21"/>
                <w:highlight w:val="none"/>
              </w:rPr>
              <w:t>#生产厂房</w:t>
            </w:r>
            <w:r>
              <w:rPr>
                <w:rFonts w:hint="eastAsia" w:ascii="Times New Roman" w:hAnsi="Times New Roman" w:cs="Times New Roman"/>
                <w:color w:val="auto"/>
                <w:spacing w:val="-1"/>
                <w:sz w:val="21"/>
                <w:szCs w:val="21"/>
                <w:highlight w:val="none"/>
                <w:lang w:val="en-US" w:eastAsia="zh-CN"/>
              </w:rPr>
              <w:t>产生的</w:t>
            </w:r>
            <w:r>
              <w:rPr>
                <w:rFonts w:hint="default" w:ascii="Times New Roman" w:hAnsi="Times New Roman" w:cs="Times New Roman"/>
                <w:color w:val="auto"/>
                <w:spacing w:val="-1"/>
                <w:sz w:val="21"/>
                <w:szCs w:val="21"/>
                <w:highlight w:val="none"/>
              </w:rPr>
              <w:t>破碎球磨</w:t>
            </w:r>
            <w:r>
              <w:rPr>
                <w:rFonts w:hint="default" w:ascii="Times New Roman" w:hAnsi="Times New Roman" w:cs="Times New Roman"/>
                <w:color w:val="auto"/>
                <w:spacing w:val="-1"/>
                <w:sz w:val="21"/>
                <w:szCs w:val="21"/>
                <w:highlight w:val="none"/>
                <w:lang w:val="en-US" w:eastAsia="zh-CN"/>
              </w:rPr>
              <w:t>粉尘</w:t>
            </w:r>
            <w:r>
              <w:rPr>
                <w:rFonts w:hint="eastAsia" w:ascii="Times New Roman" w:hAnsi="Times New Roman" w:cs="Times New Roman"/>
                <w:color w:val="auto"/>
                <w:spacing w:val="-1"/>
                <w:sz w:val="21"/>
                <w:szCs w:val="21"/>
                <w:highlight w:val="none"/>
                <w:lang w:val="en-US" w:eastAsia="zh-CN"/>
              </w:rPr>
              <w:t>量为</w:t>
            </w:r>
            <w:r>
              <w:rPr>
                <w:rFonts w:hint="default" w:ascii="Times New Roman" w:hAnsi="Times New Roman" w:eastAsia="宋体" w:cs="Times New Roman"/>
                <w:color w:val="auto"/>
                <w:spacing w:val="-1"/>
                <w:sz w:val="21"/>
                <w:szCs w:val="21"/>
                <w:highlight w:val="none"/>
                <w:lang w:val="en-US" w:eastAsia="zh-CN"/>
              </w:rPr>
              <w:t>37.79</w:t>
            </w:r>
            <w:r>
              <w:rPr>
                <w:rFonts w:hint="default" w:ascii="Times New Roman" w:hAnsi="Times New Roman" w:eastAsia="宋体" w:cs="Times New Roman"/>
                <w:color w:val="auto"/>
                <w:spacing w:val="-2"/>
                <w:sz w:val="21"/>
                <w:szCs w:val="21"/>
                <w:highlight w:val="none"/>
              </w:rPr>
              <w:t>t/a。</w:t>
            </w:r>
            <w:r>
              <w:rPr>
                <w:rFonts w:hint="default" w:ascii="Times New Roman" w:hAnsi="Times New Roman" w:eastAsia="宋体" w:cs="Times New Roman"/>
                <w:color w:val="auto"/>
                <w:spacing w:val="-2"/>
                <w:sz w:val="21"/>
                <w:szCs w:val="21"/>
                <w:highlight w:val="none"/>
                <w:lang w:val="en-US" w:eastAsia="zh-CN"/>
              </w:rPr>
              <w:t>有组织排放量为0.</w:t>
            </w:r>
            <w:r>
              <w:rPr>
                <w:rFonts w:hint="eastAsia" w:ascii="Times New Roman" w:hAnsi="Times New Roman" w:eastAsia="宋体" w:cs="Times New Roman"/>
                <w:color w:val="auto"/>
                <w:spacing w:val="-2"/>
                <w:sz w:val="21"/>
                <w:szCs w:val="21"/>
                <w:highlight w:val="none"/>
                <w:lang w:val="en-US" w:eastAsia="zh-CN"/>
              </w:rPr>
              <w:t>34</w:t>
            </w:r>
            <w:r>
              <w:rPr>
                <w:rFonts w:hint="default" w:ascii="Times New Roman" w:hAnsi="Times New Roman" w:eastAsia="宋体" w:cs="Times New Roman"/>
                <w:color w:val="auto"/>
                <w:spacing w:val="-2"/>
                <w:sz w:val="21"/>
                <w:szCs w:val="21"/>
                <w:highlight w:val="none"/>
                <w:lang w:val="en-US" w:eastAsia="zh-CN"/>
              </w:rPr>
              <w:t>t/a，排放速率为0.0</w:t>
            </w:r>
            <w:r>
              <w:rPr>
                <w:rFonts w:hint="eastAsia" w:ascii="Times New Roman" w:hAnsi="Times New Roman" w:eastAsia="宋体" w:cs="Times New Roman"/>
                <w:color w:val="auto"/>
                <w:spacing w:val="-2"/>
                <w:sz w:val="21"/>
                <w:szCs w:val="21"/>
                <w:highlight w:val="none"/>
                <w:lang w:val="en-US" w:eastAsia="zh-CN"/>
              </w:rPr>
              <w:t>7</w:t>
            </w:r>
            <w:r>
              <w:rPr>
                <w:rFonts w:hint="default" w:ascii="Times New Roman" w:hAnsi="Times New Roman" w:eastAsia="宋体" w:cs="Times New Roman"/>
                <w:color w:val="auto"/>
                <w:spacing w:val="-2"/>
                <w:sz w:val="21"/>
                <w:szCs w:val="21"/>
                <w:highlight w:val="none"/>
                <w:lang w:val="en-US" w:eastAsia="zh-CN"/>
              </w:rPr>
              <w:t>kg/h，排放浓度为1</w:t>
            </w:r>
            <w:r>
              <w:rPr>
                <w:rFonts w:hint="eastAsia" w:ascii="Times New Roman" w:hAnsi="Times New Roman" w:eastAsia="宋体" w:cs="Times New Roman"/>
                <w:color w:val="auto"/>
                <w:spacing w:val="-2"/>
                <w:sz w:val="21"/>
                <w:szCs w:val="21"/>
                <w:highlight w:val="none"/>
                <w:lang w:val="en-US" w:eastAsia="zh-CN"/>
              </w:rPr>
              <w:t>7.7</w:t>
            </w:r>
            <w:r>
              <w:rPr>
                <w:rFonts w:hint="default" w:ascii="Times New Roman" w:hAnsi="Times New Roman" w:eastAsia="宋体" w:cs="Times New Roman"/>
                <w:color w:val="auto"/>
                <w:spacing w:val="-2"/>
                <w:sz w:val="21"/>
                <w:szCs w:val="21"/>
                <w:highlight w:val="none"/>
                <w:lang w:val="en-US" w:eastAsia="zh-CN"/>
              </w:rPr>
              <w:t>mg/m</w:t>
            </w:r>
            <w:r>
              <w:rPr>
                <w:rFonts w:hint="default" w:ascii="Times New Roman" w:hAnsi="Times New Roman" w:eastAsia="宋体" w:cs="Times New Roman"/>
                <w:color w:val="auto"/>
                <w:spacing w:val="-2"/>
                <w:sz w:val="21"/>
                <w:szCs w:val="21"/>
                <w:highlight w:val="none"/>
                <w:vertAlign w:val="superscript"/>
                <w:lang w:val="en-US" w:eastAsia="zh-CN"/>
              </w:rPr>
              <w:t>3</w:t>
            </w:r>
            <w:r>
              <w:rPr>
                <w:rFonts w:hint="default" w:ascii="Times New Roman" w:hAnsi="Times New Roman" w:eastAsia="宋体" w:cs="Times New Roman"/>
                <w:color w:val="auto"/>
                <w:spacing w:val="-2"/>
                <w:sz w:val="21"/>
                <w:szCs w:val="21"/>
                <w:highlight w:val="none"/>
                <w:lang w:val="en-US" w:eastAsia="zh-CN"/>
              </w:rPr>
              <w:t>。无组织排放量为3.78t/a，排放速率为0.7</w:t>
            </w:r>
            <w:r>
              <w:rPr>
                <w:rFonts w:hint="eastAsia" w:ascii="Times New Roman" w:hAnsi="Times New Roman" w:eastAsia="宋体" w:cs="Times New Roman"/>
                <w:color w:val="auto"/>
                <w:spacing w:val="-2"/>
                <w:sz w:val="21"/>
                <w:szCs w:val="21"/>
                <w:highlight w:val="none"/>
                <w:lang w:val="en-US" w:eastAsia="zh-CN"/>
              </w:rPr>
              <w:t>9</w:t>
            </w:r>
            <w:r>
              <w:rPr>
                <w:rFonts w:hint="default" w:ascii="Times New Roman" w:hAnsi="Times New Roman" w:eastAsia="宋体" w:cs="Times New Roman"/>
                <w:color w:val="auto"/>
                <w:spacing w:val="-2"/>
                <w:sz w:val="21"/>
                <w:szCs w:val="21"/>
                <w:highlight w:val="none"/>
                <w:lang w:val="en-US" w:eastAsia="zh-CN"/>
              </w:rPr>
              <w:t>kg/h。</w:t>
            </w:r>
            <w:r>
              <w:rPr>
                <w:rFonts w:hint="eastAsia" w:ascii="Times New Roman" w:hAnsi="Times New Roman" w:eastAsia="宋体" w:cs="Times New Roman"/>
                <w:color w:val="auto"/>
                <w:spacing w:val="-2"/>
                <w:sz w:val="21"/>
                <w:szCs w:val="21"/>
                <w:highlight w:val="none"/>
                <w:lang w:val="en-US" w:eastAsia="zh-CN"/>
              </w:rPr>
              <w:t>投料粉尘产生量为12.05</w:t>
            </w:r>
            <w:r>
              <w:rPr>
                <w:rFonts w:hint="default" w:ascii="Times New Roman" w:hAnsi="Times New Roman" w:eastAsia="宋体" w:cs="Times New Roman"/>
                <w:color w:val="auto"/>
                <w:spacing w:val="-1"/>
                <w:sz w:val="21"/>
                <w:szCs w:val="21"/>
                <w:highlight w:val="none"/>
              </w:rPr>
              <w:t>t/a</w:t>
            </w:r>
            <w:r>
              <w:rPr>
                <w:rFonts w:hint="default" w:ascii="Times New Roman" w:hAnsi="Times New Roman" w:eastAsia="宋体" w:cs="Times New Roman"/>
                <w:color w:val="auto"/>
                <w:spacing w:val="-31"/>
                <w:sz w:val="21"/>
                <w:szCs w:val="21"/>
                <w:highlight w:val="none"/>
              </w:rPr>
              <w:t xml:space="preserve"> </w:t>
            </w:r>
            <w:r>
              <w:rPr>
                <w:rFonts w:hint="eastAsia" w:ascii="Times New Roman" w:hAnsi="Times New Roman" w:eastAsia="宋体" w:cs="Times New Roman"/>
                <w:color w:val="auto"/>
                <w:spacing w:val="-31"/>
                <w:sz w:val="21"/>
                <w:szCs w:val="21"/>
                <w:highlight w:val="none"/>
                <w:lang w:eastAsia="zh-CN"/>
              </w:rPr>
              <w:t>，</w:t>
            </w:r>
            <w:r>
              <w:rPr>
                <w:rFonts w:hint="eastAsia"/>
                <w:color w:val="auto"/>
                <w:sz w:val="21"/>
                <w:szCs w:val="21"/>
                <w:highlight w:val="none"/>
                <w:lang w:val="en-US" w:eastAsia="zh-CN"/>
              </w:rPr>
              <w:t>粉尘经罐顶除尘器处理后</w:t>
            </w:r>
            <w:r>
              <w:rPr>
                <w:rFonts w:hint="default" w:ascii="Times New Roman" w:hAnsi="Times New Roman" w:eastAsia="宋体" w:cs="Times New Roman"/>
                <w:color w:val="auto"/>
                <w:spacing w:val="-1"/>
                <w:sz w:val="21"/>
                <w:szCs w:val="21"/>
                <w:highlight w:val="none"/>
              </w:rPr>
              <w:t>无组织排放</w:t>
            </w:r>
            <w:r>
              <w:rPr>
                <w:rFonts w:hint="eastAsia" w:ascii="Times New Roman" w:hAnsi="Times New Roman" w:eastAsia="宋体" w:cs="Times New Roman"/>
                <w:color w:val="auto"/>
                <w:spacing w:val="-1"/>
                <w:sz w:val="21"/>
                <w:szCs w:val="21"/>
                <w:highlight w:val="none"/>
                <w:lang w:eastAsia="zh-CN"/>
              </w:rPr>
              <w:t>，</w:t>
            </w:r>
            <w:r>
              <w:rPr>
                <w:rFonts w:hint="eastAsia" w:ascii="Times New Roman" w:hAnsi="Times New Roman" w:eastAsia="宋体" w:cs="Times New Roman"/>
                <w:color w:val="auto"/>
                <w:spacing w:val="-1"/>
                <w:sz w:val="21"/>
                <w:szCs w:val="21"/>
                <w:highlight w:val="none"/>
                <w:lang w:val="en-US" w:eastAsia="zh-CN"/>
              </w:rPr>
              <w:t>排放</w:t>
            </w:r>
            <w:r>
              <w:rPr>
                <w:rFonts w:hint="default" w:ascii="Times New Roman" w:hAnsi="Times New Roman" w:eastAsia="宋体" w:cs="Times New Roman"/>
                <w:color w:val="auto"/>
                <w:spacing w:val="-1"/>
                <w:sz w:val="21"/>
                <w:szCs w:val="21"/>
                <w:highlight w:val="none"/>
              </w:rPr>
              <w:t>量</w:t>
            </w:r>
            <w:r>
              <w:rPr>
                <w:rFonts w:hint="eastAsia" w:ascii="Times New Roman" w:hAnsi="Times New Roman" w:cs="Times New Roman"/>
                <w:color w:val="auto"/>
                <w:spacing w:val="-1"/>
                <w:sz w:val="21"/>
                <w:szCs w:val="21"/>
                <w:highlight w:val="none"/>
                <w:lang w:val="en-US" w:eastAsia="zh-CN"/>
              </w:rPr>
              <w:t>为0.12</w:t>
            </w:r>
            <w:r>
              <w:rPr>
                <w:rFonts w:hint="default" w:ascii="Times New Roman" w:hAnsi="Times New Roman" w:eastAsia="宋体" w:cs="Times New Roman"/>
                <w:color w:val="auto"/>
                <w:spacing w:val="-1"/>
                <w:sz w:val="21"/>
                <w:szCs w:val="21"/>
                <w:highlight w:val="none"/>
              </w:rPr>
              <w:t>t/a。</w:t>
            </w:r>
          </w:p>
          <w:p w14:paraId="0CAA63B4">
            <w:pPr>
              <w:pStyle w:val="100"/>
              <w:keepNext w:val="0"/>
              <w:keepLines w:val="0"/>
              <w:pageBreakBefore w:val="0"/>
              <w:widowControl w:val="0"/>
              <w:kinsoku/>
              <w:wordWrap/>
              <w:overflowPunct/>
              <w:topLinePunct w:val="0"/>
              <w:autoSpaceDE/>
              <w:autoSpaceDN/>
              <w:bidi w:val="0"/>
              <w:adjustRightInd/>
              <w:snapToGrid/>
              <w:spacing w:line="360" w:lineRule="auto"/>
              <w:ind w:left="0" w:firstLine="416"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
                <w:sz w:val="21"/>
                <w:szCs w:val="21"/>
                <w:highlight w:val="none"/>
              </w:rPr>
              <w:t>③钢筋焊接烟尘</w:t>
            </w:r>
          </w:p>
          <w:p w14:paraId="43C15BC0">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cs="Times New Roman"/>
                <w:color w:val="auto"/>
                <w:spacing w:val="-3"/>
                <w:sz w:val="21"/>
                <w:szCs w:val="21"/>
                <w:highlight w:val="none"/>
              </w:rPr>
            </w:pPr>
            <w:r>
              <w:rPr>
                <w:rFonts w:hint="default" w:ascii="Times New Roman" w:hAnsi="Times New Roman" w:eastAsia="宋体" w:cs="Times New Roman"/>
                <w:color w:val="auto"/>
                <w:spacing w:val="-3"/>
                <w:sz w:val="21"/>
                <w:szCs w:val="21"/>
                <w:highlight w:val="none"/>
              </w:rPr>
              <w:t>本项目网片制作时需要进行焊接，项目采用根据</w:t>
            </w:r>
            <w:r>
              <w:rPr>
                <w:rFonts w:hint="default" w:ascii="Times New Roman" w:hAnsi="Times New Roman" w:eastAsia="宋体" w:cs="Times New Roman"/>
                <w:color w:val="auto"/>
                <w:spacing w:val="-4"/>
                <w:sz w:val="21"/>
                <w:szCs w:val="21"/>
                <w:highlight w:val="none"/>
              </w:rPr>
              <w:t>参考焊接烟尘的施焊发尘量为</w:t>
            </w:r>
            <w:r>
              <w:rPr>
                <w:rFonts w:hint="default" w:ascii="Times New Roman" w:hAnsi="Times New Roman" w:eastAsia="宋体" w:cs="Times New Roman"/>
                <w:color w:val="auto"/>
                <w:spacing w:val="-56"/>
                <w:sz w:val="21"/>
                <w:szCs w:val="21"/>
                <w:highlight w:val="none"/>
              </w:rPr>
              <w:t xml:space="preserve"> </w:t>
            </w:r>
            <w:r>
              <w:rPr>
                <w:rFonts w:hint="default" w:ascii="Times New Roman" w:hAnsi="Times New Roman" w:eastAsia="宋体" w:cs="Times New Roman"/>
                <w:color w:val="auto"/>
                <w:spacing w:val="-4"/>
                <w:sz w:val="21"/>
                <w:szCs w:val="21"/>
                <w:highlight w:val="none"/>
              </w:rPr>
              <w:t>40-80mg/min（本报告以最大量</w:t>
            </w:r>
            <w:r>
              <w:rPr>
                <w:rFonts w:hint="default" w:ascii="Times New Roman" w:hAnsi="Times New Roman" w:eastAsia="宋体" w:cs="Times New Roman"/>
                <w:color w:val="auto"/>
                <w:spacing w:val="-46"/>
                <w:sz w:val="21"/>
                <w:szCs w:val="21"/>
                <w:highlight w:val="none"/>
              </w:rPr>
              <w:t xml:space="preserve"> </w:t>
            </w:r>
            <w:r>
              <w:rPr>
                <w:rFonts w:hint="default" w:ascii="Times New Roman" w:hAnsi="Times New Roman" w:eastAsia="宋体" w:cs="Times New Roman"/>
                <w:color w:val="auto"/>
                <w:spacing w:val="-4"/>
                <w:sz w:val="21"/>
                <w:szCs w:val="21"/>
                <w:highlight w:val="none"/>
              </w:rPr>
              <w:t>80mg/min计</w:t>
            </w:r>
            <w:r>
              <w:rPr>
                <w:rFonts w:hint="default" w:ascii="Times New Roman" w:hAnsi="Times New Roman" w:eastAsia="宋体" w:cs="Times New Roman"/>
                <w:color w:val="auto"/>
                <w:spacing w:val="-45"/>
                <w:sz w:val="21"/>
                <w:szCs w:val="21"/>
                <w:highlight w:val="none"/>
              </w:rPr>
              <w:t>），</w:t>
            </w:r>
            <w:r>
              <w:rPr>
                <w:rFonts w:hint="default" w:ascii="Times New Roman" w:hAnsi="Times New Roman" w:eastAsia="宋体" w:cs="Times New Roman"/>
                <w:color w:val="auto"/>
                <w:spacing w:val="-4"/>
                <w:sz w:val="21"/>
                <w:szCs w:val="21"/>
                <w:highlight w:val="none"/>
              </w:rPr>
              <w:t>焊接时间每天按</w:t>
            </w:r>
            <w:r>
              <w:rPr>
                <w:rFonts w:hint="default" w:ascii="Times New Roman" w:hAnsi="Times New Roman" w:eastAsia="宋体" w:cs="Times New Roman"/>
                <w:color w:val="auto"/>
                <w:spacing w:val="-45"/>
                <w:sz w:val="21"/>
                <w:szCs w:val="21"/>
                <w:highlight w:val="none"/>
              </w:rPr>
              <w:t xml:space="preserve"> </w:t>
            </w:r>
            <w:r>
              <w:rPr>
                <w:rFonts w:hint="default" w:ascii="Times New Roman" w:hAnsi="Times New Roman" w:eastAsia="宋体" w:cs="Times New Roman"/>
                <w:color w:val="auto"/>
                <w:spacing w:val="-4"/>
                <w:sz w:val="21"/>
                <w:szCs w:val="21"/>
                <w:highlight w:val="none"/>
              </w:rPr>
              <w:t>8h计，</w:t>
            </w:r>
            <w:r>
              <w:rPr>
                <w:rFonts w:hint="default" w:ascii="Times New Roman" w:hAnsi="Times New Roman" w:eastAsia="宋体" w:cs="Times New Roman"/>
                <w:color w:val="auto"/>
                <w:spacing w:val="-1"/>
                <w:sz w:val="21"/>
                <w:szCs w:val="21"/>
                <w:highlight w:val="none"/>
              </w:rPr>
              <w:t>计算的焊接烟尘的产生量约为</w:t>
            </w:r>
            <w:r>
              <w:rPr>
                <w:rFonts w:hint="default" w:ascii="Times New Roman" w:hAnsi="Times New Roman" w:eastAsia="宋体" w:cs="Times New Roman"/>
                <w:color w:val="auto"/>
                <w:spacing w:val="-38"/>
                <w:sz w:val="21"/>
                <w:szCs w:val="21"/>
                <w:highlight w:val="none"/>
              </w:rPr>
              <w:t xml:space="preserve"> </w:t>
            </w:r>
            <w:r>
              <w:rPr>
                <w:rFonts w:hint="default" w:ascii="Times New Roman" w:hAnsi="Times New Roman" w:eastAsia="宋体" w:cs="Times New Roman"/>
                <w:color w:val="auto"/>
                <w:spacing w:val="-1"/>
                <w:sz w:val="21"/>
                <w:szCs w:val="21"/>
                <w:highlight w:val="none"/>
              </w:rPr>
              <w:t>0.012t/a，本环评要求采用移动式焊接烟尘净化器处</w:t>
            </w:r>
            <w:r>
              <w:rPr>
                <w:rFonts w:hint="default" w:ascii="Times New Roman" w:hAnsi="Times New Roman" w:eastAsia="宋体" w:cs="Times New Roman"/>
                <w:color w:val="auto"/>
                <w:spacing w:val="-4"/>
                <w:sz w:val="21"/>
                <w:szCs w:val="21"/>
                <w:highlight w:val="none"/>
              </w:rPr>
              <w:t>理后在车间内无组织排放，处理效率可达</w:t>
            </w:r>
            <w:r>
              <w:rPr>
                <w:rFonts w:hint="default" w:ascii="Times New Roman" w:hAnsi="Times New Roman" w:eastAsia="宋体" w:cs="Times New Roman"/>
                <w:color w:val="auto"/>
                <w:spacing w:val="-41"/>
                <w:sz w:val="21"/>
                <w:szCs w:val="21"/>
                <w:highlight w:val="none"/>
              </w:rPr>
              <w:t xml:space="preserve"> </w:t>
            </w:r>
            <w:r>
              <w:rPr>
                <w:rFonts w:hint="default" w:ascii="Times New Roman" w:hAnsi="Times New Roman" w:eastAsia="宋体" w:cs="Times New Roman"/>
                <w:color w:val="auto"/>
                <w:spacing w:val="-4"/>
                <w:sz w:val="21"/>
                <w:szCs w:val="21"/>
                <w:highlight w:val="none"/>
              </w:rPr>
              <w:t>80%，经处理后焊接烟尘无组织排放量约</w:t>
            </w:r>
            <w:r>
              <w:rPr>
                <w:rFonts w:hint="default" w:ascii="Times New Roman" w:hAnsi="Times New Roman" w:eastAsia="宋体" w:cs="Times New Roman"/>
                <w:color w:val="auto"/>
                <w:spacing w:val="-3"/>
                <w:sz w:val="21"/>
                <w:szCs w:val="21"/>
                <w:highlight w:val="none"/>
              </w:rPr>
              <w:t>为</w:t>
            </w:r>
            <w:r>
              <w:rPr>
                <w:rFonts w:hint="default" w:ascii="Times New Roman" w:hAnsi="Times New Roman" w:eastAsia="宋体" w:cs="Times New Roman"/>
                <w:color w:val="auto"/>
                <w:spacing w:val="-35"/>
                <w:sz w:val="21"/>
                <w:szCs w:val="21"/>
                <w:highlight w:val="none"/>
              </w:rPr>
              <w:t xml:space="preserve"> </w:t>
            </w:r>
            <w:r>
              <w:rPr>
                <w:rFonts w:hint="default" w:ascii="Times New Roman" w:hAnsi="Times New Roman" w:eastAsia="宋体" w:cs="Times New Roman"/>
                <w:color w:val="auto"/>
                <w:spacing w:val="-3"/>
                <w:sz w:val="21"/>
                <w:szCs w:val="21"/>
                <w:highlight w:val="none"/>
              </w:rPr>
              <w:t>0.002t/a，排放速率为</w:t>
            </w:r>
            <w:r>
              <w:rPr>
                <w:rFonts w:hint="default" w:ascii="Times New Roman" w:hAnsi="Times New Roman" w:eastAsia="宋体" w:cs="Times New Roman"/>
                <w:color w:val="auto"/>
                <w:spacing w:val="-52"/>
                <w:sz w:val="21"/>
                <w:szCs w:val="21"/>
                <w:highlight w:val="none"/>
              </w:rPr>
              <w:t xml:space="preserve"> </w:t>
            </w:r>
            <w:r>
              <w:rPr>
                <w:rFonts w:hint="default" w:ascii="Times New Roman" w:hAnsi="Times New Roman" w:eastAsia="宋体" w:cs="Times New Roman"/>
                <w:color w:val="auto"/>
                <w:spacing w:val="-3"/>
                <w:sz w:val="21"/>
                <w:szCs w:val="21"/>
                <w:highlight w:val="none"/>
              </w:rPr>
              <w:t>0.00</w:t>
            </w:r>
            <w:r>
              <w:rPr>
                <w:rFonts w:hint="default" w:ascii="Times New Roman" w:hAnsi="Times New Roman" w:eastAsia="宋体" w:cs="Times New Roman"/>
                <w:color w:val="auto"/>
                <w:spacing w:val="-3"/>
                <w:sz w:val="21"/>
                <w:szCs w:val="21"/>
                <w:highlight w:val="none"/>
                <w:lang w:val="en-US" w:eastAsia="zh-CN"/>
              </w:rPr>
              <w:t>0</w:t>
            </w:r>
            <w:r>
              <w:rPr>
                <w:rFonts w:hint="eastAsia" w:ascii="Times New Roman" w:hAnsi="Times New Roman" w:cs="Times New Roman"/>
                <w:color w:val="auto"/>
                <w:spacing w:val="-3"/>
                <w:sz w:val="21"/>
                <w:szCs w:val="21"/>
                <w:highlight w:val="none"/>
                <w:lang w:val="en-US" w:eastAsia="zh-CN"/>
              </w:rPr>
              <w:t>8</w:t>
            </w:r>
            <w:r>
              <w:rPr>
                <w:rFonts w:hint="default" w:ascii="Times New Roman" w:hAnsi="Times New Roman" w:eastAsia="宋体" w:cs="Times New Roman"/>
                <w:color w:val="auto"/>
                <w:spacing w:val="-3"/>
                <w:sz w:val="21"/>
                <w:szCs w:val="21"/>
                <w:highlight w:val="none"/>
              </w:rPr>
              <w:t>kg/h。</w:t>
            </w:r>
          </w:p>
          <w:p w14:paraId="150A379E">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cs="Times New Roman"/>
                <w:color w:val="auto"/>
                <w:sz w:val="21"/>
                <w:szCs w:val="21"/>
                <w:highlight w:val="none"/>
              </w:rPr>
            </w:pPr>
            <w:r>
              <w:rPr>
                <w:rFonts w:hint="default" w:ascii="Times New Roman" w:hAnsi="Times New Roman" w:eastAsia="微软雅黑" w:cs="Times New Roman"/>
                <w:color w:val="auto"/>
                <w:spacing w:val="-3"/>
                <w:sz w:val="21"/>
                <w:szCs w:val="21"/>
                <w:highlight w:val="none"/>
              </w:rPr>
              <w:t>④</w:t>
            </w:r>
            <w:r>
              <w:rPr>
                <w:rFonts w:hint="default" w:ascii="Times New Roman" w:hAnsi="Times New Roman" w:cs="Times New Roman"/>
                <w:color w:val="auto"/>
                <w:spacing w:val="-1"/>
                <w:sz w:val="21"/>
                <w:szCs w:val="21"/>
                <w:highlight w:val="none"/>
              </w:rPr>
              <w:t>钢筋防腐浸泡及</w:t>
            </w:r>
            <w:r>
              <w:rPr>
                <w:rFonts w:hint="eastAsia" w:ascii="Times New Roman" w:hAnsi="Times New Roman" w:cs="Times New Roman"/>
                <w:color w:val="auto"/>
                <w:spacing w:val="-1"/>
                <w:sz w:val="21"/>
                <w:szCs w:val="21"/>
                <w:highlight w:val="none"/>
                <w:lang w:eastAsia="zh-CN"/>
              </w:rPr>
              <w:t>烘干</w:t>
            </w:r>
            <w:r>
              <w:rPr>
                <w:rFonts w:hint="default" w:ascii="Times New Roman" w:hAnsi="Times New Roman" w:cs="Times New Roman"/>
                <w:color w:val="auto"/>
                <w:spacing w:val="-1"/>
                <w:sz w:val="21"/>
                <w:szCs w:val="21"/>
                <w:highlight w:val="none"/>
              </w:rPr>
              <w:t>工序</w:t>
            </w:r>
            <w:r>
              <w:rPr>
                <w:rFonts w:hint="default" w:ascii="Times New Roman" w:hAnsi="Times New Roman" w:cs="Times New Roman"/>
                <w:color w:val="auto"/>
                <w:spacing w:val="-1"/>
                <w:sz w:val="21"/>
                <w:szCs w:val="21"/>
                <w:highlight w:val="none"/>
                <w:lang w:val="en-US" w:eastAsia="zh-CN"/>
              </w:rPr>
              <w:t>产生</w:t>
            </w:r>
            <w:r>
              <w:rPr>
                <w:rFonts w:hint="default" w:ascii="Times New Roman" w:hAnsi="Times New Roman" w:cs="Times New Roman"/>
                <w:color w:val="auto"/>
                <w:spacing w:val="-3"/>
                <w:sz w:val="21"/>
                <w:szCs w:val="21"/>
                <w:highlight w:val="none"/>
              </w:rPr>
              <w:t>有机废气</w:t>
            </w:r>
          </w:p>
          <w:p w14:paraId="236CC4B5">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16" w:firstLineChars="200"/>
              <w:textAlignment w:val="auto"/>
              <w:rPr>
                <w:rFonts w:hint="default" w:ascii="Times New Roman" w:hAnsi="Times New Roman" w:cs="Times New Roman"/>
                <w:color w:val="auto"/>
                <w:spacing w:val="-1"/>
                <w:sz w:val="21"/>
                <w:szCs w:val="21"/>
                <w:highlight w:val="none"/>
              </w:rPr>
            </w:pPr>
            <w:r>
              <w:rPr>
                <w:rFonts w:hint="default" w:ascii="Times New Roman" w:hAnsi="Times New Roman" w:cs="Times New Roman"/>
                <w:color w:val="auto"/>
                <w:spacing w:val="-1"/>
                <w:sz w:val="21"/>
                <w:szCs w:val="21"/>
                <w:highlight w:val="none"/>
              </w:rPr>
              <w:t>本项目刷油机给模具刷脱模剂、钢筋防腐浸泡及</w:t>
            </w:r>
            <w:r>
              <w:rPr>
                <w:rFonts w:hint="eastAsia" w:ascii="Times New Roman" w:hAnsi="Times New Roman" w:cs="Times New Roman"/>
                <w:color w:val="auto"/>
                <w:spacing w:val="-1"/>
                <w:sz w:val="21"/>
                <w:szCs w:val="21"/>
                <w:highlight w:val="none"/>
                <w:lang w:eastAsia="zh-CN"/>
              </w:rPr>
              <w:t>烘</w:t>
            </w:r>
            <w:r>
              <w:rPr>
                <w:rFonts w:hint="default" w:ascii="Times New Roman" w:hAnsi="Times New Roman" w:cs="Times New Roman"/>
                <w:color w:val="auto"/>
                <w:spacing w:val="-1"/>
                <w:sz w:val="21"/>
                <w:szCs w:val="21"/>
                <w:highlight w:val="none"/>
              </w:rPr>
              <w:t>干工序会产生VOCS（以非甲烷总烃计），本项目模具刷脱模剂过程很短，且脱模剂挥发温度在100℃左右，常温情况下不易挥发，产生非甲烷总烃量极少，无组织排放于封闭厂房内，不会对周围环境造成较大影响。</w:t>
            </w:r>
          </w:p>
          <w:p w14:paraId="2368B3C9">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16"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highlight w:val="none"/>
              </w:rPr>
              <w:t>本项目钢筋防腐浸泡及</w:t>
            </w:r>
            <w:r>
              <w:rPr>
                <w:rFonts w:hint="eastAsia" w:ascii="Times New Roman" w:hAnsi="Times New Roman" w:cs="Times New Roman"/>
                <w:color w:val="auto"/>
                <w:spacing w:val="-1"/>
                <w:sz w:val="21"/>
                <w:szCs w:val="21"/>
                <w:highlight w:val="none"/>
                <w:lang w:eastAsia="zh-CN"/>
              </w:rPr>
              <w:t>烘干</w:t>
            </w:r>
            <w:r>
              <w:rPr>
                <w:rFonts w:hint="default" w:ascii="Times New Roman" w:hAnsi="Times New Roman" w:cs="Times New Roman"/>
                <w:color w:val="auto"/>
                <w:spacing w:val="-1"/>
                <w:sz w:val="21"/>
                <w:szCs w:val="21"/>
                <w:highlight w:val="none"/>
              </w:rPr>
              <w:t>工序会产</w:t>
            </w:r>
            <w:r>
              <w:rPr>
                <w:rFonts w:hint="default" w:ascii="Times New Roman" w:hAnsi="Times New Roman" w:cs="Times New Roman"/>
                <w:color w:val="auto"/>
                <w:spacing w:val="-2"/>
                <w:sz w:val="21"/>
                <w:szCs w:val="21"/>
                <w:highlight w:val="none"/>
              </w:rPr>
              <w:t>生</w:t>
            </w:r>
            <w:r>
              <w:rPr>
                <w:rFonts w:hint="default" w:ascii="Times New Roman" w:hAnsi="Times New Roman" w:cs="Times New Roman"/>
                <w:color w:val="auto"/>
                <w:spacing w:val="-57"/>
                <w:sz w:val="21"/>
                <w:szCs w:val="21"/>
                <w:highlight w:val="none"/>
              </w:rPr>
              <w:t xml:space="preserve"> </w:t>
            </w:r>
            <w:r>
              <w:rPr>
                <w:rFonts w:hint="default" w:ascii="Times New Roman" w:hAnsi="Times New Roman" w:eastAsia="Times New Roman" w:cs="Times New Roman"/>
                <w:color w:val="auto"/>
                <w:spacing w:val="-2"/>
                <w:sz w:val="21"/>
                <w:szCs w:val="21"/>
                <w:highlight w:val="none"/>
              </w:rPr>
              <w:t>VOC</w:t>
            </w:r>
            <w:r>
              <w:rPr>
                <w:rFonts w:hint="default" w:ascii="Times New Roman" w:hAnsi="Times New Roman" w:eastAsia="Times New Roman" w:cs="Times New Roman"/>
                <w:color w:val="auto"/>
                <w:spacing w:val="-2"/>
                <w:position w:val="-1"/>
                <w:sz w:val="21"/>
                <w:szCs w:val="21"/>
                <w:highlight w:val="none"/>
              </w:rPr>
              <w:t>S</w:t>
            </w:r>
            <w:r>
              <w:rPr>
                <w:rFonts w:hint="default" w:ascii="Times New Roman" w:hAnsi="Times New Roman" w:cs="Times New Roman"/>
                <w:color w:val="auto"/>
                <w:spacing w:val="-2"/>
                <w:sz w:val="21"/>
                <w:szCs w:val="21"/>
                <w:highlight w:val="none"/>
              </w:rPr>
              <w:t>（以非</w:t>
            </w:r>
            <w:r>
              <w:rPr>
                <w:rFonts w:hint="default" w:ascii="Times New Roman" w:hAnsi="Times New Roman" w:cs="Times New Roman"/>
                <w:color w:val="auto"/>
                <w:spacing w:val="-3"/>
                <w:sz w:val="21"/>
                <w:szCs w:val="21"/>
                <w:highlight w:val="none"/>
              </w:rPr>
              <w:t>甲烷总烃计</w:t>
            </w:r>
            <w:r>
              <w:rPr>
                <w:rFonts w:hint="default" w:ascii="Times New Roman" w:hAnsi="Times New Roman" w:cs="Times New Roman"/>
                <w:color w:val="auto"/>
                <w:spacing w:val="13"/>
                <w:sz w:val="21"/>
                <w:szCs w:val="21"/>
                <w:highlight w:val="none"/>
              </w:rPr>
              <w:t>）</w:t>
            </w:r>
            <w:r>
              <w:rPr>
                <w:rFonts w:hint="default" w:ascii="Times New Roman" w:hAnsi="Times New Roman" w:cs="Times New Roman"/>
                <w:color w:val="auto"/>
                <w:spacing w:val="-3"/>
                <w:sz w:val="21"/>
                <w:szCs w:val="21"/>
                <w:highlight w:val="none"/>
              </w:rPr>
              <w:t>项目钢筋经电焊后需浸泡防腐剂、</w:t>
            </w:r>
            <w:r>
              <w:rPr>
                <w:rFonts w:hint="eastAsia" w:ascii="Times New Roman" w:hAnsi="Times New Roman" w:cs="Times New Roman"/>
                <w:color w:val="auto"/>
                <w:spacing w:val="-3"/>
                <w:sz w:val="21"/>
                <w:szCs w:val="21"/>
                <w:highlight w:val="none"/>
                <w:lang w:eastAsia="zh-CN"/>
              </w:rPr>
              <w:t>烘干</w:t>
            </w:r>
            <w:r>
              <w:rPr>
                <w:rFonts w:hint="default" w:ascii="Times New Roman" w:hAnsi="Times New Roman" w:cs="Times New Roman"/>
                <w:color w:val="auto"/>
                <w:spacing w:val="-3"/>
                <w:sz w:val="21"/>
                <w:szCs w:val="21"/>
                <w:highlight w:val="none"/>
              </w:rPr>
              <w:t>；焊接后的网</w:t>
            </w:r>
            <w:r>
              <w:rPr>
                <w:rFonts w:hint="default" w:ascii="Times New Roman" w:hAnsi="Times New Roman" w:cs="Times New Roman"/>
                <w:color w:val="auto"/>
                <w:spacing w:val="-4"/>
                <w:sz w:val="21"/>
                <w:szCs w:val="21"/>
                <w:highlight w:val="none"/>
              </w:rPr>
              <w:t>笼在封闭式浸泡</w:t>
            </w:r>
            <w:r>
              <w:rPr>
                <w:rFonts w:hint="eastAsia" w:ascii="Times New Roman" w:hAnsi="Times New Roman" w:cs="Times New Roman"/>
                <w:color w:val="auto"/>
                <w:spacing w:val="-4"/>
                <w:sz w:val="21"/>
                <w:szCs w:val="21"/>
                <w:highlight w:val="none"/>
                <w:lang w:eastAsia="zh-CN"/>
              </w:rPr>
              <w:t>烘干</w:t>
            </w:r>
            <w:r>
              <w:rPr>
                <w:rFonts w:hint="default" w:ascii="Times New Roman" w:hAnsi="Times New Roman" w:cs="Times New Roman"/>
                <w:color w:val="auto"/>
                <w:spacing w:val="-4"/>
                <w:sz w:val="21"/>
                <w:szCs w:val="21"/>
                <w:highlight w:val="none"/>
              </w:rPr>
              <w:t>室进</w:t>
            </w:r>
            <w:r>
              <w:rPr>
                <w:rFonts w:hint="default" w:ascii="Times New Roman" w:hAnsi="Times New Roman" w:cs="Times New Roman"/>
                <w:color w:val="auto"/>
                <w:spacing w:val="-2"/>
                <w:sz w:val="21"/>
                <w:szCs w:val="21"/>
                <w:highlight w:val="none"/>
              </w:rPr>
              <w:t>行浸泡及</w:t>
            </w:r>
            <w:r>
              <w:rPr>
                <w:rFonts w:hint="eastAsia" w:ascii="Times New Roman" w:hAnsi="Times New Roman" w:cs="Times New Roman"/>
                <w:color w:val="auto"/>
                <w:spacing w:val="-2"/>
                <w:sz w:val="21"/>
                <w:szCs w:val="21"/>
                <w:highlight w:val="none"/>
                <w:lang w:eastAsia="zh-CN"/>
              </w:rPr>
              <w:t>烘干</w:t>
            </w:r>
            <w:r>
              <w:rPr>
                <w:rFonts w:hint="default" w:ascii="Times New Roman" w:hAnsi="Times New Roman" w:cs="Times New Roman"/>
                <w:color w:val="auto"/>
                <w:spacing w:val="-2"/>
                <w:sz w:val="21"/>
                <w:szCs w:val="21"/>
                <w:highlight w:val="none"/>
              </w:rPr>
              <w:t>。防腐剂工序为常温进行，年运行时间为</w:t>
            </w:r>
            <w:r>
              <w:rPr>
                <w:rFonts w:hint="default" w:ascii="Times New Roman" w:hAnsi="Times New Roman" w:cs="Times New Roman"/>
                <w:color w:val="auto"/>
                <w:spacing w:val="-55"/>
                <w:sz w:val="21"/>
                <w:szCs w:val="21"/>
                <w:highlight w:val="none"/>
              </w:rPr>
              <w:t xml:space="preserve"> </w:t>
            </w:r>
            <w:r>
              <w:rPr>
                <w:rFonts w:hint="default" w:ascii="Times New Roman" w:hAnsi="Times New Roman" w:cs="Times New Roman"/>
                <w:color w:val="auto"/>
                <w:spacing w:val="-2"/>
                <w:sz w:val="21"/>
                <w:szCs w:val="21"/>
                <w:highlight w:val="none"/>
                <w:lang w:val="en-US" w:eastAsia="zh-CN"/>
              </w:rPr>
              <w:t>48</w:t>
            </w:r>
            <w:r>
              <w:rPr>
                <w:rFonts w:hint="default" w:ascii="Times New Roman" w:hAnsi="Times New Roman" w:eastAsia="Times New Roman" w:cs="Times New Roman"/>
                <w:color w:val="auto"/>
                <w:spacing w:val="-2"/>
                <w:sz w:val="21"/>
                <w:szCs w:val="21"/>
                <w:highlight w:val="none"/>
              </w:rPr>
              <w:t>00h</w:t>
            </w:r>
            <w:r>
              <w:rPr>
                <w:rFonts w:hint="default" w:ascii="Times New Roman" w:hAnsi="Times New Roman" w:cs="Times New Roman"/>
                <w:color w:val="auto"/>
                <w:spacing w:val="-2"/>
                <w:sz w:val="21"/>
                <w:szCs w:val="21"/>
                <w:highlight w:val="none"/>
              </w:rPr>
              <w:t>，浸</w:t>
            </w:r>
            <w:r>
              <w:rPr>
                <w:rFonts w:hint="default" w:ascii="Times New Roman" w:hAnsi="Times New Roman" w:cs="Times New Roman"/>
                <w:color w:val="auto"/>
                <w:spacing w:val="-3"/>
                <w:sz w:val="21"/>
                <w:szCs w:val="21"/>
                <w:highlight w:val="none"/>
              </w:rPr>
              <w:t>泡、</w:t>
            </w:r>
            <w:r>
              <w:rPr>
                <w:rFonts w:hint="eastAsia" w:ascii="Times New Roman" w:hAnsi="Times New Roman" w:cs="Times New Roman"/>
                <w:color w:val="auto"/>
                <w:spacing w:val="-3"/>
                <w:sz w:val="21"/>
                <w:szCs w:val="21"/>
                <w:highlight w:val="none"/>
                <w:lang w:eastAsia="zh-CN"/>
              </w:rPr>
              <w:t>烘干</w:t>
            </w:r>
            <w:r>
              <w:rPr>
                <w:rFonts w:hint="default" w:ascii="Times New Roman" w:hAnsi="Times New Roman" w:cs="Times New Roman"/>
                <w:color w:val="auto"/>
                <w:spacing w:val="-3"/>
                <w:sz w:val="21"/>
                <w:szCs w:val="21"/>
                <w:highlight w:val="none"/>
              </w:rPr>
              <w:t>过程中</w:t>
            </w:r>
            <w:r>
              <w:rPr>
                <w:rFonts w:hint="default" w:ascii="Times New Roman" w:hAnsi="Times New Roman" w:cs="Times New Roman"/>
                <w:color w:val="auto"/>
                <w:spacing w:val="-1"/>
                <w:sz w:val="21"/>
                <w:szCs w:val="21"/>
                <w:highlight w:val="none"/>
              </w:rPr>
              <w:t>产生废气，污染因子为</w:t>
            </w:r>
            <w:r>
              <w:rPr>
                <w:rFonts w:hint="default" w:ascii="Times New Roman" w:hAnsi="Times New Roman" w:cs="Times New Roman"/>
                <w:color w:val="auto"/>
                <w:spacing w:val="-46"/>
                <w:sz w:val="21"/>
                <w:szCs w:val="21"/>
                <w:highlight w:val="none"/>
              </w:rPr>
              <w:t xml:space="preserve"> </w:t>
            </w:r>
            <w:r>
              <w:rPr>
                <w:rFonts w:hint="default" w:ascii="Times New Roman" w:hAnsi="Times New Roman" w:eastAsia="Times New Roman" w:cs="Times New Roman"/>
                <w:color w:val="auto"/>
                <w:spacing w:val="-1"/>
                <w:sz w:val="21"/>
                <w:szCs w:val="21"/>
                <w:highlight w:val="none"/>
              </w:rPr>
              <w:t>VOCS</w:t>
            </w:r>
            <w:r>
              <w:rPr>
                <w:rFonts w:hint="default" w:ascii="Times New Roman" w:hAnsi="Times New Roman" w:cs="Times New Roman"/>
                <w:color w:val="auto"/>
                <w:spacing w:val="-1"/>
                <w:sz w:val="21"/>
                <w:szCs w:val="21"/>
                <w:highlight w:val="none"/>
              </w:rPr>
              <w:t>（以非甲烷总烃计）。</w:t>
            </w:r>
          </w:p>
          <w:p w14:paraId="6A37A154">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388"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pacing w:val="-8"/>
                <w:sz w:val="21"/>
                <w:szCs w:val="21"/>
                <w:highlight w:val="none"/>
              </w:rPr>
              <w:t>根据</w:t>
            </w:r>
            <w:r>
              <w:rPr>
                <w:rFonts w:hint="eastAsia" w:ascii="Times New Roman" w:hAnsi="Times New Roman" w:cs="Times New Roman"/>
                <w:color w:val="auto"/>
                <w:spacing w:val="-8"/>
                <w:sz w:val="21"/>
                <w:szCs w:val="21"/>
                <w:highlight w:val="none"/>
                <w:lang w:val="en-US" w:eastAsia="zh-CN"/>
              </w:rPr>
              <w:t>分析报告</w:t>
            </w:r>
            <w:r>
              <w:rPr>
                <w:rFonts w:hint="default" w:ascii="Times New Roman" w:hAnsi="Times New Roman" w:cs="Times New Roman"/>
                <w:color w:val="auto"/>
                <w:spacing w:val="-8"/>
                <w:sz w:val="21"/>
                <w:szCs w:val="21"/>
                <w:highlight w:val="none"/>
              </w:rPr>
              <w:t>，项目防腐剂由羧基丁苯乳胶、消石灰、氧化铁红、消泡剂、石英砂、纤维素醚、水组成，VOCS（以非甲烷总烃计）主要由防腐剂中羧基丁苯乳胶产生。羧基丁苯乳胶</w:t>
            </w:r>
            <w:r>
              <w:rPr>
                <w:rFonts w:hint="eastAsia" w:ascii="Times New Roman" w:hAnsi="Times New Roman" w:cs="Times New Roman"/>
                <w:color w:val="auto"/>
                <w:spacing w:val="-8"/>
                <w:sz w:val="21"/>
                <w:szCs w:val="21"/>
                <w:highlight w:val="none"/>
                <w:lang w:eastAsia="zh-CN"/>
              </w:rPr>
              <w:t>，</w:t>
            </w:r>
            <w:r>
              <w:rPr>
                <w:rFonts w:hint="eastAsia" w:ascii="Times New Roman" w:hAnsi="Times New Roman" w:cs="Times New Roman"/>
                <w:color w:val="auto"/>
                <w:spacing w:val="-8"/>
                <w:sz w:val="21"/>
                <w:szCs w:val="21"/>
                <w:highlight w:val="none"/>
                <w:lang w:val="en-US" w:eastAsia="zh-CN"/>
              </w:rPr>
              <w:t>属于水基型胶黏剂</w:t>
            </w:r>
            <w:r>
              <w:rPr>
                <w:rFonts w:hint="default" w:ascii="Times New Roman" w:hAnsi="Times New Roman" w:cs="Times New Roman"/>
                <w:color w:val="auto"/>
                <w:spacing w:val="1"/>
                <w:sz w:val="21"/>
                <w:szCs w:val="21"/>
                <w:highlight w:val="none"/>
              </w:rPr>
              <w:t>，</w:t>
            </w:r>
            <w:r>
              <w:rPr>
                <w:rFonts w:hint="default" w:ascii="Times New Roman" w:hAnsi="Times New Roman" w:eastAsia="Times New Roman" w:cs="Times New Roman"/>
                <w:color w:val="auto"/>
                <w:sz w:val="21"/>
                <w:szCs w:val="21"/>
                <w:highlight w:val="none"/>
              </w:rPr>
              <w:t>VOC</w:t>
            </w:r>
            <w:r>
              <w:rPr>
                <w:rFonts w:hint="default" w:ascii="Times New Roman" w:hAnsi="Times New Roman" w:eastAsia="Times New Roman" w:cs="Times New Roman"/>
                <w:color w:val="auto"/>
                <w:position w:val="-1"/>
                <w:sz w:val="21"/>
                <w:szCs w:val="21"/>
                <w:highlight w:val="none"/>
              </w:rPr>
              <w:t>S</w:t>
            </w:r>
            <w:r>
              <w:rPr>
                <w:rFonts w:hint="default" w:ascii="Times New Roman" w:hAnsi="Times New Roman" w:cs="Times New Roman"/>
                <w:color w:val="auto"/>
                <w:spacing w:val="1"/>
                <w:sz w:val="21"/>
                <w:szCs w:val="21"/>
                <w:highlight w:val="none"/>
              </w:rPr>
              <w:t>（以非甲烷总烃计）主要由防腐剂</w:t>
            </w:r>
            <w:r>
              <w:rPr>
                <w:rFonts w:hint="default" w:ascii="Times New Roman" w:hAnsi="Times New Roman" w:cs="Times New Roman"/>
                <w:color w:val="auto"/>
                <w:sz w:val="21"/>
                <w:szCs w:val="21"/>
                <w:highlight w:val="none"/>
              </w:rPr>
              <w:t>中羧基丁苯</w:t>
            </w:r>
            <w:r>
              <w:rPr>
                <w:rFonts w:hint="default" w:ascii="Times New Roman" w:hAnsi="Times New Roman" w:cs="Times New Roman"/>
                <w:color w:val="auto"/>
                <w:spacing w:val="-1"/>
                <w:sz w:val="21"/>
                <w:szCs w:val="21"/>
                <w:highlight w:val="none"/>
              </w:rPr>
              <w:t>乳胶产生。项目防腐剂年用量</w:t>
            </w:r>
            <w:r>
              <w:rPr>
                <w:rFonts w:hint="default" w:ascii="Times New Roman" w:hAnsi="Times New Roman" w:cs="Times New Roman"/>
                <w:color w:val="auto"/>
                <w:spacing w:val="-1"/>
                <w:sz w:val="21"/>
                <w:szCs w:val="21"/>
                <w:highlight w:val="none"/>
                <w:lang w:val="en-US" w:eastAsia="zh-CN"/>
              </w:rPr>
              <w:t>为328.05</w:t>
            </w:r>
            <w:r>
              <w:rPr>
                <w:rFonts w:hint="default" w:ascii="Times New Roman" w:hAnsi="Times New Roman" w:eastAsia="Times New Roman" w:cs="Times New Roman"/>
                <w:color w:val="auto"/>
                <w:spacing w:val="-1"/>
                <w:sz w:val="21"/>
                <w:szCs w:val="21"/>
                <w:highlight w:val="none"/>
              </w:rPr>
              <w:t>t/a</w:t>
            </w:r>
            <w:r>
              <w:rPr>
                <w:rFonts w:hint="default" w:ascii="Times New Roman" w:hAnsi="Times New Roman" w:cs="Times New Roman"/>
                <w:color w:val="auto"/>
                <w:spacing w:val="-1"/>
                <w:sz w:val="21"/>
                <w:szCs w:val="21"/>
                <w:highlight w:val="none"/>
              </w:rPr>
              <w:t>，其中羧基丁苯乳胶含量约</w:t>
            </w:r>
            <w:r>
              <w:rPr>
                <w:rFonts w:hint="default" w:ascii="Times New Roman" w:hAnsi="Times New Roman" w:cs="Times New Roman"/>
                <w:color w:val="auto"/>
                <w:spacing w:val="-47"/>
                <w:sz w:val="21"/>
                <w:szCs w:val="21"/>
                <w:highlight w:val="none"/>
              </w:rPr>
              <w:t xml:space="preserve"> </w:t>
            </w:r>
            <w:r>
              <w:rPr>
                <w:rFonts w:hint="default" w:ascii="Times New Roman" w:hAnsi="Times New Roman" w:eastAsia="Times New Roman" w:cs="Times New Roman"/>
                <w:color w:val="auto"/>
                <w:spacing w:val="-1"/>
                <w:sz w:val="21"/>
                <w:szCs w:val="21"/>
                <w:highlight w:val="none"/>
              </w:rPr>
              <w:t>6</w:t>
            </w:r>
            <w:r>
              <w:rPr>
                <w:rFonts w:hint="default" w:ascii="Times New Roman" w:hAnsi="Times New Roman" w:eastAsia="Times New Roman" w:cs="Times New Roman"/>
                <w:color w:val="auto"/>
                <w:spacing w:val="-2"/>
                <w:sz w:val="21"/>
                <w:szCs w:val="21"/>
                <w:highlight w:val="none"/>
              </w:rPr>
              <w:t>0%</w:t>
            </w:r>
            <w:r>
              <w:rPr>
                <w:rFonts w:hint="default" w:ascii="Times New Roman" w:hAnsi="Times New Roman" w:cs="Times New Roman"/>
                <w:color w:val="auto"/>
                <w:spacing w:val="-2"/>
                <w:sz w:val="21"/>
                <w:szCs w:val="21"/>
                <w:highlight w:val="none"/>
              </w:rPr>
              <w:t>，羧基丁苯</w:t>
            </w:r>
            <w:r>
              <w:rPr>
                <w:rFonts w:hint="default" w:ascii="Times New Roman" w:hAnsi="Times New Roman" w:cs="Times New Roman"/>
                <w:color w:val="auto"/>
                <w:sz w:val="21"/>
                <w:szCs w:val="21"/>
                <w:highlight w:val="none"/>
              </w:rPr>
              <w:t>乳胶密度密度约为</w:t>
            </w:r>
            <w:r>
              <w:rPr>
                <w:rFonts w:hint="default" w:ascii="Times New Roman" w:hAnsi="Times New Roman" w:cs="Times New Roman"/>
                <w:color w:val="auto"/>
                <w:spacing w:val="-29"/>
                <w:sz w:val="21"/>
                <w:szCs w:val="21"/>
                <w:highlight w:val="none"/>
              </w:rPr>
              <w:t xml:space="preserve"> </w:t>
            </w:r>
            <w:r>
              <w:rPr>
                <w:rFonts w:hint="default" w:ascii="Times New Roman" w:hAnsi="Times New Roman" w:eastAsia="Times New Roman" w:cs="Times New Roman"/>
                <w:color w:val="auto"/>
                <w:sz w:val="21"/>
                <w:szCs w:val="21"/>
                <w:highlight w:val="none"/>
              </w:rPr>
              <w:t>1g/cm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rPr>
              <w:t>，则羧基丁苯乳胶年用量约为</w:t>
            </w:r>
            <w:r>
              <w:rPr>
                <w:rFonts w:hint="default" w:ascii="Times New Roman" w:hAnsi="Times New Roman" w:cs="Times New Roman"/>
                <w:color w:val="auto"/>
                <w:sz w:val="21"/>
                <w:szCs w:val="21"/>
                <w:highlight w:val="none"/>
                <w:lang w:val="en-US" w:eastAsia="zh-CN"/>
              </w:rPr>
              <w:t>196.83t/a</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196830</w:t>
            </w:r>
            <w:r>
              <w:rPr>
                <w:rFonts w:hint="default" w:ascii="Times New Roman" w:hAnsi="Times New Roman" w:eastAsia="Times New Roman" w:cs="Times New Roman"/>
                <w:color w:val="auto"/>
                <w:sz w:val="21"/>
                <w:szCs w:val="21"/>
                <w:highlight w:val="none"/>
              </w:rPr>
              <w:t>L/a</w:t>
            </w:r>
            <w:r>
              <w:rPr>
                <w:rFonts w:hint="default" w:ascii="Times New Roman" w:hAnsi="Times New Roman" w:cs="Times New Roman"/>
                <w:color w:val="auto"/>
                <w:spacing w:val="10"/>
                <w:sz w:val="21"/>
                <w:szCs w:val="21"/>
                <w:highlight w:val="none"/>
              </w:rPr>
              <w:t>），</w:t>
            </w:r>
            <w:r>
              <w:rPr>
                <w:rFonts w:hint="default" w:ascii="Times New Roman" w:hAnsi="Times New Roman" w:cs="Times New Roman"/>
                <w:color w:val="auto"/>
                <w:sz w:val="21"/>
                <w:szCs w:val="21"/>
                <w:highlight w:val="none"/>
              </w:rPr>
              <w:t>根据防</w:t>
            </w:r>
            <w:r>
              <w:rPr>
                <w:rFonts w:hint="default" w:ascii="Times New Roman" w:hAnsi="Times New Roman" w:cs="Times New Roman"/>
                <w:color w:val="auto"/>
                <w:spacing w:val="-5"/>
                <w:sz w:val="21"/>
                <w:szCs w:val="21"/>
                <w:highlight w:val="none"/>
              </w:rPr>
              <w:t>腐剂成分报告</w:t>
            </w:r>
            <w:r>
              <w:rPr>
                <w:rFonts w:hint="default" w:ascii="Times New Roman" w:hAnsi="Times New Roman" w:cs="Times New Roman"/>
                <w:color w:val="auto"/>
                <w:spacing w:val="-5"/>
                <w:sz w:val="21"/>
                <w:szCs w:val="21"/>
                <w:highlight w:val="none"/>
                <w:lang w:val="en-US" w:eastAsia="zh-CN"/>
              </w:rPr>
              <w:t>见附件</w:t>
            </w:r>
            <w:r>
              <w:rPr>
                <w:rFonts w:hint="eastAsia" w:ascii="Times New Roman" w:hAnsi="Times New Roman" w:cs="Times New Roman"/>
                <w:color w:val="auto"/>
                <w:spacing w:val="-5"/>
                <w:sz w:val="21"/>
                <w:szCs w:val="21"/>
                <w:highlight w:val="none"/>
                <w:lang w:val="en-US" w:eastAsia="zh-CN"/>
              </w:rPr>
              <w:t>6</w:t>
            </w:r>
            <w:r>
              <w:rPr>
                <w:rFonts w:hint="default" w:ascii="Times New Roman" w:hAnsi="Times New Roman" w:cs="Times New Roman"/>
                <w:color w:val="auto"/>
                <w:spacing w:val="-5"/>
                <w:sz w:val="21"/>
                <w:szCs w:val="21"/>
                <w:highlight w:val="none"/>
                <w:lang w:eastAsia="zh-CN"/>
              </w:rPr>
              <w:t>，</w:t>
            </w:r>
            <w:r>
              <w:rPr>
                <w:rFonts w:hint="default" w:ascii="Times New Roman" w:hAnsi="Times New Roman" w:cs="Times New Roman"/>
                <w:color w:val="auto"/>
                <w:spacing w:val="-5"/>
                <w:sz w:val="21"/>
                <w:szCs w:val="21"/>
                <w:highlight w:val="none"/>
              </w:rPr>
              <w:t>羧基丁苯乳胶中挥发性有机化合物含量低于检出限</w:t>
            </w:r>
            <w:r>
              <w:rPr>
                <w:rFonts w:hint="default" w:ascii="Times New Roman" w:hAnsi="Times New Roman" w:cs="Times New Roman"/>
                <w:color w:val="auto"/>
                <w:spacing w:val="-55"/>
                <w:sz w:val="21"/>
                <w:szCs w:val="21"/>
                <w:highlight w:val="none"/>
              </w:rPr>
              <w:t xml:space="preserve"> </w:t>
            </w:r>
            <w:r>
              <w:rPr>
                <w:rFonts w:hint="default" w:ascii="Times New Roman" w:hAnsi="Times New Roman" w:eastAsia="Times New Roman" w:cs="Times New Roman"/>
                <w:color w:val="auto"/>
                <w:spacing w:val="-5"/>
                <w:sz w:val="21"/>
                <w:szCs w:val="21"/>
                <w:highlight w:val="none"/>
              </w:rPr>
              <w:t>2g/L</w:t>
            </w:r>
            <w:r>
              <w:rPr>
                <w:rFonts w:hint="default" w:ascii="Times New Roman" w:hAnsi="Times New Roman" w:cs="Times New Roman"/>
                <w:color w:val="auto"/>
                <w:spacing w:val="-5"/>
                <w:sz w:val="21"/>
                <w:szCs w:val="21"/>
                <w:highlight w:val="none"/>
              </w:rPr>
              <w:t>，</w:t>
            </w:r>
            <w:r>
              <w:rPr>
                <w:rFonts w:hint="default" w:ascii="Times New Roman" w:hAnsi="Times New Roman" w:cs="Times New Roman"/>
                <w:color w:val="auto"/>
                <w:spacing w:val="-2"/>
                <w:sz w:val="21"/>
                <w:szCs w:val="21"/>
                <w:highlight w:val="none"/>
              </w:rPr>
              <w:t>本环评取</w:t>
            </w:r>
            <w:r>
              <w:rPr>
                <w:rFonts w:hint="default" w:ascii="Times New Roman" w:hAnsi="Times New Roman" w:cs="Times New Roman"/>
                <w:color w:val="auto"/>
                <w:spacing w:val="-55"/>
                <w:sz w:val="21"/>
                <w:szCs w:val="21"/>
                <w:highlight w:val="none"/>
              </w:rPr>
              <w:t xml:space="preserve"> </w:t>
            </w:r>
            <w:r>
              <w:rPr>
                <w:rFonts w:hint="default" w:ascii="Times New Roman" w:hAnsi="Times New Roman" w:eastAsia="Times New Roman" w:cs="Times New Roman"/>
                <w:color w:val="auto"/>
                <w:spacing w:val="-2"/>
                <w:sz w:val="21"/>
                <w:szCs w:val="21"/>
                <w:highlight w:val="none"/>
              </w:rPr>
              <w:t>2g/L</w:t>
            </w:r>
            <w:r>
              <w:rPr>
                <w:rFonts w:hint="default" w:ascii="Times New Roman" w:hAnsi="Times New Roman" w:cs="Times New Roman"/>
                <w:color w:val="auto"/>
                <w:spacing w:val="-2"/>
                <w:sz w:val="21"/>
                <w:szCs w:val="21"/>
                <w:highlight w:val="none"/>
              </w:rPr>
              <w:t>进行计算，则浸泡、</w:t>
            </w:r>
            <w:r>
              <w:rPr>
                <w:rFonts w:hint="eastAsia" w:ascii="Times New Roman" w:hAnsi="Times New Roman" w:cs="Times New Roman"/>
                <w:color w:val="auto"/>
                <w:spacing w:val="-2"/>
                <w:sz w:val="21"/>
                <w:szCs w:val="21"/>
                <w:highlight w:val="none"/>
                <w:lang w:eastAsia="zh-CN"/>
              </w:rPr>
              <w:t>烘干</w:t>
            </w:r>
            <w:r>
              <w:rPr>
                <w:rFonts w:hint="default" w:ascii="Times New Roman" w:hAnsi="Times New Roman" w:cs="Times New Roman"/>
                <w:color w:val="auto"/>
                <w:spacing w:val="-2"/>
                <w:sz w:val="21"/>
                <w:szCs w:val="21"/>
                <w:highlight w:val="none"/>
              </w:rPr>
              <w:t>非甲烷总烃产生量约</w:t>
            </w:r>
            <w:r>
              <w:rPr>
                <w:rFonts w:hint="default" w:ascii="Times New Roman" w:hAnsi="Times New Roman" w:cs="Times New Roman"/>
                <w:color w:val="auto"/>
                <w:spacing w:val="-2"/>
                <w:sz w:val="21"/>
                <w:szCs w:val="21"/>
                <w:highlight w:val="none"/>
                <w:lang w:val="en-US" w:eastAsia="zh-CN"/>
              </w:rPr>
              <w:t>0.39</w:t>
            </w:r>
            <w:r>
              <w:rPr>
                <w:rFonts w:hint="default" w:ascii="Times New Roman" w:hAnsi="Times New Roman" w:cs="Times New Roman"/>
                <w:color w:val="auto"/>
                <w:spacing w:val="-51"/>
                <w:sz w:val="21"/>
                <w:szCs w:val="21"/>
                <w:highlight w:val="none"/>
                <w:lang w:val="en-US" w:eastAsia="zh-CN"/>
              </w:rPr>
              <w:t xml:space="preserve">   </w:t>
            </w:r>
            <w:r>
              <w:rPr>
                <w:rFonts w:hint="default" w:ascii="Times New Roman" w:hAnsi="Times New Roman" w:eastAsia="Times New Roman" w:cs="Times New Roman"/>
                <w:color w:val="auto"/>
                <w:spacing w:val="-2"/>
                <w:sz w:val="21"/>
                <w:szCs w:val="21"/>
                <w:highlight w:val="none"/>
              </w:rPr>
              <w:t>t/a</w:t>
            </w:r>
            <w:r>
              <w:rPr>
                <w:rFonts w:hint="default" w:ascii="Times New Roman" w:hAnsi="Times New Roman" w:cs="Times New Roman"/>
                <w:color w:val="auto"/>
                <w:spacing w:val="-2"/>
                <w:sz w:val="21"/>
                <w:szCs w:val="21"/>
                <w:highlight w:val="none"/>
              </w:rPr>
              <w:t>，产</w:t>
            </w:r>
            <w:r>
              <w:rPr>
                <w:rFonts w:hint="default" w:ascii="Times New Roman" w:hAnsi="Times New Roman" w:cs="Times New Roman"/>
                <w:color w:val="auto"/>
                <w:spacing w:val="-3"/>
                <w:sz w:val="21"/>
                <w:szCs w:val="21"/>
                <w:highlight w:val="none"/>
              </w:rPr>
              <w:t>生速率</w:t>
            </w:r>
            <w:r>
              <w:rPr>
                <w:rFonts w:hint="default" w:ascii="Times New Roman" w:hAnsi="Times New Roman" w:cs="Times New Roman"/>
                <w:color w:val="auto"/>
                <w:spacing w:val="1"/>
                <w:sz w:val="21"/>
                <w:szCs w:val="21"/>
                <w:highlight w:val="none"/>
              </w:rPr>
              <w:t>为</w:t>
            </w:r>
            <w:r>
              <w:rPr>
                <w:rFonts w:hint="default" w:ascii="Times New Roman" w:hAnsi="Times New Roman" w:cs="Times New Roman"/>
                <w:color w:val="auto"/>
                <w:spacing w:val="1"/>
                <w:sz w:val="21"/>
                <w:szCs w:val="21"/>
                <w:highlight w:val="none"/>
                <w:lang w:val="en-US" w:eastAsia="zh-CN"/>
              </w:rPr>
              <w:t>0.08</w:t>
            </w:r>
            <w:r>
              <w:rPr>
                <w:rFonts w:hint="default" w:ascii="Times New Roman" w:hAnsi="Times New Roman" w:eastAsia="Times New Roman" w:cs="Times New Roman"/>
                <w:color w:val="auto"/>
                <w:sz w:val="21"/>
                <w:szCs w:val="21"/>
                <w:highlight w:val="none"/>
              </w:rPr>
              <w:t>kg</w:t>
            </w:r>
            <w:r>
              <w:rPr>
                <w:rFonts w:hint="default" w:ascii="Times New Roman" w:hAnsi="Times New Roman" w:eastAsia="Times New Roman" w:cs="Times New Roman"/>
                <w:color w:val="auto"/>
                <w:spacing w:val="1"/>
                <w:sz w:val="21"/>
                <w:szCs w:val="21"/>
                <w:highlight w:val="none"/>
              </w:rPr>
              <w:t>/h</w:t>
            </w:r>
            <w:r>
              <w:rPr>
                <w:rFonts w:hint="default" w:ascii="Times New Roman" w:hAnsi="Times New Roman" w:eastAsia="Times New Roman" w:cs="Times New Roman"/>
                <w:color w:val="auto"/>
                <w:spacing w:val="-23"/>
                <w:sz w:val="21"/>
                <w:szCs w:val="21"/>
                <w:highlight w:val="none"/>
              </w:rPr>
              <w:t xml:space="preserve"> </w:t>
            </w:r>
            <w:r>
              <w:rPr>
                <w:rFonts w:hint="default" w:ascii="Times New Roman" w:hAnsi="Times New Roman" w:cs="Times New Roman"/>
                <w:color w:val="auto"/>
                <w:spacing w:val="1"/>
                <w:sz w:val="21"/>
                <w:szCs w:val="21"/>
                <w:highlight w:val="none"/>
              </w:rPr>
              <w:t>。本环评要求防腐及</w:t>
            </w:r>
            <w:r>
              <w:rPr>
                <w:rFonts w:hint="eastAsia" w:ascii="Times New Roman" w:hAnsi="Times New Roman" w:cs="Times New Roman"/>
                <w:color w:val="auto"/>
                <w:spacing w:val="1"/>
                <w:sz w:val="21"/>
                <w:szCs w:val="21"/>
                <w:highlight w:val="none"/>
                <w:lang w:eastAsia="zh-CN"/>
              </w:rPr>
              <w:t>烘干</w:t>
            </w:r>
            <w:r>
              <w:rPr>
                <w:rFonts w:hint="default" w:ascii="Times New Roman" w:hAnsi="Times New Roman" w:cs="Times New Roman"/>
                <w:color w:val="auto"/>
                <w:spacing w:val="1"/>
                <w:sz w:val="21"/>
                <w:szCs w:val="21"/>
                <w:highlight w:val="none"/>
              </w:rPr>
              <w:t>设置于一</w:t>
            </w:r>
            <w:r>
              <w:rPr>
                <w:rFonts w:hint="default" w:ascii="Times New Roman" w:hAnsi="Times New Roman" w:cs="Times New Roman"/>
                <w:color w:val="auto"/>
                <w:sz w:val="21"/>
                <w:szCs w:val="21"/>
                <w:highlight w:val="none"/>
              </w:rPr>
              <w:t>个封闭车间内，设一套集气罩，非甲烷总烃通过集气罩收集（</w:t>
            </w:r>
            <w:r>
              <w:rPr>
                <w:rFonts w:hint="default" w:ascii="Times New Roman" w:hAnsi="Times New Roman" w:cs="Times New Roman"/>
                <w:color w:val="auto"/>
                <w:spacing w:val="-1"/>
                <w:sz w:val="21"/>
                <w:szCs w:val="21"/>
                <w:highlight w:val="none"/>
              </w:rPr>
              <w:t>收集效率</w:t>
            </w:r>
            <w:r>
              <w:rPr>
                <w:rFonts w:hint="default" w:ascii="Times New Roman" w:hAnsi="Times New Roman" w:cs="Times New Roman"/>
                <w:color w:val="auto"/>
                <w:spacing w:val="-48"/>
                <w:sz w:val="21"/>
                <w:szCs w:val="21"/>
                <w:highlight w:val="none"/>
              </w:rPr>
              <w:t xml:space="preserve"> </w:t>
            </w:r>
            <w:r>
              <w:rPr>
                <w:rFonts w:hint="default" w:ascii="Times New Roman" w:hAnsi="Times New Roman" w:eastAsia="Times New Roman" w:cs="Times New Roman"/>
                <w:color w:val="auto"/>
                <w:spacing w:val="-1"/>
                <w:sz w:val="21"/>
                <w:szCs w:val="21"/>
                <w:highlight w:val="none"/>
              </w:rPr>
              <w:t>90%</w:t>
            </w:r>
            <w:r>
              <w:rPr>
                <w:rFonts w:hint="default" w:ascii="Times New Roman" w:hAnsi="Times New Roman" w:cs="Times New Roman"/>
                <w:color w:val="auto"/>
                <w:spacing w:val="-1"/>
                <w:sz w:val="21"/>
                <w:szCs w:val="21"/>
                <w:highlight w:val="none"/>
              </w:rPr>
              <w:t>，风量为</w:t>
            </w:r>
            <w:r>
              <w:rPr>
                <w:rFonts w:hint="default" w:ascii="Times New Roman" w:hAnsi="Times New Roman" w:eastAsia="Times New Roman" w:cs="Times New Roman"/>
                <w:color w:val="auto"/>
                <w:spacing w:val="-1"/>
                <w:sz w:val="21"/>
                <w:szCs w:val="21"/>
                <w:highlight w:val="none"/>
              </w:rPr>
              <w:t>1000</w:t>
            </w:r>
            <w:r>
              <w:rPr>
                <w:rFonts w:hint="default" w:ascii="Times New Roman" w:hAnsi="Times New Roman" w:eastAsia="Times New Roman" w:cs="Times New Roman"/>
                <w:color w:val="auto"/>
                <w:spacing w:val="2"/>
                <w:sz w:val="21"/>
                <w:szCs w:val="21"/>
                <w:highlight w:val="none"/>
              </w:rPr>
              <w:t>m</w:t>
            </w:r>
            <w:r>
              <w:rPr>
                <w:rFonts w:hint="default" w:ascii="Times New Roman" w:hAnsi="Times New Roman" w:eastAsia="宋体" w:cs="Times New Roman"/>
                <w:color w:val="auto"/>
                <w:spacing w:val="2"/>
                <w:sz w:val="21"/>
                <w:szCs w:val="21"/>
                <w:highlight w:val="none"/>
                <w:vertAlign w:val="superscript"/>
                <w:lang w:val="en-US" w:eastAsia="zh-CN"/>
              </w:rPr>
              <w:t>3</w:t>
            </w:r>
            <w:r>
              <w:rPr>
                <w:rFonts w:hint="default" w:ascii="Times New Roman" w:hAnsi="Times New Roman" w:eastAsia="Times New Roman" w:cs="Times New Roman"/>
                <w:color w:val="auto"/>
                <w:spacing w:val="2"/>
                <w:sz w:val="21"/>
                <w:szCs w:val="21"/>
                <w:highlight w:val="none"/>
              </w:rPr>
              <w:t>/h</w:t>
            </w:r>
            <w:r>
              <w:rPr>
                <w:rFonts w:hint="default" w:ascii="Times New Roman" w:hAnsi="Times New Roman" w:cs="Times New Roman"/>
                <w:color w:val="auto"/>
                <w:spacing w:val="2"/>
                <w:sz w:val="21"/>
                <w:szCs w:val="21"/>
                <w:highlight w:val="none"/>
              </w:rPr>
              <w:t>）后，经一套活性炭吸附设备处理后由</w:t>
            </w:r>
            <w:r>
              <w:rPr>
                <w:rFonts w:hint="default" w:ascii="Times New Roman" w:hAnsi="Times New Roman" w:eastAsia="Times New Roman" w:cs="Times New Roman"/>
                <w:color w:val="auto"/>
                <w:spacing w:val="2"/>
                <w:sz w:val="21"/>
                <w:szCs w:val="21"/>
                <w:highlight w:val="none"/>
              </w:rPr>
              <w:t>15m</w:t>
            </w:r>
            <w:r>
              <w:rPr>
                <w:rFonts w:hint="default" w:ascii="Times New Roman" w:hAnsi="Times New Roman" w:cs="Times New Roman"/>
                <w:color w:val="auto"/>
                <w:spacing w:val="2"/>
                <w:sz w:val="21"/>
                <w:szCs w:val="21"/>
                <w:highlight w:val="none"/>
              </w:rPr>
              <w:t>排气筒（</w:t>
            </w:r>
            <w:r>
              <w:rPr>
                <w:rFonts w:hint="default" w:ascii="Times New Roman" w:hAnsi="Times New Roman" w:eastAsia="Times New Roman" w:cs="Times New Roman"/>
                <w:color w:val="auto"/>
                <w:sz w:val="21"/>
                <w:szCs w:val="21"/>
                <w:highlight w:val="none"/>
              </w:rPr>
              <w:t>DA</w:t>
            </w:r>
            <w:r>
              <w:rPr>
                <w:rFonts w:hint="default" w:ascii="Times New Roman" w:hAnsi="Times New Roman" w:eastAsia="Times New Roman" w:cs="Times New Roman"/>
                <w:color w:val="auto"/>
                <w:spacing w:val="2"/>
                <w:sz w:val="21"/>
                <w:szCs w:val="21"/>
                <w:highlight w:val="none"/>
              </w:rPr>
              <w:t>00</w:t>
            </w:r>
            <w:r>
              <w:rPr>
                <w:rFonts w:hint="eastAsia" w:ascii="Times New Roman" w:hAnsi="Times New Roman" w:eastAsia="宋体" w:cs="Times New Roman"/>
                <w:color w:val="auto"/>
                <w:spacing w:val="2"/>
                <w:sz w:val="21"/>
                <w:szCs w:val="21"/>
                <w:highlight w:val="none"/>
                <w:lang w:val="en-US" w:eastAsia="zh-CN"/>
              </w:rPr>
              <w:t>1</w:t>
            </w:r>
            <w:r>
              <w:rPr>
                <w:rFonts w:hint="default" w:ascii="Times New Roman" w:hAnsi="Times New Roman" w:cs="Times New Roman"/>
                <w:color w:val="auto"/>
                <w:spacing w:val="2"/>
                <w:sz w:val="21"/>
                <w:szCs w:val="21"/>
                <w:highlight w:val="none"/>
              </w:rPr>
              <w:t>）排放，</w:t>
            </w:r>
            <w:r>
              <w:rPr>
                <w:rFonts w:hint="default" w:ascii="Times New Roman" w:hAnsi="Times New Roman" w:cs="Times New Roman"/>
                <w:color w:val="auto"/>
                <w:spacing w:val="-1"/>
                <w:sz w:val="21"/>
                <w:szCs w:val="21"/>
                <w:highlight w:val="none"/>
              </w:rPr>
              <w:t>活性炭吸附去除效率为</w:t>
            </w:r>
            <w:r>
              <w:rPr>
                <w:rFonts w:hint="default" w:ascii="Times New Roman" w:hAnsi="Times New Roman" w:cs="Times New Roman"/>
                <w:color w:val="auto"/>
                <w:spacing w:val="-1"/>
                <w:sz w:val="21"/>
                <w:szCs w:val="21"/>
                <w:highlight w:val="none"/>
                <w:lang w:val="en-US" w:eastAsia="zh-CN"/>
              </w:rPr>
              <w:t>90</w:t>
            </w:r>
            <w:r>
              <w:rPr>
                <w:rFonts w:hint="default" w:ascii="Times New Roman" w:hAnsi="Times New Roman" w:eastAsia="Times New Roman" w:cs="Times New Roman"/>
                <w:color w:val="auto"/>
                <w:spacing w:val="-1"/>
                <w:sz w:val="21"/>
                <w:szCs w:val="21"/>
                <w:highlight w:val="none"/>
              </w:rPr>
              <w:t>%</w:t>
            </w:r>
            <w:r>
              <w:rPr>
                <w:rFonts w:hint="default" w:ascii="Times New Roman" w:hAnsi="Times New Roman" w:cs="Times New Roman"/>
                <w:color w:val="auto"/>
                <w:spacing w:val="-2"/>
                <w:sz w:val="21"/>
                <w:szCs w:val="21"/>
                <w:highlight w:val="none"/>
              </w:rPr>
              <w:t>。</w:t>
            </w:r>
            <w:r>
              <w:rPr>
                <w:rFonts w:hint="default" w:ascii="Times New Roman" w:hAnsi="Times New Roman" w:cs="Times New Roman"/>
                <w:color w:val="auto"/>
                <w:spacing w:val="-2"/>
                <w:sz w:val="21"/>
                <w:szCs w:val="21"/>
                <w:highlight w:val="none"/>
                <w:lang w:val="en-US" w:eastAsia="zh-CN"/>
              </w:rPr>
              <w:t>有组织排放量为0.035t/a，排放速率为0.007</w:t>
            </w:r>
            <w:r>
              <w:rPr>
                <w:rFonts w:hint="default" w:ascii="Times New Roman" w:hAnsi="Times New Roman" w:eastAsia="宋体" w:cs="Times New Roman"/>
                <w:color w:val="auto"/>
                <w:spacing w:val="-3"/>
                <w:sz w:val="21"/>
                <w:szCs w:val="21"/>
                <w:highlight w:val="none"/>
              </w:rPr>
              <w:t>kg/h</w:t>
            </w:r>
            <w:r>
              <w:rPr>
                <w:rFonts w:hint="default" w:ascii="Times New Roman" w:hAnsi="Times New Roman" w:cs="Times New Roman"/>
                <w:color w:val="auto"/>
                <w:spacing w:val="-2"/>
                <w:sz w:val="21"/>
                <w:szCs w:val="21"/>
                <w:highlight w:val="none"/>
                <w:lang w:val="en-US" w:eastAsia="zh-CN"/>
              </w:rPr>
              <w:t>，排放浓度为7.4mg/m</w:t>
            </w:r>
            <w:r>
              <w:rPr>
                <w:rFonts w:hint="default" w:ascii="Times New Roman" w:hAnsi="Times New Roman" w:cs="Times New Roman"/>
                <w:color w:val="auto"/>
                <w:spacing w:val="-2"/>
                <w:sz w:val="21"/>
                <w:szCs w:val="21"/>
                <w:highlight w:val="none"/>
                <w:vertAlign w:val="superscript"/>
                <w:lang w:val="en-US" w:eastAsia="zh-CN"/>
              </w:rPr>
              <w:t>3</w:t>
            </w:r>
            <w:r>
              <w:rPr>
                <w:rFonts w:hint="default" w:ascii="Times New Roman" w:hAnsi="Times New Roman" w:cs="Times New Roman"/>
                <w:color w:val="auto"/>
                <w:spacing w:val="-2"/>
                <w:sz w:val="21"/>
                <w:szCs w:val="21"/>
                <w:highlight w:val="none"/>
                <w:lang w:val="en-US" w:eastAsia="zh-CN"/>
              </w:rPr>
              <w:t>。无组织排放量为0.039t/a，排放速率为0.008</w:t>
            </w:r>
            <w:r>
              <w:rPr>
                <w:rFonts w:hint="default" w:ascii="Times New Roman" w:hAnsi="Times New Roman" w:eastAsia="宋体" w:cs="Times New Roman"/>
                <w:color w:val="auto"/>
                <w:spacing w:val="-3"/>
                <w:sz w:val="21"/>
                <w:szCs w:val="21"/>
                <w:highlight w:val="none"/>
              </w:rPr>
              <w:t>kg/h</w:t>
            </w:r>
            <w:r>
              <w:rPr>
                <w:rFonts w:hint="default" w:ascii="Times New Roman" w:hAnsi="Times New Roman" w:cs="Times New Roman"/>
                <w:color w:val="auto"/>
                <w:spacing w:val="-2"/>
                <w:sz w:val="21"/>
                <w:szCs w:val="21"/>
                <w:highlight w:val="none"/>
                <w:lang w:val="en-US" w:eastAsia="zh-CN"/>
              </w:rPr>
              <w:t>。</w:t>
            </w:r>
          </w:p>
          <w:p w14:paraId="3EDB85B3">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32"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spacing w:val="3"/>
                <w:sz w:val="21"/>
                <w:szCs w:val="21"/>
                <w:highlight w:val="none"/>
              </w:rPr>
              <w:t>由上表可知，项目非甲烷总烃排放浓度能达到《大气污染物</w:t>
            </w:r>
            <w:r>
              <w:rPr>
                <w:rFonts w:hint="default" w:ascii="Times New Roman" w:hAnsi="Times New Roman" w:cs="Times New Roman"/>
                <w:color w:val="auto"/>
                <w:spacing w:val="2"/>
                <w:sz w:val="21"/>
                <w:szCs w:val="21"/>
                <w:highlight w:val="none"/>
              </w:rPr>
              <w:t>综合排放标准》</w:t>
            </w:r>
            <w:r>
              <w:rPr>
                <w:rFonts w:hint="default" w:ascii="Times New Roman" w:hAnsi="Times New Roman" w:cs="Times New Roman"/>
                <w:color w:val="auto"/>
                <w:sz w:val="21"/>
                <w:szCs w:val="21"/>
                <w:highlight w:val="none"/>
              </w:rPr>
              <w:t xml:space="preserve"> </w:t>
            </w:r>
            <w:r>
              <w:rPr>
                <w:rFonts w:hint="eastAsia" w:ascii="Times New Roman" w:hAnsi="Times New Roman" w:cs="Times New Roman"/>
                <w:color w:val="auto"/>
                <w:sz w:val="21"/>
                <w:szCs w:val="21"/>
                <w:highlight w:val="none"/>
                <w:lang w:eastAsia="zh-CN"/>
              </w:rPr>
              <w:t>（</w:t>
            </w:r>
            <w:r>
              <w:rPr>
                <w:rFonts w:hint="default" w:ascii="Times New Roman" w:hAnsi="Times New Roman" w:eastAsia="Times New Roman" w:cs="Times New Roman"/>
                <w:color w:val="auto"/>
                <w:spacing w:val="-3"/>
                <w:sz w:val="21"/>
                <w:szCs w:val="21"/>
                <w:highlight w:val="none"/>
              </w:rPr>
              <w:t>GB16297-</w:t>
            </w:r>
            <w:r>
              <w:rPr>
                <w:rFonts w:hint="default" w:ascii="Times New Roman" w:hAnsi="Times New Roman" w:eastAsia="Times New Roman" w:cs="Times New Roman"/>
                <w:color w:val="auto"/>
                <w:spacing w:val="-13"/>
                <w:sz w:val="21"/>
                <w:szCs w:val="21"/>
                <w:highlight w:val="none"/>
              </w:rPr>
              <w:t xml:space="preserve"> </w:t>
            </w:r>
            <w:r>
              <w:rPr>
                <w:rFonts w:hint="default" w:ascii="Times New Roman" w:hAnsi="Times New Roman" w:eastAsia="Times New Roman" w:cs="Times New Roman"/>
                <w:color w:val="auto"/>
                <w:spacing w:val="-3"/>
                <w:sz w:val="21"/>
                <w:szCs w:val="21"/>
                <w:highlight w:val="none"/>
              </w:rPr>
              <w:t>1996</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pacing w:val="-3"/>
                <w:sz w:val="21"/>
                <w:szCs w:val="21"/>
                <w:highlight w:val="none"/>
              </w:rPr>
              <w:t>中表</w:t>
            </w:r>
            <w:r>
              <w:rPr>
                <w:rFonts w:hint="default" w:ascii="Times New Roman" w:hAnsi="Times New Roman" w:cs="Times New Roman"/>
                <w:color w:val="auto"/>
                <w:spacing w:val="-55"/>
                <w:sz w:val="21"/>
                <w:szCs w:val="21"/>
                <w:highlight w:val="none"/>
              </w:rPr>
              <w:t xml:space="preserve"> </w:t>
            </w:r>
            <w:r>
              <w:rPr>
                <w:rFonts w:hint="default" w:ascii="Times New Roman" w:hAnsi="Times New Roman" w:eastAsia="Times New Roman" w:cs="Times New Roman"/>
                <w:color w:val="auto"/>
                <w:spacing w:val="-3"/>
                <w:sz w:val="21"/>
                <w:szCs w:val="21"/>
                <w:highlight w:val="none"/>
              </w:rPr>
              <w:t>2</w:t>
            </w:r>
            <w:r>
              <w:rPr>
                <w:rFonts w:hint="default" w:ascii="Times New Roman" w:hAnsi="Times New Roman" w:cs="Times New Roman"/>
                <w:color w:val="auto"/>
                <w:spacing w:val="-3"/>
                <w:sz w:val="21"/>
                <w:szCs w:val="21"/>
                <w:highlight w:val="none"/>
              </w:rPr>
              <w:t>标准中有组织排放限值要求，厂内浓度能满足《挥发性有机</w:t>
            </w:r>
            <w:r>
              <w:rPr>
                <w:rFonts w:hint="default" w:ascii="Times New Roman" w:hAnsi="Times New Roman" w:cs="Times New Roman"/>
                <w:color w:val="auto"/>
                <w:sz w:val="21"/>
                <w:szCs w:val="21"/>
                <w:highlight w:val="none"/>
              </w:rPr>
              <w:t>物无组织排放控制标准》（</w:t>
            </w:r>
            <w:r>
              <w:rPr>
                <w:rFonts w:hint="default" w:ascii="Times New Roman" w:hAnsi="Times New Roman" w:eastAsia="Times New Roman" w:cs="Times New Roman"/>
                <w:color w:val="auto"/>
                <w:sz w:val="21"/>
                <w:szCs w:val="21"/>
                <w:highlight w:val="none"/>
              </w:rPr>
              <w:t>GB37822-</w:t>
            </w:r>
            <w:r>
              <w:rPr>
                <w:rFonts w:hint="default" w:ascii="Times New Roman" w:hAnsi="Times New Roman" w:eastAsia="Times New Roman" w:cs="Times New Roman"/>
                <w:color w:val="auto"/>
                <w:spacing w:val="-1"/>
                <w:sz w:val="21"/>
                <w:szCs w:val="21"/>
                <w:highlight w:val="none"/>
              </w:rPr>
              <w:t>2019</w:t>
            </w:r>
            <w:r>
              <w:rPr>
                <w:rFonts w:hint="default" w:ascii="Times New Roman" w:hAnsi="Times New Roman" w:cs="Times New Roman"/>
                <w:color w:val="auto"/>
                <w:spacing w:val="-1"/>
                <w:sz w:val="21"/>
                <w:szCs w:val="21"/>
                <w:highlight w:val="none"/>
              </w:rPr>
              <w:t>）标准要求。</w:t>
            </w:r>
          </w:p>
          <w:p w14:paraId="03A19B82">
            <w:pPr>
              <w:keepNext w:val="0"/>
              <w:keepLines w:val="0"/>
              <w:pageBreakBefore w:val="0"/>
              <w:widowControl w:val="0"/>
              <w:kinsoku/>
              <w:wordWrap/>
              <w:overflowPunct/>
              <w:topLinePunct w:val="0"/>
              <w:autoSpaceDE/>
              <w:autoSpaceDN/>
              <w:bidi w:val="0"/>
              <w:adjustRightInd/>
              <w:snapToGrid/>
              <w:spacing w:line="360" w:lineRule="auto"/>
              <w:ind w:left="0" w:leftChars="0" w:firstLine="422" w:firstLineChars="200"/>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非正常</w:t>
            </w:r>
            <w:r>
              <w:rPr>
                <w:rFonts w:hint="default" w:ascii="Times New Roman" w:hAnsi="Times New Roman" w:cs="Times New Roman"/>
                <w:b/>
                <w:bCs/>
                <w:color w:val="auto"/>
                <w:sz w:val="21"/>
                <w:szCs w:val="21"/>
                <w:highlight w:val="none"/>
                <w:lang w:eastAsia="zh-CN"/>
              </w:rPr>
              <w:t>工况：</w:t>
            </w:r>
          </w:p>
          <w:p w14:paraId="27139B0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锅炉除尘系统发生故障，布袋破损，除尘效率降至90%；车间除尘系统发生故障，布袋破损，除尘效率降至80%；</w:t>
            </w:r>
            <w:r>
              <w:rPr>
                <w:rFonts w:hint="eastAsia" w:cs="Times New Roman"/>
                <w:color w:val="auto"/>
                <w:sz w:val="21"/>
                <w:szCs w:val="21"/>
                <w:highlight w:val="none"/>
                <w:lang w:val="en-US" w:eastAsia="zh-CN"/>
              </w:rPr>
              <w:t>活性炭失效，去除效率降至60%。</w:t>
            </w:r>
            <w:r>
              <w:rPr>
                <w:rFonts w:hint="default" w:ascii="Times New Roman" w:hAnsi="Times New Roman" w:cs="Times New Roman"/>
                <w:color w:val="auto"/>
                <w:sz w:val="21"/>
                <w:szCs w:val="21"/>
                <w:highlight w:val="none"/>
                <w:lang w:val="en-US" w:eastAsia="zh-CN"/>
              </w:rPr>
              <w:t>每次污染物非正常排放情况发生时间不超过0.5小时，每年发生次数不超过5次。非正常工况下源强见表4-4。</w:t>
            </w:r>
          </w:p>
          <w:p w14:paraId="79E7A698">
            <w:pPr>
              <w:pStyle w:val="10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p>
          <w:p w14:paraId="727BB83C">
            <w:pPr>
              <w:pStyle w:val="10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p>
          <w:p w14:paraId="5E17F877">
            <w:pPr>
              <w:pStyle w:val="10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p>
          <w:p w14:paraId="337C270D">
            <w:pPr>
              <w:pStyle w:val="10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p>
          <w:p w14:paraId="76DD1E93">
            <w:pPr>
              <w:pStyle w:val="10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r>
              <w:rPr>
                <w:rFonts w:hint="default" w:ascii="Times New Roman" w:hAnsi="Times New Roman" w:eastAsia="宋体" w:cs="Times New Roman"/>
                <w:b/>
                <w:bCs/>
                <w:color w:val="auto"/>
                <w:spacing w:val="6"/>
                <w:sz w:val="21"/>
                <w:szCs w:val="21"/>
                <w:highlight w:val="none"/>
              </w:rPr>
              <w:t>表4-</w:t>
            </w:r>
            <w:r>
              <w:rPr>
                <w:rFonts w:hint="default" w:ascii="Times New Roman" w:hAnsi="Times New Roman" w:eastAsia="宋体" w:cs="Times New Roman"/>
                <w:b/>
                <w:bCs/>
                <w:color w:val="auto"/>
                <w:spacing w:val="6"/>
                <w:sz w:val="21"/>
                <w:szCs w:val="21"/>
                <w:highlight w:val="none"/>
                <w:lang w:val="en-US" w:eastAsia="zh-CN"/>
              </w:rPr>
              <w:t>4</w:t>
            </w:r>
            <w:r>
              <w:rPr>
                <w:rFonts w:hint="default" w:ascii="Times New Roman" w:hAnsi="Times New Roman" w:eastAsia="宋体" w:cs="Times New Roman"/>
                <w:b/>
                <w:bCs/>
                <w:color w:val="auto"/>
                <w:spacing w:val="6"/>
                <w:sz w:val="21"/>
                <w:szCs w:val="21"/>
                <w:highlight w:val="none"/>
              </w:rPr>
              <w:t>非正常排放参数表</w:t>
            </w:r>
          </w:p>
          <w:tbl>
            <w:tblPr>
              <w:tblStyle w:val="32"/>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566"/>
              <w:gridCol w:w="913"/>
              <w:gridCol w:w="875"/>
              <w:gridCol w:w="1177"/>
              <w:gridCol w:w="1033"/>
              <w:gridCol w:w="922"/>
              <w:gridCol w:w="1457"/>
            </w:tblGrid>
            <w:tr w14:paraId="4ED899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85" w:type="pct"/>
                  <w:tcBorders>
                    <w:tl2br w:val="nil"/>
                    <w:tr2bl w:val="nil"/>
                  </w:tcBorders>
                  <w:noWrap w:val="0"/>
                  <w:vAlign w:val="center"/>
                </w:tcPr>
                <w:p w14:paraId="7FAB570D">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非正常排放源</w:t>
                  </w:r>
                </w:p>
              </w:tc>
              <w:tc>
                <w:tcPr>
                  <w:tcW w:w="574" w:type="pct"/>
                  <w:tcBorders>
                    <w:tl2br w:val="nil"/>
                    <w:tr2bl w:val="nil"/>
                  </w:tcBorders>
                  <w:noWrap w:val="0"/>
                  <w:vAlign w:val="center"/>
                </w:tcPr>
                <w:p w14:paraId="67CFC954">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非正常排放原因</w:t>
                  </w:r>
                </w:p>
              </w:tc>
              <w:tc>
                <w:tcPr>
                  <w:tcW w:w="550" w:type="pct"/>
                  <w:tcBorders>
                    <w:tl2br w:val="nil"/>
                    <w:tr2bl w:val="nil"/>
                  </w:tcBorders>
                  <w:noWrap w:val="0"/>
                  <w:vAlign w:val="center"/>
                </w:tcPr>
                <w:p w14:paraId="6DAA8749">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污染物</w:t>
                  </w:r>
                </w:p>
              </w:tc>
              <w:tc>
                <w:tcPr>
                  <w:tcW w:w="740" w:type="pct"/>
                  <w:tcBorders>
                    <w:tl2br w:val="nil"/>
                    <w:tr2bl w:val="nil"/>
                  </w:tcBorders>
                  <w:noWrap w:val="0"/>
                  <w:vAlign w:val="center"/>
                </w:tcPr>
                <w:p w14:paraId="34371AD7">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非正常排</w:t>
                  </w:r>
                  <w:r>
                    <w:rPr>
                      <w:rFonts w:hint="default" w:ascii="Times New Roman" w:hAnsi="Times New Roman" w:cs="Times New Roman"/>
                      <w:color w:val="auto"/>
                      <w:sz w:val="18"/>
                      <w:szCs w:val="18"/>
                      <w:highlight w:val="none"/>
                      <w:lang w:eastAsia="zh-CN"/>
                    </w:rPr>
                    <w:t>放</w:t>
                  </w:r>
                  <w:r>
                    <w:rPr>
                      <w:rFonts w:hint="default" w:ascii="Times New Roman" w:hAnsi="Times New Roman" w:cs="Times New Roman"/>
                      <w:color w:val="auto"/>
                      <w:sz w:val="18"/>
                      <w:szCs w:val="18"/>
                      <w:highlight w:val="none"/>
                    </w:rPr>
                    <w:t>速率kg/h</w:t>
                  </w:r>
                </w:p>
              </w:tc>
              <w:tc>
                <w:tcPr>
                  <w:tcW w:w="650" w:type="pct"/>
                  <w:tcBorders>
                    <w:tl2br w:val="nil"/>
                    <w:tr2bl w:val="nil"/>
                  </w:tcBorders>
                  <w:noWrap w:val="0"/>
                  <w:vAlign w:val="center"/>
                </w:tcPr>
                <w:p w14:paraId="0BBE5056">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单次持续时间/h</w:t>
                  </w:r>
                </w:p>
              </w:tc>
              <w:tc>
                <w:tcPr>
                  <w:tcW w:w="580" w:type="pct"/>
                  <w:tcBorders>
                    <w:tl2br w:val="nil"/>
                    <w:tr2bl w:val="nil"/>
                  </w:tcBorders>
                  <w:noWrap w:val="0"/>
                  <w:vAlign w:val="center"/>
                </w:tcPr>
                <w:p w14:paraId="3F2B274F">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年发生频次/次</w:t>
                  </w:r>
                </w:p>
              </w:tc>
              <w:tc>
                <w:tcPr>
                  <w:tcW w:w="917" w:type="pct"/>
                  <w:tcBorders>
                    <w:tl2br w:val="nil"/>
                    <w:tr2bl w:val="nil"/>
                  </w:tcBorders>
                  <w:noWrap w:val="0"/>
                  <w:vAlign w:val="center"/>
                </w:tcPr>
                <w:p w14:paraId="7309DC7A">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应对措施</w:t>
                  </w:r>
                </w:p>
              </w:tc>
            </w:tr>
            <w:tr w14:paraId="186E88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85" w:type="pct"/>
                  <w:tcBorders>
                    <w:tl2br w:val="nil"/>
                    <w:tr2bl w:val="nil"/>
                  </w:tcBorders>
                  <w:noWrap w:val="0"/>
                  <w:vAlign w:val="center"/>
                </w:tcPr>
                <w:p w14:paraId="12DD8453">
                  <w:pPr>
                    <w:pStyle w:val="103"/>
                    <w:bidi w:val="0"/>
                    <w:rPr>
                      <w:rFonts w:hint="eastAsia"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锅炉</w:t>
                  </w:r>
                  <w:r>
                    <w:rPr>
                      <w:rFonts w:hint="eastAsia" w:cs="Times New Roman"/>
                      <w:color w:val="auto"/>
                      <w:sz w:val="18"/>
                      <w:szCs w:val="18"/>
                      <w:highlight w:val="none"/>
                      <w:lang w:val="en-US" w:eastAsia="zh-CN"/>
                    </w:rPr>
                    <w:t>烟囱</w:t>
                  </w:r>
                </w:p>
                <w:p w14:paraId="1BF43713">
                  <w:pPr>
                    <w:pStyle w:val="103"/>
                    <w:bidi w:val="0"/>
                    <w:rPr>
                      <w:rFonts w:hint="default" w:ascii="Times New Roman" w:hAnsi="Times New Roman" w:cs="Times New Roman"/>
                      <w:color w:val="auto"/>
                      <w:sz w:val="18"/>
                      <w:szCs w:val="18"/>
                      <w:highlight w:val="none"/>
                      <w:lang w:eastAsia="zh-CN"/>
                    </w:rPr>
                  </w:pPr>
                  <w:r>
                    <w:rPr>
                      <w:rFonts w:hint="eastAsia" w:cs="Times New Roman"/>
                      <w:bCs w:val="0"/>
                      <w:color w:val="auto"/>
                      <w:sz w:val="18"/>
                      <w:szCs w:val="18"/>
                      <w:highlight w:val="none"/>
                      <w:lang w:val="en-US" w:eastAsia="zh-CN"/>
                    </w:rPr>
                    <w:t>（DA002）</w:t>
                  </w:r>
                </w:p>
              </w:tc>
              <w:tc>
                <w:tcPr>
                  <w:tcW w:w="574" w:type="pct"/>
                  <w:vMerge w:val="restart"/>
                  <w:tcBorders>
                    <w:tl2br w:val="nil"/>
                    <w:tr2bl w:val="nil"/>
                  </w:tcBorders>
                  <w:noWrap w:val="0"/>
                  <w:vAlign w:val="center"/>
                </w:tcPr>
                <w:p w14:paraId="69E2D94C">
                  <w:pPr>
                    <w:pStyle w:val="103"/>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除尘器</w:t>
                  </w:r>
                </w:p>
                <w:p w14:paraId="595C9684">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滤袋破损</w:t>
                  </w:r>
                </w:p>
              </w:tc>
              <w:tc>
                <w:tcPr>
                  <w:tcW w:w="550" w:type="pct"/>
                  <w:tcBorders>
                    <w:tl2br w:val="nil"/>
                    <w:tr2bl w:val="nil"/>
                  </w:tcBorders>
                  <w:noWrap w:val="0"/>
                  <w:vAlign w:val="center"/>
                </w:tcPr>
                <w:p w14:paraId="3C8A4EC9">
                  <w:pPr>
                    <w:pStyle w:val="103"/>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颗粒物</w:t>
                  </w:r>
                </w:p>
              </w:tc>
              <w:tc>
                <w:tcPr>
                  <w:tcW w:w="740" w:type="pct"/>
                  <w:tcBorders>
                    <w:tl2br w:val="nil"/>
                    <w:tr2bl w:val="nil"/>
                  </w:tcBorders>
                  <w:noWrap w:val="0"/>
                  <w:vAlign w:val="center"/>
                </w:tcPr>
                <w:p w14:paraId="658BD746">
                  <w:pPr>
                    <w:pStyle w:val="103"/>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w:t>
                  </w:r>
                  <w:r>
                    <w:rPr>
                      <w:rFonts w:hint="eastAsia" w:cs="Times New Roman"/>
                      <w:color w:val="auto"/>
                      <w:sz w:val="18"/>
                      <w:szCs w:val="18"/>
                      <w:highlight w:val="none"/>
                      <w:lang w:val="en-US" w:eastAsia="zh-CN"/>
                    </w:rPr>
                    <w:t>162</w:t>
                  </w:r>
                </w:p>
              </w:tc>
              <w:tc>
                <w:tcPr>
                  <w:tcW w:w="650" w:type="pct"/>
                  <w:tcBorders>
                    <w:tl2br w:val="nil"/>
                    <w:tr2bl w:val="nil"/>
                  </w:tcBorders>
                  <w:noWrap w:val="0"/>
                  <w:vAlign w:val="center"/>
                </w:tcPr>
                <w:p w14:paraId="48F6BEE6">
                  <w:pPr>
                    <w:pStyle w:val="103"/>
                    <w:bidi w:val="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0.5</w:t>
                  </w:r>
                </w:p>
              </w:tc>
              <w:tc>
                <w:tcPr>
                  <w:tcW w:w="580" w:type="pct"/>
                  <w:tcBorders>
                    <w:tl2br w:val="nil"/>
                    <w:tr2bl w:val="nil"/>
                  </w:tcBorders>
                  <w:noWrap w:val="0"/>
                  <w:vAlign w:val="center"/>
                </w:tcPr>
                <w:p w14:paraId="4EC01C23">
                  <w:pPr>
                    <w:pStyle w:val="103"/>
                    <w:bidi w:val="0"/>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1</w:t>
                  </w:r>
                </w:p>
              </w:tc>
              <w:tc>
                <w:tcPr>
                  <w:tcW w:w="917" w:type="pct"/>
                  <w:tcBorders>
                    <w:tl2br w:val="nil"/>
                    <w:tr2bl w:val="nil"/>
                  </w:tcBorders>
                  <w:noWrap w:val="0"/>
                  <w:vAlign w:val="center"/>
                </w:tcPr>
                <w:p w14:paraId="3FA19E8F">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及时检修，</w:t>
                  </w:r>
                </w:p>
                <w:p w14:paraId="3CD6A716">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加强维护</w:t>
                  </w:r>
                </w:p>
              </w:tc>
            </w:tr>
            <w:tr w14:paraId="7BBD0D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85" w:type="pct"/>
                  <w:tcBorders>
                    <w:tl2br w:val="nil"/>
                    <w:tr2bl w:val="nil"/>
                  </w:tcBorders>
                  <w:noWrap w:val="0"/>
                  <w:vAlign w:val="center"/>
                </w:tcPr>
                <w:p w14:paraId="005AB591">
                  <w:pPr>
                    <w:pStyle w:val="103"/>
                    <w:bidi w:val="0"/>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val="en-US" w:eastAsia="zh-CN"/>
                    </w:rPr>
                    <w:t>生产车间排气筒</w:t>
                  </w:r>
                  <w:r>
                    <w:rPr>
                      <w:rFonts w:hint="eastAsia" w:cs="Times New Roman"/>
                      <w:bCs w:val="0"/>
                      <w:color w:val="auto"/>
                      <w:sz w:val="18"/>
                      <w:szCs w:val="18"/>
                      <w:highlight w:val="none"/>
                      <w:lang w:val="en-US" w:eastAsia="zh-CN"/>
                    </w:rPr>
                    <w:t>（DA003）</w:t>
                  </w:r>
                </w:p>
              </w:tc>
              <w:tc>
                <w:tcPr>
                  <w:tcW w:w="574" w:type="pct"/>
                  <w:vMerge w:val="continue"/>
                  <w:tcBorders>
                    <w:tl2br w:val="nil"/>
                    <w:tr2bl w:val="nil"/>
                  </w:tcBorders>
                  <w:noWrap w:val="0"/>
                  <w:vAlign w:val="center"/>
                </w:tcPr>
                <w:p w14:paraId="36743971">
                  <w:pPr>
                    <w:pStyle w:val="103"/>
                    <w:bidi w:val="0"/>
                    <w:rPr>
                      <w:rFonts w:hint="default" w:ascii="Times New Roman" w:hAnsi="Times New Roman" w:cs="Times New Roman"/>
                      <w:color w:val="auto"/>
                      <w:sz w:val="18"/>
                      <w:szCs w:val="18"/>
                      <w:highlight w:val="none"/>
                      <w:lang w:val="en-US" w:eastAsia="zh-CN"/>
                    </w:rPr>
                  </w:pPr>
                </w:p>
              </w:tc>
              <w:tc>
                <w:tcPr>
                  <w:tcW w:w="550" w:type="pct"/>
                  <w:tcBorders>
                    <w:tl2br w:val="nil"/>
                    <w:tr2bl w:val="nil"/>
                  </w:tcBorders>
                  <w:noWrap w:val="0"/>
                  <w:vAlign w:val="center"/>
                </w:tcPr>
                <w:p w14:paraId="09959BB7">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740" w:type="pct"/>
                  <w:tcBorders>
                    <w:tl2br w:val="nil"/>
                    <w:tr2bl w:val="nil"/>
                  </w:tcBorders>
                  <w:noWrap w:val="0"/>
                  <w:vAlign w:val="center"/>
                </w:tcPr>
                <w:p w14:paraId="35AADB36">
                  <w:pPr>
                    <w:pStyle w:val="103"/>
                    <w:bidi w:val="0"/>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1.417</w:t>
                  </w:r>
                </w:p>
              </w:tc>
              <w:tc>
                <w:tcPr>
                  <w:tcW w:w="650" w:type="pct"/>
                  <w:tcBorders>
                    <w:tl2br w:val="nil"/>
                    <w:tr2bl w:val="nil"/>
                  </w:tcBorders>
                  <w:noWrap w:val="0"/>
                  <w:vAlign w:val="center"/>
                </w:tcPr>
                <w:p w14:paraId="7F47090F">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0.5</w:t>
                  </w:r>
                </w:p>
              </w:tc>
              <w:tc>
                <w:tcPr>
                  <w:tcW w:w="580" w:type="pct"/>
                  <w:tcBorders>
                    <w:tl2br w:val="nil"/>
                    <w:tr2bl w:val="nil"/>
                  </w:tcBorders>
                  <w:noWrap w:val="0"/>
                  <w:vAlign w:val="center"/>
                </w:tcPr>
                <w:p w14:paraId="536C957E">
                  <w:pPr>
                    <w:pStyle w:val="103"/>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917" w:type="pct"/>
                  <w:tcBorders>
                    <w:tl2br w:val="nil"/>
                    <w:tr2bl w:val="nil"/>
                  </w:tcBorders>
                  <w:noWrap w:val="0"/>
                  <w:vAlign w:val="center"/>
                </w:tcPr>
                <w:p w14:paraId="76781FB9">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及时检修，</w:t>
                  </w:r>
                </w:p>
                <w:p w14:paraId="30201A85">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加强维护</w:t>
                  </w:r>
                </w:p>
              </w:tc>
            </w:tr>
            <w:tr w14:paraId="79B1C9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85" w:type="pct"/>
                  <w:tcBorders>
                    <w:tl2br w:val="nil"/>
                    <w:tr2bl w:val="nil"/>
                  </w:tcBorders>
                  <w:noWrap w:val="0"/>
                  <w:vAlign w:val="center"/>
                </w:tcPr>
                <w:p w14:paraId="5B0568A0">
                  <w:pPr>
                    <w:pStyle w:val="103"/>
                    <w:bidi w:val="0"/>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生产车间排气筒</w:t>
                  </w:r>
                  <w:r>
                    <w:rPr>
                      <w:rFonts w:hint="eastAsia" w:cs="Times New Roman"/>
                      <w:bCs w:val="0"/>
                      <w:color w:val="auto"/>
                      <w:sz w:val="18"/>
                      <w:szCs w:val="18"/>
                      <w:highlight w:val="none"/>
                      <w:lang w:val="en-US" w:eastAsia="zh-CN"/>
                    </w:rPr>
                    <w:t>（DA004）</w:t>
                  </w:r>
                </w:p>
              </w:tc>
              <w:tc>
                <w:tcPr>
                  <w:tcW w:w="574" w:type="pct"/>
                  <w:vMerge w:val="continue"/>
                  <w:tcBorders>
                    <w:tl2br w:val="nil"/>
                    <w:tr2bl w:val="nil"/>
                  </w:tcBorders>
                  <w:noWrap w:val="0"/>
                  <w:vAlign w:val="center"/>
                </w:tcPr>
                <w:p w14:paraId="48F9ECA9">
                  <w:pPr>
                    <w:pStyle w:val="103"/>
                    <w:bidi w:val="0"/>
                    <w:rPr>
                      <w:rFonts w:hint="default" w:ascii="Times New Roman" w:hAnsi="Times New Roman" w:cs="Times New Roman"/>
                      <w:color w:val="auto"/>
                      <w:sz w:val="18"/>
                      <w:szCs w:val="18"/>
                      <w:highlight w:val="none"/>
                      <w:lang w:val="en-US" w:eastAsia="zh-CN"/>
                    </w:rPr>
                  </w:pPr>
                </w:p>
              </w:tc>
              <w:tc>
                <w:tcPr>
                  <w:tcW w:w="550" w:type="pct"/>
                  <w:tcBorders>
                    <w:tl2br w:val="nil"/>
                    <w:tr2bl w:val="nil"/>
                  </w:tcBorders>
                  <w:noWrap w:val="0"/>
                  <w:vAlign w:val="center"/>
                </w:tcPr>
                <w:p w14:paraId="4A7B5E45">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740" w:type="pct"/>
                  <w:tcBorders>
                    <w:tl2br w:val="nil"/>
                    <w:tr2bl w:val="nil"/>
                  </w:tcBorders>
                  <w:noWrap w:val="0"/>
                  <w:vAlign w:val="center"/>
                </w:tcPr>
                <w:p w14:paraId="353C4D9C">
                  <w:pPr>
                    <w:pStyle w:val="103"/>
                    <w:bidi w:val="0"/>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1.417</w:t>
                  </w:r>
                </w:p>
              </w:tc>
              <w:tc>
                <w:tcPr>
                  <w:tcW w:w="650" w:type="pct"/>
                  <w:tcBorders>
                    <w:tl2br w:val="nil"/>
                    <w:tr2bl w:val="nil"/>
                  </w:tcBorders>
                  <w:noWrap w:val="0"/>
                  <w:vAlign w:val="center"/>
                </w:tcPr>
                <w:p w14:paraId="4E8F6B2F">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0.5</w:t>
                  </w:r>
                </w:p>
              </w:tc>
              <w:tc>
                <w:tcPr>
                  <w:tcW w:w="580" w:type="pct"/>
                  <w:tcBorders>
                    <w:tl2br w:val="nil"/>
                    <w:tr2bl w:val="nil"/>
                  </w:tcBorders>
                  <w:noWrap w:val="0"/>
                  <w:vAlign w:val="center"/>
                </w:tcPr>
                <w:p w14:paraId="3EB697AE">
                  <w:pPr>
                    <w:pStyle w:val="103"/>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917" w:type="pct"/>
                  <w:tcBorders>
                    <w:tl2br w:val="nil"/>
                    <w:tr2bl w:val="nil"/>
                  </w:tcBorders>
                  <w:noWrap w:val="0"/>
                  <w:vAlign w:val="center"/>
                </w:tcPr>
                <w:p w14:paraId="3599CD89">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及时检修，</w:t>
                  </w:r>
                </w:p>
                <w:p w14:paraId="1E266F54">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加强维护</w:t>
                  </w:r>
                </w:p>
              </w:tc>
            </w:tr>
            <w:tr w14:paraId="6AD3498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985" w:type="pct"/>
                  <w:tcBorders>
                    <w:tl2br w:val="nil"/>
                    <w:tr2bl w:val="nil"/>
                  </w:tcBorders>
                  <w:noWrap w:val="0"/>
                  <w:vAlign w:val="center"/>
                </w:tcPr>
                <w:p w14:paraId="17DC137D">
                  <w:pPr>
                    <w:pStyle w:val="103"/>
                    <w:bidi w:val="0"/>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生产车间排气筒</w:t>
                  </w:r>
                  <w:r>
                    <w:rPr>
                      <w:rFonts w:hint="eastAsia" w:cs="Times New Roman"/>
                      <w:bCs w:val="0"/>
                      <w:color w:val="auto"/>
                      <w:sz w:val="18"/>
                      <w:szCs w:val="18"/>
                      <w:highlight w:val="none"/>
                      <w:lang w:val="en-US" w:eastAsia="zh-CN"/>
                    </w:rPr>
                    <w:t>（DA001）</w:t>
                  </w:r>
                </w:p>
              </w:tc>
              <w:tc>
                <w:tcPr>
                  <w:tcW w:w="574" w:type="pct"/>
                  <w:tcBorders>
                    <w:tl2br w:val="nil"/>
                    <w:tr2bl w:val="nil"/>
                  </w:tcBorders>
                  <w:noWrap w:val="0"/>
                  <w:vAlign w:val="center"/>
                </w:tcPr>
                <w:p w14:paraId="3FA6339D">
                  <w:pPr>
                    <w:pStyle w:val="103"/>
                    <w:bidi w:val="0"/>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活性炭失效</w:t>
                  </w:r>
                </w:p>
              </w:tc>
              <w:tc>
                <w:tcPr>
                  <w:tcW w:w="550" w:type="pct"/>
                  <w:tcBorders>
                    <w:tl2br w:val="nil"/>
                    <w:tr2bl w:val="nil"/>
                  </w:tcBorders>
                  <w:noWrap w:val="0"/>
                  <w:vAlign w:val="center"/>
                </w:tcPr>
                <w:p w14:paraId="5540435F">
                  <w:pPr>
                    <w:pStyle w:val="103"/>
                    <w:bidi w:val="0"/>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有机废气</w:t>
                  </w:r>
                </w:p>
              </w:tc>
              <w:tc>
                <w:tcPr>
                  <w:tcW w:w="740" w:type="pct"/>
                  <w:tcBorders>
                    <w:tl2br w:val="nil"/>
                    <w:tr2bl w:val="nil"/>
                  </w:tcBorders>
                  <w:noWrap w:val="0"/>
                  <w:vAlign w:val="center"/>
                </w:tcPr>
                <w:p w14:paraId="02848DFD">
                  <w:pPr>
                    <w:pStyle w:val="103"/>
                    <w:bidi w:val="0"/>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0.03</w:t>
                  </w:r>
                </w:p>
              </w:tc>
              <w:tc>
                <w:tcPr>
                  <w:tcW w:w="650" w:type="pct"/>
                  <w:tcBorders>
                    <w:tl2br w:val="nil"/>
                    <w:tr2bl w:val="nil"/>
                  </w:tcBorders>
                  <w:noWrap w:val="0"/>
                  <w:vAlign w:val="center"/>
                </w:tcPr>
                <w:p w14:paraId="2564C13F">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0.5</w:t>
                  </w:r>
                </w:p>
              </w:tc>
              <w:tc>
                <w:tcPr>
                  <w:tcW w:w="580" w:type="pct"/>
                  <w:tcBorders>
                    <w:tl2br w:val="nil"/>
                    <w:tr2bl w:val="nil"/>
                  </w:tcBorders>
                  <w:noWrap w:val="0"/>
                  <w:vAlign w:val="center"/>
                </w:tcPr>
                <w:p w14:paraId="59B5FC0C">
                  <w:pPr>
                    <w:pStyle w:val="103"/>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917" w:type="pct"/>
                  <w:tcBorders>
                    <w:tl2br w:val="nil"/>
                    <w:tr2bl w:val="nil"/>
                  </w:tcBorders>
                  <w:noWrap w:val="0"/>
                  <w:vAlign w:val="center"/>
                </w:tcPr>
                <w:p w14:paraId="61707834">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及时检修，</w:t>
                  </w:r>
                </w:p>
                <w:p w14:paraId="15893EBB">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加强维护</w:t>
                  </w:r>
                </w:p>
              </w:tc>
            </w:tr>
          </w:tbl>
          <w:p w14:paraId="0D9FFB6F">
            <w:pPr>
              <w:keepNext w:val="0"/>
              <w:keepLines w:val="0"/>
              <w:pageBreakBefore w:val="0"/>
              <w:kinsoku/>
              <w:wordWrap/>
              <w:overflowPunct/>
              <w:topLinePunct w:val="0"/>
              <w:autoSpaceDE/>
              <w:autoSpaceDN/>
              <w:bidi w:val="0"/>
              <w:adjustRightInd/>
              <w:spacing w:line="360" w:lineRule="auto"/>
              <w:ind w:left="0" w:leftChars="0" w:firstLine="422" w:firstLineChars="200"/>
              <w:textAlignment w:val="auto"/>
              <w:rPr>
                <w:rFonts w:hint="default" w:ascii="Times New Roman" w:hAnsi="Times New Roman" w:cs="Times New Roman"/>
                <w:color w:val="auto"/>
                <w:sz w:val="21"/>
                <w:highlight w:val="none"/>
              </w:rPr>
            </w:pPr>
            <w:r>
              <w:rPr>
                <w:rFonts w:hint="default" w:ascii="Times New Roman" w:hAnsi="Times New Roman"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排放口基本情况</w:t>
            </w:r>
          </w:p>
          <w:p w14:paraId="1FC478E2">
            <w:pPr>
              <w:pStyle w:val="10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r>
              <w:rPr>
                <w:rFonts w:hint="default" w:ascii="Times New Roman" w:hAnsi="Times New Roman" w:eastAsia="宋体" w:cs="Times New Roman"/>
                <w:b/>
                <w:bCs/>
                <w:color w:val="auto"/>
                <w:spacing w:val="6"/>
                <w:sz w:val="21"/>
                <w:szCs w:val="21"/>
                <w:highlight w:val="none"/>
              </w:rPr>
              <w:t>表 4-</w:t>
            </w:r>
            <w:r>
              <w:rPr>
                <w:rFonts w:hint="default" w:ascii="Times New Roman" w:hAnsi="Times New Roman" w:eastAsia="宋体" w:cs="Times New Roman"/>
                <w:b/>
                <w:bCs/>
                <w:color w:val="auto"/>
                <w:spacing w:val="6"/>
                <w:sz w:val="21"/>
                <w:szCs w:val="21"/>
                <w:highlight w:val="none"/>
                <w:lang w:val="en-US" w:eastAsia="zh-CN"/>
              </w:rPr>
              <w:t>5</w:t>
            </w:r>
            <w:r>
              <w:rPr>
                <w:rFonts w:hint="default" w:ascii="Times New Roman" w:hAnsi="Times New Roman" w:eastAsia="宋体" w:cs="Times New Roman"/>
                <w:b/>
                <w:bCs/>
                <w:color w:val="auto"/>
                <w:spacing w:val="6"/>
                <w:sz w:val="21"/>
                <w:szCs w:val="21"/>
                <w:highlight w:val="none"/>
              </w:rPr>
              <w:t xml:space="preserve">  排气筒基本信息</w:t>
            </w:r>
          </w:p>
          <w:p w14:paraId="5B6BCD57">
            <w:pPr>
              <w:spacing w:line="24" w:lineRule="exact"/>
              <w:rPr>
                <w:rFonts w:hint="default" w:ascii="Times New Roman" w:hAnsi="Times New Roman" w:cs="Times New Roman"/>
                <w:color w:val="auto"/>
                <w:highlight w:val="none"/>
              </w:rPr>
            </w:pPr>
          </w:p>
          <w:tbl>
            <w:tblPr>
              <w:tblStyle w:val="101"/>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980"/>
              <w:gridCol w:w="910"/>
              <w:gridCol w:w="784"/>
              <w:gridCol w:w="1193"/>
              <w:gridCol w:w="1000"/>
              <w:gridCol w:w="837"/>
              <w:gridCol w:w="1193"/>
              <w:gridCol w:w="1048"/>
            </w:tblGrid>
            <w:tr w14:paraId="790D05F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980" w:type="dxa"/>
                  <w:vMerge w:val="restart"/>
                  <w:tcBorders>
                    <w:tl2br w:val="nil"/>
                    <w:tr2bl w:val="nil"/>
                  </w:tcBorders>
                  <w:vAlign w:val="center"/>
                </w:tcPr>
                <w:p w14:paraId="25E03F9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6"/>
                      <w:sz w:val="18"/>
                      <w:szCs w:val="18"/>
                      <w:highlight w:val="none"/>
                    </w:rPr>
                    <w:t>排气筒</w:t>
                  </w:r>
                  <w:r>
                    <w:rPr>
                      <w:rFonts w:hint="default" w:ascii="Times New Roman" w:hAnsi="Times New Roman" w:cs="Times New Roman"/>
                      <w:color w:val="auto"/>
                      <w:spacing w:val="3"/>
                      <w:sz w:val="18"/>
                      <w:szCs w:val="18"/>
                      <w:highlight w:val="none"/>
                    </w:rPr>
                    <w:t>名称</w:t>
                  </w:r>
                </w:p>
              </w:tc>
              <w:tc>
                <w:tcPr>
                  <w:tcW w:w="910" w:type="dxa"/>
                  <w:vMerge w:val="restart"/>
                  <w:tcBorders>
                    <w:tl2br w:val="nil"/>
                    <w:tr2bl w:val="nil"/>
                  </w:tcBorders>
                  <w:vAlign w:val="center"/>
                </w:tcPr>
                <w:p w14:paraId="4667078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6"/>
                      <w:sz w:val="18"/>
                      <w:szCs w:val="18"/>
                      <w:highlight w:val="none"/>
                    </w:rPr>
                    <w:t>排放口</w:t>
                  </w:r>
                  <w:r>
                    <w:rPr>
                      <w:rFonts w:hint="default" w:ascii="Times New Roman" w:hAnsi="Times New Roman" w:cs="Times New Roman"/>
                      <w:color w:val="auto"/>
                      <w:spacing w:val="3"/>
                      <w:sz w:val="18"/>
                      <w:szCs w:val="18"/>
                      <w:highlight w:val="none"/>
                    </w:rPr>
                    <w:t>编号</w:t>
                  </w:r>
                </w:p>
              </w:tc>
              <w:tc>
                <w:tcPr>
                  <w:tcW w:w="784" w:type="dxa"/>
                  <w:vMerge w:val="restart"/>
                  <w:tcBorders>
                    <w:tl2br w:val="nil"/>
                    <w:tr2bl w:val="nil"/>
                  </w:tcBorders>
                  <w:vAlign w:val="center"/>
                </w:tcPr>
                <w:p w14:paraId="7286677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类型</w:t>
                  </w:r>
                </w:p>
              </w:tc>
              <w:tc>
                <w:tcPr>
                  <w:tcW w:w="2193" w:type="dxa"/>
                  <w:gridSpan w:val="2"/>
                  <w:tcBorders>
                    <w:tl2br w:val="nil"/>
                    <w:tr2bl w:val="nil"/>
                  </w:tcBorders>
                  <w:vAlign w:val="center"/>
                </w:tcPr>
                <w:p w14:paraId="3673F8D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坐标</w:t>
                  </w:r>
                </w:p>
              </w:tc>
              <w:tc>
                <w:tcPr>
                  <w:tcW w:w="837" w:type="dxa"/>
                  <w:vMerge w:val="restart"/>
                  <w:tcBorders>
                    <w:tl2br w:val="nil"/>
                    <w:tr2bl w:val="nil"/>
                  </w:tcBorders>
                  <w:vAlign w:val="center"/>
                </w:tcPr>
                <w:p w14:paraId="4FD1273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排气筒高</w:t>
                  </w:r>
                </w:p>
                <w:p w14:paraId="2748E61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度（</w:t>
                  </w:r>
                  <w:r>
                    <w:rPr>
                      <w:rFonts w:hint="default" w:ascii="Times New Roman" w:hAnsi="Times New Roman" w:eastAsia="Times New Roman" w:cs="Times New Roman"/>
                      <w:color w:val="auto"/>
                      <w:spacing w:val="4"/>
                      <w:sz w:val="18"/>
                      <w:szCs w:val="18"/>
                      <w:highlight w:val="none"/>
                    </w:rPr>
                    <w:t>m</w:t>
                  </w:r>
                  <w:r>
                    <w:rPr>
                      <w:rFonts w:hint="default" w:ascii="Times New Roman" w:hAnsi="Times New Roman" w:cs="Times New Roman"/>
                      <w:color w:val="auto"/>
                      <w:spacing w:val="4"/>
                      <w:sz w:val="18"/>
                      <w:szCs w:val="18"/>
                      <w:highlight w:val="none"/>
                    </w:rPr>
                    <w:t>）</w:t>
                  </w:r>
                </w:p>
              </w:tc>
              <w:tc>
                <w:tcPr>
                  <w:tcW w:w="1193" w:type="dxa"/>
                  <w:vMerge w:val="restart"/>
                  <w:tcBorders>
                    <w:tl2br w:val="nil"/>
                    <w:tr2bl w:val="nil"/>
                  </w:tcBorders>
                  <w:vAlign w:val="center"/>
                </w:tcPr>
                <w:p w14:paraId="6A4D350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8"/>
                      <w:sz w:val="18"/>
                      <w:szCs w:val="18"/>
                      <w:highlight w:val="none"/>
                    </w:rPr>
                    <w:t>排气筒出口</w:t>
                  </w:r>
                </w:p>
                <w:p w14:paraId="697BF3C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内径（</w:t>
                  </w:r>
                  <w:r>
                    <w:rPr>
                      <w:rFonts w:hint="default" w:ascii="Times New Roman" w:hAnsi="Times New Roman" w:eastAsia="Times New Roman" w:cs="Times New Roman"/>
                      <w:color w:val="auto"/>
                      <w:sz w:val="18"/>
                      <w:szCs w:val="18"/>
                      <w:highlight w:val="none"/>
                    </w:rPr>
                    <w:t>m</w:t>
                  </w:r>
                  <w:r>
                    <w:rPr>
                      <w:rFonts w:hint="default" w:ascii="Times New Roman" w:hAnsi="Times New Roman" w:cs="Times New Roman"/>
                      <w:color w:val="auto"/>
                      <w:sz w:val="18"/>
                      <w:szCs w:val="18"/>
                      <w:highlight w:val="none"/>
                    </w:rPr>
                    <w:t>）</w:t>
                  </w:r>
                </w:p>
              </w:tc>
              <w:tc>
                <w:tcPr>
                  <w:tcW w:w="1048" w:type="dxa"/>
                  <w:vMerge w:val="restart"/>
                  <w:tcBorders>
                    <w:tl2br w:val="nil"/>
                    <w:tr2bl w:val="nil"/>
                  </w:tcBorders>
                  <w:vAlign w:val="center"/>
                </w:tcPr>
                <w:p w14:paraId="6D8C7B4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排气温度</w:t>
                  </w:r>
                  <w:r>
                    <w:rPr>
                      <w:rFonts w:hint="default" w:ascii="Times New Roman" w:hAnsi="Times New Roman" w:cs="Times New Roman"/>
                      <w:color w:val="auto"/>
                      <w:spacing w:val="-1"/>
                      <w:sz w:val="18"/>
                      <w:szCs w:val="18"/>
                      <w:highlight w:val="none"/>
                    </w:rPr>
                    <w:t>(℃)</w:t>
                  </w:r>
                </w:p>
              </w:tc>
            </w:tr>
            <w:tr w14:paraId="5E847C8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6" w:hRule="atLeast"/>
                <w:jc w:val="center"/>
              </w:trPr>
              <w:tc>
                <w:tcPr>
                  <w:tcW w:w="980" w:type="dxa"/>
                  <w:vMerge w:val="continue"/>
                  <w:tcBorders>
                    <w:tl2br w:val="nil"/>
                    <w:tr2bl w:val="nil"/>
                  </w:tcBorders>
                  <w:vAlign w:val="center"/>
                </w:tcPr>
                <w:p w14:paraId="49B0DAB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910" w:type="dxa"/>
                  <w:vMerge w:val="continue"/>
                  <w:tcBorders>
                    <w:tl2br w:val="nil"/>
                    <w:tr2bl w:val="nil"/>
                  </w:tcBorders>
                  <w:vAlign w:val="center"/>
                </w:tcPr>
                <w:p w14:paraId="1422ACC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784" w:type="dxa"/>
                  <w:vMerge w:val="continue"/>
                  <w:tcBorders>
                    <w:tl2br w:val="nil"/>
                    <w:tr2bl w:val="nil"/>
                  </w:tcBorders>
                  <w:vAlign w:val="center"/>
                </w:tcPr>
                <w:p w14:paraId="1AE36BA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1193" w:type="dxa"/>
                  <w:tcBorders>
                    <w:tl2br w:val="nil"/>
                    <w:tr2bl w:val="nil"/>
                  </w:tcBorders>
                  <w:vAlign w:val="center"/>
                </w:tcPr>
                <w:p w14:paraId="21561AA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rPr>
                    <w:t>经度</w:t>
                  </w:r>
                </w:p>
              </w:tc>
              <w:tc>
                <w:tcPr>
                  <w:tcW w:w="1000" w:type="dxa"/>
                  <w:tcBorders>
                    <w:tl2br w:val="nil"/>
                    <w:tr2bl w:val="nil"/>
                  </w:tcBorders>
                  <w:vAlign w:val="center"/>
                </w:tcPr>
                <w:p w14:paraId="7A0243E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纬度</w:t>
                  </w:r>
                </w:p>
              </w:tc>
              <w:tc>
                <w:tcPr>
                  <w:tcW w:w="837" w:type="dxa"/>
                  <w:vMerge w:val="continue"/>
                  <w:tcBorders>
                    <w:tl2br w:val="nil"/>
                    <w:tr2bl w:val="nil"/>
                  </w:tcBorders>
                  <w:vAlign w:val="center"/>
                </w:tcPr>
                <w:p w14:paraId="534A9FF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1193" w:type="dxa"/>
                  <w:vMerge w:val="continue"/>
                  <w:tcBorders>
                    <w:tl2br w:val="nil"/>
                    <w:tr2bl w:val="nil"/>
                  </w:tcBorders>
                  <w:vAlign w:val="center"/>
                </w:tcPr>
                <w:p w14:paraId="09A09E9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1048" w:type="dxa"/>
                  <w:vMerge w:val="continue"/>
                  <w:tcBorders>
                    <w:tl2br w:val="nil"/>
                    <w:tr2bl w:val="nil"/>
                  </w:tcBorders>
                  <w:vAlign w:val="center"/>
                </w:tcPr>
                <w:p w14:paraId="7CC6F13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r>
            <w:tr w14:paraId="4239ABB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29" w:hRule="atLeast"/>
                <w:jc w:val="center"/>
              </w:trPr>
              <w:tc>
                <w:tcPr>
                  <w:tcW w:w="980" w:type="dxa"/>
                  <w:tcBorders>
                    <w:tl2br w:val="nil"/>
                    <w:tr2bl w:val="nil"/>
                  </w:tcBorders>
                  <w:vAlign w:val="center"/>
                </w:tcPr>
                <w:p w14:paraId="1C3354DE">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锅炉</w:t>
                  </w:r>
                  <w:r>
                    <w:rPr>
                      <w:rFonts w:hint="eastAsia" w:cs="Times New Roman"/>
                      <w:color w:val="auto"/>
                      <w:sz w:val="18"/>
                      <w:szCs w:val="18"/>
                      <w:highlight w:val="none"/>
                      <w:lang w:val="en-US" w:eastAsia="zh-CN"/>
                    </w:rPr>
                    <w:t>烟囱</w:t>
                  </w:r>
                </w:p>
              </w:tc>
              <w:tc>
                <w:tcPr>
                  <w:tcW w:w="910" w:type="dxa"/>
                  <w:tcBorders>
                    <w:tl2br w:val="nil"/>
                    <w:tr2bl w:val="nil"/>
                  </w:tcBorders>
                  <w:vAlign w:val="center"/>
                </w:tcPr>
                <w:p w14:paraId="751D881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z w:val="18"/>
                      <w:szCs w:val="18"/>
                      <w:highlight w:val="none"/>
                    </w:rPr>
                    <w:t>DA</w:t>
                  </w:r>
                  <w:r>
                    <w:rPr>
                      <w:rFonts w:hint="default" w:ascii="Times New Roman" w:hAnsi="Times New Roman" w:eastAsia="Times New Roman" w:cs="Times New Roman"/>
                      <w:color w:val="auto"/>
                      <w:spacing w:val="8"/>
                      <w:sz w:val="18"/>
                      <w:szCs w:val="18"/>
                      <w:highlight w:val="none"/>
                    </w:rPr>
                    <w:t>00</w:t>
                  </w:r>
                  <w:r>
                    <w:rPr>
                      <w:rFonts w:hint="eastAsia" w:eastAsia="宋体" w:cs="Times New Roman"/>
                      <w:color w:val="auto"/>
                      <w:spacing w:val="8"/>
                      <w:sz w:val="18"/>
                      <w:szCs w:val="18"/>
                      <w:highlight w:val="none"/>
                      <w:lang w:val="en-US" w:eastAsia="zh-CN"/>
                    </w:rPr>
                    <w:t>2</w:t>
                  </w:r>
                </w:p>
              </w:tc>
              <w:tc>
                <w:tcPr>
                  <w:tcW w:w="784" w:type="dxa"/>
                  <w:tcBorders>
                    <w:tl2br w:val="nil"/>
                    <w:tr2bl w:val="nil"/>
                  </w:tcBorders>
                  <w:vAlign w:val="center"/>
                </w:tcPr>
                <w:p w14:paraId="4938185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rPr>
                    <w:t>主要</w:t>
                  </w:r>
                </w:p>
                <w:p w14:paraId="1D08A287">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排放</w:t>
                  </w:r>
                  <w:r>
                    <w:rPr>
                      <w:rFonts w:hint="default" w:ascii="Times New Roman" w:hAnsi="Times New Roman" w:cs="Times New Roman"/>
                      <w:color w:val="auto"/>
                      <w:sz w:val="18"/>
                      <w:szCs w:val="18"/>
                      <w:highlight w:val="none"/>
                    </w:rPr>
                    <w:t>口</w:t>
                  </w:r>
                </w:p>
              </w:tc>
              <w:tc>
                <w:tcPr>
                  <w:tcW w:w="1193" w:type="dxa"/>
                  <w:tcBorders>
                    <w:tl2br w:val="nil"/>
                    <w:tr2bl w:val="nil"/>
                  </w:tcBorders>
                  <w:vAlign w:val="center"/>
                </w:tcPr>
                <w:p w14:paraId="55130FB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128.11235343</w:t>
                  </w:r>
                </w:p>
              </w:tc>
              <w:tc>
                <w:tcPr>
                  <w:tcW w:w="1000" w:type="dxa"/>
                  <w:tcBorders>
                    <w:tl2br w:val="nil"/>
                    <w:tr2bl w:val="nil"/>
                  </w:tcBorders>
                  <w:vAlign w:val="center"/>
                </w:tcPr>
                <w:p w14:paraId="7451F38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46.97666036</w:t>
                  </w:r>
                </w:p>
              </w:tc>
              <w:tc>
                <w:tcPr>
                  <w:tcW w:w="837" w:type="dxa"/>
                  <w:tcBorders>
                    <w:tl2br w:val="nil"/>
                    <w:tr2bl w:val="nil"/>
                  </w:tcBorders>
                  <w:vAlign w:val="center"/>
                </w:tcPr>
                <w:p w14:paraId="4D36810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pacing w:val="3"/>
                      <w:sz w:val="18"/>
                      <w:szCs w:val="18"/>
                      <w:highlight w:val="none"/>
                    </w:rPr>
                    <w:t>40</w:t>
                  </w:r>
                </w:p>
              </w:tc>
              <w:tc>
                <w:tcPr>
                  <w:tcW w:w="1193" w:type="dxa"/>
                  <w:tcBorders>
                    <w:tl2br w:val="nil"/>
                    <w:tr2bl w:val="nil"/>
                  </w:tcBorders>
                  <w:vAlign w:val="center"/>
                </w:tcPr>
                <w:p w14:paraId="507A7F3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pacing w:val="1"/>
                      <w:sz w:val="18"/>
                      <w:szCs w:val="18"/>
                      <w:highlight w:val="none"/>
                    </w:rPr>
                    <w:t>0.</w:t>
                  </w:r>
                  <w:r>
                    <w:rPr>
                      <w:rFonts w:hint="eastAsia" w:eastAsia="宋体" w:cs="Times New Roman"/>
                      <w:color w:val="auto"/>
                      <w:spacing w:val="1"/>
                      <w:sz w:val="18"/>
                      <w:szCs w:val="18"/>
                      <w:highlight w:val="none"/>
                      <w:lang w:val="en-US" w:eastAsia="zh-CN"/>
                    </w:rPr>
                    <w:t>7</w:t>
                  </w:r>
                </w:p>
              </w:tc>
              <w:tc>
                <w:tcPr>
                  <w:tcW w:w="1048" w:type="dxa"/>
                  <w:tcBorders>
                    <w:tl2br w:val="nil"/>
                    <w:tr2bl w:val="nil"/>
                  </w:tcBorders>
                  <w:vAlign w:val="center"/>
                </w:tcPr>
                <w:p w14:paraId="2307FDF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150</w:t>
                  </w:r>
                </w:p>
              </w:tc>
            </w:tr>
            <w:tr w14:paraId="399A423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05" w:hRule="atLeast"/>
                <w:jc w:val="center"/>
              </w:trPr>
              <w:tc>
                <w:tcPr>
                  <w:tcW w:w="980" w:type="dxa"/>
                  <w:tcBorders>
                    <w:tl2br w:val="nil"/>
                    <w:tr2bl w:val="nil"/>
                  </w:tcBorders>
                  <w:vAlign w:val="center"/>
                </w:tcPr>
                <w:p w14:paraId="5279F49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eastAsia" w:ascii="Times New Roman" w:hAnsi="Times New Roman" w:cs="Times New Roman"/>
                      <w:color w:val="auto"/>
                      <w:spacing w:val="6"/>
                      <w:sz w:val="18"/>
                      <w:szCs w:val="18"/>
                      <w:highlight w:val="none"/>
                      <w:lang w:val="en-US" w:eastAsia="zh-CN"/>
                    </w:rPr>
                    <w:t>2#车间</w:t>
                  </w:r>
                  <w:r>
                    <w:rPr>
                      <w:rFonts w:hint="default" w:ascii="Times New Roman" w:hAnsi="Times New Roman" w:cs="Times New Roman"/>
                      <w:color w:val="auto"/>
                      <w:spacing w:val="6"/>
                      <w:sz w:val="18"/>
                      <w:szCs w:val="18"/>
                      <w:highlight w:val="none"/>
                    </w:rPr>
                    <w:t>有机废气排气</w:t>
                  </w:r>
                  <w:r>
                    <w:rPr>
                      <w:rFonts w:hint="default" w:ascii="Times New Roman" w:hAnsi="Times New Roman" w:cs="Times New Roman"/>
                      <w:color w:val="auto"/>
                      <w:sz w:val="18"/>
                      <w:szCs w:val="18"/>
                      <w:highlight w:val="none"/>
                    </w:rPr>
                    <w:t>筒</w:t>
                  </w:r>
                </w:p>
              </w:tc>
              <w:tc>
                <w:tcPr>
                  <w:tcW w:w="910" w:type="dxa"/>
                  <w:tcBorders>
                    <w:tl2br w:val="nil"/>
                    <w:tr2bl w:val="nil"/>
                  </w:tcBorders>
                  <w:vAlign w:val="center"/>
                </w:tcPr>
                <w:p w14:paraId="60B32A7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z w:val="18"/>
                      <w:szCs w:val="18"/>
                      <w:highlight w:val="none"/>
                    </w:rPr>
                    <w:t>DA</w:t>
                  </w:r>
                  <w:r>
                    <w:rPr>
                      <w:rFonts w:hint="default" w:ascii="Times New Roman" w:hAnsi="Times New Roman" w:eastAsia="Times New Roman" w:cs="Times New Roman"/>
                      <w:color w:val="auto"/>
                      <w:spacing w:val="8"/>
                      <w:sz w:val="18"/>
                      <w:szCs w:val="18"/>
                      <w:highlight w:val="none"/>
                    </w:rPr>
                    <w:t>00</w:t>
                  </w:r>
                  <w:r>
                    <w:rPr>
                      <w:rFonts w:hint="eastAsia" w:eastAsia="宋体" w:cs="Times New Roman"/>
                      <w:color w:val="auto"/>
                      <w:spacing w:val="8"/>
                      <w:sz w:val="18"/>
                      <w:szCs w:val="18"/>
                      <w:highlight w:val="none"/>
                      <w:lang w:val="en-US" w:eastAsia="zh-CN"/>
                    </w:rPr>
                    <w:t>1</w:t>
                  </w:r>
                </w:p>
              </w:tc>
              <w:tc>
                <w:tcPr>
                  <w:tcW w:w="784" w:type="dxa"/>
                  <w:tcBorders>
                    <w:tl2br w:val="nil"/>
                    <w:tr2bl w:val="nil"/>
                  </w:tcBorders>
                  <w:vAlign w:val="center"/>
                </w:tcPr>
                <w:p w14:paraId="424E4DA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rPr>
                    <w:t>一般</w:t>
                  </w:r>
                </w:p>
                <w:p w14:paraId="3798273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排放</w:t>
                  </w:r>
                  <w:r>
                    <w:rPr>
                      <w:rFonts w:hint="default" w:ascii="Times New Roman" w:hAnsi="Times New Roman" w:cs="Times New Roman"/>
                      <w:color w:val="auto"/>
                      <w:sz w:val="18"/>
                      <w:szCs w:val="18"/>
                      <w:highlight w:val="none"/>
                    </w:rPr>
                    <w:t>口</w:t>
                  </w:r>
                </w:p>
              </w:tc>
              <w:tc>
                <w:tcPr>
                  <w:tcW w:w="1193" w:type="dxa"/>
                  <w:tcBorders>
                    <w:tl2br w:val="nil"/>
                    <w:tr2bl w:val="nil"/>
                  </w:tcBorders>
                  <w:vAlign w:val="center"/>
                </w:tcPr>
                <w:p w14:paraId="2655650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128.11117389</w:t>
                  </w:r>
                </w:p>
              </w:tc>
              <w:tc>
                <w:tcPr>
                  <w:tcW w:w="1000" w:type="dxa"/>
                  <w:tcBorders>
                    <w:tl2br w:val="nil"/>
                    <w:tr2bl w:val="nil"/>
                  </w:tcBorders>
                  <w:vAlign w:val="center"/>
                </w:tcPr>
                <w:p w14:paraId="1B76587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46.97682181</w:t>
                  </w:r>
                </w:p>
              </w:tc>
              <w:tc>
                <w:tcPr>
                  <w:tcW w:w="837" w:type="dxa"/>
                  <w:tcBorders>
                    <w:tl2br w:val="nil"/>
                    <w:tr2bl w:val="nil"/>
                  </w:tcBorders>
                  <w:vAlign w:val="center"/>
                </w:tcPr>
                <w:p w14:paraId="6364D54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pacing w:val="-8"/>
                      <w:sz w:val="18"/>
                      <w:szCs w:val="18"/>
                      <w:highlight w:val="none"/>
                    </w:rPr>
                    <w:t>15</w:t>
                  </w:r>
                </w:p>
              </w:tc>
              <w:tc>
                <w:tcPr>
                  <w:tcW w:w="1193" w:type="dxa"/>
                  <w:tcBorders>
                    <w:tl2br w:val="nil"/>
                    <w:tr2bl w:val="nil"/>
                  </w:tcBorders>
                  <w:vAlign w:val="center"/>
                </w:tcPr>
                <w:p w14:paraId="2793B6C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pacing w:val="1"/>
                      <w:sz w:val="18"/>
                      <w:szCs w:val="18"/>
                      <w:highlight w:val="none"/>
                    </w:rPr>
                    <w:t>0.</w:t>
                  </w:r>
                  <w:r>
                    <w:rPr>
                      <w:rFonts w:hint="eastAsia" w:eastAsia="宋体" w:cs="Times New Roman"/>
                      <w:color w:val="auto"/>
                      <w:spacing w:val="1"/>
                      <w:sz w:val="18"/>
                      <w:szCs w:val="18"/>
                      <w:highlight w:val="none"/>
                      <w:lang w:val="en-US" w:eastAsia="zh-CN"/>
                    </w:rPr>
                    <w:t>3</w:t>
                  </w:r>
                </w:p>
              </w:tc>
              <w:tc>
                <w:tcPr>
                  <w:tcW w:w="1048" w:type="dxa"/>
                  <w:tcBorders>
                    <w:tl2br w:val="nil"/>
                    <w:tr2bl w:val="nil"/>
                  </w:tcBorders>
                  <w:vAlign w:val="center"/>
                </w:tcPr>
                <w:p w14:paraId="5E71E63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2"/>
                      <w:sz w:val="18"/>
                      <w:szCs w:val="18"/>
                      <w:highlight w:val="none"/>
                    </w:rPr>
                    <w:t>常温</w:t>
                  </w:r>
                </w:p>
              </w:tc>
            </w:tr>
            <w:tr w14:paraId="16FE777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6" w:hRule="atLeast"/>
                <w:jc w:val="center"/>
              </w:trPr>
              <w:tc>
                <w:tcPr>
                  <w:tcW w:w="980" w:type="dxa"/>
                  <w:tcBorders>
                    <w:tl2br w:val="nil"/>
                    <w:tr2bl w:val="nil"/>
                  </w:tcBorders>
                  <w:vAlign w:val="center"/>
                </w:tcPr>
                <w:p w14:paraId="0A1DD6B1">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val="en-US" w:eastAsia="zh-CN"/>
                    </w:rPr>
                    <w:t>生产车间排气筒</w:t>
                  </w:r>
                </w:p>
              </w:tc>
              <w:tc>
                <w:tcPr>
                  <w:tcW w:w="910" w:type="dxa"/>
                  <w:tcBorders>
                    <w:tl2br w:val="nil"/>
                    <w:tr2bl w:val="nil"/>
                  </w:tcBorders>
                  <w:vAlign w:val="center"/>
                </w:tcPr>
                <w:p w14:paraId="56F261B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z w:val="18"/>
                      <w:szCs w:val="18"/>
                      <w:highlight w:val="none"/>
                    </w:rPr>
                    <w:t>DA</w:t>
                  </w:r>
                  <w:r>
                    <w:rPr>
                      <w:rFonts w:hint="default" w:ascii="Times New Roman" w:hAnsi="Times New Roman" w:eastAsia="Times New Roman" w:cs="Times New Roman"/>
                      <w:color w:val="auto"/>
                      <w:spacing w:val="8"/>
                      <w:sz w:val="18"/>
                      <w:szCs w:val="18"/>
                      <w:highlight w:val="none"/>
                    </w:rPr>
                    <w:t>00</w:t>
                  </w:r>
                  <w:r>
                    <w:rPr>
                      <w:rFonts w:hint="eastAsia" w:eastAsia="宋体" w:cs="Times New Roman"/>
                      <w:color w:val="auto"/>
                      <w:spacing w:val="8"/>
                      <w:sz w:val="18"/>
                      <w:szCs w:val="18"/>
                      <w:highlight w:val="none"/>
                      <w:lang w:val="en-US" w:eastAsia="zh-CN"/>
                    </w:rPr>
                    <w:t>3</w:t>
                  </w:r>
                </w:p>
              </w:tc>
              <w:tc>
                <w:tcPr>
                  <w:tcW w:w="784" w:type="dxa"/>
                  <w:tcBorders>
                    <w:tl2br w:val="nil"/>
                    <w:tr2bl w:val="nil"/>
                  </w:tcBorders>
                  <w:vAlign w:val="center"/>
                </w:tcPr>
                <w:p w14:paraId="6BF4385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rPr>
                    <w:t>一般</w:t>
                  </w:r>
                </w:p>
                <w:p w14:paraId="1972E11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排放</w:t>
                  </w:r>
                  <w:r>
                    <w:rPr>
                      <w:rFonts w:hint="default" w:ascii="Times New Roman" w:hAnsi="Times New Roman" w:cs="Times New Roman"/>
                      <w:color w:val="auto"/>
                      <w:sz w:val="18"/>
                      <w:szCs w:val="18"/>
                      <w:highlight w:val="none"/>
                    </w:rPr>
                    <w:t>口</w:t>
                  </w:r>
                </w:p>
              </w:tc>
              <w:tc>
                <w:tcPr>
                  <w:tcW w:w="1193" w:type="dxa"/>
                  <w:tcBorders>
                    <w:tl2br w:val="nil"/>
                    <w:tr2bl w:val="nil"/>
                  </w:tcBorders>
                  <w:vAlign w:val="center"/>
                </w:tcPr>
                <w:p w14:paraId="1BFA153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128.11278242</w:t>
                  </w:r>
                </w:p>
              </w:tc>
              <w:tc>
                <w:tcPr>
                  <w:tcW w:w="1000" w:type="dxa"/>
                  <w:tcBorders>
                    <w:tl2br w:val="nil"/>
                    <w:tr2bl w:val="nil"/>
                  </w:tcBorders>
                  <w:vAlign w:val="center"/>
                </w:tcPr>
                <w:p w14:paraId="29F7B42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46.97707772</w:t>
                  </w:r>
                </w:p>
              </w:tc>
              <w:tc>
                <w:tcPr>
                  <w:tcW w:w="837" w:type="dxa"/>
                  <w:tcBorders>
                    <w:tl2br w:val="nil"/>
                    <w:tr2bl w:val="nil"/>
                  </w:tcBorders>
                  <w:vAlign w:val="center"/>
                </w:tcPr>
                <w:p w14:paraId="66F976B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pacing w:val="-8"/>
                      <w:sz w:val="18"/>
                      <w:szCs w:val="18"/>
                      <w:highlight w:val="none"/>
                    </w:rPr>
                    <w:t>1</w:t>
                  </w:r>
                  <w:r>
                    <w:rPr>
                      <w:rFonts w:hint="eastAsia" w:eastAsia="宋体" w:cs="Times New Roman"/>
                      <w:color w:val="auto"/>
                      <w:spacing w:val="-8"/>
                      <w:sz w:val="18"/>
                      <w:szCs w:val="18"/>
                      <w:highlight w:val="none"/>
                      <w:lang w:val="en-US" w:eastAsia="zh-CN"/>
                    </w:rPr>
                    <w:t>7</w:t>
                  </w:r>
                </w:p>
              </w:tc>
              <w:tc>
                <w:tcPr>
                  <w:tcW w:w="1193" w:type="dxa"/>
                  <w:tcBorders>
                    <w:tl2br w:val="nil"/>
                    <w:tr2bl w:val="nil"/>
                  </w:tcBorders>
                  <w:vAlign w:val="center"/>
                </w:tcPr>
                <w:p w14:paraId="526150C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pacing w:val="1"/>
                      <w:sz w:val="18"/>
                      <w:szCs w:val="18"/>
                      <w:highlight w:val="none"/>
                    </w:rPr>
                    <w:t>0.</w:t>
                  </w:r>
                  <w:r>
                    <w:rPr>
                      <w:rFonts w:hint="eastAsia" w:eastAsia="宋体" w:cs="Times New Roman"/>
                      <w:color w:val="auto"/>
                      <w:spacing w:val="1"/>
                      <w:sz w:val="18"/>
                      <w:szCs w:val="18"/>
                      <w:highlight w:val="none"/>
                      <w:lang w:val="en-US" w:eastAsia="zh-CN"/>
                    </w:rPr>
                    <w:t>3</w:t>
                  </w:r>
                </w:p>
              </w:tc>
              <w:tc>
                <w:tcPr>
                  <w:tcW w:w="1048" w:type="dxa"/>
                  <w:tcBorders>
                    <w:tl2br w:val="nil"/>
                    <w:tr2bl w:val="nil"/>
                  </w:tcBorders>
                  <w:vAlign w:val="center"/>
                </w:tcPr>
                <w:p w14:paraId="69FE39B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2"/>
                      <w:sz w:val="18"/>
                      <w:szCs w:val="18"/>
                      <w:highlight w:val="none"/>
                    </w:rPr>
                    <w:t>常温</w:t>
                  </w:r>
                </w:p>
              </w:tc>
            </w:tr>
            <w:tr w14:paraId="4088741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6" w:hRule="atLeast"/>
                <w:jc w:val="center"/>
              </w:trPr>
              <w:tc>
                <w:tcPr>
                  <w:tcW w:w="980" w:type="dxa"/>
                  <w:tcBorders>
                    <w:tl2br w:val="nil"/>
                    <w:tr2bl w:val="nil"/>
                  </w:tcBorders>
                  <w:vAlign w:val="center"/>
                </w:tcPr>
                <w:p w14:paraId="58881D48">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6"/>
                      <w:sz w:val="18"/>
                      <w:szCs w:val="18"/>
                      <w:highlight w:val="none"/>
                    </w:rPr>
                  </w:pP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生产车间排气筒</w:t>
                  </w:r>
                </w:p>
              </w:tc>
              <w:tc>
                <w:tcPr>
                  <w:tcW w:w="910" w:type="dxa"/>
                  <w:tcBorders>
                    <w:tl2br w:val="nil"/>
                    <w:tr2bl w:val="nil"/>
                  </w:tcBorders>
                  <w:vAlign w:val="center"/>
                </w:tcPr>
                <w:p w14:paraId="3A923A2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DA</w:t>
                  </w:r>
                  <w:r>
                    <w:rPr>
                      <w:rFonts w:hint="default" w:ascii="Times New Roman" w:hAnsi="Times New Roman" w:eastAsia="Times New Roman" w:cs="Times New Roman"/>
                      <w:color w:val="auto"/>
                      <w:spacing w:val="8"/>
                      <w:sz w:val="18"/>
                      <w:szCs w:val="18"/>
                      <w:highlight w:val="none"/>
                    </w:rPr>
                    <w:t>00</w:t>
                  </w:r>
                  <w:r>
                    <w:rPr>
                      <w:rFonts w:hint="eastAsia" w:eastAsia="宋体" w:cs="Times New Roman"/>
                      <w:color w:val="auto"/>
                      <w:spacing w:val="8"/>
                      <w:sz w:val="18"/>
                      <w:szCs w:val="18"/>
                      <w:highlight w:val="none"/>
                      <w:lang w:val="en-US" w:eastAsia="zh-CN"/>
                    </w:rPr>
                    <w:t>4</w:t>
                  </w:r>
                </w:p>
              </w:tc>
              <w:tc>
                <w:tcPr>
                  <w:tcW w:w="784" w:type="dxa"/>
                  <w:tcBorders>
                    <w:tl2br w:val="nil"/>
                    <w:tr2bl w:val="nil"/>
                  </w:tcBorders>
                  <w:vAlign w:val="center"/>
                </w:tcPr>
                <w:p w14:paraId="3E41427A">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rPr>
                    <w:t>一般</w:t>
                  </w:r>
                </w:p>
                <w:p w14:paraId="7CFBAE96">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4"/>
                      <w:sz w:val="18"/>
                      <w:szCs w:val="18"/>
                      <w:highlight w:val="none"/>
                    </w:rPr>
                  </w:pPr>
                  <w:r>
                    <w:rPr>
                      <w:rFonts w:hint="default" w:ascii="Times New Roman" w:hAnsi="Times New Roman" w:cs="Times New Roman"/>
                      <w:color w:val="auto"/>
                      <w:spacing w:val="4"/>
                      <w:sz w:val="18"/>
                      <w:szCs w:val="18"/>
                      <w:highlight w:val="none"/>
                    </w:rPr>
                    <w:t>排放</w:t>
                  </w:r>
                  <w:r>
                    <w:rPr>
                      <w:rFonts w:hint="default" w:ascii="Times New Roman" w:hAnsi="Times New Roman" w:cs="Times New Roman"/>
                      <w:color w:val="auto"/>
                      <w:sz w:val="18"/>
                      <w:szCs w:val="18"/>
                      <w:highlight w:val="none"/>
                    </w:rPr>
                    <w:t>口</w:t>
                  </w:r>
                </w:p>
              </w:tc>
              <w:tc>
                <w:tcPr>
                  <w:tcW w:w="1193" w:type="dxa"/>
                  <w:tcBorders>
                    <w:tl2br w:val="nil"/>
                    <w:tr2bl w:val="nil"/>
                  </w:tcBorders>
                  <w:vAlign w:val="center"/>
                </w:tcPr>
                <w:p w14:paraId="7E5F380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z w:val="18"/>
                      <w:szCs w:val="18"/>
                      <w:highlight w:val="none"/>
                    </w:rPr>
                    <w:t>128.1127824</w:t>
                  </w:r>
                  <w:r>
                    <w:rPr>
                      <w:rFonts w:hint="eastAsia" w:ascii="Times New Roman" w:hAnsi="Times New Roman" w:eastAsia="宋体" w:cs="Times New Roman"/>
                      <w:color w:val="auto"/>
                      <w:sz w:val="18"/>
                      <w:szCs w:val="18"/>
                      <w:highlight w:val="none"/>
                      <w:lang w:val="en-US" w:eastAsia="zh-CN"/>
                    </w:rPr>
                    <w:t>3</w:t>
                  </w:r>
                </w:p>
              </w:tc>
              <w:tc>
                <w:tcPr>
                  <w:tcW w:w="1000" w:type="dxa"/>
                  <w:tcBorders>
                    <w:tl2br w:val="nil"/>
                    <w:tr2bl w:val="nil"/>
                  </w:tcBorders>
                  <w:vAlign w:val="center"/>
                </w:tcPr>
                <w:p w14:paraId="14A0FBB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z w:val="18"/>
                      <w:szCs w:val="18"/>
                      <w:highlight w:val="none"/>
                    </w:rPr>
                    <w:t>46.9770777</w:t>
                  </w:r>
                  <w:r>
                    <w:rPr>
                      <w:rFonts w:hint="eastAsia" w:ascii="Times New Roman" w:hAnsi="Times New Roman" w:eastAsia="宋体" w:cs="Times New Roman"/>
                      <w:color w:val="auto"/>
                      <w:sz w:val="18"/>
                      <w:szCs w:val="18"/>
                      <w:highlight w:val="none"/>
                      <w:lang w:val="en-US" w:eastAsia="zh-CN"/>
                    </w:rPr>
                    <w:t>6</w:t>
                  </w:r>
                </w:p>
              </w:tc>
              <w:tc>
                <w:tcPr>
                  <w:tcW w:w="837" w:type="dxa"/>
                  <w:tcBorders>
                    <w:tl2br w:val="nil"/>
                    <w:tr2bl w:val="nil"/>
                  </w:tcBorders>
                  <w:vAlign w:val="center"/>
                </w:tcPr>
                <w:p w14:paraId="2A516EF9">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8"/>
                      <w:sz w:val="18"/>
                      <w:szCs w:val="18"/>
                      <w:highlight w:val="none"/>
                      <w:lang w:eastAsia="zh-CN"/>
                    </w:rPr>
                  </w:pPr>
                  <w:r>
                    <w:rPr>
                      <w:rFonts w:hint="default" w:ascii="Times New Roman" w:hAnsi="Times New Roman" w:eastAsia="Times New Roman" w:cs="Times New Roman"/>
                      <w:color w:val="auto"/>
                      <w:spacing w:val="-8"/>
                      <w:sz w:val="18"/>
                      <w:szCs w:val="18"/>
                      <w:highlight w:val="none"/>
                    </w:rPr>
                    <w:t>1</w:t>
                  </w:r>
                  <w:r>
                    <w:rPr>
                      <w:rFonts w:hint="eastAsia" w:eastAsia="宋体" w:cs="Times New Roman"/>
                      <w:color w:val="auto"/>
                      <w:spacing w:val="-8"/>
                      <w:sz w:val="18"/>
                      <w:szCs w:val="18"/>
                      <w:highlight w:val="none"/>
                      <w:lang w:val="en-US" w:eastAsia="zh-CN"/>
                    </w:rPr>
                    <w:t>7</w:t>
                  </w:r>
                </w:p>
              </w:tc>
              <w:tc>
                <w:tcPr>
                  <w:tcW w:w="1193" w:type="dxa"/>
                  <w:tcBorders>
                    <w:tl2br w:val="nil"/>
                    <w:tr2bl w:val="nil"/>
                  </w:tcBorders>
                  <w:vAlign w:val="center"/>
                </w:tcPr>
                <w:p w14:paraId="175F167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color w:val="auto"/>
                      <w:spacing w:val="1"/>
                      <w:sz w:val="18"/>
                      <w:szCs w:val="18"/>
                      <w:highlight w:val="none"/>
                    </w:rPr>
                  </w:pPr>
                  <w:r>
                    <w:rPr>
                      <w:rFonts w:hint="default" w:ascii="Times New Roman" w:hAnsi="Times New Roman" w:eastAsia="Times New Roman" w:cs="Times New Roman"/>
                      <w:color w:val="auto"/>
                      <w:spacing w:val="1"/>
                      <w:sz w:val="18"/>
                      <w:szCs w:val="18"/>
                      <w:highlight w:val="none"/>
                    </w:rPr>
                    <w:t>0.</w:t>
                  </w:r>
                  <w:r>
                    <w:rPr>
                      <w:rFonts w:hint="eastAsia" w:eastAsia="宋体" w:cs="Times New Roman"/>
                      <w:color w:val="auto"/>
                      <w:spacing w:val="1"/>
                      <w:sz w:val="18"/>
                      <w:szCs w:val="18"/>
                      <w:highlight w:val="none"/>
                      <w:lang w:val="en-US" w:eastAsia="zh-CN"/>
                    </w:rPr>
                    <w:t>3</w:t>
                  </w:r>
                </w:p>
              </w:tc>
              <w:tc>
                <w:tcPr>
                  <w:tcW w:w="1048" w:type="dxa"/>
                  <w:tcBorders>
                    <w:tl2br w:val="nil"/>
                    <w:tr2bl w:val="nil"/>
                  </w:tcBorders>
                  <w:vAlign w:val="center"/>
                </w:tcPr>
                <w:p w14:paraId="4ADF414B">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2"/>
                      <w:sz w:val="18"/>
                      <w:szCs w:val="18"/>
                      <w:highlight w:val="none"/>
                    </w:rPr>
                  </w:pPr>
                  <w:r>
                    <w:rPr>
                      <w:rFonts w:hint="default" w:ascii="Times New Roman" w:hAnsi="Times New Roman" w:cs="Times New Roman"/>
                      <w:color w:val="auto"/>
                      <w:spacing w:val="2"/>
                      <w:sz w:val="18"/>
                      <w:szCs w:val="18"/>
                      <w:highlight w:val="none"/>
                    </w:rPr>
                    <w:t>常温</w:t>
                  </w:r>
                </w:p>
              </w:tc>
            </w:tr>
          </w:tbl>
          <w:p w14:paraId="0C040069">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10"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pacing w:val="-3"/>
                <w:sz w:val="21"/>
                <w:szCs w:val="21"/>
                <w:highlight w:val="none"/>
              </w:rPr>
              <w:t>（</w:t>
            </w:r>
            <w:r>
              <w:rPr>
                <w:rFonts w:hint="default" w:ascii="Times New Roman" w:hAnsi="Times New Roman" w:cs="Times New Roman"/>
                <w:b/>
                <w:bCs/>
                <w:color w:val="auto"/>
                <w:spacing w:val="-3"/>
                <w:sz w:val="21"/>
                <w:szCs w:val="21"/>
                <w:highlight w:val="none"/>
                <w:lang w:val="en-US" w:eastAsia="zh-CN"/>
              </w:rPr>
              <w:t>3</w:t>
            </w:r>
            <w:r>
              <w:rPr>
                <w:rFonts w:hint="default" w:ascii="Times New Roman" w:hAnsi="Times New Roman" w:cs="Times New Roman"/>
                <w:b/>
                <w:bCs/>
                <w:color w:val="auto"/>
                <w:spacing w:val="-3"/>
                <w:sz w:val="21"/>
                <w:szCs w:val="21"/>
                <w:highlight w:val="none"/>
              </w:rPr>
              <w:t>）环境监测</w:t>
            </w:r>
          </w:p>
          <w:p w14:paraId="57AA2B21">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cs="Times New Roman"/>
                <w:color w:val="auto"/>
                <w:sz w:val="21"/>
                <w:szCs w:val="21"/>
                <w:highlight w:val="none"/>
              </w:rPr>
            </w:pPr>
            <w:r>
              <w:rPr>
                <w:rFonts w:hint="eastAsia" w:ascii="Times New Roman" w:hAnsi="Times New Roman" w:cs="Times New Roman"/>
                <w:color w:val="auto"/>
                <w:spacing w:val="-3"/>
                <w:sz w:val="21"/>
                <w:szCs w:val="21"/>
                <w:highlight w:val="none"/>
                <w:lang w:val="en-US" w:eastAsia="zh-CN"/>
              </w:rPr>
              <w:t>根据</w:t>
            </w:r>
            <w:r>
              <w:rPr>
                <w:rFonts w:hint="default" w:ascii="Times New Roman" w:hAnsi="Times New Roman" w:cs="Times New Roman"/>
                <w:color w:val="auto"/>
                <w:spacing w:val="-3"/>
                <w:sz w:val="21"/>
                <w:szCs w:val="21"/>
                <w:highlight w:val="none"/>
              </w:rPr>
              <w:t>《排污</w:t>
            </w:r>
            <w:r>
              <w:rPr>
                <w:rFonts w:hint="default" w:ascii="Times New Roman" w:hAnsi="Times New Roman" w:cs="Times New Roman"/>
                <w:color w:val="auto"/>
                <w:spacing w:val="-2"/>
                <w:sz w:val="21"/>
                <w:szCs w:val="21"/>
                <w:highlight w:val="none"/>
              </w:rPr>
              <w:t xml:space="preserve">单位自行监测技术指南 </w:t>
            </w:r>
            <w:r>
              <w:rPr>
                <w:rFonts w:hint="eastAsia" w:ascii="Times New Roman" w:hAnsi="Times New Roman" w:cs="Times New Roman"/>
                <w:color w:val="auto"/>
                <w:spacing w:val="-2"/>
                <w:sz w:val="21"/>
                <w:szCs w:val="21"/>
                <w:highlight w:val="none"/>
                <w:lang w:val="en-US" w:eastAsia="zh-CN"/>
              </w:rPr>
              <w:t>总则</w:t>
            </w:r>
            <w:r>
              <w:rPr>
                <w:rFonts w:hint="default" w:ascii="Times New Roman" w:hAnsi="Times New Roman" w:cs="Times New Roman"/>
                <w:color w:val="auto"/>
                <w:spacing w:val="-2"/>
                <w:sz w:val="21"/>
                <w:szCs w:val="21"/>
                <w:highlight w:val="none"/>
              </w:rPr>
              <w:t>》（</w:t>
            </w:r>
            <w:r>
              <w:rPr>
                <w:rFonts w:hint="default" w:ascii="Times New Roman" w:hAnsi="Times New Roman" w:eastAsia="Times New Roman" w:cs="Times New Roman"/>
                <w:color w:val="auto"/>
                <w:spacing w:val="-2"/>
                <w:sz w:val="21"/>
                <w:szCs w:val="21"/>
                <w:highlight w:val="none"/>
              </w:rPr>
              <w:t>HJ1</w:t>
            </w:r>
            <w:r>
              <w:rPr>
                <w:rFonts w:hint="eastAsia" w:ascii="Times New Roman" w:hAnsi="Times New Roman" w:eastAsia="宋体" w:cs="Times New Roman"/>
                <w:color w:val="auto"/>
                <w:spacing w:val="-3"/>
                <w:sz w:val="21"/>
                <w:szCs w:val="21"/>
                <w:highlight w:val="none"/>
                <w:lang w:val="en-US" w:eastAsia="zh-CN"/>
              </w:rPr>
              <w:t>819</w:t>
            </w:r>
            <w:r>
              <w:rPr>
                <w:rFonts w:hint="eastAsia" w:ascii="Times New Roman" w:hAnsi="Times New Roman" w:cs="Times New Roman"/>
                <w:color w:val="auto"/>
                <w:spacing w:val="-3"/>
                <w:sz w:val="21"/>
                <w:szCs w:val="21"/>
                <w:highlight w:val="none"/>
                <w:lang w:val="en-US" w:eastAsia="zh-CN"/>
              </w:rPr>
              <w:t>-</w:t>
            </w:r>
            <w:r>
              <w:rPr>
                <w:rFonts w:hint="default" w:ascii="Times New Roman" w:hAnsi="Times New Roman" w:eastAsia="Times New Roman" w:cs="Times New Roman"/>
                <w:color w:val="auto"/>
                <w:spacing w:val="-3"/>
                <w:sz w:val="21"/>
                <w:szCs w:val="21"/>
                <w:highlight w:val="none"/>
              </w:rPr>
              <w:t>20</w:t>
            </w:r>
            <w:r>
              <w:rPr>
                <w:rFonts w:hint="eastAsia" w:ascii="Times New Roman" w:hAnsi="Times New Roman" w:eastAsia="宋体" w:cs="Times New Roman"/>
                <w:color w:val="auto"/>
                <w:spacing w:val="-3"/>
                <w:sz w:val="21"/>
                <w:szCs w:val="21"/>
                <w:highlight w:val="none"/>
                <w:lang w:val="en-US" w:eastAsia="zh-CN"/>
              </w:rPr>
              <w:t>17</w:t>
            </w:r>
            <w:r>
              <w:rPr>
                <w:rFonts w:hint="default" w:ascii="Times New Roman" w:hAnsi="Times New Roman" w:cs="Times New Roman"/>
                <w:color w:val="auto"/>
                <w:spacing w:val="-3"/>
                <w:sz w:val="21"/>
                <w:szCs w:val="21"/>
                <w:highlight w:val="none"/>
              </w:rPr>
              <w:t>）、《排污</w:t>
            </w:r>
            <w:r>
              <w:rPr>
                <w:rFonts w:hint="default" w:ascii="Times New Roman" w:hAnsi="Times New Roman" w:cs="Times New Roman"/>
                <w:color w:val="auto"/>
                <w:spacing w:val="-2"/>
                <w:sz w:val="21"/>
                <w:szCs w:val="21"/>
                <w:highlight w:val="none"/>
              </w:rPr>
              <w:t xml:space="preserve">单位自行监测技术指南 </w:t>
            </w:r>
            <w:r>
              <w:rPr>
                <w:rFonts w:hint="eastAsia" w:ascii="Times New Roman" w:hAnsi="Times New Roman" w:cs="Times New Roman"/>
                <w:color w:val="auto"/>
                <w:spacing w:val="-2"/>
                <w:sz w:val="21"/>
                <w:szCs w:val="21"/>
                <w:highlight w:val="none"/>
                <w:lang w:val="en-US" w:eastAsia="zh-CN"/>
              </w:rPr>
              <w:t>水泥工业</w:t>
            </w:r>
            <w:r>
              <w:rPr>
                <w:rFonts w:hint="default" w:ascii="Times New Roman" w:hAnsi="Times New Roman" w:cs="Times New Roman"/>
                <w:color w:val="auto"/>
                <w:spacing w:val="-2"/>
                <w:sz w:val="21"/>
                <w:szCs w:val="21"/>
                <w:highlight w:val="none"/>
              </w:rPr>
              <w:t>》（</w:t>
            </w:r>
            <w:r>
              <w:rPr>
                <w:rFonts w:hint="default" w:ascii="Times New Roman" w:hAnsi="Times New Roman" w:eastAsia="Times New Roman" w:cs="Times New Roman"/>
                <w:color w:val="auto"/>
                <w:spacing w:val="-2"/>
                <w:sz w:val="21"/>
                <w:szCs w:val="21"/>
                <w:highlight w:val="none"/>
              </w:rPr>
              <w:t>HJ1</w:t>
            </w:r>
            <w:r>
              <w:rPr>
                <w:rFonts w:hint="eastAsia" w:ascii="Times New Roman" w:hAnsi="Times New Roman" w:eastAsia="宋体" w:cs="Times New Roman"/>
                <w:color w:val="auto"/>
                <w:spacing w:val="-3"/>
                <w:sz w:val="21"/>
                <w:szCs w:val="21"/>
                <w:highlight w:val="none"/>
                <w:lang w:val="en-US" w:eastAsia="zh-CN"/>
              </w:rPr>
              <w:t>848-</w:t>
            </w:r>
            <w:r>
              <w:rPr>
                <w:rFonts w:hint="default" w:ascii="Times New Roman" w:hAnsi="Times New Roman" w:eastAsia="Times New Roman" w:cs="Times New Roman"/>
                <w:color w:val="auto"/>
                <w:spacing w:val="-3"/>
                <w:sz w:val="21"/>
                <w:szCs w:val="21"/>
                <w:highlight w:val="none"/>
              </w:rPr>
              <w:t>20</w:t>
            </w:r>
            <w:r>
              <w:rPr>
                <w:rFonts w:hint="eastAsia" w:ascii="Times New Roman" w:hAnsi="Times New Roman" w:eastAsia="宋体" w:cs="Times New Roman"/>
                <w:color w:val="auto"/>
                <w:spacing w:val="-3"/>
                <w:sz w:val="21"/>
                <w:szCs w:val="21"/>
                <w:highlight w:val="none"/>
                <w:lang w:val="en-US" w:eastAsia="zh-CN"/>
              </w:rPr>
              <w:t>17</w:t>
            </w:r>
            <w:r>
              <w:rPr>
                <w:rFonts w:hint="default" w:ascii="Times New Roman" w:hAnsi="Times New Roman" w:cs="Times New Roman"/>
                <w:color w:val="auto"/>
                <w:spacing w:val="-3"/>
                <w:sz w:val="21"/>
                <w:szCs w:val="21"/>
                <w:highlight w:val="none"/>
              </w:rPr>
              <w:t>）、《排污</w:t>
            </w:r>
            <w:r>
              <w:rPr>
                <w:rFonts w:hint="default" w:ascii="Times New Roman" w:hAnsi="Times New Roman" w:cs="Times New Roman"/>
                <w:color w:val="auto"/>
                <w:spacing w:val="-2"/>
                <w:sz w:val="21"/>
                <w:szCs w:val="21"/>
                <w:highlight w:val="none"/>
              </w:rPr>
              <w:t>单位自行监测技术指南 砖瓦工业》（</w:t>
            </w:r>
            <w:r>
              <w:rPr>
                <w:rFonts w:hint="default" w:ascii="Times New Roman" w:hAnsi="Times New Roman" w:eastAsia="Times New Roman" w:cs="Times New Roman"/>
                <w:color w:val="auto"/>
                <w:spacing w:val="-2"/>
                <w:sz w:val="21"/>
                <w:szCs w:val="21"/>
                <w:highlight w:val="none"/>
              </w:rPr>
              <w:t>HJ1</w:t>
            </w:r>
            <w:r>
              <w:rPr>
                <w:rFonts w:hint="default" w:ascii="Times New Roman" w:hAnsi="Times New Roman" w:eastAsia="Times New Roman" w:cs="Times New Roman"/>
                <w:color w:val="auto"/>
                <w:spacing w:val="-3"/>
                <w:sz w:val="21"/>
                <w:szCs w:val="21"/>
                <w:highlight w:val="none"/>
              </w:rPr>
              <w:t>254</w:t>
            </w:r>
            <w:r>
              <w:rPr>
                <w:rFonts w:hint="eastAsia" w:ascii="Times New Roman" w:hAnsi="Times New Roman" w:eastAsia="宋体" w:cs="Times New Roman"/>
                <w:color w:val="auto"/>
                <w:spacing w:val="-3"/>
                <w:sz w:val="21"/>
                <w:szCs w:val="21"/>
                <w:highlight w:val="none"/>
                <w:lang w:val="en-US" w:eastAsia="zh-CN"/>
              </w:rPr>
              <w:t>-</w:t>
            </w:r>
            <w:r>
              <w:rPr>
                <w:rFonts w:hint="default" w:ascii="Times New Roman" w:hAnsi="Times New Roman" w:eastAsia="Times New Roman" w:cs="Times New Roman"/>
                <w:color w:val="auto"/>
                <w:spacing w:val="-3"/>
                <w:sz w:val="21"/>
                <w:szCs w:val="21"/>
                <w:highlight w:val="none"/>
              </w:rPr>
              <w:t>2022</w:t>
            </w:r>
            <w:r>
              <w:rPr>
                <w:rFonts w:hint="default" w:ascii="Times New Roman" w:hAnsi="Times New Roman" w:cs="Times New Roman"/>
                <w:color w:val="auto"/>
                <w:spacing w:val="-3"/>
                <w:sz w:val="21"/>
                <w:szCs w:val="21"/>
                <w:highlight w:val="none"/>
              </w:rPr>
              <w:t>）、《排污单位自行监测技术</w:t>
            </w:r>
            <w:r>
              <w:rPr>
                <w:rFonts w:hint="default" w:ascii="Times New Roman" w:hAnsi="Times New Roman" w:cs="Times New Roman"/>
                <w:color w:val="auto"/>
                <w:spacing w:val="-2"/>
                <w:sz w:val="21"/>
                <w:szCs w:val="21"/>
                <w:highlight w:val="none"/>
              </w:rPr>
              <w:t>指南</w:t>
            </w:r>
            <w:r>
              <w:rPr>
                <w:rFonts w:hint="default" w:ascii="Times New Roman" w:hAnsi="Times New Roman" w:cs="Times New Roman"/>
                <w:color w:val="auto"/>
                <w:spacing w:val="-2"/>
                <w:sz w:val="21"/>
                <w:szCs w:val="21"/>
                <w:highlight w:val="none"/>
                <w:lang w:val="en-US" w:eastAsia="zh-CN"/>
              </w:rPr>
              <w:t>；火力发电及</w:t>
            </w:r>
            <w:r>
              <w:rPr>
                <w:rFonts w:hint="default" w:ascii="Times New Roman" w:hAnsi="Times New Roman" w:cs="Times New Roman"/>
                <w:color w:val="auto"/>
                <w:spacing w:val="-2"/>
                <w:sz w:val="21"/>
                <w:szCs w:val="21"/>
                <w:highlight w:val="none"/>
              </w:rPr>
              <w:t>锅炉》（</w:t>
            </w:r>
            <w:r>
              <w:rPr>
                <w:rFonts w:hint="default" w:ascii="Times New Roman" w:hAnsi="Times New Roman" w:eastAsia="Times New Roman" w:cs="Times New Roman"/>
                <w:color w:val="auto"/>
                <w:spacing w:val="-2"/>
                <w:sz w:val="21"/>
                <w:szCs w:val="21"/>
                <w:highlight w:val="none"/>
              </w:rPr>
              <w:t>HJ820-2017</w:t>
            </w:r>
            <w:r>
              <w:rPr>
                <w:rFonts w:hint="default" w:ascii="Times New Roman" w:hAnsi="Times New Roman" w:cs="Times New Roman"/>
                <w:color w:val="auto"/>
                <w:spacing w:val="-15"/>
                <w:sz w:val="21"/>
                <w:szCs w:val="21"/>
                <w:highlight w:val="none"/>
              </w:rPr>
              <w:t>）</w:t>
            </w:r>
            <w:r>
              <w:rPr>
                <w:rFonts w:hint="default" w:ascii="Times New Roman" w:hAnsi="Times New Roman" w:cs="Times New Roman"/>
                <w:color w:val="auto"/>
                <w:spacing w:val="-22"/>
                <w:sz w:val="21"/>
                <w:szCs w:val="21"/>
                <w:highlight w:val="none"/>
              </w:rPr>
              <w:t xml:space="preserve"> </w:t>
            </w:r>
            <w:r>
              <w:rPr>
                <w:rFonts w:hint="default" w:ascii="Times New Roman" w:hAnsi="Times New Roman" w:cs="Times New Roman"/>
                <w:color w:val="auto"/>
                <w:spacing w:val="-15"/>
                <w:sz w:val="21"/>
                <w:szCs w:val="21"/>
                <w:highlight w:val="none"/>
              </w:rPr>
              <w:t>，</w:t>
            </w:r>
            <w:r>
              <w:rPr>
                <w:rFonts w:hint="default" w:ascii="Times New Roman" w:hAnsi="Times New Roman" w:cs="Times New Roman"/>
                <w:color w:val="auto"/>
                <w:spacing w:val="-2"/>
                <w:sz w:val="21"/>
                <w:szCs w:val="21"/>
                <w:highlight w:val="none"/>
              </w:rPr>
              <w:t>建议项目运营期大气污染源监测计划</w:t>
            </w:r>
            <w:r>
              <w:rPr>
                <w:rFonts w:hint="default" w:ascii="Times New Roman" w:hAnsi="Times New Roman" w:cs="Times New Roman"/>
                <w:color w:val="auto"/>
                <w:spacing w:val="-3"/>
                <w:sz w:val="21"/>
                <w:szCs w:val="21"/>
                <w:highlight w:val="none"/>
              </w:rPr>
              <w:t>如下。</w:t>
            </w:r>
          </w:p>
          <w:p w14:paraId="1ED5B6A5">
            <w:pPr>
              <w:pStyle w:val="10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r>
              <w:rPr>
                <w:rFonts w:hint="default" w:ascii="Times New Roman" w:hAnsi="Times New Roman" w:eastAsia="宋体" w:cs="Times New Roman"/>
                <w:b/>
                <w:bCs/>
                <w:color w:val="auto"/>
                <w:spacing w:val="6"/>
                <w:sz w:val="21"/>
                <w:szCs w:val="21"/>
                <w:highlight w:val="none"/>
              </w:rPr>
              <w:t>表 4-</w:t>
            </w:r>
            <w:r>
              <w:rPr>
                <w:rFonts w:hint="default" w:ascii="Times New Roman" w:hAnsi="Times New Roman" w:eastAsia="宋体" w:cs="Times New Roman"/>
                <w:b/>
                <w:bCs/>
                <w:color w:val="auto"/>
                <w:spacing w:val="6"/>
                <w:sz w:val="21"/>
                <w:szCs w:val="21"/>
                <w:highlight w:val="none"/>
                <w:lang w:val="en-US" w:eastAsia="zh-CN"/>
              </w:rPr>
              <w:t>6</w:t>
            </w:r>
            <w:r>
              <w:rPr>
                <w:rFonts w:hint="default" w:ascii="Times New Roman" w:hAnsi="Times New Roman" w:eastAsia="宋体" w:cs="Times New Roman"/>
                <w:b/>
                <w:bCs/>
                <w:color w:val="auto"/>
                <w:spacing w:val="6"/>
                <w:sz w:val="21"/>
                <w:szCs w:val="21"/>
                <w:highlight w:val="none"/>
              </w:rPr>
              <w:t xml:space="preserve">  环境监测计划表</w:t>
            </w:r>
          </w:p>
          <w:p w14:paraId="252231CE">
            <w:pPr>
              <w:spacing w:line="19" w:lineRule="exact"/>
              <w:rPr>
                <w:rFonts w:hint="default" w:ascii="Times New Roman" w:hAnsi="Times New Roman" w:cs="Times New Roman"/>
                <w:color w:val="auto"/>
                <w:highlight w:val="none"/>
              </w:rPr>
            </w:pPr>
          </w:p>
          <w:tbl>
            <w:tblPr>
              <w:tblStyle w:val="101"/>
              <w:tblW w:w="5000" w:type="pct"/>
              <w:jc w:val="center"/>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895"/>
              <w:gridCol w:w="640"/>
              <w:gridCol w:w="2217"/>
              <w:gridCol w:w="2604"/>
              <w:gridCol w:w="1589"/>
            </w:tblGrid>
            <w:tr w14:paraId="76B63421">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2" w:hRule="atLeast"/>
                <w:jc w:val="center"/>
              </w:trPr>
              <w:tc>
                <w:tcPr>
                  <w:tcW w:w="895" w:type="dxa"/>
                  <w:tcBorders>
                    <w:tl2br w:val="nil"/>
                    <w:tr2bl w:val="nil"/>
                  </w:tcBorders>
                  <w:vAlign w:val="center"/>
                </w:tcPr>
                <w:p w14:paraId="07DEF3D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8"/>
                      <w:sz w:val="18"/>
                      <w:szCs w:val="18"/>
                      <w:highlight w:val="none"/>
                    </w:rPr>
                    <w:t>内容</w:t>
                  </w:r>
                </w:p>
              </w:tc>
              <w:tc>
                <w:tcPr>
                  <w:tcW w:w="2857" w:type="dxa"/>
                  <w:gridSpan w:val="2"/>
                  <w:tcBorders>
                    <w:tl2br w:val="nil"/>
                    <w:tr2bl w:val="nil"/>
                  </w:tcBorders>
                  <w:vAlign w:val="center"/>
                </w:tcPr>
                <w:p w14:paraId="43C961C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监测点位</w:t>
                  </w:r>
                </w:p>
              </w:tc>
              <w:tc>
                <w:tcPr>
                  <w:tcW w:w="2604" w:type="dxa"/>
                  <w:tcBorders>
                    <w:tl2br w:val="nil"/>
                    <w:tr2bl w:val="nil"/>
                  </w:tcBorders>
                  <w:vAlign w:val="center"/>
                </w:tcPr>
                <w:p w14:paraId="0A673F7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rPr>
                    <w:t>项目</w:t>
                  </w:r>
                </w:p>
              </w:tc>
              <w:tc>
                <w:tcPr>
                  <w:tcW w:w="1589" w:type="dxa"/>
                  <w:tcBorders>
                    <w:tl2br w:val="nil"/>
                    <w:tr2bl w:val="nil"/>
                  </w:tcBorders>
                  <w:vAlign w:val="center"/>
                </w:tcPr>
                <w:p w14:paraId="463E238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监测频次</w:t>
                  </w:r>
                </w:p>
              </w:tc>
            </w:tr>
            <w:tr w14:paraId="22A47891">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6" w:hRule="atLeast"/>
                <w:jc w:val="center"/>
              </w:trPr>
              <w:tc>
                <w:tcPr>
                  <w:tcW w:w="895" w:type="dxa"/>
                  <w:vMerge w:val="restart"/>
                  <w:tcBorders>
                    <w:tl2br w:val="nil"/>
                    <w:tr2bl w:val="nil"/>
                  </w:tcBorders>
                  <w:vAlign w:val="center"/>
                </w:tcPr>
                <w:p w14:paraId="638715C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rPr>
                    <w:t>大气</w:t>
                  </w:r>
                  <w:r>
                    <w:rPr>
                      <w:rFonts w:hint="default" w:ascii="Times New Roman" w:hAnsi="Times New Roman" w:cs="Times New Roman"/>
                      <w:color w:val="auto"/>
                      <w:spacing w:val="4"/>
                      <w:sz w:val="18"/>
                      <w:szCs w:val="18"/>
                      <w:highlight w:val="none"/>
                    </w:rPr>
                    <w:t>监测</w:t>
                  </w:r>
                </w:p>
              </w:tc>
              <w:tc>
                <w:tcPr>
                  <w:tcW w:w="640" w:type="dxa"/>
                  <w:vMerge w:val="restart"/>
                  <w:tcBorders>
                    <w:tl2br w:val="nil"/>
                    <w:tr2bl w:val="nil"/>
                  </w:tcBorders>
                  <w:textDirection w:val="tbRlV"/>
                  <w:vAlign w:val="center"/>
                </w:tcPr>
                <w:p w14:paraId="441900F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8"/>
                      <w:sz w:val="18"/>
                      <w:szCs w:val="18"/>
                      <w:highlight w:val="none"/>
                    </w:rPr>
                    <w:t>无</w:t>
                  </w:r>
                  <w:r>
                    <w:rPr>
                      <w:rFonts w:hint="default" w:ascii="Times New Roman" w:hAnsi="Times New Roman" w:cs="Times New Roman"/>
                      <w:color w:val="auto"/>
                      <w:spacing w:val="-37"/>
                      <w:sz w:val="18"/>
                      <w:szCs w:val="18"/>
                      <w:highlight w:val="none"/>
                    </w:rPr>
                    <w:t xml:space="preserve"> </w:t>
                  </w:r>
                  <w:r>
                    <w:rPr>
                      <w:rFonts w:hint="default" w:ascii="Times New Roman" w:hAnsi="Times New Roman" w:cs="Times New Roman"/>
                      <w:color w:val="auto"/>
                      <w:spacing w:val="8"/>
                      <w:sz w:val="18"/>
                      <w:szCs w:val="18"/>
                      <w:highlight w:val="none"/>
                    </w:rPr>
                    <w:t>组</w:t>
                  </w:r>
                  <w:r>
                    <w:rPr>
                      <w:rFonts w:hint="default" w:ascii="Times New Roman" w:hAnsi="Times New Roman" w:cs="Times New Roman"/>
                      <w:color w:val="auto"/>
                      <w:spacing w:val="-37"/>
                      <w:sz w:val="18"/>
                      <w:szCs w:val="18"/>
                      <w:highlight w:val="none"/>
                    </w:rPr>
                    <w:t xml:space="preserve"> </w:t>
                  </w:r>
                  <w:r>
                    <w:rPr>
                      <w:rFonts w:hint="default" w:ascii="Times New Roman" w:hAnsi="Times New Roman" w:cs="Times New Roman"/>
                      <w:color w:val="auto"/>
                      <w:spacing w:val="8"/>
                      <w:sz w:val="18"/>
                      <w:szCs w:val="18"/>
                      <w:highlight w:val="none"/>
                    </w:rPr>
                    <w:t>织</w:t>
                  </w:r>
                </w:p>
              </w:tc>
              <w:tc>
                <w:tcPr>
                  <w:tcW w:w="2217" w:type="dxa"/>
                  <w:vMerge w:val="restart"/>
                  <w:tcBorders>
                    <w:tl2br w:val="nil"/>
                    <w:tr2bl w:val="nil"/>
                  </w:tcBorders>
                  <w:vAlign w:val="center"/>
                </w:tcPr>
                <w:p w14:paraId="2263942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6"/>
                      <w:sz w:val="18"/>
                      <w:szCs w:val="18"/>
                      <w:highlight w:val="none"/>
                    </w:rPr>
                    <w:t>厂界</w:t>
                  </w:r>
                </w:p>
              </w:tc>
              <w:tc>
                <w:tcPr>
                  <w:tcW w:w="2604" w:type="dxa"/>
                  <w:tcBorders>
                    <w:tl2br w:val="nil"/>
                    <w:tr2bl w:val="nil"/>
                  </w:tcBorders>
                  <w:vAlign w:val="center"/>
                </w:tcPr>
                <w:p w14:paraId="23ED5C6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颗粒物</w:t>
                  </w:r>
                </w:p>
              </w:tc>
              <w:tc>
                <w:tcPr>
                  <w:tcW w:w="1589" w:type="dxa"/>
                  <w:tcBorders>
                    <w:tl2br w:val="nil"/>
                    <w:tr2bl w:val="nil"/>
                  </w:tcBorders>
                  <w:vAlign w:val="center"/>
                </w:tcPr>
                <w:p w14:paraId="6CB1A0B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pacing w:val="-3"/>
                      <w:sz w:val="18"/>
                      <w:szCs w:val="18"/>
                      <w:highlight w:val="none"/>
                    </w:rPr>
                    <w:t>1</w:t>
                  </w:r>
                  <w:r>
                    <w:rPr>
                      <w:rFonts w:hint="default" w:ascii="Times New Roman" w:hAnsi="Times New Roman" w:cs="Times New Roman"/>
                      <w:color w:val="auto"/>
                      <w:spacing w:val="-3"/>
                      <w:sz w:val="18"/>
                      <w:szCs w:val="18"/>
                      <w:highlight w:val="none"/>
                    </w:rPr>
                    <w:t>次</w:t>
                  </w:r>
                  <w:r>
                    <w:rPr>
                      <w:rFonts w:hint="default" w:ascii="Times New Roman" w:hAnsi="Times New Roman" w:eastAsia="Times New Roman" w:cs="Times New Roman"/>
                      <w:color w:val="auto"/>
                      <w:spacing w:val="-3"/>
                      <w:sz w:val="18"/>
                      <w:szCs w:val="18"/>
                      <w:highlight w:val="none"/>
                    </w:rPr>
                    <w:t>/</w:t>
                  </w:r>
                  <w:r>
                    <w:rPr>
                      <w:rFonts w:hint="eastAsia" w:ascii="Times New Roman" w:hAnsi="Times New Roman" w:eastAsia="宋体" w:cs="Times New Roman"/>
                      <w:color w:val="auto"/>
                      <w:spacing w:val="-3"/>
                      <w:sz w:val="18"/>
                      <w:szCs w:val="18"/>
                      <w:highlight w:val="none"/>
                      <w:lang w:val="en-US" w:eastAsia="zh-CN"/>
                    </w:rPr>
                    <w:t>季度</w:t>
                  </w:r>
                </w:p>
              </w:tc>
            </w:tr>
            <w:tr w14:paraId="093B0B3D">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895" w:type="dxa"/>
                  <w:vMerge w:val="continue"/>
                  <w:tcBorders>
                    <w:tl2br w:val="nil"/>
                    <w:tr2bl w:val="nil"/>
                  </w:tcBorders>
                  <w:vAlign w:val="center"/>
                </w:tcPr>
                <w:p w14:paraId="71E34DC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640" w:type="dxa"/>
                  <w:vMerge w:val="continue"/>
                  <w:tcBorders>
                    <w:tl2br w:val="nil"/>
                    <w:tr2bl w:val="nil"/>
                  </w:tcBorders>
                  <w:textDirection w:val="tbRlV"/>
                  <w:vAlign w:val="center"/>
                </w:tcPr>
                <w:p w14:paraId="6863E13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2217" w:type="dxa"/>
                  <w:vMerge w:val="continue"/>
                  <w:tcBorders>
                    <w:tl2br w:val="nil"/>
                    <w:tr2bl w:val="nil"/>
                  </w:tcBorders>
                  <w:vAlign w:val="center"/>
                </w:tcPr>
                <w:p w14:paraId="25E26B1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2604" w:type="dxa"/>
                  <w:tcBorders>
                    <w:tl2br w:val="nil"/>
                    <w:tr2bl w:val="nil"/>
                  </w:tcBorders>
                  <w:vAlign w:val="center"/>
                </w:tcPr>
                <w:p w14:paraId="7AEA93A4">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非甲烷总烃</w:t>
                  </w:r>
                </w:p>
              </w:tc>
              <w:tc>
                <w:tcPr>
                  <w:tcW w:w="1589" w:type="dxa"/>
                  <w:tcBorders>
                    <w:tl2br w:val="nil"/>
                    <w:tr2bl w:val="nil"/>
                  </w:tcBorders>
                  <w:vAlign w:val="center"/>
                </w:tcPr>
                <w:p w14:paraId="2FDB3BC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Times New Roman" w:cs="Times New Roman"/>
                      <w:color w:val="auto"/>
                      <w:spacing w:val="-3"/>
                      <w:sz w:val="18"/>
                      <w:szCs w:val="18"/>
                      <w:highlight w:val="none"/>
                    </w:rPr>
                    <w:t>1</w:t>
                  </w:r>
                  <w:r>
                    <w:rPr>
                      <w:rFonts w:hint="default" w:ascii="Times New Roman" w:hAnsi="Times New Roman" w:cs="Times New Roman"/>
                      <w:color w:val="auto"/>
                      <w:spacing w:val="-3"/>
                      <w:sz w:val="18"/>
                      <w:szCs w:val="18"/>
                      <w:highlight w:val="none"/>
                    </w:rPr>
                    <w:t>次</w:t>
                  </w:r>
                  <w:r>
                    <w:rPr>
                      <w:rFonts w:hint="default" w:ascii="Times New Roman" w:hAnsi="Times New Roman" w:eastAsia="Times New Roman" w:cs="Times New Roman"/>
                      <w:color w:val="auto"/>
                      <w:spacing w:val="-3"/>
                      <w:sz w:val="18"/>
                      <w:szCs w:val="18"/>
                      <w:highlight w:val="none"/>
                    </w:rPr>
                    <w:t>/</w:t>
                  </w:r>
                  <w:r>
                    <w:rPr>
                      <w:rFonts w:hint="default" w:ascii="Times New Roman" w:hAnsi="Times New Roman" w:cs="Times New Roman"/>
                      <w:color w:val="auto"/>
                      <w:spacing w:val="-3"/>
                      <w:sz w:val="18"/>
                      <w:szCs w:val="18"/>
                      <w:highlight w:val="none"/>
                    </w:rPr>
                    <w:t>年</w:t>
                  </w:r>
                </w:p>
              </w:tc>
            </w:tr>
            <w:tr w14:paraId="341E49C5">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895" w:type="dxa"/>
                  <w:vMerge w:val="continue"/>
                  <w:tcBorders>
                    <w:tl2br w:val="nil"/>
                    <w:tr2bl w:val="nil"/>
                  </w:tcBorders>
                  <w:vAlign w:val="center"/>
                </w:tcPr>
                <w:p w14:paraId="1E36C52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640" w:type="dxa"/>
                  <w:vMerge w:val="continue"/>
                  <w:tcBorders>
                    <w:tl2br w:val="nil"/>
                    <w:tr2bl w:val="nil"/>
                  </w:tcBorders>
                  <w:textDirection w:val="tbRlV"/>
                  <w:vAlign w:val="center"/>
                </w:tcPr>
                <w:p w14:paraId="540DC91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2217" w:type="dxa"/>
                  <w:tcBorders>
                    <w:tl2br w:val="nil"/>
                    <w:tr2bl w:val="nil"/>
                  </w:tcBorders>
                  <w:vAlign w:val="center"/>
                </w:tcPr>
                <w:p w14:paraId="210EAC2C">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6"/>
                      <w:sz w:val="18"/>
                      <w:szCs w:val="18"/>
                      <w:highlight w:val="none"/>
                    </w:rPr>
                    <w:t>厂区内</w:t>
                  </w:r>
                </w:p>
              </w:tc>
              <w:tc>
                <w:tcPr>
                  <w:tcW w:w="2604" w:type="dxa"/>
                  <w:tcBorders>
                    <w:tl2br w:val="nil"/>
                    <w:tr2bl w:val="nil"/>
                  </w:tcBorders>
                  <w:vAlign w:val="center"/>
                </w:tcPr>
                <w:p w14:paraId="61103A78">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非甲烷总烃</w:t>
                  </w:r>
                </w:p>
              </w:tc>
              <w:tc>
                <w:tcPr>
                  <w:tcW w:w="1589" w:type="dxa"/>
                  <w:tcBorders>
                    <w:tl2br w:val="nil"/>
                    <w:tr2bl w:val="nil"/>
                  </w:tcBorders>
                  <w:vAlign w:val="center"/>
                </w:tcPr>
                <w:p w14:paraId="2D33ACE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Times New Roman" w:cs="Times New Roman"/>
                      <w:color w:val="auto"/>
                      <w:spacing w:val="-3"/>
                      <w:sz w:val="18"/>
                      <w:szCs w:val="18"/>
                      <w:highlight w:val="none"/>
                    </w:rPr>
                    <w:t>1</w:t>
                  </w:r>
                  <w:r>
                    <w:rPr>
                      <w:rFonts w:hint="default" w:ascii="Times New Roman" w:hAnsi="Times New Roman" w:cs="Times New Roman"/>
                      <w:color w:val="auto"/>
                      <w:spacing w:val="-3"/>
                      <w:sz w:val="18"/>
                      <w:szCs w:val="18"/>
                      <w:highlight w:val="none"/>
                    </w:rPr>
                    <w:t>次</w:t>
                  </w:r>
                  <w:r>
                    <w:rPr>
                      <w:rFonts w:hint="default" w:ascii="Times New Roman" w:hAnsi="Times New Roman" w:eastAsia="Times New Roman" w:cs="Times New Roman"/>
                      <w:color w:val="auto"/>
                      <w:spacing w:val="-3"/>
                      <w:sz w:val="18"/>
                      <w:szCs w:val="18"/>
                      <w:highlight w:val="none"/>
                    </w:rPr>
                    <w:t>/</w:t>
                  </w:r>
                  <w:r>
                    <w:rPr>
                      <w:rFonts w:hint="default" w:ascii="Times New Roman" w:hAnsi="Times New Roman" w:cs="Times New Roman"/>
                      <w:color w:val="auto"/>
                      <w:spacing w:val="-3"/>
                      <w:sz w:val="18"/>
                      <w:szCs w:val="18"/>
                      <w:highlight w:val="none"/>
                    </w:rPr>
                    <w:t>年</w:t>
                  </w:r>
                </w:p>
              </w:tc>
            </w:tr>
            <w:tr w14:paraId="687A2DBD">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3" w:hRule="atLeast"/>
                <w:jc w:val="center"/>
              </w:trPr>
              <w:tc>
                <w:tcPr>
                  <w:tcW w:w="895" w:type="dxa"/>
                  <w:vMerge w:val="continue"/>
                  <w:tcBorders>
                    <w:tl2br w:val="nil"/>
                    <w:tr2bl w:val="nil"/>
                  </w:tcBorders>
                  <w:vAlign w:val="center"/>
                </w:tcPr>
                <w:p w14:paraId="0D176E0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640" w:type="dxa"/>
                  <w:vMerge w:val="restart"/>
                  <w:tcBorders>
                    <w:tl2br w:val="nil"/>
                    <w:tr2bl w:val="nil"/>
                  </w:tcBorders>
                  <w:textDirection w:val="tbRlV"/>
                  <w:vAlign w:val="center"/>
                </w:tcPr>
                <w:p w14:paraId="62940D56">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8"/>
                      <w:sz w:val="18"/>
                      <w:szCs w:val="18"/>
                      <w:highlight w:val="none"/>
                    </w:rPr>
                    <w:t>有</w:t>
                  </w:r>
                  <w:r>
                    <w:rPr>
                      <w:rFonts w:hint="default" w:ascii="Times New Roman" w:hAnsi="Times New Roman" w:cs="Times New Roman"/>
                      <w:color w:val="auto"/>
                      <w:spacing w:val="-37"/>
                      <w:sz w:val="18"/>
                      <w:szCs w:val="18"/>
                      <w:highlight w:val="none"/>
                    </w:rPr>
                    <w:t xml:space="preserve"> </w:t>
                  </w:r>
                  <w:r>
                    <w:rPr>
                      <w:rFonts w:hint="default" w:ascii="Times New Roman" w:hAnsi="Times New Roman" w:cs="Times New Roman"/>
                      <w:color w:val="auto"/>
                      <w:spacing w:val="8"/>
                      <w:sz w:val="18"/>
                      <w:szCs w:val="18"/>
                      <w:highlight w:val="none"/>
                    </w:rPr>
                    <w:t>组</w:t>
                  </w:r>
                  <w:r>
                    <w:rPr>
                      <w:rFonts w:hint="default" w:ascii="Times New Roman" w:hAnsi="Times New Roman" w:cs="Times New Roman"/>
                      <w:color w:val="auto"/>
                      <w:spacing w:val="-37"/>
                      <w:sz w:val="18"/>
                      <w:szCs w:val="18"/>
                      <w:highlight w:val="none"/>
                    </w:rPr>
                    <w:t xml:space="preserve"> </w:t>
                  </w:r>
                  <w:r>
                    <w:rPr>
                      <w:rFonts w:hint="default" w:ascii="Times New Roman" w:hAnsi="Times New Roman" w:cs="Times New Roman"/>
                      <w:color w:val="auto"/>
                      <w:spacing w:val="8"/>
                      <w:sz w:val="18"/>
                      <w:szCs w:val="18"/>
                      <w:highlight w:val="none"/>
                    </w:rPr>
                    <w:t>织</w:t>
                  </w:r>
                </w:p>
              </w:tc>
              <w:tc>
                <w:tcPr>
                  <w:tcW w:w="2217" w:type="dxa"/>
                  <w:tcBorders>
                    <w:tl2br w:val="nil"/>
                    <w:tr2bl w:val="nil"/>
                  </w:tcBorders>
                  <w:vAlign w:val="center"/>
                </w:tcPr>
                <w:p w14:paraId="39B273CA">
                  <w:pPr>
                    <w:pStyle w:val="103"/>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锅炉</w:t>
                  </w:r>
                  <w:r>
                    <w:rPr>
                      <w:rFonts w:hint="eastAsia" w:cs="Times New Roman"/>
                      <w:color w:val="auto"/>
                      <w:sz w:val="18"/>
                      <w:szCs w:val="18"/>
                      <w:highlight w:val="none"/>
                      <w:lang w:val="en-US" w:eastAsia="zh-CN"/>
                    </w:rPr>
                    <w:t>烟囱（DA002）</w:t>
                  </w:r>
                </w:p>
              </w:tc>
              <w:tc>
                <w:tcPr>
                  <w:tcW w:w="2604" w:type="dxa"/>
                  <w:tcBorders>
                    <w:tl2br w:val="nil"/>
                    <w:tr2bl w:val="nil"/>
                  </w:tcBorders>
                  <w:vAlign w:val="center"/>
                </w:tcPr>
                <w:p w14:paraId="44A8EC60">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pacing w:val="-8"/>
                      <w:sz w:val="18"/>
                      <w:szCs w:val="18"/>
                      <w:highlight w:val="none"/>
                    </w:rPr>
                    <w:t>颗粒物、</w:t>
                  </w:r>
                  <w:r>
                    <w:rPr>
                      <w:rFonts w:hint="default" w:ascii="Times New Roman" w:hAnsi="Times New Roman" w:eastAsia="Times New Roman" w:cs="Times New Roman"/>
                      <w:color w:val="auto"/>
                      <w:spacing w:val="-8"/>
                      <w:sz w:val="18"/>
                      <w:szCs w:val="18"/>
                      <w:highlight w:val="none"/>
                    </w:rPr>
                    <w:t>SO</w:t>
                  </w:r>
                  <w:r>
                    <w:rPr>
                      <w:rFonts w:hint="default" w:ascii="Times New Roman" w:hAnsi="Times New Roman" w:eastAsia="Times New Roman" w:cs="Times New Roman"/>
                      <w:color w:val="auto"/>
                      <w:spacing w:val="-8"/>
                      <w:position w:val="-1"/>
                      <w:sz w:val="18"/>
                      <w:szCs w:val="18"/>
                      <w:highlight w:val="none"/>
                      <w:vertAlign w:val="subscript"/>
                    </w:rPr>
                    <w:t>2</w:t>
                  </w:r>
                  <w:r>
                    <w:rPr>
                      <w:rFonts w:hint="default" w:ascii="Times New Roman" w:hAnsi="Times New Roman" w:cs="Times New Roman"/>
                      <w:color w:val="auto"/>
                      <w:spacing w:val="-8"/>
                      <w:sz w:val="18"/>
                      <w:szCs w:val="18"/>
                      <w:highlight w:val="none"/>
                    </w:rPr>
                    <w:t>、</w:t>
                  </w:r>
                  <w:r>
                    <w:rPr>
                      <w:rFonts w:hint="default" w:ascii="Times New Roman" w:hAnsi="Times New Roman" w:eastAsia="宋体" w:cs="Times New Roman"/>
                      <w:color w:val="auto"/>
                      <w:spacing w:val="6"/>
                      <w:sz w:val="18"/>
                      <w:szCs w:val="18"/>
                      <w:highlight w:val="none"/>
                      <w:lang w:val="en-US" w:eastAsia="zh-CN"/>
                    </w:rPr>
                    <w:t>林格曼黑度</w:t>
                  </w:r>
                  <w:r>
                    <w:rPr>
                      <w:rFonts w:hint="eastAsia" w:ascii="Times New Roman" w:hAnsi="Times New Roman" w:cs="Times New Roman"/>
                      <w:color w:val="auto"/>
                      <w:spacing w:val="6"/>
                      <w:sz w:val="18"/>
                      <w:szCs w:val="18"/>
                      <w:highlight w:val="none"/>
                      <w:lang w:val="en-US" w:eastAsia="zh-CN"/>
                    </w:rPr>
                    <w:t>、</w:t>
                  </w:r>
                  <w:r>
                    <w:rPr>
                      <w:rFonts w:hint="default" w:ascii="Times New Roman" w:hAnsi="Times New Roman" w:eastAsia="Times New Roman" w:cs="Times New Roman"/>
                      <w:color w:val="auto"/>
                      <w:spacing w:val="6"/>
                      <w:sz w:val="18"/>
                      <w:szCs w:val="18"/>
                      <w:highlight w:val="none"/>
                    </w:rPr>
                    <w:t>NO</w:t>
                  </w:r>
                  <w:r>
                    <w:rPr>
                      <w:rFonts w:hint="default" w:ascii="Times New Roman" w:hAnsi="Times New Roman" w:eastAsia="Times New Roman" w:cs="Times New Roman"/>
                      <w:color w:val="auto"/>
                      <w:spacing w:val="6"/>
                      <w:sz w:val="18"/>
                      <w:szCs w:val="18"/>
                      <w:highlight w:val="none"/>
                      <w:vertAlign w:val="subscript"/>
                    </w:rPr>
                    <w:t>x</w:t>
                  </w:r>
                </w:p>
              </w:tc>
              <w:tc>
                <w:tcPr>
                  <w:tcW w:w="1589" w:type="dxa"/>
                  <w:tcBorders>
                    <w:tl2br w:val="nil"/>
                    <w:tr2bl w:val="nil"/>
                  </w:tcBorders>
                  <w:vAlign w:val="center"/>
                </w:tcPr>
                <w:p w14:paraId="119D0829">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Times New Roman" w:cs="Times New Roman"/>
                      <w:color w:val="auto"/>
                      <w:spacing w:val="-3"/>
                      <w:sz w:val="18"/>
                      <w:szCs w:val="18"/>
                      <w:highlight w:val="none"/>
                    </w:rPr>
                    <w:t>1</w:t>
                  </w:r>
                  <w:r>
                    <w:rPr>
                      <w:rFonts w:hint="default" w:ascii="Times New Roman" w:hAnsi="Times New Roman" w:cs="Times New Roman"/>
                      <w:color w:val="auto"/>
                      <w:spacing w:val="-3"/>
                      <w:sz w:val="18"/>
                      <w:szCs w:val="18"/>
                      <w:highlight w:val="none"/>
                    </w:rPr>
                    <w:t>次</w:t>
                  </w:r>
                  <w:r>
                    <w:rPr>
                      <w:rFonts w:hint="default" w:ascii="Times New Roman" w:hAnsi="Times New Roman" w:eastAsia="Times New Roman" w:cs="Times New Roman"/>
                      <w:color w:val="auto"/>
                      <w:spacing w:val="-3"/>
                      <w:sz w:val="18"/>
                      <w:szCs w:val="18"/>
                      <w:highlight w:val="none"/>
                    </w:rPr>
                    <w:t>/</w:t>
                  </w:r>
                  <w:r>
                    <w:rPr>
                      <w:rFonts w:hint="default" w:ascii="Times New Roman" w:hAnsi="Times New Roman" w:cs="Times New Roman"/>
                      <w:color w:val="auto"/>
                      <w:spacing w:val="-3"/>
                      <w:sz w:val="18"/>
                      <w:szCs w:val="18"/>
                      <w:highlight w:val="none"/>
                    </w:rPr>
                    <w:t>月</w:t>
                  </w:r>
                </w:p>
              </w:tc>
            </w:tr>
            <w:tr w14:paraId="3CACF12D">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895" w:type="dxa"/>
                  <w:vMerge w:val="continue"/>
                  <w:tcBorders>
                    <w:tl2br w:val="nil"/>
                    <w:tr2bl w:val="nil"/>
                  </w:tcBorders>
                  <w:vAlign w:val="center"/>
                </w:tcPr>
                <w:p w14:paraId="2AB17C1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640" w:type="dxa"/>
                  <w:vMerge w:val="continue"/>
                  <w:tcBorders>
                    <w:tl2br w:val="nil"/>
                    <w:tr2bl w:val="nil"/>
                  </w:tcBorders>
                  <w:textDirection w:val="tbRlV"/>
                  <w:vAlign w:val="center"/>
                </w:tcPr>
                <w:p w14:paraId="631ABEA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2217" w:type="dxa"/>
                  <w:tcBorders>
                    <w:tl2br w:val="nil"/>
                    <w:tr2bl w:val="nil"/>
                  </w:tcBorders>
                  <w:vAlign w:val="center"/>
                </w:tcPr>
                <w:p w14:paraId="750FE358">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eastAsia" w:ascii="Times New Roman" w:hAnsi="Times New Roman" w:cs="Times New Roman"/>
                      <w:color w:val="auto"/>
                      <w:spacing w:val="6"/>
                      <w:sz w:val="18"/>
                      <w:szCs w:val="18"/>
                      <w:highlight w:val="none"/>
                      <w:lang w:val="en-US" w:eastAsia="zh-CN"/>
                    </w:rPr>
                    <w:t>2#车间</w:t>
                  </w:r>
                  <w:r>
                    <w:rPr>
                      <w:rFonts w:hint="default" w:ascii="Times New Roman" w:hAnsi="Times New Roman" w:cs="Times New Roman"/>
                      <w:color w:val="auto"/>
                      <w:spacing w:val="6"/>
                      <w:sz w:val="18"/>
                      <w:szCs w:val="18"/>
                      <w:highlight w:val="none"/>
                    </w:rPr>
                    <w:t>有机废气排气</w:t>
                  </w:r>
                  <w:r>
                    <w:rPr>
                      <w:rFonts w:hint="default" w:ascii="Times New Roman" w:hAnsi="Times New Roman" w:cs="Times New Roman"/>
                      <w:color w:val="auto"/>
                      <w:sz w:val="18"/>
                      <w:szCs w:val="18"/>
                      <w:highlight w:val="none"/>
                    </w:rPr>
                    <w:t>筒（DA00</w:t>
                  </w:r>
                  <w:r>
                    <w:rPr>
                      <w:rFonts w:hint="eastAsia"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w:t>
                  </w:r>
                </w:p>
              </w:tc>
              <w:tc>
                <w:tcPr>
                  <w:tcW w:w="2604" w:type="dxa"/>
                  <w:tcBorders>
                    <w:tl2br w:val="nil"/>
                    <w:tr2bl w:val="nil"/>
                  </w:tcBorders>
                  <w:vAlign w:val="center"/>
                </w:tcPr>
                <w:p w14:paraId="16F83E9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非甲烷总烃</w:t>
                  </w:r>
                </w:p>
              </w:tc>
              <w:tc>
                <w:tcPr>
                  <w:tcW w:w="1589" w:type="dxa"/>
                  <w:tcBorders>
                    <w:tl2br w:val="nil"/>
                    <w:tr2bl w:val="nil"/>
                  </w:tcBorders>
                  <w:vAlign w:val="center"/>
                </w:tcPr>
                <w:p w14:paraId="3334C98B">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pacing w:val="-1"/>
                      <w:sz w:val="18"/>
                      <w:szCs w:val="18"/>
                      <w:highlight w:val="none"/>
                    </w:rPr>
                    <w:t>1</w:t>
                  </w:r>
                  <w:r>
                    <w:rPr>
                      <w:rFonts w:hint="default" w:ascii="Times New Roman" w:hAnsi="Times New Roman" w:cs="Times New Roman"/>
                      <w:color w:val="auto"/>
                      <w:spacing w:val="-1"/>
                      <w:sz w:val="18"/>
                      <w:szCs w:val="18"/>
                      <w:highlight w:val="none"/>
                    </w:rPr>
                    <w:t>次</w:t>
                  </w:r>
                  <w:r>
                    <w:rPr>
                      <w:rFonts w:hint="default" w:ascii="Times New Roman" w:hAnsi="Times New Roman" w:eastAsia="Times New Roman" w:cs="Times New Roman"/>
                      <w:color w:val="auto"/>
                      <w:spacing w:val="-1"/>
                      <w:sz w:val="18"/>
                      <w:szCs w:val="18"/>
                      <w:highlight w:val="none"/>
                    </w:rPr>
                    <w:t>/</w:t>
                  </w:r>
                  <w:r>
                    <w:rPr>
                      <w:rFonts w:hint="eastAsia" w:ascii="Times New Roman" w:hAnsi="Times New Roman" w:eastAsia="宋体" w:cs="Times New Roman"/>
                      <w:color w:val="auto"/>
                      <w:spacing w:val="-1"/>
                      <w:sz w:val="18"/>
                      <w:szCs w:val="18"/>
                      <w:highlight w:val="none"/>
                      <w:lang w:val="en-US" w:eastAsia="zh-CN"/>
                    </w:rPr>
                    <w:t>季度</w:t>
                  </w:r>
                </w:p>
              </w:tc>
            </w:tr>
            <w:tr w14:paraId="6CA29B5C">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7" w:hRule="atLeast"/>
                <w:jc w:val="center"/>
              </w:trPr>
              <w:tc>
                <w:tcPr>
                  <w:tcW w:w="895" w:type="dxa"/>
                  <w:vMerge w:val="continue"/>
                  <w:tcBorders>
                    <w:tl2br w:val="nil"/>
                    <w:tr2bl w:val="nil"/>
                  </w:tcBorders>
                  <w:vAlign w:val="center"/>
                </w:tcPr>
                <w:p w14:paraId="673A7ED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640" w:type="dxa"/>
                  <w:vMerge w:val="continue"/>
                  <w:tcBorders>
                    <w:tl2br w:val="nil"/>
                    <w:tr2bl w:val="nil"/>
                  </w:tcBorders>
                  <w:textDirection w:val="tbRlV"/>
                  <w:vAlign w:val="center"/>
                </w:tcPr>
                <w:p w14:paraId="6321E18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2217" w:type="dxa"/>
                  <w:tcBorders>
                    <w:tl2br w:val="nil"/>
                    <w:tr2bl w:val="nil"/>
                  </w:tcBorders>
                  <w:vAlign w:val="center"/>
                </w:tcPr>
                <w:p w14:paraId="647AD618">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pacing w:val="8"/>
                      <w:sz w:val="18"/>
                      <w:szCs w:val="18"/>
                      <w:highlight w:val="none"/>
                    </w:rPr>
                  </w:pP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val="en-US" w:eastAsia="zh-CN"/>
                    </w:rPr>
                    <w:t>生产车间排气筒（DA00</w:t>
                  </w:r>
                  <w:r>
                    <w:rPr>
                      <w:rFonts w:hint="eastAsia"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lang w:val="en-US" w:eastAsia="zh-CN"/>
                    </w:rPr>
                    <w:t>）</w:t>
                  </w:r>
                </w:p>
              </w:tc>
              <w:tc>
                <w:tcPr>
                  <w:tcW w:w="2604" w:type="dxa"/>
                  <w:tcBorders>
                    <w:tl2br w:val="nil"/>
                    <w:tr2bl w:val="nil"/>
                  </w:tcBorders>
                  <w:vAlign w:val="center"/>
                </w:tcPr>
                <w:p w14:paraId="0F9245ED">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pacing w:val="7"/>
                      <w:sz w:val="18"/>
                      <w:szCs w:val="18"/>
                      <w:highlight w:val="none"/>
                      <w:lang w:eastAsia="zh-CN"/>
                    </w:rPr>
                  </w:pPr>
                  <w:r>
                    <w:rPr>
                      <w:rFonts w:hint="eastAsia" w:ascii="Times New Roman" w:hAnsi="Times New Roman" w:cs="Times New Roman"/>
                      <w:color w:val="auto"/>
                      <w:spacing w:val="8"/>
                      <w:sz w:val="18"/>
                      <w:szCs w:val="18"/>
                      <w:highlight w:val="none"/>
                      <w:lang w:val="en-US" w:eastAsia="zh-CN"/>
                    </w:rPr>
                    <w:t>颗粒物</w:t>
                  </w:r>
                </w:p>
              </w:tc>
              <w:tc>
                <w:tcPr>
                  <w:tcW w:w="1589" w:type="dxa"/>
                  <w:tcBorders>
                    <w:tl2br w:val="nil"/>
                    <w:tr2bl w:val="nil"/>
                  </w:tcBorders>
                  <w:vAlign w:val="center"/>
                </w:tcPr>
                <w:p w14:paraId="72E926CF">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pacing w:val="-1"/>
                      <w:sz w:val="18"/>
                      <w:szCs w:val="18"/>
                      <w:highlight w:val="none"/>
                    </w:rPr>
                  </w:pPr>
                  <w:r>
                    <w:rPr>
                      <w:rFonts w:hint="default" w:ascii="Times New Roman" w:hAnsi="Times New Roman" w:eastAsia="Times New Roman" w:cs="Times New Roman"/>
                      <w:color w:val="auto"/>
                      <w:spacing w:val="-3"/>
                      <w:sz w:val="18"/>
                      <w:szCs w:val="18"/>
                      <w:highlight w:val="none"/>
                    </w:rPr>
                    <w:t>1</w:t>
                  </w:r>
                  <w:r>
                    <w:rPr>
                      <w:rFonts w:hint="default" w:ascii="Times New Roman" w:hAnsi="Times New Roman" w:cs="Times New Roman"/>
                      <w:color w:val="auto"/>
                      <w:spacing w:val="-3"/>
                      <w:sz w:val="18"/>
                      <w:szCs w:val="18"/>
                      <w:highlight w:val="none"/>
                    </w:rPr>
                    <w:t>次</w:t>
                  </w:r>
                  <w:r>
                    <w:rPr>
                      <w:rFonts w:hint="default" w:ascii="Times New Roman" w:hAnsi="Times New Roman" w:eastAsia="Times New Roman" w:cs="Times New Roman"/>
                      <w:color w:val="auto"/>
                      <w:spacing w:val="-3"/>
                      <w:sz w:val="18"/>
                      <w:szCs w:val="18"/>
                      <w:highlight w:val="none"/>
                    </w:rPr>
                    <w:t>/</w:t>
                  </w:r>
                  <w:r>
                    <w:rPr>
                      <w:rFonts w:hint="default" w:ascii="Times New Roman" w:hAnsi="Times New Roman" w:cs="Times New Roman"/>
                      <w:color w:val="auto"/>
                      <w:spacing w:val="-3"/>
                      <w:sz w:val="18"/>
                      <w:szCs w:val="18"/>
                      <w:highlight w:val="none"/>
                    </w:rPr>
                    <w:t>年</w:t>
                  </w:r>
                </w:p>
              </w:tc>
            </w:tr>
            <w:tr w14:paraId="606E8205">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6" w:hRule="atLeast"/>
                <w:jc w:val="center"/>
              </w:trPr>
              <w:tc>
                <w:tcPr>
                  <w:tcW w:w="895" w:type="dxa"/>
                  <w:vMerge w:val="continue"/>
                  <w:tcBorders>
                    <w:tl2br w:val="nil"/>
                    <w:tr2bl w:val="nil"/>
                  </w:tcBorders>
                  <w:vAlign w:val="center"/>
                </w:tcPr>
                <w:p w14:paraId="0034818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640" w:type="dxa"/>
                  <w:vMerge w:val="continue"/>
                  <w:tcBorders>
                    <w:tl2br w:val="nil"/>
                    <w:tr2bl w:val="nil"/>
                  </w:tcBorders>
                  <w:textDirection w:val="tbRlV"/>
                  <w:vAlign w:val="center"/>
                </w:tcPr>
                <w:p w14:paraId="78078FA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2217" w:type="dxa"/>
                  <w:tcBorders>
                    <w:tl2br w:val="nil"/>
                    <w:tr2bl w:val="nil"/>
                  </w:tcBorders>
                  <w:vAlign w:val="center"/>
                </w:tcPr>
                <w:p w14:paraId="439976E6">
                  <w:pPr>
                    <w:pStyle w:val="100"/>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生产车间排气筒（DA004）</w:t>
                  </w:r>
                </w:p>
              </w:tc>
              <w:tc>
                <w:tcPr>
                  <w:tcW w:w="2604" w:type="dxa"/>
                  <w:tcBorders>
                    <w:tl2br w:val="nil"/>
                    <w:tr2bl w:val="nil"/>
                  </w:tcBorders>
                  <w:vAlign w:val="center"/>
                </w:tcPr>
                <w:p w14:paraId="6A63195E">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颗粒物</w:t>
                  </w:r>
                </w:p>
              </w:tc>
              <w:tc>
                <w:tcPr>
                  <w:tcW w:w="1589" w:type="dxa"/>
                  <w:tcBorders>
                    <w:tl2br w:val="nil"/>
                    <w:tr2bl w:val="nil"/>
                  </w:tcBorders>
                  <w:vAlign w:val="center"/>
                </w:tcPr>
                <w:p w14:paraId="5E3C4623">
                  <w:pPr>
                    <w:pStyle w:val="100"/>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Times New Roman" w:cs="Times New Roman"/>
                      <w:color w:val="auto"/>
                      <w:spacing w:val="-3"/>
                      <w:sz w:val="18"/>
                      <w:szCs w:val="18"/>
                      <w:highlight w:val="none"/>
                    </w:rPr>
                    <w:t>1</w:t>
                  </w:r>
                  <w:r>
                    <w:rPr>
                      <w:rFonts w:hint="default" w:ascii="Times New Roman" w:hAnsi="Times New Roman" w:cs="Times New Roman"/>
                      <w:color w:val="auto"/>
                      <w:spacing w:val="-3"/>
                      <w:sz w:val="18"/>
                      <w:szCs w:val="18"/>
                      <w:highlight w:val="none"/>
                    </w:rPr>
                    <w:t>次</w:t>
                  </w:r>
                  <w:r>
                    <w:rPr>
                      <w:rFonts w:hint="default" w:ascii="Times New Roman" w:hAnsi="Times New Roman" w:eastAsia="Times New Roman" w:cs="Times New Roman"/>
                      <w:color w:val="auto"/>
                      <w:spacing w:val="-3"/>
                      <w:sz w:val="18"/>
                      <w:szCs w:val="18"/>
                      <w:highlight w:val="none"/>
                    </w:rPr>
                    <w:t>/</w:t>
                  </w:r>
                  <w:r>
                    <w:rPr>
                      <w:rFonts w:hint="eastAsia" w:ascii="Times New Roman" w:hAnsi="Times New Roman" w:eastAsia="宋体" w:cs="Times New Roman"/>
                      <w:color w:val="auto"/>
                      <w:spacing w:val="-3"/>
                      <w:sz w:val="18"/>
                      <w:szCs w:val="18"/>
                      <w:highlight w:val="none"/>
                      <w:lang w:val="en-US" w:eastAsia="zh-CN"/>
                    </w:rPr>
                    <w:t>两</w:t>
                  </w:r>
                  <w:r>
                    <w:rPr>
                      <w:rFonts w:hint="default" w:ascii="Times New Roman" w:hAnsi="Times New Roman" w:cs="Times New Roman"/>
                      <w:color w:val="auto"/>
                      <w:spacing w:val="-3"/>
                      <w:sz w:val="18"/>
                      <w:szCs w:val="18"/>
                      <w:highlight w:val="none"/>
                    </w:rPr>
                    <w:t>年</w:t>
                  </w:r>
                </w:p>
              </w:tc>
            </w:tr>
          </w:tbl>
          <w:p w14:paraId="1C54900F">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w:t>
            </w:r>
            <w:r>
              <w:rPr>
                <w:rFonts w:hint="default" w:ascii="Times New Roman" w:hAnsi="Times New Roman" w:cs="Times New Roman"/>
                <w:b/>
                <w:bCs w:val="0"/>
                <w:color w:val="auto"/>
                <w:sz w:val="21"/>
                <w:szCs w:val="21"/>
                <w:highlight w:val="none"/>
                <w:lang w:val="en-US" w:eastAsia="zh-CN"/>
              </w:rPr>
              <w:t>4</w:t>
            </w:r>
            <w:r>
              <w:rPr>
                <w:rFonts w:hint="default" w:ascii="Times New Roman" w:hAnsi="Times New Roman" w:cs="Times New Roman"/>
                <w:b/>
                <w:bCs w:val="0"/>
                <w:color w:val="auto"/>
                <w:sz w:val="21"/>
                <w:szCs w:val="21"/>
                <w:highlight w:val="none"/>
              </w:rPr>
              <w:t>）环境影响分析</w:t>
            </w:r>
          </w:p>
          <w:p w14:paraId="7831F625">
            <w:pPr>
              <w:spacing w:line="360" w:lineRule="auto"/>
              <w:ind w:firstLine="420" w:firstLineChars="200"/>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Cs/>
                <w:color w:val="auto"/>
                <w:szCs w:val="21"/>
                <w:highlight w:val="none"/>
                <w:lang w:eastAsia="zh-CN"/>
              </w:rPr>
              <w:t>本项目锅炉废气经</w:t>
            </w:r>
            <w:r>
              <w:rPr>
                <w:rFonts w:hint="eastAsia" w:cs="Times New Roman"/>
                <w:bCs/>
                <w:color w:val="auto"/>
                <w:szCs w:val="21"/>
                <w:highlight w:val="none"/>
                <w:lang w:eastAsia="zh-CN"/>
              </w:rPr>
              <w:t>低氮燃烧</w:t>
            </w:r>
            <w:r>
              <w:rPr>
                <w:rFonts w:hint="default" w:ascii="Times New Roman" w:hAnsi="Times New Roman" w:eastAsia="宋体" w:cs="Times New Roman"/>
                <w:bCs/>
                <w:color w:val="auto"/>
                <w:szCs w:val="21"/>
                <w:highlight w:val="none"/>
                <w:lang w:eastAsia="zh-CN"/>
              </w:rPr>
              <w:t>+</w:t>
            </w:r>
            <w:r>
              <w:rPr>
                <w:rFonts w:hint="eastAsia" w:cs="Times New Roman"/>
                <w:bCs/>
                <w:color w:val="auto"/>
                <w:szCs w:val="21"/>
                <w:highlight w:val="none"/>
                <w:lang w:eastAsia="zh-CN"/>
              </w:rPr>
              <w:t>旋风除尘+</w:t>
            </w:r>
            <w:r>
              <w:rPr>
                <w:rFonts w:hint="default" w:ascii="Times New Roman" w:hAnsi="Times New Roman" w:eastAsia="宋体" w:cs="Times New Roman"/>
                <w:bCs/>
                <w:color w:val="auto"/>
                <w:szCs w:val="21"/>
                <w:highlight w:val="none"/>
                <w:lang w:eastAsia="zh-CN"/>
              </w:rPr>
              <w:t>布袋除尘器处理后由40m高烟囱（DA002）排放满足《锅炉大气污染物排放标准》 （GB13271-2014）表2燃煤锅炉排放控制要求执行。本项目</w:t>
            </w:r>
            <w:r>
              <w:rPr>
                <w:rFonts w:hint="eastAsia" w:cs="Times New Roman"/>
                <w:bCs/>
                <w:color w:val="auto"/>
                <w:szCs w:val="21"/>
                <w:highlight w:val="none"/>
                <w:lang w:val="en-US" w:eastAsia="zh-CN"/>
              </w:rPr>
              <w:t>1#</w:t>
            </w:r>
            <w:r>
              <w:rPr>
                <w:rFonts w:hint="default" w:ascii="Times New Roman" w:hAnsi="Times New Roman" w:eastAsia="宋体" w:cs="Times New Roman"/>
                <w:bCs/>
                <w:color w:val="auto"/>
                <w:szCs w:val="21"/>
                <w:highlight w:val="none"/>
                <w:lang w:eastAsia="zh-CN"/>
              </w:rPr>
              <w:t>生产车间产生的</w:t>
            </w:r>
            <w:r>
              <w:rPr>
                <w:rFonts w:hint="eastAsia" w:cs="Times New Roman"/>
                <w:bCs/>
                <w:color w:val="auto"/>
                <w:szCs w:val="21"/>
                <w:highlight w:val="none"/>
                <w:lang w:val="en-US" w:eastAsia="zh-CN"/>
              </w:rPr>
              <w:t>球磨</w:t>
            </w:r>
            <w:r>
              <w:rPr>
                <w:rFonts w:hint="default" w:ascii="Times New Roman" w:hAnsi="Times New Roman" w:eastAsia="宋体" w:cs="Times New Roman"/>
                <w:bCs/>
                <w:color w:val="auto"/>
                <w:szCs w:val="21"/>
                <w:highlight w:val="none"/>
                <w:lang w:eastAsia="zh-CN"/>
              </w:rPr>
              <w:t>、破碎粉尘均经集气罩（收集效率为90%）收集后输送至同一台布袋除尘器（处理效率为99%）处理后经车间外1根1</w:t>
            </w:r>
            <w:r>
              <w:rPr>
                <w:rFonts w:hint="eastAsia" w:cs="Times New Roman"/>
                <w:bCs/>
                <w:color w:val="auto"/>
                <w:szCs w:val="21"/>
                <w:highlight w:val="none"/>
                <w:lang w:val="en-US" w:eastAsia="zh-CN"/>
              </w:rPr>
              <w:t>7</w:t>
            </w:r>
            <w:r>
              <w:rPr>
                <w:rFonts w:hint="default" w:ascii="Times New Roman" w:hAnsi="Times New Roman" w:eastAsia="宋体" w:cs="Times New Roman"/>
                <w:bCs/>
                <w:color w:val="auto"/>
                <w:szCs w:val="21"/>
                <w:highlight w:val="none"/>
                <w:lang w:eastAsia="zh-CN"/>
              </w:rPr>
              <w:t>m高排气筒（DA003）排放，满足《砖瓦工业大气污染物排放标准》（GB29620-2013）及修改单中表2新建企业大气污染物排放限值。本项目</w:t>
            </w:r>
            <w:r>
              <w:rPr>
                <w:rFonts w:hint="eastAsia" w:cs="Times New Roman"/>
                <w:bCs/>
                <w:color w:val="auto"/>
                <w:szCs w:val="21"/>
                <w:highlight w:val="none"/>
                <w:lang w:val="en-US" w:eastAsia="zh-CN"/>
              </w:rPr>
              <w:t>2#</w:t>
            </w:r>
            <w:r>
              <w:rPr>
                <w:rFonts w:hint="default" w:ascii="Times New Roman" w:hAnsi="Times New Roman" w:eastAsia="宋体" w:cs="Times New Roman"/>
                <w:bCs/>
                <w:color w:val="auto"/>
                <w:szCs w:val="21"/>
                <w:highlight w:val="none"/>
                <w:lang w:eastAsia="zh-CN"/>
              </w:rPr>
              <w:t>生产车间产生的</w:t>
            </w:r>
            <w:r>
              <w:rPr>
                <w:rFonts w:hint="eastAsia" w:cs="Times New Roman"/>
                <w:bCs/>
                <w:color w:val="auto"/>
                <w:szCs w:val="21"/>
                <w:highlight w:val="none"/>
                <w:lang w:val="en-US" w:eastAsia="zh-CN"/>
              </w:rPr>
              <w:t>球磨</w:t>
            </w:r>
            <w:r>
              <w:rPr>
                <w:rFonts w:hint="default" w:ascii="Times New Roman" w:hAnsi="Times New Roman" w:eastAsia="宋体" w:cs="Times New Roman"/>
                <w:bCs/>
                <w:color w:val="auto"/>
                <w:szCs w:val="21"/>
                <w:highlight w:val="none"/>
                <w:lang w:eastAsia="zh-CN"/>
              </w:rPr>
              <w:t>、破碎粉尘均经集气罩（收集效率为90%）收集后输送至同一台布袋除尘器（处理效率为99%）处理后经车间外1根1</w:t>
            </w:r>
            <w:r>
              <w:rPr>
                <w:rFonts w:hint="eastAsia" w:cs="Times New Roman"/>
                <w:bCs/>
                <w:color w:val="auto"/>
                <w:szCs w:val="21"/>
                <w:highlight w:val="none"/>
                <w:lang w:val="en-US" w:eastAsia="zh-CN"/>
              </w:rPr>
              <w:t>7</w:t>
            </w:r>
            <w:r>
              <w:rPr>
                <w:rFonts w:hint="default" w:ascii="Times New Roman" w:hAnsi="Times New Roman" w:eastAsia="宋体" w:cs="Times New Roman"/>
                <w:bCs/>
                <w:color w:val="auto"/>
                <w:szCs w:val="21"/>
                <w:highlight w:val="none"/>
                <w:lang w:eastAsia="zh-CN"/>
              </w:rPr>
              <w:t>m高排气筒（DA00</w:t>
            </w:r>
            <w:r>
              <w:rPr>
                <w:rFonts w:hint="eastAsia" w:ascii="Times New Roman" w:hAnsi="Times New Roman" w:eastAsia="宋体" w:cs="Times New Roman"/>
                <w:bCs/>
                <w:color w:val="auto"/>
                <w:szCs w:val="21"/>
                <w:highlight w:val="none"/>
                <w:lang w:val="en-US" w:eastAsia="zh-CN"/>
              </w:rPr>
              <w:t>4</w:t>
            </w:r>
            <w:r>
              <w:rPr>
                <w:rFonts w:hint="default" w:ascii="Times New Roman" w:hAnsi="Times New Roman" w:eastAsia="宋体" w:cs="Times New Roman"/>
                <w:bCs/>
                <w:color w:val="auto"/>
                <w:szCs w:val="21"/>
                <w:highlight w:val="none"/>
                <w:lang w:eastAsia="zh-CN"/>
              </w:rPr>
              <w:t>）排放，满足《</w:t>
            </w:r>
            <w:r>
              <w:rPr>
                <w:rFonts w:hint="eastAsia" w:ascii="Times New Roman" w:hAnsi="Times New Roman" w:eastAsia="宋体" w:cs="Times New Roman"/>
                <w:bCs/>
                <w:color w:val="auto"/>
                <w:szCs w:val="21"/>
                <w:highlight w:val="none"/>
                <w:lang w:val="en-US" w:eastAsia="zh-CN"/>
              </w:rPr>
              <w:t>水泥</w:t>
            </w:r>
            <w:r>
              <w:rPr>
                <w:rFonts w:hint="default" w:ascii="Times New Roman" w:hAnsi="Times New Roman" w:eastAsia="宋体" w:cs="Times New Roman"/>
                <w:bCs/>
                <w:color w:val="auto"/>
                <w:szCs w:val="21"/>
                <w:highlight w:val="none"/>
                <w:lang w:eastAsia="zh-CN"/>
              </w:rPr>
              <w:t>工业大气污染物排放标准》（GB</w:t>
            </w:r>
            <w:r>
              <w:rPr>
                <w:rFonts w:hint="eastAsia" w:ascii="Times New Roman" w:hAnsi="Times New Roman" w:eastAsia="宋体" w:cs="Times New Roman"/>
                <w:bCs/>
                <w:color w:val="auto"/>
                <w:szCs w:val="21"/>
                <w:highlight w:val="none"/>
                <w:lang w:val="en-US" w:eastAsia="zh-CN"/>
              </w:rPr>
              <w:t>4915</w:t>
            </w:r>
            <w:r>
              <w:rPr>
                <w:rFonts w:hint="default" w:ascii="Times New Roman" w:hAnsi="Times New Roman" w:eastAsia="宋体" w:cs="Times New Roman"/>
                <w:bCs/>
                <w:color w:val="auto"/>
                <w:szCs w:val="21"/>
                <w:highlight w:val="none"/>
                <w:lang w:eastAsia="zh-CN"/>
              </w:rPr>
              <w:t>-2013）及修改单中表</w:t>
            </w:r>
            <w:r>
              <w:rPr>
                <w:rFonts w:hint="eastAsia" w:ascii="Times New Roman" w:hAnsi="Times New Roman" w:eastAsia="宋体" w:cs="Times New Roman"/>
                <w:bCs/>
                <w:color w:val="auto"/>
                <w:szCs w:val="21"/>
                <w:highlight w:val="none"/>
                <w:lang w:val="en-US" w:eastAsia="zh-CN"/>
              </w:rPr>
              <w:t>1</w:t>
            </w:r>
            <w:r>
              <w:rPr>
                <w:rFonts w:hint="default" w:ascii="Times New Roman" w:hAnsi="Times New Roman" w:eastAsia="宋体" w:cs="Times New Roman"/>
                <w:bCs/>
                <w:color w:val="auto"/>
                <w:szCs w:val="21"/>
                <w:highlight w:val="none"/>
                <w:lang w:eastAsia="zh-CN"/>
              </w:rPr>
              <w:t>新建企业大气污染物排放限值。本项目钢筋防腐浸泡及</w:t>
            </w:r>
            <w:r>
              <w:rPr>
                <w:rFonts w:hint="eastAsia" w:cs="Times New Roman"/>
                <w:bCs/>
                <w:color w:val="auto"/>
                <w:szCs w:val="21"/>
                <w:highlight w:val="none"/>
                <w:lang w:eastAsia="zh-CN"/>
              </w:rPr>
              <w:t>烘干</w:t>
            </w:r>
            <w:r>
              <w:rPr>
                <w:rFonts w:hint="default" w:ascii="Times New Roman" w:hAnsi="Times New Roman" w:eastAsia="宋体" w:cs="Times New Roman"/>
                <w:bCs/>
                <w:color w:val="auto"/>
                <w:szCs w:val="21"/>
                <w:highlight w:val="none"/>
                <w:lang w:eastAsia="zh-CN"/>
              </w:rPr>
              <w:t>工序会产生有机废气经活性炭吸附处理后由15m高排气筒（DA00</w:t>
            </w:r>
            <w:r>
              <w:rPr>
                <w:rFonts w:hint="eastAsia" w:cs="Times New Roman"/>
                <w:bCs/>
                <w:color w:val="auto"/>
                <w:szCs w:val="21"/>
                <w:highlight w:val="none"/>
                <w:lang w:val="en-US" w:eastAsia="zh-CN"/>
              </w:rPr>
              <w:t>1</w:t>
            </w:r>
            <w:r>
              <w:rPr>
                <w:rFonts w:hint="default" w:ascii="Times New Roman" w:hAnsi="Times New Roman" w:eastAsia="宋体" w:cs="Times New Roman"/>
                <w:bCs/>
                <w:color w:val="auto"/>
                <w:szCs w:val="21"/>
                <w:highlight w:val="none"/>
                <w:lang w:eastAsia="zh-CN"/>
              </w:rPr>
              <w:t>）排放《大气污染物综合排放标准》（GB16297-1996）表2中二级排放限值。焊接烟尘采用移动式烟尘净化器处理后</w:t>
            </w:r>
            <w:r>
              <w:rPr>
                <w:rFonts w:hint="eastAsia" w:cs="Times New Roman"/>
                <w:bCs/>
                <w:color w:val="auto"/>
                <w:szCs w:val="21"/>
                <w:highlight w:val="none"/>
                <w:lang w:val="en-US" w:eastAsia="zh-CN"/>
              </w:rPr>
              <w:t>无组织</w:t>
            </w:r>
            <w:r>
              <w:rPr>
                <w:rFonts w:hint="default" w:ascii="Times New Roman" w:hAnsi="Times New Roman" w:eastAsia="宋体" w:cs="Times New Roman"/>
                <w:bCs/>
                <w:color w:val="auto"/>
                <w:szCs w:val="21"/>
                <w:highlight w:val="none"/>
                <w:lang w:eastAsia="zh-CN"/>
              </w:rPr>
              <w:t>排放满足《水泥工业大气污染物排放标准》（GB4915-2013）及修改单中表3大气污染物无组织排放限值。厂界无组织颗粒物排放浓度满足《</w:t>
            </w:r>
            <w:r>
              <w:rPr>
                <w:rFonts w:hint="eastAsia" w:ascii="Times New Roman" w:hAnsi="Times New Roman" w:eastAsia="宋体" w:cs="Times New Roman"/>
                <w:bCs/>
                <w:color w:val="auto"/>
                <w:szCs w:val="21"/>
                <w:highlight w:val="none"/>
                <w:lang w:val="en-US" w:eastAsia="zh-CN"/>
              </w:rPr>
              <w:t>水泥</w:t>
            </w:r>
            <w:r>
              <w:rPr>
                <w:rFonts w:hint="default" w:ascii="Times New Roman" w:hAnsi="Times New Roman" w:eastAsia="宋体" w:cs="Times New Roman"/>
                <w:bCs/>
                <w:color w:val="auto"/>
                <w:szCs w:val="21"/>
                <w:highlight w:val="none"/>
                <w:lang w:eastAsia="zh-CN"/>
              </w:rPr>
              <w:t>工业大气污染物排放标准》（GB</w:t>
            </w:r>
            <w:r>
              <w:rPr>
                <w:rFonts w:hint="eastAsia" w:ascii="Times New Roman" w:hAnsi="Times New Roman" w:eastAsia="宋体" w:cs="Times New Roman"/>
                <w:bCs/>
                <w:color w:val="auto"/>
                <w:szCs w:val="21"/>
                <w:highlight w:val="none"/>
                <w:lang w:val="en-US" w:eastAsia="zh-CN"/>
              </w:rPr>
              <w:t>4915</w:t>
            </w:r>
            <w:r>
              <w:rPr>
                <w:rFonts w:hint="default" w:ascii="Times New Roman" w:hAnsi="Times New Roman" w:eastAsia="宋体" w:cs="Times New Roman"/>
                <w:bCs/>
                <w:color w:val="auto"/>
                <w:szCs w:val="21"/>
                <w:highlight w:val="none"/>
                <w:lang w:eastAsia="zh-CN"/>
              </w:rPr>
              <w:t>-2013）及修改单中表3大气污染物</w:t>
            </w:r>
            <w:r>
              <w:rPr>
                <w:rFonts w:hint="eastAsia" w:cs="Times New Roman"/>
                <w:bCs/>
                <w:color w:val="auto"/>
                <w:szCs w:val="21"/>
                <w:highlight w:val="none"/>
                <w:lang w:val="en-US" w:eastAsia="zh-CN"/>
              </w:rPr>
              <w:t>无组织排放</w:t>
            </w:r>
            <w:r>
              <w:rPr>
                <w:rFonts w:hint="default" w:ascii="Times New Roman" w:hAnsi="Times New Roman" w:eastAsia="宋体" w:cs="Times New Roman"/>
                <w:bCs/>
                <w:color w:val="auto"/>
                <w:szCs w:val="21"/>
                <w:highlight w:val="none"/>
                <w:lang w:eastAsia="zh-CN"/>
              </w:rPr>
              <w:t>限值要求。厂界非甲烷总烃执行《大气污染物综合排放标准》（GB16297-1996）表2中无组织排放监控浓度限值；厂内执行《挥发性有机物无组织排放控制标准》（GB37822-2019）标准要求。</w:t>
            </w:r>
          </w:p>
          <w:p w14:paraId="480AA995">
            <w:pPr>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综上，本项目废气能够做到达标排放，对周边环境影响较小。</w:t>
            </w:r>
          </w:p>
          <w:p w14:paraId="0CB9DE64">
            <w:pPr>
              <w:keepNext w:val="0"/>
              <w:keepLines w:val="0"/>
              <w:pageBreakBefore w:val="0"/>
              <w:widowControl w:val="0"/>
              <w:kinsoku/>
              <w:wordWrap/>
              <w:overflowPunct/>
              <w:topLinePunct w:val="0"/>
              <w:autoSpaceDE/>
              <w:autoSpaceDN/>
              <w:bidi w:val="0"/>
              <w:adjustRightInd w:val="0"/>
              <w:snapToGrid w:val="0"/>
              <w:spacing w:line="360" w:lineRule="auto"/>
              <w:ind w:firstLine="400" w:firstLineChars="200"/>
              <w:textAlignment w:val="auto"/>
              <w:rPr>
                <w:rFonts w:hint="default" w:ascii="Times New Roman" w:hAnsi="Times New Roman" w:cs="Times New Roman"/>
                <w:color w:val="auto"/>
                <w:spacing w:val="-5"/>
                <w:sz w:val="21"/>
                <w:szCs w:val="21"/>
                <w:highlight w:val="none"/>
                <w:lang w:eastAsia="zh-CN"/>
              </w:rPr>
            </w:pPr>
            <w:r>
              <w:rPr>
                <w:rFonts w:hint="default" w:ascii="Times New Roman" w:hAnsi="Times New Roman" w:cs="Times New Roman"/>
                <w:color w:val="auto"/>
                <w:spacing w:val="-5"/>
                <w:sz w:val="21"/>
                <w:szCs w:val="21"/>
                <w:highlight w:val="none"/>
                <w:lang w:eastAsia="zh-CN"/>
              </w:rPr>
              <w:t>（</w:t>
            </w:r>
            <w:r>
              <w:rPr>
                <w:rFonts w:hint="default" w:ascii="Times New Roman" w:hAnsi="Times New Roman" w:cs="Times New Roman"/>
                <w:color w:val="auto"/>
                <w:spacing w:val="-5"/>
                <w:sz w:val="21"/>
                <w:szCs w:val="21"/>
                <w:highlight w:val="none"/>
                <w:lang w:val="en-US" w:eastAsia="zh-CN"/>
              </w:rPr>
              <w:t>5</w:t>
            </w:r>
            <w:r>
              <w:rPr>
                <w:rFonts w:hint="default" w:ascii="Times New Roman" w:hAnsi="Times New Roman" w:cs="Times New Roman"/>
                <w:color w:val="auto"/>
                <w:spacing w:val="-5"/>
                <w:sz w:val="21"/>
                <w:szCs w:val="21"/>
                <w:highlight w:val="none"/>
                <w:lang w:eastAsia="zh-CN"/>
              </w:rPr>
              <w:t>）环保设施可行性分析</w:t>
            </w:r>
          </w:p>
          <w:p w14:paraId="6FAEB560">
            <w:pPr>
              <w:jc w:val="center"/>
              <w:rPr>
                <w:rFonts w:hint="default" w:ascii="Times New Roman" w:hAnsi="Times New Roman" w:eastAsia="宋体" w:cs="Times New Roman"/>
                <w:b/>
                <w:bCs/>
                <w:color w:val="auto"/>
                <w:szCs w:val="21"/>
                <w:highlight w:val="none"/>
                <w:lang w:eastAsia="zh-CN"/>
              </w:rPr>
            </w:pPr>
            <w:r>
              <w:rPr>
                <w:rFonts w:hint="default" w:ascii="Times New Roman" w:hAnsi="Times New Roman" w:cs="Times New Roman"/>
                <w:b/>
                <w:bCs/>
                <w:color w:val="auto"/>
                <w:szCs w:val="21"/>
                <w:highlight w:val="none"/>
              </w:rPr>
              <w:t>表4-</w:t>
            </w:r>
            <w:r>
              <w:rPr>
                <w:rFonts w:hint="default" w:ascii="Times New Roman" w:hAnsi="Times New Roman" w:cs="Times New Roman"/>
                <w:b/>
                <w:bCs/>
                <w:color w:val="auto"/>
                <w:szCs w:val="21"/>
                <w:highlight w:val="none"/>
                <w:lang w:val="en-US" w:eastAsia="zh-CN"/>
              </w:rPr>
              <w:t>7</w:t>
            </w:r>
            <w:r>
              <w:rPr>
                <w:rFonts w:hint="default" w:ascii="Times New Roman" w:hAnsi="Times New Roman" w:cs="Times New Roman"/>
                <w:b/>
                <w:bCs/>
                <w:color w:val="auto"/>
                <w:szCs w:val="21"/>
                <w:highlight w:val="none"/>
              </w:rPr>
              <w:t xml:space="preserve"> </w:t>
            </w:r>
            <w:r>
              <w:rPr>
                <w:rFonts w:hint="default" w:ascii="Times New Roman" w:hAnsi="Times New Roman" w:cs="Times New Roman"/>
                <w:b/>
                <w:bCs/>
                <w:color w:val="auto"/>
                <w:szCs w:val="21"/>
                <w:highlight w:val="none"/>
                <w:lang w:eastAsia="zh-CN"/>
              </w:rPr>
              <w:t>本项目大气污染防治技术可行分析情况表</w:t>
            </w:r>
          </w:p>
          <w:tbl>
            <w:tblPr>
              <w:tblStyle w:val="3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711"/>
              <w:gridCol w:w="505"/>
              <w:gridCol w:w="818"/>
              <w:gridCol w:w="1697"/>
              <w:gridCol w:w="859"/>
              <w:gridCol w:w="722"/>
              <w:gridCol w:w="655"/>
              <w:gridCol w:w="632"/>
            </w:tblGrid>
            <w:tr w14:paraId="718AB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844" w:type="pct"/>
                  <w:vAlign w:val="center"/>
                </w:tcPr>
                <w:p w14:paraId="3D2F7D5A">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规范名称</w:t>
                  </w:r>
                </w:p>
              </w:tc>
              <w:tc>
                <w:tcPr>
                  <w:tcW w:w="447" w:type="pct"/>
                  <w:vAlign w:val="center"/>
                </w:tcPr>
                <w:p w14:paraId="2612738B">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废气类别</w:t>
                  </w:r>
                </w:p>
              </w:tc>
              <w:tc>
                <w:tcPr>
                  <w:tcW w:w="318" w:type="pct"/>
                  <w:vAlign w:val="center"/>
                </w:tcPr>
                <w:p w14:paraId="59E861D5">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排放方式</w:t>
                  </w:r>
                </w:p>
              </w:tc>
              <w:tc>
                <w:tcPr>
                  <w:tcW w:w="515" w:type="pct"/>
                  <w:vAlign w:val="center"/>
                </w:tcPr>
                <w:p w14:paraId="0B30EA7D">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污染物</w:t>
                  </w:r>
                </w:p>
              </w:tc>
              <w:tc>
                <w:tcPr>
                  <w:tcW w:w="1068" w:type="pct"/>
                  <w:vAlign w:val="center"/>
                </w:tcPr>
                <w:p w14:paraId="7B0607D2">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规范中可行性技术</w:t>
                  </w:r>
                </w:p>
              </w:tc>
              <w:tc>
                <w:tcPr>
                  <w:tcW w:w="540" w:type="pct"/>
                  <w:vAlign w:val="center"/>
                </w:tcPr>
                <w:p w14:paraId="063AB0E8">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本项目采取的污染防治技术</w:t>
                  </w:r>
                </w:p>
              </w:tc>
              <w:tc>
                <w:tcPr>
                  <w:tcW w:w="454" w:type="pct"/>
                  <w:vAlign w:val="center"/>
                </w:tcPr>
                <w:p w14:paraId="7C5FC39A">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是否为可行技术</w:t>
                  </w:r>
                </w:p>
              </w:tc>
              <w:tc>
                <w:tcPr>
                  <w:tcW w:w="412" w:type="pct"/>
                  <w:vAlign w:val="center"/>
                </w:tcPr>
                <w:p w14:paraId="44BAC4C8">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废气是否达标排放</w:t>
                  </w:r>
                </w:p>
              </w:tc>
              <w:tc>
                <w:tcPr>
                  <w:tcW w:w="397" w:type="pct"/>
                  <w:vAlign w:val="center"/>
                </w:tcPr>
                <w:p w14:paraId="45F0F8B7">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污染防治措施是否可行</w:t>
                  </w:r>
                </w:p>
              </w:tc>
            </w:tr>
            <w:tr w14:paraId="01FF7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44" w:type="pct"/>
                  <w:vMerge w:val="restart"/>
                  <w:vAlign w:val="center"/>
                </w:tcPr>
                <w:p w14:paraId="550B050F">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《排污单位许可证申请与核发</w:t>
                  </w:r>
                  <w:r>
                    <w:rPr>
                      <w:rFonts w:hint="default" w:ascii="Times New Roman" w:hAnsi="Times New Roman" w:eastAsia="宋体" w:cs="Times New Roman"/>
                      <w:color w:val="auto"/>
                      <w:sz w:val="18"/>
                      <w:szCs w:val="18"/>
                      <w:highlight w:val="none"/>
                      <w:lang w:val="en-US" w:eastAsia="zh-CN"/>
                    </w:rPr>
                    <w:t>技术规范</w:t>
                  </w:r>
                  <w:r>
                    <w:rPr>
                      <w:rFonts w:hint="default" w:ascii="Times New Roman" w:hAnsi="Times New Roman" w:eastAsia="宋体" w:cs="Times New Roman"/>
                      <w:color w:val="auto"/>
                      <w:sz w:val="18"/>
                      <w:szCs w:val="18"/>
                      <w:highlight w:val="none"/>
                      <w:lang w:eastAsia="zh-CN"/>
                    </w:rPr>
                    <w:t xml:space="preserve"> 锅炉》（</w:t>
                  </w:r>
                  <w:r>
                    <w:rPr>
                      <w:rFonts w:hint="default" w:ascii="Times New Roman" w:hAnsi="Times New Roman" w:eastAsia="宋体" w:cs="Times New Roman"/>
                      <w:color w:val="auto"/>
                      <w:sz w:val="18"/>
                      <w:szCs w:val="18"/>
                      <w:highlight w:val="none"/>
                      <w:lang w:val="en-US" w:eastAsia="zh-CN"/>
                    </w:rPr>
                    <w:t>HJ953-2018</w:t>
                  </w:r>
                  <w:r>
                    <w:rPr>
                      <w:rFonts w:hint="default" w:ascii="Times New Roman" w:hAnsi="Times New Roman" w:eastAsia="宋体" w:cs="Times New Roman"/>
                      <w:color w:val="auto"/>
                      <w:sz w:val="18"/>
                      <w:szCs w:val="18"/>
                      <w:highlight w:val="none"/>
                      <w:lang w:eastAsia="zh-CN"/>
                    </w:rPr>
                    <w:t>）</w:t>
                  </w:r>
                </w:p>
              </w:tc>
              <w:tc>
                <w:tcPr>
                  <w:tcW w:w="447" w:type="pct"/>
                  <w:vMerge w:val="restart"/>
                  <w:vAlign w:val="center"/>
                </w:tcPr>
                <w:p w14:paraId="737E067E">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锅炉废气</w:t>
                  </w:r>
                </w:p>
              </w:tc>
              <w:tc>
                <w:tcPr>
                  <w:tcW w:w="318" w:type="pct"/>
                  <w:vMerge w:val="restart"/>
                  <w:vAlign w:val="center"/>
                </w:tcPr>
                <w:p w14:paraId="5E95D186">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有组织排放</w:t>
                  </w:r>
                </w:p>
              </w:tc>
              <w:tc>
                <w:tcPr>
                  <w:tcW w:w="515" w:type="pct"/>
                  <w:vAlign w:val="center"/>
                </w:tcPr>
                <w:p w14:paraId="615D4C31">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颗粒物</w:t>
                  </w:r>
                </w:p>
              </w:tc>
              <w:tc>
                <w:tcPr>
                  <w:tcW w:w="1068" w:type="pct"/>
                  <w:vAlign w:val="center"/>
                </w:tcPr>
                <w:p w14:paraId="61DED234">
                  <w:pPr>
                    <w:pStyle w:val="73"/>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旋风除尘和袋式除尘组合技术</w:t>
                  </w:r>
                </w:p>
              </w:tc>
              <w:tc>
                <w:tcPr>
                  <w:tcW w:w="540" w:type="pct"/>
                  <w:vAlign w:val="center"/>
                </w:tcPr>
                <w:p w14:paraId="3CEE8B00">
                  <w:pPr>
                    <w:pStyle w:val="73"/>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旋风除尘</w:t>
                  </w:r>
                  <w:r>
                    <w:rPr>
                      <w:rFonts w:hint="default" w:ascii="Times New Roman" w:hAnsi="Times New Roman" w:eastAsia="宋体" w:cs="Times New Roman"/>
                      <w:color w:val="auto"/>
                      <w:sz w:val="18"/>
                      <w:szCs w:val="18"/>
                      <w:highlight w:val="none"/>
                      <w:lang w:val="en-US" w:eastAsia="zh-CN"/>
                    </w:rPr>
                    <w:t>+布袋除尘</w:t>
                  </w:r>
                </w:p>
              </w:tc>
              <w:tc>
                <w:tcPr>
                  <w:tcW w:w="454" w:type="pct"/>
                  <w:vAlign w:val="center"/>
                </w:tcPr>
                <w:p w14:paraId="570217DF">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是</w:t>
                  </w:r>
                </w:p>
              </w:tc>
              <w:tc>
                <w:tcPr>
                  <w:tcW w:w="412" w:type="pct"/>
                  <w:vAlign w:val="center"/>
                </w:tcPr>
                <w:p w14:paraId="4632AB00">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是</w:t>
                  </w:r>
                </w:p>
              </w:tc>
              <w:tc>
                <w:tcPr>
                  <w:tcW w:w="397" w:type="pct"/>
                  <w:vAlign w:val="center"/>
                </w:tcPr>
                <w:p w14:paraId="5C7C8931">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可行</w:t>
                  </w:r>
                </w:p>
              </w:tc>
            </w:tr>
            <w:tr w14:paraId="07DA95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5" w:hRule="atLeast"/>
                <w:jc w:val="center"/>
              </w:trPr>
              <w:tc>
                <w:tcPr>
                  <w:tcW w:w="844" w:type="pct"/>
                  <w:vMerge w:val="continue"/>
                  <w:vAlign w:val="center"/>
                </w:tcPr>
                <w:p w14:paraId="5D281C8E">
                  <w:pPr>
                    <w:pStyle w:val="73"/>
                    <w:rPr>
                      <w:rFonts w:hint="default" w:ascii="Times New Roman" w:hAnsi="Times New Roman" w:eastAsia="宋体" w:cs="Times New Roman"/>
                      <w:color w:val="auto"/>
                      <w:sz w:val="18"/>
                      <w:szCs w:val="18"/>
                      <w:highlight w:val="none"/>
                      <w:lang w:eastAsia="zh-CN"/>
                    </w:rPr>
                  </w:pPr>
                </w:p>
              </w:tc>
              <w:tc>
                <w:tcPr>
                  <w:tcW w:w="447" w:type="pct"/>
                  <w:vMerge w:val="continue"/>
                  <w:vAlign w:val="center"/>
                </w:tcPr>
                <w:p w14:paraId="22F4286E">
                  <w:pPr>
                    <w:pStyle w:val="73"/>
                    <w:rPr>
                      <w:rFonts w:hint="default" w:ascii="Times New Roman" w:hAnsi="Times New Roman" w:eastAsia="宋体" w:cs="Times New Roman"/>
                      <w:color w:val="auto"/>
                      <w:sz w:val="18"/>
                      <w:szCs w:val="18"/>
                      <w:highlight w:val="none"/>
                      <w:lang w:val="en-US" w:eastAsia="zh-CN"/>
                    </w:rPr>
                  </w:pPr>
                </w:p>
              </w:tc>
              <w:tc>
                <w:tcPr>
                  <w:tcW w:w="318" w:type="pct"/>
                  <w:vMerge w:val="continue"/>
                  <w:vAlign w:val="center"/>
                </w:tcPr>
                <w:p w14:paraId="55400B33">
                  <w:pPr>
                    <w:pStyle w:val="73"/>
                    <w:rPr>
                      <w:rFonts w:hint="default" w:ascii="Times New Roman" w:hAnsi="Times New Roman" w:eastAsia="宋体" w:cs="Times New Roman"/>
                      <w:color w:val="auto"/>
                      <w:sz w:val="18"/>
                      <w:szCs w:val="18"/>
                      <w:highlight w:val="none"/>
                      <w:lang w:eastAsia="zh-CN"/>
                    </w:rPr>
                  </w:pPr>
                </w:p>
              </w:tc>
              <w:tc>
                <w:tcPr>
                  <w:tcW w:w="515" w:type="pct"/>
                  <w:vAlign w:val="center"/>
                </w:tcPr>
                <w:p w14:paraId="2654ABAF">
                  <w:pPr>
                    <w:pStyle w:val="73"/>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氮氧化物</w:t>
                  </w:r>
                </w:p>
              </w:tc>
              <w:tc>
                <w:tcPr>
                  <w:tcW w:w="1068" w:type="pct"/>
                  <w:vAlign w:val="center"/>
                </w:tcPr>
                <w:p w14:paraId="1596F86F">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低氮燃烧技术、低氮燃烧+SNCR脱硝技术、低氮燃烧一般地区+SCR脱硝技术、低氮燃烧+(SNCR-SCR联合)脱硝技低氮燃烧技术、低氮燃烧+SCR脱氮氧术、SNCR脱硝技术、SCR脱硝技术</w:t>
                  </w:r>
                </w:p>
              </w:tc>
              <w:tc>
                <w:tcPr>
                  <w:tcW w:w="540" w:type="pct"/>
                  <w:vAlign w:val="center"/>
                </w:tcPr>
                <w:p w14:paraId="78FC4550">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低氮燃烧技术</w:t>
                  </w:r>
                </w:p>
              </w:tc>
              <w:tc>
                <w:tcPr>
                  <w:tcW w:w="454" w:type="pct"/>
                  <w:vAlign w:val="center"/>
                </w:tcPr>
                <w:p w14:paraId="217B366D">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是</w:t>
                  </w:r>
                </w:p>
              </w:tc>
              <w:tc>
                <w:tcPr>
                  <w:tcW w:w="412" w:type="pct"/>
                  <w:vAlign w:val="center"/>
                </w:tcPr>
                <w:p w14:paraId="74759421">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是</w:t>
                  </w:r>
                </w:p>
              </w:tc>
              <w:tc>
                <w:tcPr>
                  <w:tcW w:w="397" w:type="pct"/>
                  <w:vAlign w:val="center"/>
                </w:tcPr>
                <w:p w14:paraId="54BB6985">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可行</w:t>
                  </w:r>
                </w:p>
              </w:tc>
            </w:tr>
            <w:tr w14:paraId="21B6A0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4" w:type="pct"/>
                  <w:vAlign w:val="center"/>
                </w:tcPr>
                <w:p w14:paraId="15ABB15B">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 xml:space="preserve">《排污许可证申请与核发技术规范 </w:t>
                  </w:r>
                  <w:r>
                    <w:rPr>
                      <w:rFonts w:hint="default" w:ascii="Times New Roman" w:hAnsi="Times New Roman" w:eastAsia="宋体" w:cs="Times New Roman"/>
                      <w:color w:val="auto"/>
                      <w:sz w:val="18"/>
                      <w:szCs w:val="18"/>
                      <w:highlight w:val="none"/>
                      <w:lang w:val="en-US" w:eastAsia="zh-CN"/>
                    </w:rPr>
                    <w:t>陶瓷砖瓦工业</w:t>
                  </w:r>
                  <w:r>
                    <w:rPr>
                      <w:rFonts w:hint="default" w:ascii="Times New Roman" w:hAnsi="Times New Roman" w:eastAsia="宋体" w:cs="Times New Roman"/>
                      <w:color w:val="auto"/>
                      <w:sz w:val="18"/>
                      <w:szCs w:val="18"/>
                      <w:highlight w:val="none"/>
                      <w:lang w:eastAsia="zh-CN"/>
                    </w:rPr>
                    <w:t>》（HJ</w:t>
                  </w:r>
                  <w:r>
                    <w:rPr>
                      <w:rFonts w:hint="default" w:ascii="Times New Roman" w:hAnsi="Times New Roman" w:eastAsia="宋体" w:cs="Times New Roman"/>
                      <w:color w:val="auto"/>
                      <w:sz w:val="18"/>
                      <w:szCs w:val="18"/>
                      <w:highlight w:val="none"/>
                      <w:lang w:val="en-US" w:eastAsia="zh-CN"/>
                    </w:rPr>
                    <w:t>954</w:t>
                  </w:r>
                  <w:r>
                    <w:rPr>
                      <w:rFonts w:hint="default" w:ascii="Times New Roman" w:hAnsi="Times New Roman" w:eastAsia="宋体" w:cs="Times New Roman"/>
                      <w:color w:val="auto"/>
                      <w:sz w:val="18"/>
                      <w:szCs w:val="18"/>
                      <w:highlight w:val="none"/>
                      <w:lang w:eastAsia="zh-CN"/>
                    </w:rPr>
                    <w:t>-20</w:t>
                  </w:r>
                  <w:r>
                    <w:rPr>
                      <w:rFonts w:hint="default" w:ascii="Times New Roman" w:hAnsi="Times New Roman" w:eastAsia="宋体" w:cs="Times New Roman"/>
                      <w:color w:val="auto"/>
                      <w:sz w:val="18"/>
                      <w:szCs w:val="18"/>
                      <w:highlight w:val="none"/>
                      <w:lang w:val="en-US" w:eastAsia="zh-CN"/>
                    </w:rPr>
                    <w:t>18</w:t>
                  </w:r>
                  <w:r>
                    <w:rPr>
                      <w:rFonts w:hint="default" w:ascii="Times New Roman" w:hAnsi="Times New Roman" w:eastAsia="宋体" w:cs="Times New Roman"/>
                      <w:color w:val="auto"/>
                      <w:sz w:val="18"/>
                      <w:szCs w:val="18"/>
                      <w:highlight w:val="none"/>
                      <w:lang w:eastAsia="zh-CN"/>
                    </w:rPr>
                    <w:t>）</w:t>
                  </w:r>
                </w:p>
              </w:tc>
              <w:tc>
                <w:tcPr>
                  <w:tcW w:w="447" w:type="pct"/>
                  <w:vAlign w:val="center"/>
                </w:tcPr>
                <w:p w14:paraId="72ED1177">
                  <w:pPr>
                    <w:pStyle w:val="73"/>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生产过程原料制备、成型、包装机等</w:t>
                  </w:r>
                </w:p>
              </w:tc>
              <w:tc>
                <w:tcPr>
                  <w:tcW w:w="318" w:type="pct"/>
                  <w:vMerge w:val="continue"/>
                  <w:vAlign w:val="center"/>
                </w:tcPr>
                <w:p w14:paraId="7A902D59">
                  <w:pPr>
                    <w:pStyle w:val="73"/>
                    <w:rPr>
                      <w:rFonts w:hint="default" w:ascii="Times New Roman" w:hAnsi="Times New Roman" w:eastAsia="宋体" w:cs="Times New Roman"/>
                      <w:color w:val="auto"/>
                      <w:sz w:val="18"/>
                      <w:szCs w:val="18"/>
                      <w:highlight w:val="none"/>
                      <w:lang w:eastAsia="zh-CN"/>
                    </w:rPr>
                  </w:pPr>
                </w:p>
              </w:tc>
              <w:tc>
                <w:tcPr>
                  <w:tcW w:w="515" w:type="pct"/>
                  <w:vAlign w:val="center"/>
                </w:tcPr>
                <w:p w14:paraId="78167F2C">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颗粒物</w:t>
                  </w:r>
                </w:p>
              </w:tc>
              <w:tc>
                <w:tcPr>
                  <w:tcW w:w="1068" w:type="pct"/>
                  <w:vAlign w:val="center"/>
                </w:tcPr>
                <w:p w14:paraId="10CB37F8">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袋式除尘</w:t>
                  </w:r>
                </w:p>
              </w:tc>
              <w:tc>
                <w:tcPr>
                  <w:tcW w:w="540" w:type="pct"/>
                  <w:vAlign w:val="center"/>
                </w:tcPr>
                <w:p w14:paraId="3CBEAC6C">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布袋除尘器</w:t>
                  </w:r>
                </w:p>
              </w:tc>
              <w:tc>
                <w:tcPr>
                  <w:tcW w:w="454" w:type="pct"/>
                  <w:vAlign w:val="center"/>
                </w:tcPr>
                <w:p w14:paraId="17261702">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是</w:t>
                  </w:r>
                </w:p>
              </w:tc>
              <w:tc>
                <w:tcPr>
                  <w:tcW w:w="412" w:type="pct"/>
                  <w:vAlign w:val="center"/>
                </w:tcPr>
                <w:p w14:paraId="78986F30">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是</w:t>
                  </w:r>
                </w:p>
              </w:tc>
              <w:tc>
                <w:tcPr>
                  <w:tcW w:w="397" w:type="pct"/>
                  <w:vAlign w:val="center"/>
                </w:tcPr>
                <w:p w14:paraId="05003C0D">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可行</w:t>
                  </w:r>
                </w:p>
              </w:tc>
            </w:tr>
            <w:tr w14:paraId="68791B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844" w:type="pct"/>
                  <w:vAlign w:val="center"/>
                </w:tcPr>
                <w:p w14:paraId="226D865B">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 xml:space="preserve">《排污许可证申请与核发技术规范 </w:t>
                  </w:r>
                  <w:r>
                    <w:rPr>
                      <w:rFonts w:hint="eastAsia" w:eastAsia="宋体" w:cs="Times New Roman"/>
                      <w:color w:val="auto"/>
                      <w:sz w:val="18"/>
                      <w:szCs w:val="18"/>
                      <w:highlight w:val="none"/>
                      <w:lang w:val="en-US" w:eastAsia="zh-CN"/>
                    </w:rPr>
                    <w:t>水泥</w:t>
                  </w:r>
                  <w:r>
                    <w:rPr>
                      <w:rFonts w:hint="default" w:ascii="Times New Roman" w:hAnsi="Times New Roman" w:eastAsia="宋体" w:cs="Times New Roman"/>
                      <w:color w:val="auto"/>
                      <w:sz w:val="18"/>
                      <w:szCs w:val="18"/>
                      <w:highlight w:val="none"/>
                      <w:lang w:val="en-US" w:eastAsia="zh-CN"/>
                    </w:rPr>
                    <w:t>工业</w:t>
                  </w:r>
                  <w:r>
                    <w:rPr>
                      <w:rFonts w:hint="default" w:ascii="Times New Roman" w:hAnsi="Times New Roman" w:eastAsia="宋体" w:cs="Times New Roman"/>
                      <w:color w:val="auto"/>
                      <w:sz w:val="18"/>
                      <w:szCs w:val="18"/>
                      <w:highlight w:val="none"/>
                      <w:lang w:eastAsia="zh-CN"/>
                    </w:rPr>
                    <w:t>》（HJ</w:t>
                  </w:r>
                  <w:r>
                    <w:rPr>
                      <w:rFonts w:hint="eastAsia" w:eastAsia="宋体" w:cs="Times New Roman"/>
                      <w:color w:val="auto"/>
                      <w:sz w:val="18"/>
                      <w:szCs w:val="18"/>
                      <w:highlight w:val="none"/>
                      <w:lang w:val="en-US" w:eastAsia="zh-CN"/>
                    </w:rPr>
                    <w:t>847</w:t>
                  </w:r>
                  <w:r>
                    <w:rPr>
                      <w:rFonts w:hint="default" w:ascii="Times New Roman" w:hAnsi="Times New Roman" w:eastAsia="宋体" w:cs="Times New Roman"/>
                      <w:color w:val="auto"/>
                      <w:sz w:val="18"/>
                      <w:szCs w:val="18"/>
                      <w:highlight w:val="none"/>
                      <w:lang w:eastAsia="zh-CN"/>
                    </w:rPr>
                    <w:t>-20</w:t>
                  </w:r>
                  <w:r>
                    <w:rPr>
                      <w:rFonts w:hint="default" w:ascii="Times New Roman" w:hAnsi="Times New Roman" w:eastAsia="宋体" w:cs="Times New Roman"/>
                      <w:color w:val="auto"/>
                      <w:sz w:val="18"/>
                      <w:szCs w:val="18"/>
                      <w:highlight w:val="none"/>
                      <w:lang w:val="en-US" w:eastAsia="zh-CN"/>
                    </w:rPr>
                    <w:t>1</w:t>
                  </w:r>
                  <w:r>
                    <w:rPr>
                      <w:rFonts w:hint="eastAsia" w:eastAsia="宋体" w:cs="Times New Roman"/>
                      <w:color w:val="auto"/>
                      <w:sz w:val="18"/>
                      <w:szCs w:val="18"/>
                      <w:highlight w:val="none"/>
                      <w:lang w:val="en-US" w:eastAsia="zh-CN"/>
                    </w:rPr>
                    <w:t>7</w:t>
                  </w:r>
                  <w:r>
                    <w:rPr>
                      <w:rFonts w:hint="default" w:ascii="Times New Roman" w:hAnsi="Times New Roman" w:eastAsia="宋体" w:cs="Times New Roman"/>
                      <w:color w:val="auto"/>
                      <w:sz w:val="18"/>
                      <w:szCs w:val="18"/>
                      <w:highlight w:val="none"/>
                      <w:lang w:eastAsia="zh-CN"/>
                    </w:rPr>
                    <w:t>）</w:t>
                  </w:r>
                </w:p>
              </w:tc>
              <w:tc>
                <w:tcPr>
                  <w:tcW w:w="447" w:type="pct"/>
                  <w:vAlign w:val="center"/>
                </w:tcPr>
                <w:p w14:paraId="4CFDBDAF">
                  <w:pPr>
                    <w:pStyle w:val="73"/>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有组织排放颗粒物</w:t>
                  </w:r>
                </w:p>
              </w:tc>
              <w:tc>
                <w:tcPr>
                  <w:tcW w:w="318" w:type="pct"/>
                  <w:vMerge w:val="continue"/>
                  <w:vAlign w:val="center"/>
                </w:tcPr>
                <w:p w14:paraId="0069F8B4">
                  <w:pPr>
                    <w:pStyle w:val="73"/>
                    <w:rPr>
                      <w:rFonts w:hint="default" w:ascii="Times New Roman" w:hAnsi="Times New Roman" w:eastAsia="宋体" w:cs="Times New Roman"/>
                      <w:color w:val="auto"/>
                      <w:sz w:val="18"/>
                      <w:szCs w:val="18"/>
                      <w:highlight w:val="none"/>
                      <w:lang w:eastAsia="zh-CN"/>
                    </w:rPr>
                  </w:pPr>
                </w:p>
              </w:tc>
              <w:tc>
                <w:tcPr>
                  <w:tcW w:w="515" w:type="pct"/>
                  <w:vAlign w:val="center"/>
                </w:tcPr>
                <w:p w14:paraId="421C14D7">
                  <w:pPr>
                    <w:pStyle w:val="73"/>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颗粒物</w:t>
                  </w:r>
                </w:p>
              </w:tc>
              <w:tc>
                <w:tcPr>
                  <w:tcW w:w="1068" w:type="pct"/>
                  <w:vAlign w:val="center"/>
                </w:tcPr>
                <w:p w14:paraId="2BC47D8B">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袋式除尘器、电除尘器、电袋复</w:t>
                  </w:r>
                </w:p>
                <w:p w14:paraId="6817B3D4">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合除尘器</w:t>
                  </w:r>
                </w:p>
              </w:tc>
              <w:tc>
                <w:tcPr>
                  <w:tcW w:w="540" w:type="pct"/>
                  <w:vAlign w:val="center"/>
                </w:tcPr>
                <w:p w14:paraId="581280D1">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布袋除尘器</w:t>
                  </w:r>
                </w:p>
              </w:tc>
              <w:tc>
                <w:tcPr>
                  <w:tcW w:w="454" w:type="pct"/>
                  <w:vAlign w:val="center"/>
                </w:tcPr>
                <w:p w14:paraId="386B5E82">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是</w:t>
                  </w:r>
                </w:p>
              </w:tc>
              <w:tc>
                <w:tcPr>
                  <w:tcW w:w="412" w:type="pct"/>
                  <w:vAlign w:val="center"/>
                </w:tcPr>
                <w:p w14:paraId="59AFB02F">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是</w:t>
                  </w:r>
                </w:p>
              </w:tc>
              <w:tc>
                <w:tcPr>
                  <w:tcW w:w="397" w:type="pct"/>
                  <w:vAlign w:val="center"/>
                </w:tcPr>
                <w:p w14:paraId="3A2E89A5">
                  <w:pPr>
                    <w:pStyle w:val="73"/>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可行</w:t>
                  </w:r>
                </w:p>
              </w:tc>
            </w:tr>
          </w:tbl>
          <w:p w14:paraId="6F8888B4">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（6）</w:t>
            </w:r>
            <w:r>
              <w:rPr>
                <w:rFonts w:hint="default" w:ascii="Times New Roman" w:hAnsi="Times New Roman" w:cs="Times New Roman"/>
                <w:b w:val="0"/>
                <w:bCs w:val="0"/>
                <w:color w:val="auto"/>
                <w:sz w:val="21"/>
                <w:szCs w:val="21"/>
                <w:highlight w:val="none"/>
              </w:rPr>
              <w:t>排气筒设置合理性分析</w:t>
            </w:r>
          </w:p>
          <w:p w14:paraId="362B73FA">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4" w:firstLineChars="200"/>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项目锅炉产能为1</w:t>
            </w:r>
            <w:r>
              <w:rPr>
                <w:rFonts w:hint="default" w:ascii="Times New Roman" w:hAnsi="Times New Roman" w:eastAsia="宋体" w:cs="Times New Roman"/>
                <w:color w:val="auto"/>
                <w:spacing w:val="-4"/>
                <w:sz w:val="21"/>
                <w:szCs w:val="21"/>
                <w:highlight w:val="none"/>
                <w:lang w:val="en-US" w:eastAsia="zh-CN"/>
              </w:rPr>
              <w:t>2</w:t>
            </w:r>
            <w:r>
              <w:rPr>
                <w:rFonts w:hint="default" w:ascii="Times New Roman" w:hAnsi="Times New Roman" w:eastAsia="宋体" w:cs="Times New Roman"/>
                <w:color w:val="auto"/>
                <w:spacing w:val="-4"/>
                <w:sz w:val="21"/>
                <w:szCs w:val="21"/>
                <w:highlight w:val="none"/>
              </w:rPr>
              <w:t>t/h，根据《锅炉大气污染物排放标准》 （GB13271-2014）中表</w:t>
            </w:r>
            <w:r>
              <w:rPr>
                <w:rFonts w:hint="default" w:ascii="Times New Roman" w:hAnsi="Times New Roman" w:eastAsia="宋体" w:cs="Times New Roman"/>
                <w:color w:val="auto"/>
                <w:spacing w:val="-4"/>
                <w:sz w:val="21"/>
                <w:szCs w:val="21"/>
                <w:highlight w:val="none"/>
                <w:lang w:val="en-US" w:eastAsia="zh-CN"/>
              </w:rPr>
              <w:t>4</w:t>
            </w:r>
            <w:r>
              <w:rPr>
                <w:rFonts w:hint="default" w:ascii="Times New Roman" w:hAnsi="Times New Roman" w:eastAsia="宋体" w:cs="Times New Roman"/>
                <w:color w:val="auto"/>
                <w:spacing w:val="-4"/>
                <w:sz w:val="21"/>
                <w:szCs w:val="21"/>
                <w:highlight w:val="none"/>
              </w:rPr>
              <w:t>燃煤锅炉房烟囱最低允许高度，对应的烟囱最低允许高度为40m，且锅炉房的烟囱周围半径200m距离内有建筑物时，其烟囱应高出最高建筑物3m以上。根据现场踏勘及建设单位提供资料，锅炉排气筒（DA00</w:t>
            </w:r>
            <w:r>
              <w:rPr>
                <w:rFonts w:hint="default" w:ascii="Times New Roman" w:hAnsi="Times New Roman" w:eastAsia="宋体" w:cs="Times New Roman"/>
                <w:color w:val="auto"/>
                <w:spacing w:val="-4"/>
                <w:sz w:val="21"/>
                <w:szCs w:val="21"/>
                <w:highlight w:val="none"/>
                <w:lang w:val="en-US" w:eastAsia="zh-CN"/>
              </w:rPr>
              <w:t>2</w:t>
            </w:r>
            <w:r>
              <w:rPr>
                <w:rFonts w:hint="default" w:ascii="Times New Roman" w:hAnsi="Times New Roman" w:eastAsia="宋体" w:cs="Times New Roman"/>
                <w:color w:val="auto"/>
                <w:spacing w:val="-4"/>
                <w:sz w:val="21"/>
                <w:szCs w:val="21"/>
                <w:highlight w:val="none"/>
              </w:rPr>
              <w:t>）周围200m范围内建筑高度约</w:t>
            </w:r>
            <w:r>
              <w:rPr>
                <w:rFonts w:hint="default" w:ascii="Times New Roman" w:hAnsi="Times New Roman" w:eastAsia="宋体" w:cs="Times New Roman"/>
                <w:color w:val="auto"/>
                <w:spacing w:val="-4"/>
                <w:sz w:val="21"/>
                <w:szCs w:val="21"/>
                <w:highlight w:val="none"/>
                <w:lang w:val="en-US" w:eastAsia="zh-CN"/>
              </w:rPr>
              <w:t>13.5</w:t>
            </w:r>
            <w:r>
              <w:rPr>
                <w:rFonts w:hint="default" w:ascii="Times New Roman" w:hAnsi="Times New Roman" w:eastAsia="宋体" w:cs="Times New Roman"/>
                <w:color w:val="auto"/>
                <w:spacing w:val="-4"/>
                <w:sz w:val="21"/>
                <w:szCs w:val="21"/>
                <w:highlight w:val="none"/>
              </w:rPr>
              <w:t>m，</w:t>
            </w:r>
            <w:r>
              <w:rPr>
                <w:rFonts w:hint="default" w:ascii="Times New Roman" w:hAnsi="Times New Roman" w:eastAsia="宋体" w:cs="Times New Roman"/>
                <w:color w:val="auto"/>
                <w:spacing w:val="-4"/>
                <w:sz w:val="21"/>
                <w:szCs w:val="21"/>
                <w:highlight w:val="none"/>
                <w:lang w:val="en-US" w:eastAsia="zh-CN"/>
              </w:rPr>
              <w:t>本项目锅炉烟囱设置为40m</w:t>
            </w:r>
            <w:r>
              <w:rPr>
                <w:rFonts w:hint="default" w:ascii="Times New Roman" w:hAnsi="Times New Roman" w:eastAsia="宋体" w:cs="Times New Roman"/>
                <w:color w:val="auto"/>
                <w:spacing w:val="-4"/>
                <w:sz w:val="21"/>
                <w:szCs w:val="21"/>
                <w:highlight w:val="none"/>
              </w:rPr>
              <w:t>可满足《锅炉大气污染物排放标准》（GB13271-2014）中相关要求。</w:t>
            </w:r>
          </w:p>
          <w:p w14:paraId="305127B1">
            <w:pPr>
              <w:pStyle w:val="100"/>
              <w:keepNext w:val="0"/>
              <w:keepLines w:val="0"/>
              <w:pageBreakBefore w:val="0"/>
              <w:widowControl w:val="0"/>
              <w:kinsoku/>
              <w:wordWrap/>
              <w:overflowPunct/>
              <w:topLinePunct w:val="0"/>
              <w:autoSpaceDE/>
              <w:autoSpaceDN/>
              <w:bidi w:val="0"/>
              <w:adjustRightInd/>
              <w:snapToGrid/>
              <w:spacing w:line="360" w:lineRule="auto"/>
              <w:ind w:left="0" w:right="0" w:firstLine="404" w:firstLineChars="200"/>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根据《大气污染物综合排放标准》（GB16297- 1996）规定：“排气筒高度除须遵守表列排放速率标准值外，还应高出周围200m半径范围的建筑5m以上，不能达到该要求的排气筒，应按其高度对应的表列排放速率标准值严格50%执行”。根据现场踏勘，本项目排气筒周围200m范围内建筑高度约为</w:t>
            </w:r>
            <w:r>
              <w:rPr>
                <w:rFonts w:hint="default" w:ascii="Times New Roman" w:hAnsi="Times New Roman" w:eastAsia="宋体" w:cs="Times New Roman"/>
                <w:color w:val="auto"/>
                <w:spacing w:val="-4"/>
                <w:sz w:val="21"/>
                <w:szCs w:val="21"/>
                <w:highlight w:val="none"/>
                <w:lang w:val="en-US" w:eastAsia="zh-CN"/>
              </w:rPr>
              <w:t>13.5</w:t>
            </w:r>
            <w:r>
              <w:rPr>
                <w:rFonts w:hint="default" w:ascii="Times New Roman" w:hAnsi="Times New Roman" w:eastAsia="宋体" w:cs="Times New Roman"/>
                <w:color w:val="auto"/>
                <w:spacing w:val="-4"/>
                <w:sz w:val="21"/>
                <w:szCs w:val="21"/>
                <w:highlight w:val="none"/>
              </w:rPr>
              <w:t>m，有机废气排气筒（DA00</w:t>
            </w:r>
            <w:r>
              <w:rPr>
                <w:rFonts w:hint="eastAsia" w:ascii="Times New Roman" w:hAnsi="Times New Roman" w:cs="Times New Roman"/>
                <w:color w:val="auto"/>
                <w:spacing w:val="-4"/>
                <w:sz w:val="21"/>
                <w:szCs w:val="21"/>
                <w:highlight w:val="none"/>
                <w:lang w:val="en-US" w:eastAsia="zh-CN"/>
              </w:rPr>
              <w:t>1</w:t>
            </w:r>
            <w:r>
              <w:rPr>
                <w:rFonts w:hint="default" w:ascii="Times New Roman" w:hAnsi="Times New Roman" w:eastAsia="宋体" w:cs="Times New Roman"/>
                <w:color w:val="auto"/>
                <w:spacing w:val="-4"/>
                <w:sz w:val="21"/>
                <w:szCs w:val="21"/>
                <w:highlight w:val="none"/>
              </w:rPr>
              <w:t>）高度为15m，低于周边200m范围内建筑，其排放速率严格50%执行，严格50%后非甲烷总烃最高允许排放速率为5kg/h，本项目有组织排放非甲烷总烃排放速率为</w:t>
            </w:r>
            <w:r>
              <w:rPr>
                <w:rFonts w:hint="default" w:ascii="Times New Roman" w:hAnsi="Times New Roman" w:eastAsia="宋体" w:cs="Times New Roman"/>
                <w:color w:val="auto"/>
                <w:spacing w:val="-4"/>
                <w:sz w:val="21"/>
                <w:szCs w:val="21"/>
                <w:highlight w:val="none"/>
                <w:lang w:val="en-US" w:eastAsia="zh-CN"/>
              </w:rPr>
              <w:t>0.007</w:t>
            </w:r>
            <w:r>
              <w:rPr>
                <w:rFonts w:hint="default" w:ascii="Times New Roman" w:hAnsi="Times New Roman" w:eastAsia="宋体" w:cs="Times New Roman"/>
                <w:color w:val="auto"/>
                <w:spacing w:val="-4"/>
                <w:sz w:val="21"/>
                <w:szCs w:val="21"/>
                <w:highlight w:val="none"/>
              </w:rPr>
              <w:t>kg/h，排放浓度为</w:t>
            </w:r>
            <w:r>
              <w:rPr>
                <w:rFonts w:hint="default" w:ascii="Times New Roman" w:hAnsi="Times New Roman" w:eastAsia="宋体" w:cs="Times New Roman"/>
                <w:color w:val="auto"/>
                <w:spacing w:val="-4"/>
                <w:sz w:val="21"/>
                <w:szCs w:val="21"/>
                <w:highlight w:val="none"/>
                <w:lang w:val="en-US" w:eastAsia="zh-CN"/>
              </w:rPr>
              <w:t>7.4</w:t>
            </w:r>
            <w:r>
              <w:rPr>
                <w:rFonts w:hint="default" w:ascii="Times New Roman" w:hAnsi="Times New Roman" w:eastAsia="宋体" w:cs="Times New Roman"/>
                <w:color w:val="auto"/>
                <w:spacing w:val="-4"/>
                <w:sz w:val="21"/>
                <w:szCs w:val="21"/>
                <w:highlight w:val="none"/>
              </w:rPr>
              <w:t>mg/m</w:t>
            </w:r>
            <w:r>
              <w:rPr>
                <w:rFonts w:hint="default" w:ascii="Times New Roman" w:hAnsi="Times New Roman" w:eastAsia="宋体" w:cs="Times New Roman"/>
                <w:color w:val="auto"/>
                <w:spacing w:val="-4"/>
                <w:sz w:val="21"/>
                <w:szCs w:val="21"/>
                <w:highlight w:val="none"/>
                <w:vertAlign w:val="superscript"/>
              </w:rPr>
              <w:t>3</w:t>
            </w:r>
            <w:r>
              <w:rPr>
                <w:rFonts w:hint="default" w:ascii="Times New Roman" w:hAnsi="Times New Roman" w:eastAsia="宋体" w:cs="Times New Roman"/>
                <w:color w:val="auto"/>
                <w:spacing w:val="-4"/>
                <w:sz w:val="21"/>
                <w:szCs w:val="21"/>
                <w:highlight w:val="none"/>
                <w:lang w:eastAsia="zh-CN"/>
              </w:rPr>
              <w:t>。</w:t>
            </w:r>
            <w:r>
              <w:rPr>
                <w:rFonts w:hint="default" w:ascii="Times New Roman" w:hAnsi="Times New Roman" w:eastAsia="宋体" w:cs="Times New Roman"/>
                <w:color w:val="auto"/>
                <w:spacing w:val="-4"/>
                <w:sz w:val="21"/>
                <w:szCs w:val="21"/>
                <w:highlight w:val="none"/>
                <w:lang w:val="en-US" w:eastAsia="zh-CN"/>
              </w:rPr>
              <w:t>颗粒物</w:t>
            </w:r>
            <w:r>
              <w:rPr>
                <w:rFonts w:hint="default" w:ascii="Times New Roman" w:hAnsi="Times New Roman" w:eastAsia="宋体" w:cs="Times New Roman"/>
                <w:color w:val="auto"/>
                <w:spacing w:val="-4"/>
                <w:sz w:val="21"/>
                <w:szCs w:val="21"/>
                <w:highlight w:val="none"/>
              </w:rPr>
              <w:t>最高允许排放速率为</w:t>
            </w:r>
            <w:r>
              <w:rPr>
                <w:rFonts w:hint="default" w:ascii="Times New Roman" w:hAnsi="Times New Roman" w:eastAsia="宋体" w:cs="Times New Roman"/>
                <w:color w:val="auto"/>
                <w:spacing w:val="-4"/>
                <w:sz w:val="21"/>
                <w:szCs w:val="21"/>
                <w:highlight w:val="none"/>
                <w:lang w:val="en-US" w:eastAsia="zh-CN"/>
              </w:rPr>
              <w:t>1.75</w:t>
            </w:r>
            <w:r>
              <w:rPr>
                <w:rFonts w:hint="default" w:ascii="Times New Roman" w:hAnsi="Times New Roman" w:eastAsia="宋体" w:cs="Times New Roman"/>
                <w:color w:val="auto"/>
                <w:spacing w:val="-4"/>
                <w:sz w:val="21"/>
                <w:szCs w:val="21"/>
                <w:highlight w:val="none"/>
              </w:rPr>
              <w:t>kg/h，本项目有组织排放</w:t>
            </w:r>
            <w:r>
              <w:rPr>
                <w:rFonts w:hint="default" w:ascii="Times New Roman" w:hAnsi="Times New Roman" w:eastAsia="宋体" w:cs="Times New Roman"/>
                <w:color w:val="auto"/>
                <w:spacing w:val="-4"/>
                <w:sz w:val="21"/>
                <w:szCs w:val="21"/>
                <w:highlight w:val="none"/>
                <w:lang w:val="en-US" w:eastAsia="zh-CN"/>
              </w:rPr>
              <w:t>颗粒物</w:t>
            </w:r>
            <w:r>
              <w:rPr>
                <w:rFonts w:hint="default" w:ascii="Times New Roman" w:hAnsi="Times New Roman" w:eastAsia="宋体" w:cs="Times New Roman"/>
                <w:color w:val="auto"/>
                <w:spacing w:val="-4"/>
                <w:sz w:val="21"/>
                <w:szCs w:val="21"/>
                <w:highlight w:val="none"/>
              </w:rPr>
              <w:t>排放速率为</w:t>
            </w:r>
            <w:r>
              <w:rPr>
                <w:rFonts w:hint="default" w:ascii="Times New Roman" w:hAnsi="Times New Roman" w:eastAsia="宋体" w:cs="Times New Roman"/>
                <w:color w:val="auto"/>
                <w:spacing w:val="-4"/>
                <w:sz w:val="21"/>
                <w:szCs w:val="21"/>
                <w:highlight w:val="none"/>
                <w:lang w:val="en-US" w:eastAsia="zh-CN"/>
              </w:rPr>
              <w:t>0.04</w:t>
            </w:r>
            <w:r>
              <w:rPr>
                <w:rFonts w:hint="default" w:ascii="Times New Roman" w:hAnsi="Times New Roman" w:eastAsia="宋体" w:cs="Times New Roman"/>
                <w:color w:val="auto"/>
                <w:spacing w:val="-4"/>
                <w:sz w:val="21"/>
                <w:szCs w:val="21"/>
                <w:highlight w:val="none"/>
              </w:rPr>
              <w:t>kg/h，排放浓度为</w:t>
            </w:r>
            <w:r>
              <w:rPr>
                <w:rFonts w:hint="default" w:ascii="Times New Roman" w:hAnsi="Times New Roman" w:eastAsia="宋体" w:cs="Times New Roman"/>
                <w:color w:val="auto"/>
                <w:spacing w:val="-4"/>
                <w:sz w:val="21"/>
                <w:szCs w:val="21"/>
                <w:highlight w:val="none"/>
                <w:lang w:val="en-US" w:eastAsia="zh-CN"/>
              </w:rPr>
              <w:t>10.2</w:t>
            </w:r>
            <w:r>
              <w:rPr>
                <w:rFonts w:hint="default" w:ascii="Times New Roman" w:hAnsi="Times New Roman" w:eastAsia="宋体" w:cs="Times New Roman"/>
                <w:color w:val="auto"/>
                <w:spacing w:val="-4"/>
                <w:sz w:val="21"/>
                <w:szCs w:val="21"/>
                <w:highlight w:val="none"/>
              </w:rPr>
              <w:t>mg/m</w:t>
            </w:r>
            <w:r>
              <w:rPr>
                <w:rFonts w:hint="default" w:ascii="Times New Roman" w:hAnsi="Times New Roman" w:eastAsia="宋体" w:cs="Times New Roman"/>
                <w:color w:val="auto"/>
                <w:spacing w:val="-4"/>
                <w:sz w:val="21"/>
                <w:szCs w:val="21"/>
                <w:highlight w:val="none"/>
                <w:vertAlign w:val="superscript"/>
              </w:rPr>
              <w:t>3</w:t>
            </w:r>
            <w:r>
              <w:rPr>
                <w:rFonts w:hint="default" w:ascii="Times New Roman" w:hAnsi="Times New Roman" w:eastAsia="宋体" w:cs="Times New Roman"/>
                <w:color w:val="auto"/>
                <w:spacing w:val="-4"/>
                <w:sz w:val="21"/>
                <w:szCs w:val="21"/>
                <w:highlight w:val="none"/>
              </w:rPr>
              <w:t>，可满足《大气污染物综合排放标准》（GB16297- 1996）表</w:t>
            </w:r>
            <w:r>
              <w:rPr>
                <w:rFonts w:hint="default" w:ascii="Times New Roman" w:hAnsi="Times New Roman" w:eastAsia="宋体" w:cs="Times New Roman"/>
                <w:color w:val="auto"/>
                <w:spacing w:val="-4"/>
                <w:sz w:val="21"/>
                <w:szCs w:val="21"/>
                <w:highlight w:val="none"/>
                <w:lang w:val="en-US" w:eastAsia="zh-CN"/>
              </w:rPr>
              <w:t>2</w:t>
            </w:r>
            <w:r>
              <w:rPr>
                <w:rFonts w:hint="default" w:ascii="Times New Roman" w:hAnsi="Times New Roman" w:eastAsia="宋体" w:cs="Times New Roman"/>
                <w:color w:val="auto"/>
                <w:spacing w:val="-4"/>
                <w:sz w:val="21"/>
                <w:szCs w:val="21"/>
                <w:highlight w:val="none"/>
              </w:rPr>
              <w:t>中二级标准限值要求。</w:t>
            </w:r>
          </w:p>
          <w:p w14:paraId="32A872A2">
            <w:pPr>
              <w:spacing w:line="360" w:lineRule="auto"/>
              <w:ind w:firstLine="404" w:firstLineChars="200"/>
              <w:rPr>
                <w:rFonts w:hint="eastAsia" w:cs="Times New Roman"/>
                <w:bCs/>
                <w:color w:val="auto"/>
                <w:szCs w:val="21"/>
                <w:highlight w:val="none"/>
                <w:lang w:val="en-US" w:eastAsia="zh-CN"/>
              </w:rPr>
            </w:pPr>
            <w:r>
              <w:rPr>
                <w:rFonts w:hint="default" w:ascii="Times New Roman" w:hAnsi="Times New Roman" w:eastAsia="宋体" w:cs="Times New Roman"/>
                <w:color w:val="auto"/>
                <w:spacing w:val="-4"/>
                <w:sz w:val="21"/>
                <w:szCs w:val="21"/>
                <w:highlight w:val="none"/>
              </w:rPr>
              <w:t>根据</w:t>
            </w:r>
            <w:r>
              <w:rPr>
                <w:rFonts w:hint="default" w:ascii="Times New Roman" w:hAnsi="Times New Roman" w:eastAsia="宋体" w:cs="Times New Roman"/>
                <w:bCs/>
                <w:color w:val="auto"/>
                <w:szCs w:val="21"/>
                <w:highlight w:val="none"/>
                <w:lang w:eastAsia="zh-CN"/>
              </w:rPr>
              <w:t>《</w:t>
            </w:r>
            <w:r>
              <w:rPr>
                <w:rFonts w:hint="eastAsia" w:ascii="Times New Roman" w:hAnsi="Times New Roman" w:eastAsia="宋体" w:cs="Times New Roman"/>
                <w:bCs/>
                <w:color w:val="auto"/>
                <w:szCs w:val="21"/>
                <w:highlight w:val="none"/>
                <w:lang w:val="en-US" w:eastAsia="zh-CN"/>
              </w:rPr>
              <w:t>水泥</w:t>
            </w:r>
            <w:r>
              <w:rPr>
                <w:rFonts w:hint="default" w:ascii="Times New Roman" w:hAnsi="Times New Roman" w:eastAsia="宋体" w:cs="Times New Roman"/>
                <w:bCs/>
                <w:color w:val="auto"/>
                <w:szCs w:val="21"/>
                <w:highlight w:val="none"/>
                <w:lang w:eastAsia="zh-CN"/>
              </w:rPr>
              <w:t>工业大气污染物排放标准》（GB</w:t>
            </w:r>
            <w:r>
              <w:rPr>
                <w:rFonts w:hint="eastAsia" w:ascii="Times New Roman" w:hAnsi="Times New Roman" w:eastAsia="宋体" w:cs="Times New Roman"/>
                <w:bCs/>
                <w:color w:val="auto"/>
                <w:szCs w:val="21"/>
                <w:highlight w:val="none"/>
                <w:lang w:val="en-US" w:eastAsia="zh-CN"/>
              </w:rPr>
              <w:t>4915</w:t>
            </w:r>
            <w:r>
              <w:rPr>
                <w:rFonts w:hint="default" w:ascii="Times New Roman" w:hAnsi="Times New Roman" w:eastAsia="宋体" w:cs="Times New Roman"/>
                <w:bCs/>
                <w:color w:val="auto"/>
                <w:szCs w:val="21"/>
                <w:highlight w:val="none"/>
                <w:lang w:eastAsia="zh-CN"/>
              </w:rPr>
              <w:t>-2013）及修改单</w:t>
            </w:r>
            <w:r>
              <w:rPr>
                <w:rFonts w:hint="eastAsia" w:cs="Times New Roman"/>
                <w:bCs/>
                <w:color w:val="auto"/>
                <w:szCs w:val="21"/>
                <w:highlight w:val="none"/>
                <w:lang w:val="en-US" w:eastAsia="zh-CN"/>
              </w:rPr>
              <w:t>规定“4.3.3除储库底、地坑及物料转运点单机除尘设施外，其他排气筒高度应不低于15m。排气筒高度应高出本体建（构）筑物3m以上。水泥窑及窑尾余热利用系统排气筒周围半径200m范围内有建筑物时，排气筒高度还应高出最高建筑物3m以上”。</w:t>
            </w:r>
            <w:r>
              <w:rPr>
                <w:rFonts w:hint="default" w:ascii="Times New Roman" w:hAnsi="Times New Roman" w:eastAsia="宋体" w:cs="Times New Roman"/>
                <w:color w:val="auto"/>
                <w:spacing w:val="-4"/>
                <w:sz w:val="21"/>
                <w:szCs w:val="21"/>
                <w:highlight w:val="none"/>
              </w:rPr>
              <w:t>根据现场踏勘，本项目排气筒</w:t>
            </w:r>
            <w:r>
              <w:rPr>
                <w:rFonts w:hint="eastAsia" w:cs="Times New Roman"/>
                <w:color w:val="auto"/>
                <w:spacing w:val="-4"/>
                <w:sz w:val="21"/>
                <w:szCs w:val="21"/>
                <w:highlight w:val="none"/>
                <w:lang w:val="en-US" w:eastAsia="zh-CN"/>
              </w:rPr>
              <w:t>DA004</w:t>
            </w:r>
            <w:r>
              <w:rPr>
                <w:rFonts w:hint="default" w:ascii="Times New Roman" w:hAnsi="Times New Roman" w:eastAsia="宋体" w:cs="Times New Roman"/>
                <w:color w:val="auto"/>
                <w:spacing w:val="-4"/>
                <w:sz w:val="21"/>
                <w:szCs w:val="21"/>
                <w:highlight w:val="none"/>
              </w:rPr>
              <w:t>周围200m范围内建筑高度约为</w:t>
            </w:r>
            <w:r>
              <w:rPr>
                <w:rFonts w:hint="default" w:ascii="Times New Roman" w:hAnsi="Times New Roman" w:eastAsia="宋体" w:cs="Times New Roman"/>
                <w:color w:val="auto"/>
                <w:spacing w:val="-4"/>
                <w:sz w:val="21"/>
                <w:szCs w:val="21"/>
                <w:highlight w:val="none"/>
                <w:lang w:val="en-US" w:eastAsia="zh-CN"/>
              </w:rPr>
              <w:t>13.5</w:t>
            </w:r>
            <w:r>
              <w:rPr>
                <w:rFonts w:hint="default" w:ascii="Times New Roman" w:hAnsi="Times New Roman" w:eastAsia="宋体" w:cs="Times New Roman"/>
                <w:color w:val="auto"/>
                <w:spacing w:val="-4"/>
                <w:sz w:val="21"/>
                <w:szCs w:val="21"/>
                <w:highlight w:val="none"/>
              </w:rPr>
              <w:t>m，排气筒DA00</w:t>
            </w:r>
            <w:r>
              <w:rPr>
                <w:rFonts w:hint="eastAsia" w:cs="Times New Roman"/>
                <w:color w:val="auto"/>
                <w:spacing w:val="-4"/>
                <w:sz w:val="21"/>
                <w:szCs w:val="21"/>
                <w:highlight w:val="none"/>
                <w:lang w:val="en-US" w:eastAsia="zh-CN"/>
              </w:rPr>
              <w:t>4</w:t>
            </w:r>
            <w:r>
              <w:rPr>
                <w:rFonts w:hint="default" w:ascii="Times New Roman" w:hAnsi="Times New Roman" w:eastAsia="宋体" w:cs="Times New Roman"/>
                <w:color w:val="auto"/>
                <w:spacing w:val="-4"/>
                <w:sz w:val="21"/>
                <w:szCs w:val="21"/>
                <w:highlight w:val="none"/>
              </w:rPr>
              <w:t>高度为</w:t>
            </w:r>
            <w:r>
              <w:rPr>
                <w:rFonts w:hint="eastAsia" w:cs="Times New Roman"/>
                <w:color w:val="auto"/>
                <w:spacing w:val="-4"/>
                <w:sz w:val="21"/>
                <w:szCs w:val="21"/>
                <w:highlight w:val="none"/>
                <w:lang w:val="en-US" w:eastAsia="zh-CN"/>
              </w:rPr>
              <w:t>17</w:t>
            </w:r>
            <w:r>
              <w:rPr>
                <w:rFonts w:hint="default" w:ascii="Times New Roman" w:hAnsi="Times New Roman" w:eastAsia="宋体" w:cs="Times New Roman"/>
                <w:color w:val="auto"/>
                <w:spacing w:val="-4"/>
                <w:sz w:val="21"/>
                <w:szCs w:val="21"/>
                <w:highlight w:val="none"/>
              </w:rPr>
              <w:t>m，</w:t>
            </w:r>
            <w:r>
              <w:rPr>
                <w:rFonts w:hint="eastAsia" w:cs="Times New Roman"/>
                <w:color w:val="auto"/>
                <w:spacing w:val="-4"/>
                <w:sz w:val="21"/>
                <w:szCs w:val="21"/>
                <w:highlight w:val="none"/>
                <w:lang w:val="en-US" w:eastAsia="zh-CN"/>
              </w:rPr>
              <w:t>满足</w:t>
            </w:r>
            <w:r>
              <w:rPr>
                <w:rFonts w:hint="default" w:ascii="Times New Roman" w:hAnsi="Times New Roman" w:eastAsia="宋体" w:cs="Times New Roman"/>
                <w:color w:val="auto"/>
                <w:spacing w:val="-4"/>
                <w:sz w:val="21"/>
                <w:szCs w:val="21"/>
                <w:highlight w:val="none"/>
              </w:rPr>
              <w:t>标准要求。</w:t>
            </w:r>
          </w:p>
          <w:p w14:paraId="04C68DD6">
            <w:pPr>
              <w:spacing w:line="360" w:lineRule="auto"/>
              <w:ind w:firstLine="404" w:firstLineChars="200"/>
              <w:rPr>
                <w:rFonts w:hint="default" w:ascii="Times New Roman" w:hAnsi="Times New Roman" w:cs="Times New Roman"/>
                <w:b/>
                <w:color w:val="auto"/>
                <w:szCs w:val="21"/>
                <w:highlight w:val="none"/>
                <w:lang w:val="en-US"/>
              </w:rPr>
            </w:pPr>
            <w:r>
              <w:rPr>
                <w:rFonts w:hint="default" w:ascii="Times New Roman" w:hAnsi="Times New Roman" w:eastAsia="宋体" w:cs="Times New Roman"/>
                <w:color w:val="auto"/>
                <w:spacing w:val="-4"/>
                <w:sz w:val="21"/>
                <w:szCs w:val="21"/>
                <w:highlight w:val="none"/>
              </w:rPr>
              <w:t>根据</w:t>
            </w:r>
            <w:r>
              <w:rPr>
                <w:rFonts w:hint="default" w:ascii="Times New Roman" w:hAnsi="Times New Roman" w:eastAsia="宋体" w:cs="Times New Roman"/>
                <w:bCs/>
                <w:color w:val="auto"/>
                <w:szCs w:val="21"/>
                <w:highlight w:val="none"/>
                <w:lang w:eastAsia="zh-CN"/>
              </w:rPr>
              <w:t>《</w:t>
            </w:r>
            <w:r>
              <w:rPr>
                <w:rFonts w:hint="eastAsia" w:ascii="Times New Roman" w:hAnsi="Times New Roman" w:eastAsia="宋体" w:cs="Times New Roman"/>
                <w:bCs/>
                <w:color w:val="auto"/>
                <w:szCs w:val="21"/>
                <w:highlight w:val="none"/>
                <w:lang w:val="en-US" w:eastAsia="zh-CN"/>
              </w:rPr>
              <w:t>水泥</w:t>
            </w:r>
            <w:r>
              <w:rPr>
                <w:rFonts w:hint="default" w:ascii="Times New Roman" w:hAnsi="Times New Roman" w:eastAsia="宋体" w:cs="Times New Roman"/>
                <w:bCs/>
                <w:color w:val="auto"/>
                <w:szCs w:val="21"/>
                <w:highlight w:val="none"/>
                <w:lang w:eastAsia="zh-CN"/>
              </w:rPr>
              <w:t>工业大气污染物排放标准》（GB</w:t>
            </w:r>
            <w:r>
              <w:rPr>
                <w:rFonts w:hint="eastAsia" w:ascii="Times New Roman" w:hAnsi="Times New Roman" w:eastAsia="宋体" w:cs="Times New Roman"/>
                <w:bCs/>
                <w:color w:val="auto"/>
                <w:szCs w:val="21"/>
                <w:highlight w:val="none"/>
                <w:lang w:val="en-US" w:eastAsia="zh-CN"/>
              </w:rPr>
              <w:t>4915</w:t>
            </w:r>
            <w:r>
              <w:rPr>
                <w:rFonts w:hint="default" w:ascii="Times New Roman" w:hAnsi="Times New Roman" w:eastAsia="宋体" w:cs="Times New Roman"/>
                <w:bCs/>
                <w:color w:val="auto"/>
                <w:szCs w:val="21"/>
                <w:highlight w:val="none"/>
                <w:lang w:eastAsia="zh-CN"/>
              </w:rPr>
              <w:t>-2013）及修改单</w:t>
            </w:r>
            <w:r>
              <w:rPr>
                <w:rFonts w:hint="eastAsia" w:cs="Times New Roman"/>
                <w:bCs/>
                <w:color w:val="auto"/>
                <w:szCs w:val="21"/>
                <w:highlight w:val="none"/>
                <w:lang w:val="en-US" w:eastAsia="zh-CN"/>
              </w:rPr>
              <w:t>规定“4.6产生大气污染物的生产工艺和装置必须设立局部或整体气体收集系统和集中净化处理装置。人工干燥及焙烧窑的排气筒高度一律不得低于15m。排气筒周围半径200m范围内有建筑物时，排气筒高度还应高出最高建筑物3m以上”。</w:t>
            </w:r>
            <w:r>
              <w:rPr>
                <w:rFonts w:hint="default" w:ascii="Times New Roman" w:hAnsi="Times New Roman" w:eastAsia="宋体" w:cs="Times New Roman"/>
                <w:color w:val="auto"/>
                <w:spacing w:val="-4"/>
                <w:sz w:val="21"/>
                <w:szCs w:val="21"/>
                <w:highlight w:val="none"/>
              </w:rPr>
              <w:t>根据现场踏勘，本项目排气筒</w:t>
            </w:r>
            <w:r>
              <w:rPr>
                <w:rFonts w:hint="eastAsia" w:cs="Times New Roman"/>
                <w:color w:val="auto"/>
                <w:spacing w:val="-4"/>
                <w:sz w:val="21"/>
                <w:szCs w:val="21"/>
                <w:highlight w:val="none"/>
                <w:lang w:val="en-US" w:eastAsia="zh-CN"/>
              </w:rPr>
              <w:t>DA003</w:t>
            </w:r>
            <w:r>
              <w:rPr>
                <w:rFonts w:hint="default" w:ascii="Times New Roman" w:hAnsi="Times New Roman" w:eastAsia="宋体" w:cs="Times New Roman"/>
                <w:color w:val="auto"/>
                <w:spacing w:val="-4"/>
                <w:sz w:val="21"/>
                <w:szCs w:val="21"/>
                <w:highlight w:val="none"/>
              </w:rPr>
              <w:t>周围200m范围内建筑高度约为</w:t>
            </w:r>
            <w:r>
              <w:rPr>
                <w:rFonts w:hint="default" w:ascii="Times New Roman" w:hAnsi="Times New Roman" w:eastAsia="宋体" w:cs="Times New Roman"/>
                <w:color w:val="auto"/>
                <w:spacing w:val="-4"/>
                <w:sz w:val="21"/>
                <w:szCs w:val="21"/>
                <w:highlight w:val="none"/>
                <w:lang w:val="en-US" w:eastAsia="zh-CN"/>
              </w:rPr>
              <w:t>13.5</w:t>
            </w:r>
            <w:r>
              <w:rPr>
                <w:rFonts w:hint="default" w:ascii="Times New Roman" w:hAnsi="Times New Roman" w:eastAsia="宋体" w:cs="Times New Roman"/>
                <w:color w:val="auto"/>
                <w:spacing w:val="-4"/>
                <w:sz w:val="21"/>
                <w:szCs w:val="21"/>
                <w:highlight w:val="none"/>
              </w:rPr>
              <w:t>m，排气筒DA00</w:t>
            </w:r>
            <w:r>
              <w:rPr>
                <w:rFonts w:hint="eastAsia" w:cs="Times New Roman"/>
                <w:color w:val="auto"/>
                <w:spacing w:val="-4"/>
                <w:sz w:val="21"/>
                <w:szCs w:val="21"/>
                <w:highlight w:val="none"/>
                <w:lang w:val="en-US" w:eastAsia="zh-CN"/>
              </w:rPr>
              <w:t>4</w:t>
            </w:r>
            <w:r>
              <w:rPr>
                <w:rFonts w:hint="default" w:ascii="Times New Roman" w:hAnsi="Times New Roman" w:eastAsia="宋体" w:cs="Times New Roman"/>
                <w:color w:val="auto"/>
                <w:spacing w:val="-4"/>
                <w:sz w:val="21"/>
                <w:szCs w:val="21"/>
                <w:highlight w:val="none"/>
              </w:rPr>
              <w:t>高度为</w:t>
            </w:r>
            <w:r>
              <w:rPr>
                <w:rFonts w:hint="eastAsia" w:cs="Times New Roman"/>
                <w:color w:val="auto"/>
                <w:spacing w:val="-4"/>
                <w:sz w:val="21"/>
                <w:szCs w:val="21"/>
                <w:highlight w:val="none"/>
                <w:lang w:val="en-US" w:eastAsia="zh-CN"/>
              </w:rPr>
              <w:t>17</w:t>
            </w:r>
            <w:r>
              <w:rPr>
                <w:rFonts w:hint="default" w:ascii="Times New Roman" w:hAnsi="Times New Roman" w:eastAsia="宋体" w:cs="Times New Roman"/>
                <w:color w:val="auto"/>
                <w:spacing w:val="-4"/>
                <w:sz w:val="21"/>
                <w:szCs w:val="21"/>
                <w:highlight w:val="none"/>
              </w:rPr>
              <w:t>m，</w:t>
            </w:r>
            <w:r>
              <w:rPr>
                <w:rFonts w:hint="eastAsia" w:cs="Times New Roman"/>
                <w:color w:val="auto"/>
                <w:spacing w:val="-4"/>
                <w:sz w:val="21"/>
                <w:szCs w:val="21"/>
                <w:highlight w:val="none"/>
                <w:lang w:val="en-US" w:eastAsia="zh-CN"/>
              </w:rPr>
              <w:t>满足</w:t>
            </w:r>
            <w:r>
              <w:rPr>
                <w:rFonts w:hint="default" w:ascii="Times New Roman" w:hAnsi="Times New Roman" w:eastAsia="宋体" w:cs="Times New Roman"/>
                <w:color w:val="auto"/>
                <w:spacing w:val="-4"/>
                <w:sz w:val="21"/>
                <w:szCs w:val="21"/>
                <w:highlight w:val="none"/>
              </w:rPr>
              <w:t>标准要求。</w:t>
            </w:r>
          </w:p>
          <w:p w14:paraId="6C863047">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无组织控制技术要求</w:t>
            </w:r>
          </w:p>
          <w:p w14:paraId="16E3CC62">
            <w:pPr>
              <w:jc w:val="center"/>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表</w:t>
            </w:r>
            <w:r>
              <w:rPr>
                <w:rFonts w:hint="eastAsia" w:ascii="Times New Roman" w:hAnsi="Times New Roman" w:cs="Times New Roman"/>
                <w:b/>
                <w:bCs/>
                <w:color w:val="auto"/>
                <w:szCs w:val="21"/>
                <w:highlight w:val="none"/>
                <w:lang w:val="en-US" w:eastAsia="zh-CN"/>
              </w:rPr>
              <w:t xml:space="preserve">4-8 </w:t>
            </w:r>
            <w:r>
              <w:rPr>
                <w:rFonts w:hint="default" w:ascii="Times New Roman" w:hAnsi="Times New Roman" w:cs="Times New Roman"/>
                <w:b/>
                <w:bCs/>
                <w:color w:val="auto"/>
                <w:szCs w:val="21"/>
                <w:highlight w:val="none"/>
                <w:lang w:val="en-US" w:eastAsia="zh-CN"/>
              </w:rPr>
              <w:t>陶瓷工业排污单位无组织排放控制要求</w:t>
            </w:r>
          </w:p>
          <w:tbl>
            <w:tblPr>
              <w:tblStyle w:val="33"/>
              <w:tblW w:w="7945"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9"/>
              <w:gridCol w:w="1364"/>
              <w:gridCol w:w="5882"/>
            </w:tblGrid>
            <w:tr w14:paraId="1A01DE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tl2br w:val="nil"/>
                    <w:tr2bl w:val="nil"/>
                  </w:tcBorders>
                  <w:vAlign w:val="center"/>
                </w:tcPr>
                <w:p w14:paraId="37C79B15">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序号</w:t>
                  </w:r>
                </w:p>
              </w:tc>
              <w:tc>
                <w:tcPr>
                  <w:tcW w:w="1364" w:type="dxa"/>
                  <w:tcBorders>
                    <w:tl2br w:val="nil"/>
                    <w:tr2bl w:val="nil"/>
                  </w:tcBorders>
                  <w:vAlign w:val="center"/>
                </w:tcPr>
                <w:p w14:paraId="549A9AC2">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主要生产单元</w:t>
                  </w:r>
                </w:p>
              </w:tc>
              <w:tc>
                <w:tcPr>
                  <w:tcW w:w="5882" w:type="dxa"/>
                  <w:tcBorders>
                    <w:tl2br w:val="nil"/>
                    <w:tr2bl w:val="nil"/>
                  </w:tcBorders>
                  <w:vAlign w:val="center"/>
                </w:tcPr>
                <w:p w14:paraId="4D9382E2">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无组织排放控制要求</w:t>
                  </w:r>
                </w:p>
              </w:tc>
            </w:tr>
            <w:tr w14:paraId="754E64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tl2br w:val="nil"/>
                    <w:tr2bl w:val="nil"/>
                  </w:tcBorders>
                  <w:vAlign w:val="center"/>
                </w:tcPr>
                <w:p w14:paraId="6023D6EA">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1</w:t>
                  </w:r>
                </w:p>
              </w:tc>
              <w:tc>
                <w:tcPr>
                  <w:tcW w:w="1364" w:type="dxa"/>
                  <w:tcBorders>
                    <w:tl2br w:val="nil"/>
                    <w:tr2bl w:val="nil"/>
                  </w:tcBorders>
                  <w:vAlign w:val="center"/>
                </w:tcPr>
                <w:p w14:paraId="6CBB9C78">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原辅料制备</w:t>
                  </w:r>
                </w:p>
              </w:tc>
              <w:tc>
                <w:tcPr>
                  <w:tcW w:w="5882" w:type="dxa"/>
                  <w:tcBorders>
                    <w:tl2br w:val="nil"/>
                    <w:tr2bl w:val="nil"/>
                  </w:tcBorders>
                  <w:vAlign w:val="center"/>
                </w:tcPr>
                <w:p w14:paraId="51A255B1">
                  <w:pPr>
                    <w:pStyle w:val="73"/>
                    <w:keepNext w:val="0"/>
                    <w:keepLines w:val="0"/>
                    <w:pageBreakBefore w:val="0"/>
                    <w:widowControl w:val="0"/>
                    <w:numPr>
                      <w:ilvl w:val="0"/>
                      <w:numId w:val="9"/>
                    </w:numPr>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粉状物料料场应采用封闭、半封闭料场(仓、库、棚),并采取抑尘措施；原煤、块石、粘湿物料等料场应采用封闭、半封闭料场(仓、库、棚),或四周设置防风抑尘网、挡风墙，或采取覆盖等抑尘措施，防风抑尘网、挡风墙高度不低于堆存物料高度的1.1倍；有包装袋的物料采取覆盖措施。(2)原料均化应在封闭、半封闭料场(仓、库、棚)中进行。(3)粉状物料应密闭输送；其他物料输送应在转运点设置集气罩，并配备除尘设施。(4)脱硝用氨水采用全封闭罐车运输、配氨气回收或吸收回用装置、氨罐区设氨气泄漏检测设施。</w:t>
                  </w:r>
                </w:p>
                <w:p w14:paraId="4BC4FF84">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(5)原料的干磨、制粉、筛分、混合、配料等工序，均应采用封闭式作业，并配备除尘设施。釉料制备工序应配备除尘设施。</w:t>
                  </w:r>
                </w:p>
              </w:tc>
            </w:tr>
            <w:tr w14:paraId="0A800B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tl2br w:val="nil"/>
                    <w:tr2bl w:val="nil"/>
                  </w:tcBorders>
                  <w:vAlign w:val="center"/>
                </w:tcPr>
                <w:p w14:paraId="5063810E">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2</w:t>
                  </w:r>
                </w:p>
              </w:tc>
              <w:tc>
                <w:tcPr>
                  <w:tcW w:w="1364" w:type="dxa"/>
                  <w:tcBorders>
                    <w:tl2br w:val="nil"/>
                    <w:tr2bl w:val="nil"/>
                  </w:tcBorders>
                  <w:vAlign w:val="center"/>
                </w:tcPr>
                <w:p w14:paraId="7C48D666">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成型干燥系统</w:t>
                  </w:r>
                </w:p>
              </w:tc>
              <w:tc>
                <w:tcPr>
                  <w:tcW w:w="5882" w:type="dxa"/>
                  <w:tcBorders>
                    <w:tl2br w:val="nil"/>
                    <w:tr2bl w:val="nil"/>
                  </w:tcBorders>
                  <w:vAlign w:val="center"/>
                </w:tcPr>
                <w:p w14:paraId="69C5230F">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干燥、成型、修坯、打边、施釉、打磨抛光、模型和匣钵制备等工序的产尘点应设置集气罩，并配备除尘设施。</w:t>
                  </w:r>
                </w:p>
              </w:tc>
            </w:tr>
            <w:tr w14:paraId="5E499F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tl2br w:val="nil"/>
                    <w:tr2bl w:val="nil"/>
                  </w:tcBorders>
                  <w:vAlign w:val="center"/>
                </w:tcPr>
                <w:p w14:paraId="4DB8AAF1">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3</w:t>
                  </w:r>
                </w:p>
              </w:tc>
              <w:tc>
                <w:tcPr>
                  <w:tcW w:w="1364" w:type="dxa"/>
                  <w:tcBorders>
                    <w:tl2br w:val="nil"/>
                    <w:tr2bl w:val="nil"/>
                  </w:tcBorders>
                  <w:vAlign w:val="center"/>
                </w:tcPr>
                <w:p w14:paraId="3B761E17">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其他要求</w:t>
                  </w:r>
                </w:p>
              </w:tc>
              <w:tc>
                <w:tcPr>
                  <w:tcW w:w="5882" w:type="dxa"/>
                  <w:tcBorders>
                    <w:tl2br w:val="nil"/>
                    <w:tr2bl w:val="nil"/>
                  </w:tcBorders>
                  <w:vAlign w:val="center"/>
                </w:tcPr>
                <w:p w14:paraId="61362DE3">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厂区道路应硬化。道路采取清扫、洒水等措施，保持清洁。(2)厂区应设置车轮冲洗设施，或采取其他有效控制措施。(3)脱硝系统氨的储存、卸载、输送、制备等过程应密闭，并采取氨气泄漏检测措施。(4)煤气发生炉气化后的固体残渣，应采取围挡、覆盖等抑尘措施。</w:t>
                  </w:r>
                </w:p>
              </w:tc>
            </w:tr>
          </w:tbl>
          <w:p w14:paraId="2216046A">
            <w:pPr>
              <w:jc w:val="center"/>
              <w:rPr>
                <w:rFonts w:hint="default" w:ascii="Times New Roman" w:hAnsi="Times New Roman"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表</w:t>
            </w:r>
            <w:r>
              <w:rPr>
                <w:rFonts w:hint="eastAsia" w:ascii="Times New Roman" w:hAnsi="Times New Roman" w:cs="Times New Roman"/>
                <w:b/>
                <w:bCs/>
                <w:color w:val="auto"/>
                <w:szCs w:val="21"/>
                <w:highlight w:val="none"/>
                <w:lang w:val="en-US" w:eastAsia="zh-CN"/>
              </w:rPr>
              <w:t>4-</w:t>
            </w:r>
            <w:r>
              <w:rPr>
                <w:rFonts w:hint="eastAsia" w:cs="Times New Roman"/>
                <w:b/>
                <w:bCs/>
                <w:color w:val="auto"/>
                <w:szCs w:val="21"/>
                <w:highlight w:val="none"/>
                <w:lang w:val="en-US" w:eastAsia="zh-CN"/>
              </w:rPr>
              <w:t>9</w:t>
            </w:r>
            <w:r>
              <w:rPr>
                <w:rFonts w:hint="eastAsia" w:ascii="Times New Roman" w:hAnsi="Times New Roman" w:cs="Times New Roman"/>
                <w:b/>
                <w:bCs/>
                <w:color w:val="auto"/>
                <w:szCs w:val="21"/>
                <w:highlight w:val="none"/>
                <w:lang w:val="en-US" w:eastAsia="zh-CN"/>
              </w:rPr>
              <w:t xml:space="preserve"> </w:t>
            </w:r>
            <w:r>
              <w:rPr>
                <w:rFonts w:hint="eastAsia" w:cs="Times New Roman"/>
                <w:b/>
                <w:bCs/>
                <w:color w:val="auto"/>
                <w:szCs w:val="21"/>
                <w:highlight w:val="none"/>
                <w:lang w:val="en-US" w:eastAsia="zh-CN"/>
              </w:rPr>
              <w:t>锅炉</w:t>
            </w:r>
            <w:r>
              <w:rPr>
                <w:rFonts w:hint="default" w:ascii="Times New Roman" w:hAnsi="Times New Roman" w:cs="Times New Roman"/>
                <w:b/>
                <w:bCs/>
                <w:color w:val="auto"/>
                <w:szCs w:val="21"/>
                <w:highlight w:val="none"/>
                <w:lang w:val="en-US" w:eastAsia="zh-CN"/>
              </w:rPr>
              <w:t>工业排污单位无组织排放控制要求</w:t>
            </w:r>
          </w:p>
          <w:tbl>
            <w:tblPr>
              <w:tblStyle w:val="33"/>
              <w:tblW w:w="7945"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9"/>
              <w:gridCol w:w="1364"/>
              <w:gridCol w:w="5882"/>
            </w:tblGrid>
            <w:tr w14:paraId="5A8B4D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tl2br w:val="nil"/>
                    <w:tr2bl w:val="nil"/>
                  </w:tcBorders>
                  <w:vAlign w:val="center"/>
                </w:tcPr>
                <w:p w14:paraId="59EEC8C8">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序号</w:t>
                  </w:r>
                </w:p>
              </w:tc>
              <w:tc>
                <w:tcPr>
                  <w:tcW w:w="1364" w:type="dxa"/>
                  <w:tcBorders>
                    <w:tl2br w:val="nil"/>
                    <w:tr2bl w:val="nil"/>
                  </w:tcBorders>
                  <w:vAlign w:val="center"/>
                </w:tcPr>
                <w:p w14:paraId="05678A93">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主要生产单元</w:t>
                  </w:r>
                </w:p>
              </w:tc>
              <w:tc>
                <w:tcPr>
                  <w:tcW w:w="5882" w:type="dxa"/>
                  <w:tcBorders>
                    <w:tl2br w:val="nil"/>
                    <w:tr2bl w:val="nil"/>
                  </w:tcBorders>
                  <w:vAlign w:val="center"/>
                </w:tcPr>
                <w:p w14:paraId="2EAD69B8">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无组织排放控制要求</w:t>
                  </w:r>
                </w:p>
              </w:tc>
            </w:tr>
            <w:tr w14:paraId="2A6AC1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tl2br w:val="nil"/>
                    <w:tr2bl w:val="nil"/>
                  </w:tcBorders>
                  <w:vAlign w:val="center"/>
                </w:tcPr>
                <w:p w14:paraId="39A86AD1">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1</w:t>
                  </w:r>
                </w:p>
              </w:tc>
              <w:tc>
                <w:tcPr>
                  <w:tcW w:w="1364" w:type="dxa"/>
                  <w:tcBorders>
                    <w:tl2br w:val="nil"/>
                    <w:tr2bl w:val="nil"/>
                  </w:tcBorders>
                  <w:vAlign w:val="center"/>
                </w:tcPr>
                <w:p w14:paraId="1ECB74D9">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贮存工序</w:t>
                  </w:r>
                </w:p>
              </w:tc>
              <w:tc>
                <w:tcPr>
                  <w:tcW w:w="5882" w:type="dxa"/>
                  <w:tcBorders>
                    <w:tl2br w:val="nil"/>
                    <w:tr2bl w:val="nil"/>
                  </w:tcBorders>
                  <w:vAlign w:val="center"/>
                </w:tcPr>
                <w:p w14:paraId="632DBEA5">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灰仓的应采用密闭措施，卸灰管道出口应有防尘措施。设有渣库的应采用挡尘卷帘、围挡等形式的防尘措施。</w:t>
                  </w:r>
                </w:p>
              </w:tc>
            </w:tr>
            <w:tr w14:paraId="6572C4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99" w:type="dxa"/>
                  <w:tcBorders>
                    <w:tl2br w:val="nil"/>
                    <w:tr2bl w:val="nil"/>
                  </w:tcBorders>
                  <w:vAlign w:val="center"/>
                </w:tcPr>
                <w:p w14:paraId="5853495E">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2</w:t>
                  </w:r>
                </w:p>
              </w:tc>
              <w:tc>
                <w:tcPr>
                  <w:tcW w:w="1364" w:type="dxa"/>
                  <w:tcBorders>
                    <w:tl2br w:val="nil"/>
                    <w:tr2bl w:val="nil"/>
                  </w:tcBorders>
                  <w:vAlign w:val="center"/>
                </w:tcPr>
                <w:p w14:paraId="727FA476">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厂区环境</w:t>
                  </w:r>
                </w:p>
              </w:tc>
              <w:tc>
                <w:tcPr>
                  <w:tcW w:w="5882" w:type="dxa"/>
                  <w:tcBorders>
                    <w:tl2br w:val="nil"/>
                    <w:tr2bl w:val="nil"/>
                  </w:tcBorders>
                  <w:vAlign w:val="center"/>
                </w:tcPr>
                <w:p w14:paraId="579DE500">
                  <w:pPr>
                    <w:pStyle w:val="73"/>
                    <w:keepNext w:val="0"/>
                    <w:keepLines w:val="0"/>
                    <w:pageBreakBefore w:val="0"/>
                    <w:widowControl w:val="0"/>
                    <w:kinsoku/>
                    <w:wordWrap/>
                    <w:overflowPunct/>
                    <w:topLinePunct w:val="0"/>
                    <w:autoSpaceDE/>
                    <w:autoSpaceDN/>
                    <w:bidi w:val="0"/>
                    <w:adjustRightInd/>
                    <w:snapToGrid/>
                    <w:spacing w:before="0" w:after="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厂区裸露地面应采用绿化等抑尘措施，道路应进行硬化并定期清扫、洒水，物料进出口设置车辆冲洗设施。</w:t>
                  </w:r>
                </w:p>
              </w:tc>
            </w:tr>
          </w:tbl>
          <w:p w14:paraId="28F1F239">
            <w:pPr>
              <w:spacing w:line="360" w:lineRule="auto"/>
              <w:ind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2、废水</w:t>
            </w:r>
          </w:p>
          <w:p w14:paraId="185CC067">
            <w:pPr>
              <w:spacing w:line="360" w:lineRule="auto"/>
              <w:ind w:firstLine="420" w:firstLineChars="200"/>
              <w:rPr>
                <w:rFonts w:hint="default" w:ascii="Times New Roman" w:hAnsi="Times New Roman" w:eastAsia="宋体" w:cs="Times New Roman"/>
                <w:bCs/>
                <w:color w:val="auto"/>
                <w:szCs w:val="21"/>
                <w:highlight w:val="none"/>
                <w:lang w:eastAsia="zh-CN"/>
              </w:rPr>
            </w:pPr>
            <w:r>
              <w:rPr>
                <w:rFonts w:hint="default" w:ascii="Times New Roman" w:hAnsi="Times New Roman" w:cs="Times New Roman"/>
                <w:bCs/>
                <w:color w:val="auto"/>
                <w:szCs w:val="21"/>
                <w:highlight w:val="none"/>
              </w:rPr>
              <w:t>生产过程中产生的废浆、废水均汇</w:t>
            </w:r>
            <w:r>
              <w:rPr>
                <w:rFonts w:hint="default" w:ascii="Times New Roman" w:hAnsi="Times New Roman" w:cs="Times New Roman"/>
                <w:bCs/>
                <w:color w:val="auto"/>
                <w:sz w:val="21"/>
                <w:szCs w:val="21"/>
                <w:highlight w:val="none"/>
              </w:rPr>
              <w:t>入</w:t>
            </w:r>
            <w:r>
              <w:rPr>
                <w:rFonts w:hint="eastAsia" w:cs="Times New Roman"/>
                <w:color w:val="auto"/>
                <w:sz w:val="21"/>
                <w:szCs w:val="21"/>
                <w:highlight w:val="none"/>
                <w:lang w:val="en-US" w:eastAsia="zh-CN"/>
              </w:rPr>
              <w:t>3</w:t>
            </w:r>
            <w:r>
              <w:rPr>
                <w:rFonts w:hint="eastAsia" w:eastAsia="宋体" w:cs="Times New Roman"/>
                <w:color w:val="auto"/>
                <w:sz w:val="21"/>
                <w:szCs w:val="21"/>
                <w:highlight w:val="none"/>
                <w:lang w:val="en-US" w:eastAsia="zh-CN"/>
              </w:rPr>
              <w:t>00m</w:t>
            </w:r>
            <w:r>
              <w:rPr>
                <w:rFonts w:hint="eastAsia" w:eastAsia="宋体" w:cs="Times New Roman"/>
                <w:color w:val="auto"/>
                <w:sz w:val="21"/>
                <w:szCs w:val="21"/>
                <w:highlight w:val="none"/>
                <w:vertAlign w:val="superscript"/>
                <w:lang w:val="en-US" w:eastAsia="zh-CN"/>
              </w:rPr>
              <w:t>3</w:t>
            </w:r>
            <w:r>
              <w:rPr>
                <w:rFonts w:hint="default" w:ascii="Times New Roman" w:hAnsi="Times New Roman" w:cs="Times New Roman"/>
                <w:bCs/>
                <w:color w:val="auto"/>
                <w:sz w:val="21"/>
                <w:szCs w:val="21"/>
                <w:highlight w:val="none"/>
              </w:rPr>
              <w:t>废浆池，</w:t>
            </w:r>
            <w:r>
              <w:rPr>
                <w:rFonts w:hint="default" w:ascii="Times New Roman" w:hAnsi="Times New Roman" w:cs="Times New Roman"/>
                <w:bCs/>
                <w:color w:val="auto"/>
                <w:szCs w:val="21"/>
                <w:highlight w:val="none"/>
              </w:rPr>
              <w:t>然后用泵打入切割机下废浆搅</w:t>
            </w:r>
            <w:r>
              <w:rPr>
                <w:rFonts w:hint="default" w:ascii="Times New Roman" w:hAnsi="Times New Roman" w:cs="Times New Roman"/>
                <w:bCs/>
                <w:color w:val="auto"/>
                <w:sz w:val="21"/>
                <w:szCs w:val="21"/>
                <w:highlight w:val="none"/>
              </w:rPr>
              <w:t>拌池</w:t>
            </w:r>
            <w:r>
              <w:rPr>
                <w:rFonts w:hint="eastAsia" w:eastAsia="宋体" w:cs="Times New Roman"/>
                <w:color w:val="auto"/>
                <w:sz w:val="21"/>
                <w:szCs w:val="21"/>
                <w:highlight w:val="none"/>
                <w:lang w:val="en-US" w:eastAsia="zh-CN"/>
              </w:rPr>
              <w:t>200m</w:t>
            </w:r>
            <w:r>
              <w:rPr>
                <w:rFonts w:hint="eastAsia" w:eastAsia="宋体" w:cs="Times New Roman"/>
                <w:color w:val="auto"/>
                <w:sz w:val="21"/>
                <w:szCs w:val="21"/>
                <w:highlight w:val="none"/>
                <w:vertAlign w:val="superscript"/>
                <w:lang w:val="en-US" w:eastAsia="zh-CN"/>
              </w:rPr>
              <w:t>3</w:t>
            </w:r>
            <w:r>
              <w:rPr>
                <w:rFonts w:hint="default" w:ascii="Times New Roman" w:hAnsi="Times New Roman" w:cs="Times New Roman"/>
                <w:bCs/>
                <w:color w:val="auto"/>
                <w:sz w:val="21"/>
                <w:szCs w:val="21"/>
                <w:highlight w:val="none"/>
              </w:rPr>
              <w:t>作制浆</w:t>
            </w:r>
            <w:r>
              <w:rPr>
                <w:rFonts w:hint="default" w:ascii="Times New Roman" w:hAnsi="Times New Roman" w:cs="Times New Roman"/>
                <w:bCs/>
                <w:color w:val="auto"/>
                <w:szCs w:val="21"/>
                <w:highlight w:val="none"/>
              </w:rPr>
              <w:t>用水。</w:t>
            </w:r>
            <w:r>
              <w:rPr>
                <w:rFonts w:hint="default" w:ascii="Times New Roman" w:hAnsi="Times New Roman" w:cs="Times New Roman"/>
                <w:color w:val="auto"/>
                <w:highlight w:val="none"/>
              </w:rPr>
              <w:t>生活污水排入厂区化粪池</w:t>
            </w:r>
            <w:r>
              <w:rPr>
                <w:rFonts w:hint="default" w:ascii="Times New Roman" w:hAnsi="Times New Roman" w:cs="Times New Roman"/>
                <w:color w:val="auto"/>
                <w:highlight w:val="none"/>
                <w:lang w:val="en-US" w:eastAsia="zh-CN"/>
              </w:rPr>
              <w:t>后经</w:t>
            </w:r>
            <w:r>
              <w:rPr>
                <w:rFonts w:hint="default" w:ascii="Times New Roman" w:hAnsi="Times New Roman" w:cs="Times New Roman"/>
                <w:color w:val="auto"/>
                <w:highlight w:val="none"/>
              </w:rPr>
              <w:t>排入园区污水管网</w:t>
            </w:r>
            <w:r>
              <w:rPr>
                <w:rFonts w:hint="default" w:ascii="Times New Roman" w:hAnsi="Times New Roman" w:cs="Times New Roman"/>
                <w:color w:val="auto"/>
                <w:sz w:val="21"/>
                <w:szCs w:val="21"/>
                <w:highlight w:val="none"/>
                <w:lang w:val="en-US" w:eastAsia="zh-CN"/>
              </w:rPr>
              <w:t>排入铁力市</w:t>
            </w:r>
            <w:r>
              <w:rPr>
                <w:rFonts w:hint="eastAsia" w:cs="Times New Roman"/>
                <w:color w:val="auto"/>
                <w:sz w:val="21"/>
                <w:szCs w:val="21"/>
                <w:highlight w:val="none"/>
                <w:lang w:val="en-US" w:eastAsia="zh-CN"/>
              </w:rPr>
              <w:t>依吉</w:t>
            </w:r>
            <w:r>
              <w:rPr>
                <w:rFonts w:hint="default" w:ascii="Times New Roman" w:hAnsi="Times New Roman" w:cs="Times New Roman"/>
                <w:color w:val="auto"/>
                <w:sz w:val="21"/>
                <w:szCs w:val="21"/>
                <w:highlight w:val="none"/>
                <w:lang w:val="en-US" w:eastAsia="zh-CN"/>
              </w:rPr>
              <w:t>污水处理厂深度处理。</w:t>
            </w:r>
            <w:r>
              <w:rPr>
                <w:rFonts w:hint="default" w:ascii="Times New Roman" w:hAnsi="Times New Roman" w:cs="Times New Roman"/>
                <w:color w:val="auto"/>
                <w:highlight w:val="none"/>
              </w:rPr>
              <w:t>锅炉排污水及软化处理废水夏季用于锅炉房及厂区内洒水降尘，不外排。冬季进入沉淀池，再由水泵抽入废浆储备罐，最后回用于制浆用水，不外排。项目沉淀池、废浆池、废浆液搅拌池均设置在车间内部，冬季不影响使用</w:t>
            </w:r>
          </w:p>
          <w:p w14:paraId="1387146F">
            <w:pPr>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本项目在营运期废水产污环节以及相应治理措施汇总如下表：</w:t>
            </w:r>
          </w:p>
          <w:p w14:paraId="498E403E">
            <w:pPr>
              <w:pStyle w:val="10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r>
              <w:rPr>
                <w:rFonts w:hint="default" w:ascii="Times New Roman" w:hAnsi="Times New Roman" w:eastAsia="宋体" w:cs="Times New Roman"/>
                <w:b/>
                <w:bCs/>
                <w:color w:val="auto"/>
                <w:spacing w:val="6"/>
                <w:sz w:val="21"/>
                <w:szCs w:val="21"/>
                <w:highlight w:val="none"/>
              </w:rPr>
              <w:t>表</w:t>
            </w:r>
            <w:r>
              <w:rPr>
                <w:rFonts w:hint="default" w:ascii="Times New Roman" w:hAnsi="Times New Roman" w:eastAsia="宋体" w:cs="Times New Roman"/>
                <w:b/>
                <w:bCs/>
                <w:color w:val="auto"/>
                <w:spacing w:val="6"/>
                <w:sz w:val="21"/>
                <w:szCs w:val="21"/>
                <w:highlight w:val="none"/>
                <w:lang w:val="en-US" w:eastAsia="zh-CN"/>
              </w:rPr>
              <w:t>4-</w:t>
            </w:r>
            <w:r>
              <w:rPr>
                <w:rFonts w:hint="eastAsia" w:ascii="Times New Roman" w:hAnsi="Times New Roman" w:cs="Times New Roman"/>
                <w:b/>
                <w:bCs/>
                <w:color w:val="auto"/>
                <w:spacing w:val="6"/>
                <w:sz w:val="21"/>
                <w:szCs w:val="21"/>
                <w:highlight w:val="none"/>
                <w:lang w:val="en-US" w:eastAsia="zh-CN"/>
              </w:rPr>
              <w:t>10</w:t>
            </w:r>
            <w:r>
              <w:rPr>
                <w:rFonts w:hint="default" w:ascii="Times New Roman" w:hAnsi="Times New Roman" w:eastAsia="宋体" w:cs="Times New Roman"/>
                <w:b/>
                <w:bCs/>
                <w:color w:val="auto"/>
                <w:spacing w:val="6"/>
                <w:sz w:val="21"/>
                <w:szCs w:val="21"/>
                <w:highlight w:val="none"/>
              </w:rPr>
              <w:t>废水产排污节点、污染物及污染物治理措施一览表</w:t>
            </w:r>
          </w:p>
          <w:tbl>
            <w:tblPr>
              <w:tblStyle w:val="101"/>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470"/>
              <w:gridCol w:w="1103"/>
              <w:gridCol w:w="1909"/>
              <w:gridCol w:w="1017"/>
              <w:gridCol w:w="1186"/>
              <w:gridCol w:w="1259"/>
            </w:tblGrid>
            <w:tr w14:paraId="69BE1E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1470" w:type="dxa"/>
                  <w:vMerge w:val="restart"/>
                  <w:tcBorders>
                    <w:tl2br w:val="nil"/>
                    <w:tr2bl w:val="nil"/>
                  </w:tcBorders>
                  <w:vAlign w:val="center"/>
                </w:tcPr>
                <w:p w14:paraId="5E1332D1">
                  <w:pPr>
                    <w:pStyle w:val="104"/>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产污类别及环节</w:t>
                  </w:r>
                </w:p>
              </w:tc>
              <w:tc>
                <w:tcPr>
                  <w:tcW w:w="1103" w:type="dxa"/>
                  <w:vMerge w:val="restart"/>
                  <w:tcBorders>
                    <w:tl2br w:val="nil"/>
                    <w:tr2bl w:val="nil"/>
                  </w:tcBorders>
                  <w:vAlign w:val="center"/>
                </w:tcPr>
                <w:p w14:paraId="7A1A2E59">
                  <w:pPr>
                    <w:pStyle w:val="104"/>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污染物种类</w:t>
                  </w:r>
                </w:p>
              </w:tc>
              <w:tc>
                <w:tcPr>
                  <w:tcW w:w="1909" w:type="dxa"/>
                  <w:vMerge w:val="restart"/>
                  <w:tcBorders>
                    <w:tl2br w:val="nil"/>
                    <w:tr2bl w:val="nil"/>
                  </w:tcBorders>
                  <w:vAlign w:val="center"/>
                </w:tcPr>
                <w:p w14:paraId="133992F3">
                  <w:pPr>
                    <w:pStyle w:val="104"/>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排放方式</w:t>
                  </w:r>
                </w:p>
              </w:tc>
              <w:tc>
                <w:tcPr>
                  <w:tcW w:w="3462" w:type="dxa"/>
                  <w:gridSpan w:val="3"/>
                  <w:tcBorders>
                    <w:tl2br w:val="nil"/>
                    <w:tr2bl w:val="nil"/>
                  </w:tcBorders>
                  <w:vAlign w:val="center"/>
                </w:tcPr>
                <w:p w14:paraId="60CCE584">
                  <w:pPr>
                    <w:pStyle w:val="104"/>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污染治理设施</w:t>
                  </w:r>
                </w:p>
              </w:tc>
            </w:tr>
            <w:tr w14:paraId="2FBD85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8" w:hRule="atLeast"/>
                <w:jc w:val="center"/>
              </w:trPr>
              <w:tc>
                <w:tcPr>
                  <w:tcW w:w="1470" w:type="dxa"/>
                  <w:vMerge w:val="continue"/>
                  <w:tcBorders>
                    <w:tl2br w:val="nil"/>
                    <w:tr2bl w:val="nil"/>
                  </w:tcBorders>
                  <w:vAlign w:val="center"/>
                </w:tcPr>
                <w:p w14:paraId="47FA0F0D">
                  <w:pPr>
                    <w:pStyle w:val="104"/>
                    <w:bidi w:val="0"/>
                    <w:rPr>
                      <w:rFonts w:hint="default" w:ascii="Times New Roman" w:hAnsi="Times New Roman" w:cs="Times New Roman"/>
                      <w:color w:val="auto"/>
                      <w:sz w:val="18"/>
                      <w:szCs w:val="18"/>
                      <w:highlight w:val="none"/>
                    </w:rPr>
                  </w:pPr>
                </w:p>
              </w:tc>
              <w:tc>
                <w:tcPr>
                  <w:tcW w:w="1103" w:type="dxa"/>
                  <w:vMerge w:val="continue"/>
                  <w:tcBorders>
                    <w:tl2br w:val="nil"/>
                    <w:tr2bl w:val="nil"/>
                  </w:tcBorders>
                  <w:vAlign w:val="center"/>
                </w:tcPr>
                <w:p w14:paraId="46211731">
                  <w:pPr>
                    <w:pStyle w:val="104"/>
                    <w:bidi w:val="0"/>
                    <w:rPr>
                      <w:rFonts w:hint="default" w:ascii="Times New Roman" w:hAnsi="Times New Roman" w:cs="Times New Roman"/>
                      <w:color w:val="auto"/>
                      <w:sz w:val="18"/>
                      <w:szCs w:val="18"/>
                      <w:highlight w:val="none"/>
                    </w:rPr>
                  </w:pPr>
                </w:p>
              </w:tc>
              <w:tc>
                <w:tcPr>
                  <w:tcW w:w="1909" w:type="dxa"/>
                  <w:vMerge w:val="continue"/>
                  <w:tcBorders>
                    <w:tl2br w:val="nil"/>
                    <w:tr2bl w:val="nil"/>
                  </w:tcBorders>
                  <w:vAlign w:val="center"/>
                </w:tcPr>
                <w:p w14:paraId="277C2398">
                  <w:pPr>
                    <w:pStyle w:val="104"/>
                    <w:bidi w:val="0"/>
                    <w:rPr>
                      <w:rFonts w:hint="default" w:ascii="Times New Roman" w:hAnsi="Times New Roman" w:cs="Times New Roman"/>
                      <w:color w:val="auto"/>
                      <w:sz w:val="18"/>
                      <w:szCs w:val="18"/>
                      <w:highlight w:val="none"/>
                    </w:rPr>
                  </w:pPr>
                </w:p>
              </w:tc>
              <w:tc>
                <w:tcPr>
                  <w:tcW w:w="1017" w:type="dxa"/>
                  <w:tcBorders>
                    <w:tl2br w:val="nil"/>
                    <w:tr2bl w:val="nil"/>
                  </w:tcBorders>
                  <w:vAlign w:val="center"/>
                </w:tcPr>
                <w:p w14:paraId="6A640F46">
                  <w:pPr>
                    <w:pStyle w:val="104"/>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工艺</w:t>
                  </w:r>
                </w:p>
              </w:tc>
              <w:tc>
                <w:tcPr>
                  <w:tcW w:w="1186" w:type="dxa"/>
                  <w:tcBorders>
                    <w:tl2br w:val="nil"/>
                    <w:tr2bl w:val="nil"/>
                  </w:tcBorders>
                  <w:vAlign w:val="center"/>
                </w:tcPr>
                <w:p w14:paraId="641C1B4C">
                  <w:pPr>
                    <w:pStyle w:val="104"/>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治理效率</w:t>
                  </w:r>
                </w:p>
              </w:tc>
              <w:tc>
                <w:tcPr>
                  <w:tcW w:w="1259" w:type="dxa"/>
                  <w:tcBorders>
                    <w:tl2br w:val="nil"/>
                    <w:tr2bl w:val="nil"/>
                  </w:tcBorders>
                  <w:vAlign w:val="center"/>
                </w:tcPr>
                <w:p w14:paraId="38B3EC99">
                  <w:pPr>
                    <w:pStyle w:val="104"/>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是否为可行</w:t>
                  </w:r>
                </w:p>
                <w:p w14:paraId="18F726D9">
                  <w:pPr>
                    <w:pStyle w:val="104"/>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技术</w:t>
                  </w:r>
                </w:p>
              </w:tc>
            </w:tr>
            <w:tr w14:paraId="65C5BA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8" w:hRule="atLeast"/>
                <w:jc w:val="center"/>
              </w:trPr>
              <w:tc>
                <w:tcPr>
                  <w:tcW w:w="1470" w:type="dxa"/>
                  <w:vMerge w:val="restart"/>
                  <w:tcBorders>
                    <w:tl2br w:val="nil"/>
                    <w:tr2bl w:val="nil"/>
                  </w:tcBorders>
                  <w:vAlign w:val="center"/>
                </w:tcPr>
                <w:p w14:paraId="0183E60A">
                  <w:pPr>
                    <w:pStyle w:val="104"/>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生活污水</w:t>
                  </w:r>
                </w:p>
              </w:tc>
              <w:tc>
                <w:tcPr>
                  <w:tcW w:w="1103" w:type="dxa"/>
                  <w:tcBorders>
                    <w:tl2br w:val="nil"/>
                    <w:tr2bl w:val="nil"/>
                  </w:tcBorders>
                  <w:vAlign w:val="center"/>
                </w:tcPr>
                <w:p w14:paraId="633FA592">
                  <w:pPr>
                    <w:pStyle w:val="104"/>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COD</w:t>
                  </w:r>
                </w:p>
              </w:tc>
              <w:tc>
                <w:tcPr>
                  <w:tcW w:w="1909" w:type="dxa"/>
                  <w:vMerge w:val="restart"/>
                  <w:tcBorders>
                    <w:tl2br w:val="nil"/>
                    <w:tr2bl w:val="nil"/>
                  </w:tcBorders>
                  <w:vAlign w:val="center"/>
                </w:tcPr>
                <w:p w14:paraId="11350B2D">
                  <w:pPr>
                    <w:pStyle w:val="104"/>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间接排放，排放期间流量稳定</w:t>
                  </w:r>
                </w:p>
              </w:tc>
              <w:tc>
                <w:tcPr>
                  <w:tcW w:w="3462" w:type="dxa"/>
                  <w:gridSpan w:val="3"/>
                  <w:vMerge w:val="restart"/>
                  <w:tcBorders>
                    <w:tl2br w:val="nil"/>
                    <w:tr2bl w:val="nil"/>
                  </w:tcBorders>
                  <w:vAlign w:val="center"/>
                </w:tcPr>
                <w:p w14:paraId="50DDE305">
                  <w:pPr>
                    <w:pStyle w:val="104"/>
                    <w:bidi w:val="0"/>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3C12CC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47" w:hRule="atLeast"/>
                <w:jc w:val="center"/>
              </w:trPr>
              <w:tc>
                <w:tcPr>
                  <w:tcW w:w="1470" w:type="dxa"/>
                  <w:vMerge w:val="continue"/>
                  <w:tcBorders>
                    <w:tl2br w:val="nil"/>
                    <w:tr2bl w:val="nil"/>
                  </w:tcBorders>
                  <w:vAlign w:val="center"/>
                </w:tcPr>
                <w:p w14:paraId="7216220A">
                  <w:pPr>
                    <w:pStyle w:val="104"/>
                    <w:bidi w:val="0"/>
                    <w:rPr>
                      <w:rFonts w:hint="default" w:ascii="Times New Roman" w:hAnsi="Times New Roman" w:cs="Times New Roman"/>
                      <w:color w:val="auto"/>
                      <w:sz w:val="18"/>
                      <w:szCs w:val="18"/>
                      <w:highlight w:val="none"/>
                    </w:rPr>
                  </w:pPr>
                </w:p>
              </w:tc>
              <w:tc>
                <w:tcPr>
                  <w:tcW w:w="1103" w:type="dxa"/>
                  <w:tcBorders>
                    <w:tl2br w:val="nil"/>
                    <w:tr2bl w:val="nil"/>
                  </w:tcBorders>
                  <w:vAlign w:val="center"/>
                </w:tcPr>
                <w:p w14:paraId="093CFD22">
                  <w:pPr>
                    <w:pStyle w:val="104"/>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BOD</w:t>
                  </w:r>
                  <w:r>
                    <w:rPr>
                      <w:rFonts w:hint="default" w:ascii="Times New Roman" w:hAnsi="Times New Roman" w:cs="Times New Roman"/>
                      <w:color w:val="auto"/>
                      <w:sz w:val="18"/>
                      <w:szCs w:val="18"/>
                      <w:highlight w:val="none"/>
                      <w:vertAlign w:val="subscript"/>
                    </w:rPr>
                    <w:t>5</w:t>
                  </w:r>
                </w:p>
              </w:tc>
              <w:tc>
                <w:tcPr>
                  <w:tcW w:w="1909" w:type="dxa"/>
                  <w:vMerge w:val="continue"/>
                  <w:tcBorders>
                    <w:tl2br w:val="nil"/>
                    <w:tr2bl w:val="nil"/>
                  </w:tcBorders>
                  <w:vAlign w:val="center"/>
                </w:tcPr>
                <w:p w14:paraId="15FE7155">
                  <w:pPr>
                    <w:pStyle w:val="104"/>
                    <w:bidi w:val="0"/>
                    <w:rPr>
                      <w:rFonts w:hint="default" w:ascii="Times New Roman" w:hAnsi="Times New Roman" w:cs="Times New Roman"/>
                      <w:color w:val="auto"/>
                      <w:sz w:val="18"/>
                      <w:szCs w:val="18"/>
                      <w:highlight w:val="none"/>
                    </w:rPr>
                  </w:pPr>
                </w:p>
              </w:tc>
              <w:tc>
                <w:tcPr>
                  <w:tcW w:w="3462" w:type="dxa"/>
                  <w:gridSpan w:val="3"/>
                  <w:vMerge w:val="continue"/>
                  <w:tcBorders>
                    <w:tl2br w:val="nil"/>
                    <w:tr2bl w:val="nil"/>
                  </w:tcBorders>
                  <w:vAlign w:val="center"/>
                </w:tcPr>
                <w:p w14:paraId="21CE1CEF">
                  <w:pPr>
                    <w:pStyle w:val="104"/>
                    <w:bidi w:val="0"/>
                    <w:rPr>
                      <w:rFonts w:hint="default" w:ascii="Times New Roman" w:hAnsi="Times New Roman" w:cs="Times New Roman"/>
                      <w:color w:val="auto"/>
                      <w:sz w:val="18"/>
                      <w:szCs w:val="18"/>
                      <w:highlight w:val="none"/>
                    </w:rPr>
                  </w:pPr>
                </w:p>
              </w:tc>
            </w:tr>
            <w:tr w14:paraId="485B2D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0" w:hRule="atLeast"/>
                <w:jc w:val="center"/>
              </w:trPr>
              <w:tc>
                <w:tcPr>
                  <w:tcW w:w="1470" w:type="dxa"/>
                  <w:vMerge w:val="continue"/>
                  <w:tcBorders>
                    <w:tl2br w:val="nil"/>
                    <w:tr2bl w:val="nil"/>
                  </w:tcBorders>
                  <w:vAlign w:val="center"/>
                </w:tcPr>
                <w:p w14:paraId="287B4FCA">
                  <w:pPr>
                    <w:pStyle w:val="104"/>
                    <w:bidi w:val="0"/>
                    <w:rPr>
                      <w:rFonts w:hint="default" w:ascii="Times New Roman" w:hAnsi="Times New Roman" w:cs="Times New Roman"/>
                      <w:color w:val="auto"/>
                      <w:sz w:val="18"/>
                      <w:szCs w:val="18"/>
                      <w:highlight w:val="none"/>
                    </w:rPr>
                  </w:pPr>
                </w:p>
              </w:tc>
              <w:tc>
                <w:tcPr>
                  <w:tcW w:w="1103" w:type="dxa"/>
                  <w:tcBorders>
                    <w:tl2br w:val="nil"/>
                    <w:tr2bl w:val="nil"/>
                  </w:tcBorders>
                  <w:vAlign w:val="center"/>
                </w:tcPr>
                <w:p w14:paraId="58B7030F">
                  <w:pPr>
                    <w:pStyle w:val="104"/>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氨氮</w:t>
                  </w:r>
                </w:p>
              </w:tc>
              <w:tc>
                <w:tcPr>
                  <w:tcW w:w="1909" w:type="dxa"/>
                  <w:vMerge w:val="continue"/>
                  <w:tcBorders>
                    <w:tl2br w:val="nil"/>
                    <w:tr2bl w:val="nil"/>
                  </w:tcBorders>
                  <w:vAlign w:val="center"/>
                </w:tcPr>
                <w:p w14:paraId="602CE56F">
                  <w:pPr>
                    <w:pStyle w:val="104"/>
                    <w:bidi w:val="0"/>
                    <w:rPr>
                      <w:rFonts w:hint="default" w:ascii="Times New Roman" w:hAnsi="Times New Roman" w:cs="Times New Roman"/>
                      <w:color w:val="auto"/>
                      <w:sz w:val="18"/>
                      <w:szCs w:val="18"/>
                      <w:highlight w:val="none"/>
                    </w:rPr>
                  </w:pPr>
                </w:p>
              </w:tc>
              <w:tc>
                <w:tcPr>
                  <w:tcW w:w="3462" w:type="dxa"/>
                  <w:gridSpan w:val="3"/>
                  <w:vMerge w:val="continue"/>
                  <w:tcBorders>
                    <w:tl2br w:val="nil"/>
                    <w:tr2bl w:val="nil"/>
                  </w:tcBorders>
                  <w:vAlign w:val="center"/>
                </w:tcPr>
                <w:p w14:paraId="3C15946A">
                  <w:pPr>
                    <w:pStyle w:val="104"/>
                    <w:bidi w:val="0"/>
                    <w:rPr>
                      <w:rFonts w:hint="default" w:ascii="Times New Roman" w:hAnsi="Times New Roman" w:cs="Times New Roman"/>
                      <w:color w:val="auto"/>
                      <w:sz w:val="18"/>
                      <w:szCs w:val="18"/>
                      <w:highlight w:val="none"/>
                    </w:rPr>
                  </w:pPr>
                </w:p>
              </w:tc>
            </w:tr>
            <w:tr w14:paraId="387512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0" w:hRule="atLeast"/>
                <w:jc w:val="center"/>
              </w:trPr>
              <w:tc>
                <w:tcPr>
                  <w:tcW w:w="1470" w:type="dxa"/>
                  <w:vMerge w:val="continue"/>
                  <w:tcBorders>
                    <w:tl2br w:val="nil"/>
                    <w:tr2bl w:val="nil"/>
                  </w:tcBorders>
                  <w:vAlign w:val="center"/>
                </w:tcPr>
                <w:p w14:paraId="482BBC63">
                  <w:pPr>
                    <w:pStyle w:val="104"/>
                    <w:bidi w:val="0"/>
                    <w:rPr>
                      <w:rFonts w:hint="default" w:ascii="Times New Roman" w:hAnsi="Times New Roman" w:cs="Times New Roman"/>
                      <w:color w:val="auto"/>
                      <w:sz w:val="18"/>
                      <w:szCs w:val="18"/>
                      <w:highlight w:val="none"/>
                    </w:rPr>
                  </w:pPr>
                </w:p>
              </w:tc>
              <w:tc>
                <w:tcPr>
                  <w:tcW w:w="1103" w:type="dxa"/>
                  <w:tcBorders>
                    <w:tl2br w:val="nil"/>
                    <w:tr2bl w:val="nil"/>
                  </w:tcBorders>
                  <w:vAlign w:val="center"/>
                </w:tcPr>
                <w:p w14:paraId="20032C72">
                  <w:pPr>
                    <w:pStyle w:val="104"/>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SS</w:t>
                  </w:r>
                </w:p>
              </w:tc>
              <w:tc>
                <w:tcPr>
                  <w:tcW w:w="1909" w:type="dxa"/>
                  <w:vMerge w:val="continue"/>
                  <w:tcBorders>
                    <w:tl2br w:val="nil"/>
                    <w:tr2bl w:val="nil"/>
                  </w:tcBorders>
                  <w:vAlign w:val="center"/>
                </w:tcPr>
                <w:p w14:paraId="51FC350B">
                  <w:pPr>
                    <w:pStyle w:val="104"/>
                    <w:bidi w:val="0"/>
                    <w:rPr>
                      <w:rFonts w:hint="default" w:ascii="Times New Roman" w:hAnsi="Times New Roman" w:cs="Times New Roman"/>
                      <w:color w:val="auto"/>
                      <w:sz w:val="18"/>
                      <w:szCs w:val="18"/>
                      <w:highlight w:val="none"/>
                    </w:rPr>
                  </w:pPr>
                </w:p>
              </w:tc>
              <w:tc>
                <w:tcPr>
                  <w:tcW w:w="3462" w:type="dxa"/>
                  <w:gridSpan w:val="3"/>
                  <w:vMerge w:val="continue"/>
                  <w:tcBorders>
                    <w:tl2br w:val="nil"/>
                    <w:tr2bl w:val="nil"/>
                  </w:tcBorders>
                  <w:vAlign w:val="center"/>
                </w:tcPr>
                <w:p w14:paraId="127F839E">
                  <w:pPr>
                    <w:pStyle w:val="104"/>
                    <w:bidi w:val="0"/>
                    <w:rPr>
                      <w:rFonts w:hint="default" w:ascii="Times New Roman" w:hAnsi="Times New Roman" w:cs="Times New Roman"/>
                      <w:color w:val="auto"/>
                      <w:sz w:val="18"/>
                      <w:szCs w:val="18"/>
                      <w:highlight w:val="none"/>
                    </w:rPr>
                  </w:pPr>
                </w:p>
              </w:tc>
            </w:tr>
            <w:tr w14:paraId="522AA1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1" w:hRule="atLeast"/>
                <w:jc w:val="center"/>
              </w:trPr>
              <w:tc>
                <w:tcPr>
                  <w:tcW w:w="1470" w:type="dxa"/>
                  <w:vMerge w:val="restart"/>
                  <w:tcBorders>
                    <w:tl2br w:val="nil"/>
                    <w:tr2bl w:val="nil"/>
                  </w:tcBorders>
                  <w:vAlign w:val="center"/>
                </w:tcPr>
                <w:p w14:paraId="22D256CD">
                  <w:pPr>
                    <w:pStyle w:val="104"/>
                    <w:bidi w:val="0"/>
                    <w:rPr>
                      <w:rFonts w:hint="default"/>
                      <w:color w:val="auto"/>
                      <w:highlight w:val="none"/>
                    </w:rPr>
                  </w:pPr>
                  <w:r>
                    <w:rPr>
                      <w:rFonts w:hint="eastAsia" w:cs="Times New Roman"/>
                      <w:color w:val="auto"/>
                      <w:sz w:val="18"/>
                      <w:szCs w:val="18"/>
                      <w:highlight w:val="none"/>
                      <w:lang w:val="en-US" w:eastAsia="zh-CN"/>
                    </w:rPr>
                    <w:t>生产废水</w:t>
                  </w:r>
                </w:p>
              </w:tc>
              <w:tc>
                <w:tcPr>
                  <w:tcW w:w="1103" w:type="dxa"/>
                  <w:tcBorders>
                    <w:tl2br w:val="nil"/>
                    <w:tr2bl w:val="nil"/>
                  </w:tcBorders>
                  <w:vAlign w:val="center"/>
                </w:tcPr>
                <w:p w14:paraId="0C9B0288">
                  <w:pPr>
                    <w:pStyle w:val="104"/>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COD</w:t>
                  </w:r>
                </w:p>
              </w:tc>
              <w:tc>
                <w:tcPr>
                  <w:tcW w:w="1909" w:type="dxa"/>
                  <w:vMerge w:val="restart"/>
                  <w:tcBorders>
                    <w:tl2br w:val="nil"/>
                    <w:tr2bl w:val="nil"/>
                  </w:tcBorders>
                  <w:vAlign w:val="center"/>
                </w:tcPr>
                <w:p w14:paraId="0C360212">
                  <w:pPr>
                    <w:pStyle w:val="104"/>
                    <w:bidi w:val="0"/>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不外排</w:t>
                  </w:r>
                </w:p>
              </w:tc>
              <w:tc>
                <w:tcPr>
                  <w:tcW w:w="3462" w:type="dxa"/>
                  <w:gridSpan w:val="3"/>
                  <w:vMerge w:val="continue"/>
                  <w:tcBorders>
                    <w:tl2br w:val="nil"/>
                    <w:tr2bl w:val="nil"/>
                  </w:tcBorders>
                  <w:vAlign w:val="center"/>
                </w:tcPr>
                <w:p w14:paraId="1DC2479E">
                  <w:pPr>
                    <w:pStyle w:val="104"/>
                    <w:bidi w:val="0"/>
                    <w:rPr>
                      <w:rFonts w:hint="default" w:ascii="Times New Roman" w:hAnsi="Times New Roman" w:cs="Times New Roman"/>
                      <w:color w:val="auto"/>
                      <w:sz w:val="18"/>
                      <w:szCs w:val="18"/>
                      <w:highlight w:val="none"/>
                    </w:rPr>
                  </w:pPr>
                </w:p>
              </w:tc>
            </w:tr>
            <w:tr w14:paraId="1F1DBA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5" w:hRule="atLeast"/>
                <w:jc w:val="center"/>
              </w:trPr>
              <w:tc>
                <w:tcPr>
                  <w:tcW w:w="1470" w:type="dxa"/>
                  <w:vMerge w:val="continue"/>
                  <w:tcBorders>
                    <w:tl2br w:val="nil"/>
                    <w:tr2bl w:val="nil"/>
                  </w:tcBorders>
                  <w:vAlign w:val="center"/>
                </w:tcPr>
                <w:p w14:paraId="78BA17EC">
                  <w:pPr>
                    <w:rPr>
                      <w:rFonts w:hint="default"/>
                      <w:color w:val="auto"/>
                      <w:highlight w:val="none"/>
                    </w:rPr>
                  </w:pPr>
                </w:p>
              </w:tc>
              <w:tc>
                <w:tcPr>
                  <w:tcW w:w="1103" w:type="dxa"/>
                  <w:tcBorders>
                    <w:tl2br w:val="nil"/>
                    <w:tr2bl w:val="nil"/>
                  </w:tcBorders>
                  <w:vAlign w:val="center"/>
                </w:tcPr>
                <w:p w14:paraId="2B69931F">
                  <w:pPr>
                    <w:pStyle w:val="104"/>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BOD</w:t>
                  </w:r>
                  <w:r>
                    <w:rPr>
                      <w:rFonts w:hint="default" w:ascii="Times New Roman" w:hAnsi="Times New Roman" w:cs="Times New Roman"/>
                      <w:color w:val="auto"/>
                      <w:sz w:val="18"/>
                      <w:szCs w:val="18"/>
                      <w:highlight w:val="none"/>
                      <w:vertAlign w:val="subscript"/>
                    </w:rPr>
                    <w:t>5</w:t>
                  </w:r>
                </w:p>
              </w:tc>
              <w:tc>
                <w:tcPr>
                  <w:tcW w:w="1909" w:type="dxa"/>
                  <w:vMerge w:val="continue"/>
                  <w:tcBorders>
                    <w:tl2br w:val="nil"/>
                    <w:tr2bl w:val="nil"/>
                  </w:tcBorders>
                  <w:vAlign w:val="center"/>
                </w:tcPr>
                <w:p w14:paraId="17C6E729">
                  <w:pPr>
                    <w:pStyle w:val="104"/>
                    <w:bidi w:val="0"/>
                    <w:rPr>
                      <w:rFonts w:hint="default" w:ascii="Times New Roman" w:hAnsi="Times New Roman" w:cs="Times New Roman"/>
                      <w:color w:val="auto"/>
                      <w:sz w:val="18"/>
                      <w:szCs w:val="18"/>
                      <w:highlight w:val="none"/>
                    </w:rPr>
                  </w:pPr>
                </w:p>
              </w:tc>
              <w:tc>
                <w:tcPr>
                  <w:tcW w:w="3462" w:type="dxa"/>
                  <w:gridSpan w:val="3"/>
                  <w:vMerge w:val="continue"/>
                  <w:tcBorders>
                    <w:tl2br w:val="nil"/>
                    <w:tr2bl w:val="nil"/>
                  </w:tcBorders>
                  <w:vAlign w:val="center"/>
                </w:tcPr>
                <w:p w14:paraId="122C06A2">
                  <w:pPr>
                    <w:pStyle w:val="104"/>
                    <w:bidi w:val="0"/>
                    <w:rPr>
                      <w:rFonts w:hint="default" w:ascii="Times New Roman" w:hAnsi="Times New Roman" w:cs="Times New Roman"/>
                      <w:color w:val="auto"/>
                      <w:sz w:val="18"/>
                      <w:szCs w:val="18"/>
                      <w:highlight w:val="none"/>
                    </w:rPr>
                  </w:pPr>
                </w:p>
              </w:tc>
            </w:tr>
            <w:tr w14:paraId="1AC674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5" w:hRule="atLeast"/>
                <w:jc w:val="center"/>
              </w:trPr>
              <w:tc>
                <w:tcPr>
                  <w:tcW w:w="1470" w:type="dxa"/>
                  <w:vMerge w:val="continue"/>
                  <w:tcBorders>
                    <w:tl2br w:val="nil"/>
                    <w:tr2bl w:val="nil"/>
                  </w:tcBorders>
                  <w:vAlign w:val="center"/>
                </w:tcPr>
                <w:p w14:paraId="4CEB8D9D">
                  <w:pPr>
                    <w:pStyle w:val="104"/>
                    <w:bidi w:val="0"/>
                    <w:rPr>
                      <w:rFonts w:hint="default" w:ascii="Times New Roman" w:hAnsi="Times New Roman" w:cs="Times New Roman"/>
                      <w:color w:val="auto"/>
                      <w:sz w:val="18"/>
                      <w:szCs w:val="18"/>
                      <w:highlight w:val="none"/>
                    </w:rPr>
                  </w:pPr>
                </w:p>
              </w:tc>
              <w:tc>
                <w:tcPr>
                  <w:tcW w:w="1103" w:type="dxa"/>
                  <w:tcBorders>
                    <w:tl2br w:val="nil"/>
                    <w:tr2bl w:val="nil"/>
                  </w:tcBorders>
                  <w:vAlign w:val="center"/>
                </w:tcPr>
                <w:p w14:paraId="50953004">
                  <w:pPr>
                    <w:pStyle w:val="104"/>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氨氮</w:t>
                  </w:r>
                </w:p>
              </w:tc>
              <w:tc>
                <w:tcPr>
                  <w:tcW w:w="1909" w:type="dxa"/>
                  <w:vMerge w:val="continue"/>
                  <w:tcBorders>
                    <w:tl2br w:val="nil"/>
                    <w:tr2bl w:val="nil"/>
                  </w:tcBorders>
                  <w:vAlign w:val="center"/>
                </w:tcPr>
                <w:p w14:paraId="54494486">
                  <w:pPr>
                    <w:pStyle w:val="104"/>
                    <w:bidi w:val="0"/>
                    <w:rPr>
                      <w:rFonts w:hint="default" w:ascii="Times New Roman" w:hAnsi="Times New Roman" w:cs="Times New Roman"/>
                      <w:color w:val="auto"/>
                      <w:sz w:val="18"/>
                      <w:szCs w:val="18"/>
                      <w:highlight w:val="none"/>
                    </w:rPr>
                  </w:pPr>
                </w:p>
              </w:tc>
              <w:tc>
                <w:tcPr>
                  <w:tcW w:w="3462" w:type="dxa"/>
                  <w:gridSpan w:val="3"/>
                  <w:vMerge w:val="continue"/>
                  <w:tcBorders>
                    <w:tl2br w:val="nil"/>
                    <w:tr2bl w:val="nil"/>
                  </w:tcBorders>
                  <w:vAlign w:val="center"/>
                </w:tcPr>
                <w:p w14:paraId="3823C9AD">
                  <w:pPr>
                    <w:pStyle w:val="104"/>
                    <w:bidi w:val="0"/>
                    <w:rPr>
                      <w:rFonts w:hint="default" w:ascii="Times New Roman" w:hAnsi="Times New Roman" w:cs="Times New Roman"/>
                      <w:color w:val="auto"/>
                      <w:sz w:val="18"/>
                      <w:szCs w:val="18"/>
                      <w:highlight w:val="none"/>
                    </w:rPr>
                  </w:pPr>
                </w:p>
              </w:tc>
            </w:tr>
            <w:tr w14:paraId="089BB5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01" w:hRule="atLeast"/>
                <w:jc w:val="center"/>
              </w:trPr>
              <w:tc>
                <w:tcPr>
                  <w:tcW w:w="1470" w:type="dxa"/>
                  <w:vMerge w:val="continue"/>
                  <w:tcBorders>
                    <w:tl2br w:val="nil"/>
                    <w:tr2bl w:val="nil"/>
                  </w:tcBorders>
                  <w:vAlign w:val="center"/>
                </w:tcPr>
                <w:p w14:paraId="022EA66A">
                  <w:pPr>
                    <w:pStyle w:val="104"/>
                    <w:bidi w:val="0"/>
                    <w:rPr>
                      <w:rFonts w:hint="default" w:ascii="Times New Roman" w:hAnsi="Times New Roman" w:cs="Times New Roman"/>
                      <w:color w:val="auto"/>
                      <w:sz w:val="18"/>
                      <w:szCs w:val="18"/>
                      <w:highlight w:val="none"/>
                    </w:rPr>
                  </w:pPr>
                </w:p>
              </w:tc>
              <w:tc>
                <w:tcPr>
                  <w:tcW w:w="1103" w:type="dxa"/>
                  <w:tcBorders>
                    <w:tl2br w:val="nil"/>
                    <w:tr2bl w:val="nil"/>
                  </w:tcBorders>
                  <w:vAlign w:val="center"/>
                </w:tcPr>
                <w:p w14:paraId="1DAF5C81">
                  <w:pPr>
                    <w:pStyle w:val="104"/>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SS</w:t>
                  </w:r>
                </w:p>
              </w:tc>
              <w:tc>
                <w:tcPr>
                  <w:tcW w:w="1909" w:type="dxa"/>
                  <w:vMerge w:val="continue"/>
                  <w:tcBorders>
                    <w:tl2br w:val="nil"/>
                    <w:tr2bl w:val="nil"/>
                  </w:tcBorders>
                  <w:vAlign w:val="center"/>
                </w:tcPr>
                <w:p w14:paraId="2AD3E5CC">
                  <w:pPr>
                    <w:pStyle w:val="104"/>
                    <w:bidi w:val="0"/>
                    <w:rPr>
                      <w:rFonts w:hint="default" w:ascii="Times New Roman" w:hAnsi="Times New Roman" w:cs="Times New Roman"/>
                      <w:color w:val="auto"/>
                      <w:sz w:val="18"/>
                      <w:szCs w:val="18"/>
                      <w:highlight w:val="none"/>
                    </w:rPr>
                  </w:pPr>
                </w:p>
              </w:tc>
              <w:tc>
                <w:tcPr>
                  <w:tcW w:w="3462" w:type="dxa"/>
                  <w:gridSpan w:val="3"/>
                  <w:vMerge w:val="continue"/>
                  <w:tcBorders>
                    <w:tl2br w:val="nil"/>
                    <w:tr2bl w:val="nil"/>
                  </w:tcBorders>
                  <w:vAlign w:val="center"/>
                </w:tcPr>
                <w:p w14:paraId="771BFBC8">
                  <w:pPr>
                    <w:pStyle w:val="104"/>
                    <w:bidi w:val="0"/>
                    <w:rPr>
                      <w:rFonts w:hint="default" w:ascii="Times New Roman" w:hAnsi="Times New Roman" w:cs="Times New Roman"/>
                      <w:color w:val="auto"/>
                      <w:sz w:val="18"/>
                      <w:szCs w:val="18"/>
                      <w:highlight w:val="none"/>
                    </w:rPr>
                  </w:pPr>
                </w:p>
              </w:tc>
            </w:tr>
            <w:tr w14:paraId="183B0B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4" w:hRule="atLeast"/>
                <w:jc w:val="center"/>
              </w:trPr>
              <w:tc>
                <w:tcPr>
                  <w:tcW w:w="1470" w:type="dxa"/>
                  <w:vMerge w:val="restart"/>
                  <w:tcBorders>
                    <w:tl2br w:val="nil"/>
                    <w:tr2bl w:val="nil"/>
                  </w:tcBorders>
                  <w:vAlign w:val="center"/>
                </w:tcPr>
                <w:p w14:paraId="13379DDB">
                  <w:pPr>
                    <w:pStyle w:val="104"/>
                    <w:bidi w:val="0"/>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锅炉排污水及软化水制备废水</w:t>
                  </w:r>
                </w:p>
              </w:tc>
              <w:tc>
                <w:tcPr>
                  <w:tcW w:w="1103" w:type="dxa"/>
                  <w:tcBorders>
                    <w:tl2br w:val="nil"/>
                    <w:tr2bl w:val="nil"/>
                  </w:tcBorders>
                  <w:vAlign w:val="center"/>
                </w:tcPr>
                <w:p w14:paraId="48324D41">
                  <w:pPr>
                    <w:pStyle w:val="104"/>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SS</w:t>
                  </w:r>
                </w:p>
              </w:tc>
              <w:tc>
                <w:tcPr>
                  <w:tcW w:w="1909" w:type="dxa"/>
                  <w:vMerge w:val="continue"/>
                  <w:tcBorders>
                    <w:tl2br w:val="nil"/>
                    <w:tr2bl w:val="nil"/>
                  </w:tcBorders>
                  <w:vAlign w:val="center"/>
                </w:tcPr>
                <w:p w14:paraId="44C3845F">
                  <w:pPr>
                    <w:pStyle w:val="104"/>
                    <w:bidi w:val="0"/>
                    <w:rPr>
                      <w:rFonts w:hint="default" w:ascii="Times New Roman" w:hAnsi="Times New Roman" w:cs="Times New Roman"/>
                      <w:color w:val="auto"/>
                      <w:sz w:val="18"/>
                      <w:szCs w:val="18"/>
                      <w:highlight w:val="none"/>
                    </w:rPr>
                  </w:pPr>
                </w:p>
              </w:tc>
              <w:tc>
                <w:tcPr>
                  <w:tcW w:w="3462" w:type="dxa"/>
                  <w:gridSpan w:val="3"/>
                  <w:vMerge w:val="continue"/>
                  <w:tcBorders>
                    <w:tl2br w:val="nil"/>
                    <w:tr2bl w:val="nil"/>
                  </w:tcBorders>
                  <w:vAlign w:val="center"/>
                </w:tcPr>
                <w:p w14:paraId="632EF124">
                  <w:pPr>
                    <w:pStyle w:val="104"/>
                    <w:bidi w:val="0"/>
                    <w:rPr>
                      <w:rFonts w:hint="default" w:ascii="Times New Roman" w:hAnsi="Times New Roman" w:cs="Times New Roman"/>
                      <w:color w:val="auto"/>
                      <w:sz w:val="18"/>
                      <w:szCs w:val="18"/>
                      <w:highlight w:val="none"/>
                    </w:rPr>
                  </w:pPr>
                </w:p>
              </w:tc>
            </w:tr>
            <w:tr w14:paraId="51DD77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70" w:hRule="atLeast"/>
                <w:jc w:val="center"/>
              </w:trPr>
              <w:tc>
                <w:tcPr>
                  <w:tcW w:w="1470" w:type="dxa"/>
                  <w:vMerge w:val="continue"/>
                  <w:tcBorders>
                    <w:tl2br w:val="nil"/>
                    <w:tr2bl w:val="nil"/>
                  </w:tcBorders>
                  <w:vAlign w:val="center"/>
                </w:tcPr>
                <w:p w14:paraId="6B86E642">
                  <w:pPr>
                    <w:pStyle w:val="104"/>
                    <w:bidi w:val="0"/>
                    <w:rPr>
                      <w:rFonts w:hint="default" w:ascii="Times New Roman" w:hAnsi="Times New Roman" w:cs="Times New Roman"/>
                      <w:color w:val="auto"/>
                      <w:sz w:val="18"/>
                      <w:szCs w:val="18"/>
                      <w:highlight w:val="none"/>
                    </w:rPr>
                  </w:pPr>
                </w:p>
              </w:tc>
              <w:tc>
                <w:tcPr>
                  <w:tcW w:w="1103" w:type="dxa"/>
                  <w:tcBorders>
                    <w:tl2br w:val="nil"/>
                    <w:tr2bl w:val="nil"/>
                  </w:tcBorders>
                  <w:vAlign w:val="center"/>
                </w:tcPr>
                <w:p w14:paraId="23512D91">
                  <w:pPr>
                    <w:pStyle w:val="104"/>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COD</w:t>
                  </w:r>
                </w:p>
              </w:tc>
              <w:tc>
                <w:tcPr>
                  <w:tcW w:w="1909" w:type="dxa"/>
                  <w:vMerge w:val="continue"/>
                  <w:tcBorders>
                    <w:tl2br w:val="nil"/>
                    <w:tr2bl w:val="nil"/>
                  </w:tcBorders>
                  <w:vAlign w:val="center"/>
                </w:tcPr>
                <w:p w14:paraId="5CC92FF0">
                  <w:pPr>
                    <w:pStyle w:val="104"/>
                    <w:bidi w:val="0"/>
                    <w:rPr>
                      <w:rFonts w:hint="default" w:ascii="Times New Roman" w:hAnsi="Times New Roman" w:cs="Times New Roman"/>
                      <w:color w:val="auto"/>
                      <w:sz w:val="18"/>
                      <w:szCs w:val="18"/>
                      <w:highlight w:val="none"/>
                    </w:rPr>
                  </w:pPr>
                </w:p>
              </w:tc>
              <w:tc>
                <w:tcPr>
                  <w:tcW w:w="3462" w:type="dxa"/>
                  <w:gridSpan w:val="3"/>
                  <w:vMerge w:val="continue"/>
                  <w:tcBorders>
                    <w:tl2br w:val="nil"/>
                    <w:tr2bl w:val="nil"/>
                  </w:tcBorders>
                  <w:vAlign w:val="center"/>
                </w:tcPr>
                <w:p w14:paraId="34C2BB5D">
                  <w:pPr>
                    <w:pStyle w:val="104"/>
                    <w:bidi w:val="0"/>
                    <w:rPr>
                      <w:rFonts w:hint="default" w:ascii="Times New Roman" w:hAnsi="Times New Roman" w:cs="Times New Roman"/>
                      <w:color w:val="auto"/>
                      <w:sz w:val="18"/>
                      <w:szCs w:val="18"/>
                      <w:highlight w:val="none"/>
                    </w:rPr>
                  </w:pPr>
                </w:p>
              </w:tc>
            </w:tr>
          </w:tbl>
          <w:p w14:paraId="23F7C59A">
            <w:pPr>
              <w:rPr>
                <w:rFonts w:hint="default" w:ascii="Times New Roman" w:hAnsi="Times New Roman" w:cs="Times New Roman"/>
                <w:color w:val="auto"/>
                <w:highlight w:val="none"/>
              </w:rPr>
            </w:pPr>
          </w:p>
          <w:p w14:paraId="2645C2D8">
            <w:pPr>
              <w:rPr>
                <w:rFonts w:hint="default" w:ascii="Times New Roman" w:hAnsi="Times New Roman" w:cs="Times New Roman"/>
                <w:color w:val="auto"/>
                <w:highlight w:val="none"/>
              </w:rPr>
            </w:pPr>
          </w:p>
          <w:p w14:paraId="4C51435F">
            <w:pPr>
              <w:rPr>
                <w:rFonts w:hint="default" w:ascii="Times New Roman" w:hAnsi="Times New Roman" w:cs="Times New Roman"/>
                <w:color w:val="auto"/>
                <w:highlight w:val="none"/>
              </w:rPr>
            </w:pPr>
          </w:p>
          <w:p w14:paraId="0463DF1B">
            <w:pPr>
              <w:pStyle w:val="10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r>
              <w:rPr>
                <w:rFonts w:hint="default" w:ascii="Times New Roman" w:hAnsi="Times New Roman" w:eastAsia="宋体" w:cs="Times New Roman"/>
                <w:b/>
                <w:bCs/>
                <w:color w:val="auto"/>
                <w:spacing w:val="6"/>
                <w:sz w:val="21"/>
                <w:szCs w:val="21"/>
                <w:highlight w:val="none"/>
              </w:rPr>
              <w:t>表4-</w:t>
            </w:r>
            <w:r>
              <w:rPr>
                <w:rFonts w:hint="eastAsia" w:ascii="Times New Roman" w:hAnsi="Times New Roman" w:cs="Times New Roman"/>
                <w:b/>
                <w:bCs/>
                <w:color w:val="auto"/>
                <w:spacing w:val="6"/>
                <w:sz w:val="21"/>
                <w:szCs w:val="21"/>
                <w:highlight w:val="none"/>
                <w:lang w:val="en-US" w:eastAsia="zh-CN"/>
              </w:rPr>
              <w:t>11</w:t>
            </w:r>
            <w:r>
              <w:rPr>
                <w:rFonts w:hint="default" w:ascii="Times New Roman" w:hAnsi="Times New Roman" w:eastAsia="宋体" w:cs="Times New Roman"/>
                <w:b/>
                <w:bCs/>
                <w:color w:val="auto"/>
                <w:spacing w:val="6"/>
                <w:sz w:val="21"/>
                <w:szCs w:val="21"/>
                <w:highlight w:val="none"/>
              </w:rPr>
              <w:t xml:space="preserve"> 本项目污水中污染物产生及排放情况</w:t>
            </w:r>
          </w:p>
          <w:tbl>
            <w:tblPr>
              <w:tblStyle w:val="32"/>
              <w:tblW w:w="800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7"/>
              <w:gridCol w:w="825"/>
              <w:gridCol w:w="629"/>
              <w:gridCol w:w="667"/>
              <w:gridCol w:w="667"/>
              <w:gridCol w:w="667"/>
              <w:gridCol w:w="667"/>
              <w:gridCol w:w="667"/>
              <w:gridCol w:w="667"/>
              <w:gridCol w:w="667"/>
              <w:gridCol w:w="667"/>
              <w:gridCol w:w="672"/>
            </w:tblGrid>
            <w:tr w14:paraId="5E4EA0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43" w:hRule="atLeast"/>
                <w:jc w:val="center"/>
              </w:trPr>
              <w:tc>
                <w:tcPr>
                  <w:tcW w:w="547" w:type="dxa"/>
                  <w:vMerge w:val="restart"/>
                  <w:vAlign w:val="center"/>
                </w:tcPr>
                <w:p w14:paraId="6A8E0EB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排放源</w:t>
                  </w:r>
                </w:p>
              </w:tc>
              <w:tc>
                <w:tcPr>
                  <w:tcW w:w="825" w:type="dxa"/>
                  <w:vMerge w:val="restart"/>
                  <w:vAlign w:val="center"/>
                </w:tcPr>
                <w:p w14:paraId="63D3CE23">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2630" w:type="dxa"/>
                  <w:gridSpan w:val="4"/>
                  <w:vAlign w:val="center"/>
                </w:tcPr>
                <w:p w14:paraId="17D6B93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污染物产生</w:t>
                  </w:r>
                </w:p>
              </w:tc>
              <w:tc>
                <w:tcPr>
                  <w:tcW w:w="1334" w:type="dxa"/>
                  <w:gridSpan w:val="2"/>
                  <w:vAlign w:val="center"/>
                </w:tcPr>
                <w:p w14:paraId="567CA83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治理措施</w:t>
                  </w:r>
                </w:p>
              </w:tc>
              <w:tc>
                <w:tcPr>
                  <w:tcW w:w="2673" w:type="dxa"/>
                  <w:gridSpan w:val="4"/>
                  <w:vAlign w:val="center"/>
                </w:tcPr>
                <w:p w14:paraId="1F23680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污染物排放</w:t>
                  </w:r>
                </w:p>
              </w:tc>
            </w:tr>
            <w:tr w14:paraId="06786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47" w:type="dxa"/>
                  <w:vMerge w:val="continue"/>
                  <w:vAlign w:val="center"/>
                </w:tcPr>
                <w:p w14:paraId="21822E87">
                  <w:pPr>
                    <w:jc w:val="center"/>
                    <w:rPr>
                      <w:rFonts w:hint="default" w:ascii="Times New Roman" w:hAnsi="Times New Roman" w:cs="Times New Roman"/>
                      <w:color w:val="auto"/>
                      <w:sz w:val="18"/>
                      <w:szCs w:val="18"/>
                      <w:highlight w:val="none"/>
                    </w:rPr>
                  </w:pPr>
                </w:p>
              </w:tc>
              <w:tc>
                <w:tcPr>
                  <w:tcW w:w="825" w:type="dxa"/>
                  <w:vMerge w:val="continue"/>
                  <w:vAlign w:val="center"/>
                </w:tcPr>
                <w:p w14:paraId="776493D0">
                  <w:pPr>
                    <w:jc w:val="center"/>
                    <w:rPr>
                      <w:rFonts w:hint="default" w:ascii="Times New Roman" w:hAnsi="Times New Roman" w:cs="Times New Roman"/>
                      <w:color w:val="auto"/>
                      <w:sz w:val="18"/>
                      <w:szCs w:val="18"/>
                      <w:highlight w:val="none"/>
                    </w:rPr>
                  </w:pPr>
                </w:p>
              </w:tc>
              <w:tc>
                <w:tcPr>
                  <w:tcW w:w="629" w:type="dxa"/>
                  <w:vAlign w:val="center"/>
                </w:tcPr>
                <w:p w14:paraId="0F0140B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核算方法</w:t>
                  </w:r>
                </w:p>
              </w:tc>
              <w:tc>
                <w:tcPr>
                  <w:tcW w:w="667" w:type="dxa"/>
                  <w:vAlign w:val="center"/>
                </w:tcPr>
                <w:p w14:paraId="408F1E3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废水产生量m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/a</w:t>
                  </w:r>
                </w:p>
              </w:tc>
              <w:tc>
                <w:tcPr>
                  <w:tcW w:w="667" w:type="dxa"/>
                  <w:vAlign w:val="center"/>
                </w:tcPr>
                <w:p w14:paraId="54702CC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产生浓度mg/L</w:t>
                  </w:r>
                </w:p>
              </w:tc>
              <w:tc>
                <w:tcPr>
                  <w:tcW w:w="667" w:type="dxa"/>
                  <w:vAlign w:val="center"/>
                </w:tcPr>
                <w:p w14:paraId="63AC6BC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产生量t/a</w:t>
                  </w:r>
                </w:p>
              </w:tc>
              <w:tc>
                <w:tcPr>
                  <w:tcW w:w="667" w:type="dxa"/>
                  <w:vAlign w:val="center"/>
                </w:tcPr>
                <w:p w14:paraId="1116EE89">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工艺</w:t>
                  </w:r>
                </w:p>
              </w:tc>
              <w:tc>
                <w:tcPr>
                  <w:tcW w:w="667" w:type="dxa"/>
                  <w:vAlign w:val="center"/>
                </w:tcPr>
                <w:p w14:paraId="2AAD44F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效率%</w:t>
                  </w:r>
                </w:p>
              </w:tc>
              <w:tc>
                <w:tcPr>
                  <w:tcW w:w="667" w:type="dxa"/>
                  <w:vAlign w:val="center"/>
                </w:tcPr>
                <w:p w14:paraId="0819488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核算方法</w:t>
                  </w:r>
                </w:p>
              </w:tc>
              <w:tc>
                <w:tcPr>
                  <w:tcW w:w="667" w:type="dxa"/>
                  <w:vAlign w:val="center"/>
                </w:tcPr>
                <w:p w14:paraId="5C84027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废水排放量m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/a</w:t>
                  </w:r>
                </w:p>
              </w:tc>
              <w:tc>
                <w:tcPr>
                  <w:tcW w:w="667" w:type="dxa"/>
                  <w:vAlign w:val="center"/>
                </w:tcPr>
                <w:p w14:paraId="535CA3D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排放浓度mg/L</w:t>
                  </w:r>
                </w:p>
              </w:tc>
              <w:tc>
                <w:tcPr>
                  <w:tcW w:w="672" w:type="dxa"/>
                  <w:vAlign w:val="center"/>
                </w:tcPr>
                <w:p w14:paraId="26F1234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排放量t/a</w:t>
                  </w:r>
                </w:p>
              </w:tc>
            </w:tr>
            <w:tr w14:paraId="33C6A8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47" w:type="dxa"/>
                  <w:vMerge w:val="restart"/>
                  <w:vAlign w:val="center"/>
                </w:tcPr>
                <w:p w14:paraId="18AE7A04">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生活污水</w:t>
                  </w:r>
                </w:p>
              </w:tc>
              <w:tc>
                <w:tcPr>
                  <w:tcW w:w="825" w:type="dxa"/>
                  <w:vAlign w:val="center"/>
                </w:tcPr>
                <w:p w14:paraId="0A1A0DB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COD</w:t>
                  </w:r>
                </w:p>
              </w:tc>
              <w:tc>
                <w:tcPr>
                  <w:tcW w:w="629" w:type="dxa"/>
                  <w:vMerge w:val="restart"/>
                  <w:vAlign w:val="center"/>
                </w:tcPr>
                <w:p w14:paraId="42AEB983">
                  <w:pPr>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类比法</w:t>
                  </w:r>
                </w:p>
              </w:tc>
              <w:tc>
                <w:tcPr>
                  <w:tcW w:w="667" w:type="dxa"/>
                  <w:vMerge w:val="restart"/>
                  <w:vAlign w:val="center"/>
                </w:tcPr>
                <w:p w14:paraId="2FFB4467">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1695</w:t>
                  </w:r>
                </w:p>
              </w:tc>
              <w:tc>
                <w:tcPr>
                  <w:tcW w:w="667" w:type="dxa"/>
                  <w:vAlign w:val="center"/>
                </w:tcPr>
                <w:p w14:paraId="21993F5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300</w:t>
                  </w:r>
                </w:p>
              </w:tc>
              <w:tc>
                <w:tcPr>
                  <w:tcW w:w="667" w:type="dxa"/>
                  <w:vAlign w:val="center"/>
                </w:tcPr>
                <w:p w14:paraId="779A95B5">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509</w:t>
                  </w:r>
                </w:p>
              </w:tc>
              <w:tc>
                <w:tcPr>
                  <w:tcW w:w="4007" w:type="dxa"/>
                  <w:gridSpan w:val="6"/>
                  <w:vMerge w:val="restart"/>
                  <w:vAlign w:val="center"/>
                </w:tcPr>
                <w:p w14:paraId="1AC01816">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73865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47" w:type="dxa"/>
                  <w:vMerge w:val="continue"/>
                  <w:vAlign w:val="center"/>
                </w:tcPr>
                <w:p w14:paraId="598B72DA">
                  <w:pPr>
                    <w:jc w:val="center"/>
                    <w:rPr>
                      <w:rFonts w:hint="default" w:ascii="Times New Roman" w:hAnsi="Times New Roman" w:cs="Times New Roman"/>
                      <w:color w:val="auto"/>
                      <w:sz w:val="18"/>
                      <w:szCs w:val="18"/>
                      <w:highlight w:val="none"/>
                    </w:rPr>
                  </w:pPr>
                </w:p>
              </w:tc>
              <w:tc>
                <w:tcPr>
                  <w:tcW w:w="825" w:type="dxa"/>
                  <w:vAlign w:val="center"/>
                </w:tcPr>
                <w:p w14:paraId="7B603BC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BOD</w:t>
                  </w:r>
                  <w:r>
                    <w:rPr>
                      <w:rFonts w:hint="default" w:ascii="Times New Roman" w:hAnsi="Times New Roman" w:cs="Times New Roman"/>
                      <w:color w:val="auto"/>
                      <w:sz w:val="18"/>
                      <w:szCs w:val="18"/>
                      <w:highlight w:val="none"/>
                      <w:vertAlign w:val="subscript"/>
                    </w:rPr>
                    <w:t>5</w:t>
                  </w:r>
                </w:p>
              </w:tc>
              <w:tc>
                <w:tcPr>
                  <w:tcW w:w="629" w:type="dxa"/>
                  <w:vMerge w:val="continue"/>
                  <w:vAlign w:val="center"/>
                </w:tcPr>
                <w:p w14:paraId="4DB1133A">
                  <w:pPr>
                    <w:jc w:val="center"/>
                    <w:rPr>
                      <w:rFonts w:hint="default" w:ascii="Times New Roman" w:hAnsi="Times New Roman" w:cs="Times New Roman"/>
                      <w:color w:val="auto"/>
                      <w:sz w:val="18"/>
                      <w:szCs w:val="18"/>
                      <w:highlight w:val="none"/>
                    </w:rPr>
                  </w:pPr>
                </w:p>
              </w:tc>
              <w:tc>
                <w:tcPr>
                  <w:tcW w:w="667" w:type="dxa"/>
                  <w:vMerge w:val="continue"/>
                  <w:vAlign w:val="center"/>
                </w:tcPr>
                <w:p w14:paraId="0E1B7A48">
                  <w:pPr>
                    <w:jc w:val="center"/>
                    <w:rPr>
                      <w:rFonts w:hint="default" w:ascii="Times New Roman" w:hAnsi="Times New Roman" w:cs="Times New Roman"/>
                      <w:color w:val="auto"/>
                      <w:sz w:val="18"/>
                      <w:szCs w:val="18"/>
                      <w:highlight w:val="none"/>
                    </w:rPr>
                  </w:pPr>
                </w:p>
              </w:tc>
              <w:tc>
                <w:tcPr>
                  <w:tcW w:w="667" w:type="dxa"/>
                  <w:vAlign w:val="center"/>
                </w:tcPr>
                <w:p w14:paraId="488F346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200</w:t>
                  </w:r>
                </w:p>
              </w:tc>
              <w:tc>
                <w:tcPr>
                  <w:tcW w:w="667" w:type="dxa"/>
                  <w:vAlign w:val="center"/>
                </w:tcPr>
                <w:p w14:paraId="1C86790C">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339</w:t>
                  </w:r>
                </w:p>
              </w:tc>
              <w:tc>
                <w:tcPr>
                  <w:tcW w:w="4007" w:type="dxa"/>
                  <w:gridSpan w:val="6"/>
                  <w:vMerge w:val="continue"/>
                  <w:vAlign w:val="center"/>
                </w:tcPr>
                <w:p w14:paraId="069E9B66">
                  <w:pPr>
                    <w:jc w:val="center"/>
                    <w:rPr>
                      <w:rFonts w:hint="default" w:ascii="Times New Roman" w:hAnsi="Times New Roman" w:eastAsia="宋体" w:cs="Times New Roman"/>
                      <w:color w:val="auto"/>
                      <w:sz w:val="18"/>
                      <w:szCs w:val="18"/>
                      <w:highlight w:val="none"/>
                      <w:lang w:val="en-US" w:eastAsia="zh-CN"/>
                    </w:rPr>
                  </w:pPr>
                </w:p>
              </w:tc>
            </w:tr>
            <w:tr w14:paraId="6DA3D2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47" w:type="dxa"/>
                  <w:vMerge w:val="continue"/>
                  <w:vAlign w:val="center"/>
                </w:tcPr>
                <w:p w14:paraId="4E66BCC4">
                  <w:pPr>
                    <w:jc w:val="center"/>
                    <w:rPr>
                      <w:rFonts w:hint="default" w:ascii="Times New Roman" w:hAnsi="Times New Roman" w:cs="Times New Roman"/>
                      <w:color w:val="auto"/>
                      <w:sz w:val="18"/>
                      <w:szCs w:val="18"/>
                      <w:highlight w:val="none"/>
                    </w:rPr>
                  </w:pPr>
                </w:p>
              </w:tc>
              <w:tc>
                <w:tcPr>
                  <w:tcW w:w="825" w:type="dxa"/>
                  <w:vAlign w:val="center"/>
                </w:tcPr>
                <w:p w14:paraId="21FCCA0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SS</w:t>
                  </w:r>
                </w:p>
              </w:tc>
              <w:tc>
                <w:tcPr>
                  <w:tcW w:w="629" w:type="dxa"/>
                  <w:vMerge w:val="continue"/>
                  <w:vAlign w:val="center"/>
                </w:tcPr>
                <w:p w14:paraId="2134447C">
                  <w:pPr>
                    <w:jc w:val="center"/>
                    <w:rPr>
                      <w:rFonts w:hint="default" w:ascii="Times New Roman" w:hAnsi="Times New Roman" w:cs="Times New Roman"/>
                      <w:color w:val="auto"/>
                      <w:sz w:val="18"/>
                      <w:szCs w:val="18"/>
                      <w:highlight w:val="none"/>
                    </w:rPr>
                  </w:pPr>
                </w:p>
              </w:tc>
              <w:tc>
                <w:tcPr>
                  <w:tcW w:w="667" w:type="dxa"/>
                  <w:vMerge w:val="continue"/>
                  <w:vAlign w:val="center"/>
                </w:tcPr>
                <w:p w14:paraId="1F6989E5">
                  <w:pPr>
                    <w:jc w:val="center"/>
                    <w:rPr>
                      <w:rFonts w:hint="default" w:ascii="Times New Roman" w:hAnsi="Times New Roman" w:cs="Times New Roman"/>
                      <w:color w:val="auto"/>
                      <w:sz w:val="18"/>
                      <w:szCs w:val="18"/>
                      <w:highlight w:val="none"/>
                    </w:rPr>
                  </w:pPr>
                </w:p>
              </w:tc>
              <w:tc>
                <w:tcPr>
                  <w:tcW w:w="667" w:type="dxa"/>
                  <w:vAlign w:val="center"/>
                </w:tcPr>
                <w:p w14:paraId="18DBE51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200</w:t>
                  </w:r>
                </w:p>
              </w:tc>
              <w:tc>
                <w:tcPr>
                  <w:tcW w:w="667" w:type="dxa"/>
                  <w:vAlign w:val="center"/>
                </w:tcPr>
                <w:p w14:paraId="7299A1BF">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339</w:t>
                  </w:r>
                </w:p>
              </w:tc>
              <w:tc>
                <w:tcPr>
                  <w:tcW w:w="4007" w:type="dxa"/>
                  <w:gridSpan w:val="6"/>
                  <w:vMerge w:val="continue"/>
                  <w:vAlign w:val="center"/>
                </w:tcPr>
                <w:p w14:paraId="61DBCC2F">
                  <w:pPr>
                    <w:jc w:val="center"/>
                    <w:rPr>
                      <w:rFonts w:hint="default" w:ascii="Times New Roman" w:hAnsi="Times New Roman" w:eastAsia="宋体" w:cs="Times New Roman"/>
                      <w:color w:val="auto"/>
                      <w:sz w:val="18"/>
                      <w:szCs w:val="18"/>
                      <w:highlight w:val="none"/>
                      <w:lang w:val="en-US" w:eastAsia="zh-CN"/>
                    </w:rPr>
                  </w:pPr>
                </w:p>
              </w:tc>
            </w:tr>
            <w:tr w14:paraId="6AE04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47" w:type="dxa"/>
                  <w:vMerge w:val="continue"/>
                  <w:vAlign w:val="center"/>
                </w:tcPr>
                <w:p w14:paraId="21A3E7AD">
                  <w:pPr>
                    <w:jc w:val="center"/>
                    <w:rPr>
                      <w:rFonts w:hint="default" w:ascii="Times New Roman" w:hAnsi="Times New Roman" w:cs="Times New Roman"/>
                      <w:color w:val="auto"/>
                      <w:sz w:val="18"/>
                      <w:szCs w:val="18"/>
                      <w:highlight w:val="none"/>
                    </w:rPr>
                  </w:pPr>
                </w:p>
              </w:tc>
              <w:tc>
                <w:tcPr>
                  <w:tcW w:w="825" w:type="dxa"/>
                  <w:vAlign w:val="center"/>
                </w:tcPr>
                <w:p w14:paraId="79D4603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氨氮</w:t>
                  </w:r>
                </w:p>
              </w:tc>
              <w:tc>
                <w:tcPr>
                  <w:tcW w:w="629" w:type="dxa"/>
                  <w:vMerge w:val="continue"/>
                  <w:vAlign w:val="center"/>
                </w:tcPr>
                <w:p w14:paraId="0271D99A">
                  <w:pPr>
                    <w:jc w:val="center"/>
                    <w:rPr>
                      <w:rFonts w:hint="default" w:ascii="Times New Roman" w:hAnsi="Times New Roman" w:cs="Times New Roman"/>
                      <w:color w:val="auto"/>
                      <w:sz w:val="18"/>
                      <w:szCs w:val="18"/>
                      <w:highlight w:val="none"/>
                    </w:rPr>
                  </w:pPr>
                </w:p>
              </w:tc>
              <w:tc>
                <w:tcPr>
                  <w:tcW w:w="667" w:type="dxa"/>
                  <w:vMerge w:val="continue"/>
                  <w:vAlign w:val="center"/>
                </w:tcPr>
                <w:p w14:paraId="04881E7E">
                  <w:pPr>
                    <w:jc w:val="center"/>
                    <w:rPr>
                      <w:rFonts w:hint="default" w:ascii="Times New Roman" w:hAnsi="Times New Roman" w:cs="Times New Roman"/>
                      <w:color w:val="auto"/>
                      <w:sz w:val="18"/>
                      <w:szCs w:val="18"/>
                      <w:highlight w:val="none"/>
                    </w:rPr>
                  </w:pPr>
                </w:p>
              </w:tc>
              <w:tc>
                <w:tcPr>
                  <w:tcW w:w="667" w:type="dxa"/>
                  <w:vAlign w:val="center"/>
                </w:tcPr>
                <w:p w14:paraId="3D7645AE">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25</w:t>
                  </w:r>
                </w:p>
              </w:tc>
              <w:tc>
                <w:tcPr>
                  <w:tcW w:w="667" w:type="dxa"/>
                  <w:vAlign w:val="center"/>
                </w:tcPr>
                <w:p w14:paraId="28569510">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w:t>
                  </w:r>
                  <w:r>
                    <w:rPr>
                      <w:rFonts w:hint="eastAsia" w:cs="Times New Roman"/>
                      <w:color w:val="auto"/>
                      <w:sz w:val="18"/>
                      <w:szCs w:val="18"/>
                      <w:highlight w:val="none"/>
                      <w:lang w:val="en-US" w:eastAsia="zh-CN"/>
                    </w:rPr>
                    <w:t>42</w:t>
                  </w:r>
                </w:p>
              </w:tc>
              <w:tc>
                <w:tcPr>
                  <w:tcW w:w="4007" w:type="dxa"/>
                  <w:gridSpan w:val="6"/>
                  <w:vMerge w:val="continue"/>
                  <w:vAlign w:val="center"/>
                </w:tcPr>
                <w:p w14:paraId="6B4F8EF2">
                  <w:pPr>
                    <w:jc w:val="center"/>
                    <w:rPr>
                      <w:rFonts w:hint="default" w:ascii="Times New Roman" w:hAnsi="Times New Roman" w:eastAsia="宋体" w:cs="Times New Roman"/>
                      <w:color w:val="auto"/>
                      <w:sz w:val="18"/>
                      <w:szCs w:val="18"/>
                      <w:highlight w:val="none"/>
                      <w:lang w:val="en-US" w:eastAsia="zh-CN"/>
                    </w:rPr>
                  </w:pPr>
                </w:p>
              </w:tc>
            </w:tr>
          </w:tbl>
          <w:p w14:paraId="25EF1058">
            <w:pPr>
              <w:keepNext w:val="0"/>
              <w:keepLines w:val="0"/>
              <w:pageBreakBefore w:val="0"/>
              <w:widowControl w:val="0"/>
              <w:kinsoku/>
              <w:wordWrap/>
              <w:overflowPunct/>
              <w:topLinePunct w:val="0"/>
              <w:autoSpaceDE/>
              <w:autoSpaceDN/>
              <w:bidi w:val="0"/>
              <w:adjustRightInd/>
              <w:snapToGrid/>
              <w:spacing w:line="360" w:lineRule="auto"/>
              <w:ind w:left="0" w:leftChars="0"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w:t>
            </w:r>
            <w:r>
              <w:rPr>
                <w:rFonts w:hint="eastAsia" w:ascii="Times New Roman" w:hAnsi="Times New Roman" w:cs="Times New Roman"/>
                <w:b/>
                <w:bCs/>
                <w:color w:val="auto"/>
                <w:sz w:val="21"/>
                <w:szCs w:val="21"/>
                <w:highlight w:val="none"/>
                <w:lang w:val="en-US" w:eastAsia="zh-CN"/>
              </w:rPr>
              <w:t>1</w:t>
            </w:r>
            <w:r>
              <w:rPr>
                <w:rFonts w:hint="default" w:ascii="Times New Roman" w:hAnsi="Times New Roman" w:cs="Times New Roman"/>
                <w:b/>
                <w:bCs/>
                <w:color w:val="auto"/>
                <w:sz w:val="21"/>
                <w:szCs w:val="21"/>
                <w:highlight w:val="none"/>
                <w:lang w:val="en-US" w:eastAsia="zh-CN"/>
              </w:rPr>
              <w:t>）排放口基本情况</w:t>
            </w:r>
          </w:p>
          <w:p w14:paraId="4E7D1267">
            <w:pPr>
              <w:pStyle w:val="100"/>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r>
              <w:rPr>
                <w:rFonts w:hint="default" w:ascii="Times New Roman" w:hAnsi="Times New Roman" w:eastAsia="宋体" w:cs="Times New Roman"/>
                <w:b/>
                <w:bCs/>
                <w:color w:val="auto"/>
                <w:spacing w:val="6"/>
                <w:sz w:val="21"/>
                <w:szCs w:val="21"/>
                <w:highlight w:val="none"/>
              </w:rPr>
              <w:t>表4-</w:t>
            </w:r>
            <w:r>
              <w:rPr>
                <w:rFonts w:hint="default" w:ascii="Times New Roman" w:hAnsi="Times New Roman" w:eastAsia="宋体" w:cs="Times New Roman"/>
                <w:b/>
                <w:bCs/>
                <w:color w:val="auto"/>
                <w:spacing w:val="6"/>
                <w:sz w:val="21"/>
                <w:szCs w:val="21"/>
                <w:highlight w:val="none"/>
                <w:lang w:val="en-US" w:eastAsia="zh-CN"/>
              </w:rPr>
              <w:t>1</w:t>
            </w:r>
            <w:r>
              <w:rPr>
                <w:rFonts w:hint="eastAsia" w:ascii="Times New Roman" w:hAnsi="Times New Roman" w:cs="Times New Roman"/>
                <w:b/>
                <w:bCs/>
                <w:color w:val="auto"/>
                <w:spacing w:val="6"/>
                <w:sz w:val="21"/>
                <w:szCs w:val="21"/>
                <w:highlight w:val="none"/>
                <w:lang w:val="en-US" w:eastAsia="zh-CN"/>
              </w:rPr>
              <w:t>2</w:t>
            </w:r>
            <w:r>
              <w:rPr>
                <w:rFonts w:hint="default" w:ascii="Times New Roman" w:hAnsi="Times New Roman" w:eastAsia="宋体" w:cs="Times New Roman"/>
                <w:b/>
                <w:bCs/>
                <w:color w:val="auto"/>
                <w:spacing w:val="6"/>
                <w:sz w:val="21"/>
                <w:szCs w:val="21"/>
                <w:highlight w:val="none"/>
              </w:rPr>
              <w:t xml:space="preserve"> 排放口基本情况表</w:t>
            </w:r>
          </w:p>
          <w:tbl>
            <w:tblPr>
              <w:tblStyle w:val="3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00"/>
              <w:gridCol w:w="536"/>
              <w:gridCol w:w="938"/>
              <w:gridCol w:w="1069"/>
              <w:gridCol w:w="466"/>
              <w:gridCol w:w="978"/>
              <w:gridCol w:w="662"/>
              <w:gridCol w:w="2596"/>
            </w:tblGrid>
            <w:tr w14:paraId="0DF8D7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blHeader/>
                <w:jc w:val="center"/>
              </w:trPr>
              <w:tc>
                <w:tcPr>
                  <w:tcW w:w="440" w:type="pct"/>
                  <w:vMerge w:val="restart"/>
                  <w:tcBorders>
                    <w:tl2br w:val="nil"/>
                    <w:tr2bl w:val="nil"/>
                  </w:tcBorders>
                  <w:vAlign w:val="center"/>
                </w:tcPr>
                <w:p w14:paraId="1717D17C">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排放口编号</w:t>
                  </w:r>
                </w:p>
              </w:tc>
              <w:tc>
                <w:tcPr>
                  <w:tcW w:w="337" w:type="pct"/>
                  <w:vMerge w:val="restart"/>
                  <w:tcBorders>
                    <w:tl2br w:val="nil"/>
                    <w:tr2bl w:val="nil"/>
                  </w:tcBorders>
                  <w:vAlign w:val="center"/>
                </w:tcPr>
                <w:p w14:paraId="77625CB6">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排放口名称</w:t>
                  </w:r>
                </w:p>
              </w:tc>
              <w:tc>
                <w:tcPr>
                  <w:tcW w:w="1262" w:type="pct"/>
                  <w:gridSpan w:val="2"/>
                  <w:tcBorders>
                    <w:tl2br w:val="nil"/>
                    <w:tr2bl w:val="nil"/>
                  </w:tcBorders>
                  <w:vAlign w:val="center"/>
                </w:tcPr>
                <w:p w14:paraId="47EDA52D">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排放口地理坐标</w:t>
                  </w:r>
                </w:p>
              </w:tc>
              <w:tc>
                <w:tcPr>
                  <w:tcW w:w="293" w:type="pct"/>
                  <w:vMerge w:val="restart"/>
                  <w:tcBorders>
                    <w:tl2br w:val="nil"/>
                    <w:tr2bl w:val="nil"/>
                  </w:tcBorders>
                  <w:vAlign w:val="center"/>
                </w:tcPr>
                <w:p w14:paraId="660B7D26">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排放方式</w:t>
                  </w:r>
                </w:p>
              </w:tc>
              <w:tc>
                <w:tcPr>
                  <w:tcW w:w="615" w:type="pct"/>
                  <w:vMerge w:val="restart"/>
                  <w:tcBorders>
                    <w:tl2br w:val="nil"/>
                    <w:tr2bl w:val="nil"/>
                  </w:tcBorders>
                  <w:vAlign w:val="center"/>
                </w:tcPr>
                <w:p w14:paraId="3EF914A3">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排放去向</w:t>
                  </w:r>
                </w:p>
              </w:tc>
              <w:tc>
                <w:tcPr>
                  <w:tcW w:w="416" w:type="pct"/>
                  <w:vMerge w:val="restart"/>
                  <w:tcBorders>
                    <w:tl2br w:val="nil"/>
                    <w:tr2bl w:val="nil"/>
                  </w:tcBorders>
                  <w:vAlign w:val="center"/>
                </w:tcPr>
                <w:p w14:paraId="034FF440">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排放规律</w:t>
                  </w:r>
                </w:p>
              </w:tc>
              <w:tc>
                <w:tcPr>
                  <w:tcW w:w="1632" w:type="pct"/>
                  <w:vMerge w:val="restart"/>
                  <w:tcBorders>
                    <w:tl2br w:val="nil"/>
                    <w:tr2bl w:val="nil"/>
                  </w:tcBorders>
                  <w:vAlign w:val="center"/>
                </w:tcPr>
                <w:p w14:paraId="67F77545">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执行标准</w:t>
                  </w:r>
                </w:p>
              </w:tc>
            </w:tr>
            <w:tr w14:paraId="587E63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blHeader/>
                <w:jc w:val="center"/>
              </w:trPr>
              <w:tc>
                <w:tcPr>
                  <w:tcW w:w="440" w:type="pct"/>
                  <w:vMerge w:val="continue"/>
                  <w:tcBorders>
                    <w:tl2br w:val="nil"/>
                    <w:tr2bl w:val="nil"/>
                  </w:tcBorders>
                  <w:vAlign w:val="center"/>
                </w:tcPr>
                <w:p w14:paraId="759FF6A7">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p>
              </w:tc>
              <w:tc>
                <w:tcPr>
                  <w:tcW w:w="337" w:type="pct"/>
                  <w:vMerge w:val="continue"/>
                  <w:tcBorders>
                    <w:tl2br w:val="nil"/>
                    <w:tr2bl w:val="nil"/>
                  </w:tcBorders>
                  <w:vAlign w:val="center"/>
                </w:tcPr>
                <w:p w14:paraId="463D01C5">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p>
              </w:tc>
              <w:tc>
                <w:tcPr>
                  <w:tcW w:w="590" w:type="pct"/>
                  <w:tcBorders>
                    <w:tl2br w:val="nil"/>
                    <w:tr2bl w:val="nil"/>
                  </w:tcBorders>
                  <w:vAlign w:val="center"/>
                </w:tcPr>
                <w:p w14:paraId="30F46285">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p>
              </w:tc>
              <w:tc>
                <w:tcPr>
                  <w:tcW w:w="672" w:type="pct"/>
                  <w:tcBorders>
                    <w:tl2br w:val="nil"/>
                    <w:tr2bl w:val="nil"/>
                  </w:tcBorders>
                  <w:vAlign w:val="center"/>
                </w:tcPr>
                <w:p w14:paraId="0F671E17">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p>
              </w:tc>
              <w:tc>
                <w:tcPr>
                  <w:tcW w:w="293" w:type="pct"/>
                  <w:vMerge w:val="continue"/>
                  <w:tcBorders>
                    <w:tl2br w:val="nil"/>
                    <w:tr2bl w:val="nil"/>
                  </w:tcBorders>
                  <w:vAlign w:val="center"/>
                </w:tcPr>
                <w:p w14:paraId="2CC76F04">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p>
              </w:tc>
              <w:tc>
                <w:tcPr>
                  <w:tcW w:w="615" w:type="pct"/>
                  <w:vMerge w:val="continue"/>
                  <w:tcBorders>
                    <w:tl2br w:val="nil"/>
                    <w:tr2bl w:val="nil"/>
                  </w:tcBorders>
                  <w:vAlign w:val="center"/>
                </w:tcPr>
                <w:p w14:paraId="0DDEEFA2">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p>
              </w:tc>
              <w:tc>
                <w:tcPr>
                  <w:tcW w:w="416" w:type="pct"/>
                  <w:vMerge w:val="continue"/>
                  <w:tcBorders>
                    <w:tl2br w:val="nil"/>
                    <w:tr2bl w:val="nil"/>
                  </w:tcBorders>
                  <w:vAlign w:val="center"/>
                </w:tcPr>
                <w:p w14:paraId="59581FA8">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p>
              </w:tc>
              <w:tc>
                <w:tcPr>
                  <w:tcW w:w="1632" w:type="pct"/>
                  <w:vMerge w:val="continue"/>
                  <w:tcBorders>
                    <w:tl2br w:val="nil"/>
                    <w:tr2bl w:val="nil"/>
                  </w:tcBorders>
                  <w:vAlign w:val="center"/>
                </w:tcPr>
                <w:p w14:paraId="3ED08E10">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p>
              </w:tc>
            </w:tr>
            <w:tr w14:paraId="6831BE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3" w:hRule="atLeast"/>
                <w:tblHeader/>
                <w:jc w:val="center"/>
              </w:trPr>
              <w:tc>
                <w:tcPr>
                  <w:tcW w:w="440" w:type="pct"/>
                  <w:tcBorders>
                    <w:tl2br w:val="nil"/>
                    <w:tr2bl w:val="nil"/>
                  </w:tcBorders>
                  <w:vAlign w:val="center"/>
                </w:tcPr>
                <w:p w14:paraId="1C5C2307">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DW001</w:t>
                  </w:r>
                </w:p>
              </w:tc>
              <w:tc>
                <w:tcPr>
                  <w:tcW w:w="337" w:type="pct"/>
                  <w:tcBorders>
                    <w:tl2br w:val="nil"/>
                    <w:tr2bl w:val="nil"/>
                  </w:tcBorders>
                  <w:vAlign w:val="center"/>
                </w:tcPr>
                <w:p w14:paraId="630B7C49">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排水口</w:t>
                  </w:r>
                </w:p>
              </w:tc>
              <w:tc>
                <w:tcPr>
                  <w:tcW w:w="590" w:type="pct"/>
                  <w:tcBorders>
                    <w:tl2br w:val="nil"/>
                    <w:tr2bl w:val="nil"/>
                  </w:tcBorders>
                  <w:vAlign w:val="center"/>
                </w:tcPr>
                <w:p w14:paraId="64B57639">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128.11415</w:t>
                  </w:r>
                </w:p>
              </w:tc>
              <w:tc>
                <w:tcPr>
                  <w:tcW w:w="672" w:type="pct"/>
                  <w:tcBorders>
                    <w:tl2br w:val="nil"/>
                    <w:tr2bl w:val="nil"/>
                  </w:tcBorders>
                  <w:vAlign w:val="center"/>
                </w:tcPr>
                <w:p w14:paraId="64FADE5C">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46.977926</w:t>
                  </w:r>
                </w:p>
              </w:tc>
              <w:tc>
                <w:tcPr>
                  <w:tcW w:w="293" w:type="pct"/>
                  <w:tcBorders>
                    <w:tl2br w:val="nil"/>
                    <w:tr2bl w:val="nil"/>
                  </w:tcBorders>
                  <w:vAlign w:val="center"/>
                </w:tcPr>
                <w:p w14:paraId="28126879">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间接排放</w:t>
                  </w:r>
                </w:p>
              </w:tc>
              <w:tc>
                <w:tcPr>
                  <w:tcW w:w="615" w:type="pct"/>
                  <w:tcBorders>
                    <w:tl2br w:val="nil"/>
                    <w:tr2bl w:val="nil"/>
                  </w:tcBorders>
                  <w:vAlign w:val="center"/>
                </w:tcPr>
                <w:p w14:paraId="16B23BD9">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铁力市</w:t>
                  </w:r>
                  <w:r>
                    <w:rPr>
                      <w:rFonts w:hint="default" w:ascii="Times New Roman" w:hAnsi="Times New Roman" w:cs="Times New Roman"/>
                      <w:color w:val="auto"/>
                      <w:sz w:val="18"/>
                      <w:szCs w:val="18"/>
                      <w:highlight w:val="none"/>
                      <w:lang w:val="en-US" w:eastAsia="zh-CN"/>
                    </w:rPr>
                    <w:t>依吉</w:t>
                  </w:r>
                  <w:r>
                    <w:rPr>
                      <w:rFonts w:hint="default" w:ascii="Times New Roman" w:hAnsi="Times New Roman" w:cs="Times New Roman"/>
                      <w:color w:val="auto"/>
                      <w:sz w:val="18"/>
                      <w:szCs w:val="18"/>
                      <w:highlight w:val="none"/>
                      <w:lang w:eastAsia="zh-CN"/>
                    </w:rPr>
                    <w:t>污水处理厂</w:t>
                  </w:r>
                </w:p>
              </w:tc>
              <w:tc>
                <w:tcPr>
                  <w:tcW w:w="416" w:type="pct"/>
                  <w:tcBorders>
                    <w:tl2br w:val="nil"/>
                    <w:tr2bl w:val="nil"/>
                  </w:tcBorders>
                  <w:vAlign w:val="center"/>
                </w:tcPr>
                <w:p w14:paraId="4B71D3AB">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间断排放，不规律</w:t>
                  </w:r>
                </w:p>
              </w:tc>
              <w:tc>
                <w:tcPr>
                  <w:tcW w:w="1632" w:type="pct"/>
                  <w:tcBorders>
                    <w:tl2br w:val="nil"/>
                    <w:tr2bl w:val="nil"/>
                  </w:tcBorders>
                  <w:vAlign w:val="center"/>
                </w:tcPr>
                <w:p w14:paraId="3E010157">
                  <w:pPr>
                    <w:pStyle w:val="103"/>
                    <w:keepNext w:val="0"/>
                    <w:keepLines w:val="0"/>
                    <w:pageBreakBefore w:val="0"/>
                    <w:widowControl w:val="0"/>
                    <w:kinsoku w:val="0"/>
                    <w:wordWrap/>
                    <w:overflowPunct w:val="0"/>
                    <w:topLinePunct w:val="0"/>
                    <w:autoSpaceDE/>
                    <w:autoSpaceDN/>
                    <w:bidi w:val="0"/>
                    <w:adjustRightInd/>
                    <w:snapToGrid/>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《污水综合排放标准》（GB8978-1996）表4中三级标准</w:t>
                  </w:r>
                </w:p>
              </w:tc>
            </w:tr>
          </w:tbl>
          <w:p w14:paraId="0FD8F952">
            <w:pPr>
              <w:keepNext w:val="0"/>
              <w:keepLines w:val="0"/>
              <w:pageBreakBefore w:val="0"/>
              <w:widowControl w:val="0"/>
              <w:kinsoku/>
              <w:wordWrap/>
              <w:overflowPunct/>
              <w:topLinePunct w:val="0"/>
              <w:autoSpaceDE/>
              <w:autoSpaceDN/>
              <w:bidi w:val="0"/>
              <w:adjustRightInd/>
              <w:snapToGrid/>
              <w:spacing w:line="360" w:lineRule="auto"/>
              <w:ind w:left="0" w:leftChars="0"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w:t>
            </w:r>
            <w:r>
              <w:rPr>
                <w:rFonts w:hint="eastAsia" w:ascii="Times New Roman" w:hAnsi="Times New Roman"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lang w:val="en-US" w:eastAsia="zh-CN"/>
              </w:rPr>
              <w:t>）监测方案</w:t>
            </w:r>
          </w:p>
          <w:p w14:paraId="4C83C2E0">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根据《排污许可证申请与核发技术规范 陶瓷砖瓦工业》“ 单独排入城镇集中污水处理设施的生活污水仅说明去向。”单独的生活污水排放口</w:t>
            </w:r>
            <w:r>
              <w:rPr>
                <w:rFonts w:hint="eastAsia" w:cs="Times New Roman"/>
                <w:color w:val="auto"/>
                <w:sz w:val="21"/>
                <w:szCs w:val="21"/>
                <w:highlight w:val="none"/>
                <w:lang w:val="en-US" w:eastAsia="zh-CN"/>
              </w:rPr>
              <w:t>无</w:t>
            </w:r>
            <w:r>
              <w:rPr>
                <w:rFonts w:hint="default" w:ascii="Times New Roman" w:hAnsi="Times New Roman" w:cs="Times New Roman"/>
                <w:color w:val="auto"/>
                <w:sz w:val="21"/>
                <w:szCs w:val="21"/>
                <w:highlight w:val="none"/>
              </w:rPr>
              <w:t>需进行自行监测。</w:t>
            </w:r>
          </w:p>
          <w:p w14:paraId="34C68D37">
            <w:pPr>
              <w:keepNext w:val="0"/>
              <w:keepLines w:val="0"/>
              <w:pageBreakBefore w:val="0"/>
              <w:widowControl w:val="0"/>
              <w:kinsoku/>
              <w:wordWrap/>
              <w:overflowPunct/>
              <w:topLinePunct w:val="0"/>
              <w:autoSpaceDE/>
              <w:autoSpaceDN/>
              <w:bidi w:val="0"/>
              <w:adjustRightInd/>
              <w:snapToGrid/>
              <w:spacing w:line="360" w:lineRule="auto"/>
              <w:ind w:left="0" w:leftChars="0"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w:t>
            </w:r>
            <w:r>
              <w:rPr>
                <w:rFonts w:hint="eastAsia" w:ascii="Times New Roman" w:hAnsi="Times New Roman" w:cs="Times New Roman"/>
                <w:b/>
                <w:bCs/>
                <w:color w:val="auto"/>
                <w:sz w:val="21"/>
                <w:szCs w:val="21"/>
                <w:highlight w:val="none"/>
                <w:lang w:val="en-US" w:eastAsia="zh-CN"/>
              </w:rPr>
              <w:t>3</w:t>
            </w:r>
            <w:r>
              <w:rPr>
                <w:rFonts w:hint="default" w:ascii="Times New Roman" w:hAnsi="Times New Roman" w:cs="Times New Roman"/>
                <w:b/>
                <w:bCs/>
                <w:color w:val="auto"/>
                <w:sz w:val="21"/>
                <w:szCs w:val="21"/>
                <w:highlight w:val="none"/>
                <w:lang w:val="en-US" w:eastAsia="zh-CN"/>
              </w:rPr>
              <w:t>）城镇污水处理厂依托可行性分析</w:t>
            </w:r>
          </w:p>
          <w:p w14:paraId="6451F18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铁力市依吉</w:t>
            </w:r>
            <w:r>
              <w:rPr>
                <w:rFonts w:hint="default" w:ascii="Times New Roman" w:hAnsi="Times New Roman" w:cs="Times New Roman"/>
                <w:color w:val="auto"/>
                <w:sz w:val="21"/>
                <w:szCs w:val="21"/>
                <w:highlight w:val="none"/>
              </w:rPr>
              <w:t>污水处理厂</w:t>
            </w:r>
            <w:r>
              <w:rPr>
                <w:rFonts w:hint="default" w:ascii="Times New Roman" w:hAnsi="Times New Roman" w:cs="Times New Roman"/>
                <w:color w:val="auto"/>
                <w:sz w:val="21"/>
                <w:szCs w:val="21"/>
                <w:highlight w:val="none"/>
                <w:lang w:val="en-US" w:eastAsia="zh-CN"/>
              </w:rPr>
              <w:t>设计</w:t>
            </w:r>
            <w:r>
              <w:rPr>
                <w:rFonts w:hint="default" w:ascii="Times New Roman" w:hAnsi="Times New Roman" w:cs="Times New Roman"/>
                <w:color w:val="auto"/>
                <w:sz w:val="21"/>
                <w:szCs w:val="21"/>
                <w:highlight w:val="none"/>
              </w:rPr>
              <w:t>处理能力为</w:t>
            </w: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万t/d，</w:t>
            </w:r>
            <w:r>
              <w:rPr>
                <w:rFonts w:hint="default" w:ascii="Times New Roman" w:hAnsi="Times New Roman" w:cs="Times New Roman"/>
                <w:color w:val="auto"/>
                <w:sz w:val="21"/>
                <w:szCs w:val="21"/>
                <w:highlight w:val="none"/>
                <w:lang w:val="en-US" w:eastAsia="zh-CN"/>
              </w:rPr>
              <w:t>现实际运行</w:t>
            </w:r>
            <w:r>
              <w:rPr>
                <w:rFonts w:hint="default" w:ascii="Times New Roman" w:hAnsi="Times New Roman" w:cs="Times New Roman"/>
                <w:color w:val="auto"/>
                <w:sz w:val="21"/>
                <w:szCs w:val="21"/>
                <w:highlight w:val="none"/>
              </w:rPr>
              <w:t>处理量达到</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万t/d。污水处理厂采用</w:t>
            </w:r>
            <w:r>
              <w:rPr>
                <w:rFonts w:hint="default" w:ascii="Times New Roman" w:hAnsi="Times New Roman" w:cs="Times New Roman"/>
                <w:color w:val="auto"/>
                <w:sz w:val="21"/>
                <w:szCs w:val="21"/>
                <w:highlight w:val="none"/>
                <w:lang w:val="en-US" w:eastAsia="zh-CN"/>
              </w:rPr>
              <w:t>EBIS</w:t>
            </w:r>
            <w:r>
              <w:rPr>
                <w:rFonts w:hint="default" w:ascii="Times New Roman" w:hAnsi="Times New Roman" w:cs="Times New Roman"/>
                <w:color w:val="auto"/>
                <w:sz w:val="21"/>
                <w:szCs w:val="21"/>
                <w:highlight w:val="none"/>
              </w:rPr>
              <w:t>+深度处理工艺，出水水质达到《城镇污水处理厂污染物排放标准》（GB18918-2002）及其修改单中的一级A标准后排入</w:t>
            </w:r>
            <w:r>
              <w:rPr>
                <w:rFonts w:hint="default" w:ascii="Times New Roman" w:hAnsi="Times New Roman" w:cs="Times New Roman"/>
                <w:color w:val="auto"/>
                <w:sz w:val="21"/>
                <w:szCs w:val="21"/>
                <w:highlight w:val="none"/>
                <w:lang w:val="en-US" w:eastAsia="zh-CN"/>
              </w:rPr>
              <w:t>呼兰河</w:t>
            </w:r>
            <w:r>
              <w:rPr>
                <w:rFonts w:hint="default" w:ascii="Times New Roman" w:hAnsi="Times New Roman" w:cs="Times New Roman"/>
                <w:color w:val="auto"/>
                <w:sz w:val="21"/>
                <w:szCs w:val="21"/>
                <w:highlight w:val="none"/>
              </w:rPr>
              <w:t>。本项目污水日排放量为</w:t>
            </w:r>
            <w:r>
              <w:rPr>
                <w:rFonts w:hint="default" w:ascii="Times New Roman" w:hAnsi="Times New Roman" w:cs="Times New Roman"/>
                <w:color w:val="auto"/>
                <w:sz w:val="21"/>
                <w:szCs w:val="21"/>
                <w:highlight w:val="none"/>
                <w:lang w:val="en-US" w:eastAsia="zh-CN"/>
              </w:rPr>
              <w:t>7.232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，远小于污水处理厂日处理规模，因此本项目污水处理后经市政管网进入</w:t>
            </w:r>
            <w:r>
              <w:rPr>
                <w:rFonts w:hint="default" w:ascii="Times New Roman" w:hAnsi="Times New Roman" w:cs="Times New Roman"/>
                <w:color w:val="auto"/>
                <w:sz w:val="21"/>
                <w:szCs w:val="21"/>
                <w:highlight w:val="none"/>
                <w:lang w:val="en-US" w:eastAsia="zh-CN"/>
              </w:rPr>
              <w:t>铁力市依吉</w:t>
            </w:r>
            <w:r>
              <w:rPr>
                <w:rFonts w:hint="default" w:ascii="Times New Roman" w:hAnsi="Times New Roman" w:cs="Times New Roman"/>
                <w:color w:val="auto"/>
                <w:sz w:val="21"/>
                <w:szCs w:val="21"/>
                <w:highlight w:val="none"/>
              </w:rPr>
              <w:t>污水处理厂可行。</w:t>
            </w:r>
          </w:p>
          <w:p w14:paraId="41E74723">
            <w:pPr>
              <w:keepNext w:val="0"/>
              <w:keepLines w:val="0"/>
              <w:pageBreakBefore w:val="0"/>
              <w:widowControl w:val="0"/>
              <w:kinsoku/>
              <w:wordWrap/>
              <w:overflowPunct/>
              <w:topLinePunct w:val="0"/>
              <w:autoSpaceDE/>
              <w:autoSpaceDN/>
              <w:bidi w:val="0"/>
              <w:adjustRightInd/>
              <w:snapToGrid/>
              <w:spacing w:line="360" w:lineRule="auto"/>
              <w:ind w:left="0" w:leftChars="0"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w:t>
            </w:r>
            <w:r>
              <w:rPr>
                <w:rFonts w:hint="eastAsia" w:ascii="Times New Roman" w:hAnsi="Times New Roman"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lang w:val="en-US" w:eastAsia="zh-CN"/>
              </w:rPr>
              <w:t>）地表水环境影响分析</w:t>
            </w:r>
          </w:p>
          <w:p w14:paraId="3BF7C44E">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本项目生活污水排入厂区化粪池后经排入园区污水管网排入铁力市</w:t>
            </w:r>
            <w:r>
              <w:rPr>
                <w:rFonts w:hint="eastAsia" w:cs="Times New Roman"/>
                <w:b w:val="0"/>
                <w:bCs w:val="0"/>
                <w:color w:val="auto"/>
                <w:szCs w:val="21"/>
                <w:highlight w:val="none"/>
                <w:lang w:eastAsia="zh-CN"/>
              </w:rPr>
              <w:t>依吉</w:t>
            </w:r>
            <w:r>
              <w:rPr>
                <w:rFonts w:hint="default" w:ascii="Times New Roman" w:hAnsi="Times New Roman" w:cs="Times New Roman"/>
                <w:b w:val="0"/>
                <w:bCs w:val="0"/>
                <w:color w:val="auto"/>
                <w:szCs w:val="21"/>
                <w:highlight w:val="none"/>
              </w:rPr>
              <w:t>污水处理厂深度处理。生产过程中产生的废浆、废水均</w:t>
            </w:r>
            <w:r>
              <w:rPr>
                <w:rFonts w:hint="default" w:ascii="Times New Roman" w:hAnsi="Times New Roman" w:cs="Times New Roman"/>
                <w:b w:val="0"/>
                <w:bCs w:val="0"/>
                <w:color w:val="auto"/>
                <w:sz w:val="21"/>
                <w:szCs w:val="21"/>
                <w:highlight w:val="none"/>
              </w:rPr>
              <w:t>汇入</w:t>
            </w:r>
            <w:r>
              <w:rPr>
                <w:rFonts w:hint="eastAsia" w:cs="Times New Roman"/>
                <w:color w:val="auto"/>
                <w:sz w:val="21"/>
                <w:szCs w:val="21"/>
                <w:highlight w:val="none"/>
                <w:lang w:val="en-US" w:eastAsia="zh-CN"/>
              </w:rPr>
              <w:t>30</w:t>
            </w:r>
            <w:r>
              <w:rPr>
                <w:rFonts w:hint="eastAsia" w:eastAsia="宋体" w:cs="Times New Roman"/>
                <w:color w:val="auto"/>
                <w:sz w:val="21"/>
                <w:szCs w:val="21"/>
                <w:highlight w:val="none"/>
                <w:lang w:val="en-US" w:eastAsia="zh-CN"/>
              </w:rPr>
              <w:t>0m</w:t>
            </w:r>
            <w:r>
              <w:rPr>
                <w:rFonts w:hint="eastAsia" w:eastAsia="宋体" w:cs="Times New Roman"/>
                <w:color w:val="auto"/>
                <w:sz w:val="21"/>
                <w:szCs w:val="21"/>
                <w:highlight w:val="none"/>
                <w:vertAlign w:val="superscript"/>
                <w:lang w:val="en-US" w:eastAsia="zh-CN"/>
              </w:rPr>
              <w:t>3</w:t>
            </w:r>
            <w:r>
              <w:rPr>
                <w:rFonts w:hint="default" w:ascii="Times New Roman" w:hAnsi="Times New Roman" w:cs="Times New Roman"/>
                <w:b w:val="0"/>
                <w:bCs w:val="0"/>
                <w:color w:val="auto"/>
                <w:sz w:val="21"/>
                <w:szCs w:val="21"/>
                <w:highlight w:val="none"/>
              </w:rPr>
              <w:t>废浆池，</w:t>
            </w:r>
            <w:r>
              <w:rPr>
                <w:rFonts w:hint="default" w:ascii="Times New Roman" w:hAnsi="Times New Roman" w:cs="Times New Roman"/>
                <w:b w:val="0"/>
                <w:bCs w:val="0"/>
                <w:color w:val="auto"/>
                <w:szCs w:val="21"/>
                <w:highlight w:val="none"/>
              </w:rPr>
              <w:t>然后用泵打入切割机下废浆搅拌池</w:t>
            </w:r>
            <w:r>
              <w:rPr>
                <w:rFonts w:hint="eastAsia" w:eastAsia="宋体" w:cs="Times New Roman"/>
                <w:color w:val="auto"/>
                <w:sz w:val="21"/>
                <w:szCs w:val="21"/>
                <w:highlight w:val="none"/>
                <w:lang w:val="en-US" w:eastAsia="zh-CN"/>
              </w:rPr>
              <w:t>200m</w:t>
            </w:r>
            <w:r>
              <w:rPr>
                <w:rFonts w:hint="eastAsia" w:eastAsia="宋体" w:cs="Times New Roman"/>
                <w:color w:val="auto"/>
                <w:sz w:val="21"/>
                <w:szCs w:val="21"/>
                <w:highlight w:val="none"/>
                <w:vertAlign w:val="superscript"/>
                <w:lang w:val="en-US" w:eastAsia="zh-CN"/>
              </w:rPr>
              <w:t>3</w:t>
            </w:r>
            <w:r>
              <w:rPr>
                <w:rFonts w:hint="default" w:ascii="Times New Roman" w:hAnsi="Times New Roman" w:cs="Times New Roman"/>
                <w:b w:val="0"/>
                <w:bCs w:val="0"/>
                <w:color w:val="auto"/>
                <w:szCs w:val="21"/>
                <w:highlight w:val="none"/>
              </w:rPr>
              <w:t>作制浆用水。锅炉排污水及软化处理废水夏季用于锅炉房及厂区内洒水降尘，不外排。冬季进入沉淀池，再由水泵抽入废浆储备罐，最后回用于制浆用水，不外排。</w:t>
            </w:r>
          </w:p>
          <w:p w14:paraId="5A4F1C64">
            <w:pPr>
              <w:pStyle w:val="50"/>
              <w:keepNext w:val="0"/>
              <w:keepLines w:val="0"/>
              <w:pageBreakBefore w:val="0"/>
              <w:widowControl w:val="0"/>
              <w:kinsoku/>
              <w:wordWrap/>
              <w:overflowPunct/>
              <w:topLinePunct w:val="0"/>
              <w:autoSpaceDE/>
              <w:autoSpaceDN/>
              <w:bidi w:val="0"/>
              <w:spacing w:line="360" w:lineRule="auto"/>
              <w:ind w:firstLine="420"/>
              <w:textAlignment w:val="auto"/>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lang w:eastAsia="zh-CN"/>
              </w:rPr>
              <w:t>综上，本项目无废水外排，对水环境影响较小。</w:t>
            </w:r>
          </w:p>
          <w:p w14:paraId="794249BB">
            <w:pPr>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3、噪声</w:t>
            </w:r>
          </w:p>
          <w:p w14:paraId="638823DA">
            <w:pPr>
              <w:pStyle w:val="50"/>
              <w:spacing w:line="360" w:lineRule="auto"/>
              <w:ind w:firstLine="422"/>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（1）噪声排放信息</w:t>
            </w:r>
          </w:p>
          <w:p w14:paraId="2B5D3D7E">
            <w:pPr>
              <w:pStyle w:val="50"/>
              <w:spacing w:line="360" w:lineRule="auto"/>
              <w:ind w:firstLine="420"/>
              <w:rPr>
                <w:rFonts w:hint="default" w:ascii="Times New Roman" w:hAnsi="Times New Roman" w:eastAsia="仿宋" w:cs="Times New Roman"/>
                <w:color w:val="auto"/>
                <w:highlight w:val="none"/>
              </w:rPr>
            </w:pPr>
            <w:r>
              <w:rPr>
                <w:rFonts w:hint="default" w:ascii="Times New Roman" w:hAnsi="Times New Roman" w:eastAsia="宋体" w:cs="Times New Roman"/>
                <w:color w:val="auto"/>
                <w:sz w:val="21"/>
                <w:szCs w:val="21"/>
                <w:highlight w:val="none"/>
              </w:rPr>
              <w:t>本项目运营期噪声主要来源于</w:t>
            </w:r>
            <w:r>
              <w:rPr>
                <w:rFonts w:hint="default" w:ascii="Times New Roman" w:hAnsi="Times New Roman" w:eastAsia="宋体" w:cs="Times New Roman"/>
                <w:color w:val="auto"/>
                <w:sz w:val="21"/>
                <w:szCs w:val="21"/>
                <w:highlight w:val="none"/>
                <w:lang w:eastAsia="zh-CN"/>
              </w:rPr>
              <w:t>搅拌机</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风机</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球磨机</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切割机</w:t>
            </w:r>
            <w:r>
              <w:rPr>
                <w:rFonts w:hint="default" w:ascii="Times New Roman" w:hAnsi="Times New Roman" w:eastAsia="宋体" w:cs="Times New Roman"/>
                <w:color w:val="auto"/>
                <w:sz w:val="21"/>
                <w:szCs w:val="21"/>
                <w:highlight w:val="none"/>
              </w:rPr>
              <w:t>等设备运转过程中产生的噪声。设备的噪声级为70dB(A)-85dB(A)，产噪声设备均布置在室内，噪声源强列于表4-</w:t>
            </w:r>
            <w:r>
              <w:rPr>
                <w:rFonts w:hint="default" w:ascii="Times New Roman" w:hAnsi="Times New Roman" w:eastAsia="宋体" w:cs="Times New Roman"/>
                <w:color w:val="auto"/>
                <w:sz w:val="21"/>
                <w:szCs w:val="21"/>
                <w:highlight w:val="none"/>
                <w:lang w:val="en-US" w:eastAsia="zh-CN"/>
              </w:rPr>
              <w:t>1</w:t>
            </w:r>
            <w:r>
              <w:rPr>
                <w:rFonts w:hint="eastAsia"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w:t>
            </w:r>
          </w:p>
          <w:p w14:paraId="6D4590B7">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表4-</w:t>
            </w:r>
            <w:r>
              <w:rPr>
                <w:rFonts w:hint="default" w:ascii="Times New Roman" w:hAnsi="Times New Roman" w:cs="Times New Roman"/>
                <w:b/>
                <w:bCs/>
                <w:color w:val="auto"/>
                <w:szCs w:val="21"/>
                <w:highlight w:val="none"/>
                <w:lang w:val="en-US" w:eastAsia="zh-CN"/>
              </w:rPr>
              <w:t>1</w:t>
            </w:r>
            <w:r>
              <w:rPr>
                <w:rFonts w:hint="eastAsia" w:cs="Times New Roman"/>
                <w:b/>
                <w:bCs/>
                <w:color w:val="auto"/>
                <w:szCs w:val="21"/>
                <w:highlight w:val="none"/>
                <w:lang w:val="en-US" w:eastAsia="zh-CN"/>
              </w:rPr>
              <w:t>3</w:t>
            </w:r>
            <w:r>
              <w:rPr>
                <w:rFonts w:hint="default" w:ascii="Times New Roman" w:hAnsi="Times New Roman" w:cs="Times New Roman"/>
                <w:b/>
                <w:bCs/>
                <w:color w:val="auto"/>
                <w:szCs w:val="21"/>
                <w:highlight w:val="none"/>
              </w:rPr>
              <w:t xml:space="preserve">  本项目噪声源及源强      单位：[dB(A)]</w:t>
            </w:r>
          </w:p>
          <w:tbl>
            <w:tblPr>
              <w:tblStyle w:val="33"/>
              <w:tblW w:w="79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5"/>
              <w:gridCol w:w="450"/>
              <w:gridCol w:w="974"/>
              <w:gridCol w:w="420"/>
              <w:gridCol w:w="819"/>
              <w:gridCol w:w="563"/>
              <w:gridCol w:w="563"/>
              <w:gridCol w:w="563"/>
              <w:gridCol w:w="530"/>
              <w:gridCol w:w="530"/>
              <w:gridCol w:w="530"/>
              <w:gridCol w:w="530"/>
              <w:gridCol w:w="530"/>
              <w:gridCol w:w="531"/>
            </w:tblGrid>
            <w:tr w14:paraId="633121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vMerge w:val="restart"/>
                  <w:tcBorders>
                    <w:tl2br w:val="nil"/>
                    <w:tr2bl w:val="nil"/>
                  </w:tcBorders>
                  <w:vAlign w:val="center"/>
                </w:tcPr>
                <w:p w14:paraId="41269E23">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序号</w:t>
                  </w:r>
                </w:p>
              </w:tc>
              <w:tc>
                <w:tcPr>
                  <w:tcW w:w="450" w:type="dxa"/>
                  <w:vMerge w:val="restart"/>
                  <w:tcBorders>
                    <w:tl2br w:val="nil"/>
                    <w:tr2bl w:val="nil"/>
                  </w:tcBorders>
                  <w:vAlign w:val="center"/>
                </w:tcPr>
                <w:p w14:paraId="634AF951">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建筑物名称</w:t>
                  </w:r>
                </w:p>
              </w:tc>
              <w:tc>
                <w:tcPr>
                  <w:tcW w:w="974" w:type="dxa"/>
                  <w:vMerge w:val="restart"/>
                  <w:tcBorders>
                    <w:tl2br w:val="nil"/>
                    <w:tr2bl w:val="nil"/>
                  </w:tcBorders>
                  <w:vAlign w:val="center"/>
                </w:tcPr>
                <w:p w14:paraId="1745D6C7">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声源名称</w:t>
                  </w:r>
                </w:p>
              </w:tc>
              <w:tc>
                <w:tcPr>
                  <w:tcW w:w="420" w:type="dxa"/>
                  <w:vMerge w:val="restart"/>
                  <w:tcBorders>
                    <w:tl2br w:val="nil"/>
                    <w:tr2bl w:val="nil"/>
                  </w:tcBorders>
                  <w:vAlign w:val="center"/>
                </w:tcPr>
                <w:p w14:paraId="3E1CF543">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声压级/dB(A)</w:t>
                  </w:r>
                </w:p>
              </w:tc>
              <w:tc>
                <w:tcPr>
                  <w:tcW w:w="819" w:type="dxa"/>
                  <w:vMerge w:val="restart"/>
                  <w:tcBorders>
                    <w:tl2br w:val="nil"/>
                    <w:tr2bl w:val="nil"/>
                  </w:tcBorders>
                  <w:vAlign w:val="center"/>
                </w:tcPr>
                <w:p w14:paraId="4396E419">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声源控制措施</w:t>
                  </w:r>
                </w:p>
              </w:tc>
              <w:tc>
                <w:tcPr>
                  <w:tcW w:w="1689" w:type="dxa"/>
                  <w:gridSpan w:val="3"/>
                  <w:tcBorders>
                    <w:tl2br w:val="nil"/>
                    <w:tr2bl w:val="nil"/>
                  </w:tcBorders>
                  <w:vAlign w:val="center"/>
                </w:tcPr>
                <w:p w14:paraId="5E2B8AD1">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空间相对位置/m</w:t>
                  </w:r>
                </w:p>
              </w:tc>
              <w:tc>
                <w:tcPr>
                  <w:tcW w:w="530" w:type="dxa"/>
                  <w:vMerge w:val="restart"/>
                  <w:tcBorders>
                    <w:tl2br w:val="nil"/>
                    <w:tr2bl w:val="nil"/>
                  </w:tcBorders>
                  <w:vAlign w:val="center"/>
                </w:tcPr>
                <w:p w14:paraId="167289F2">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距室内边界距离</w:t>
                  </w:r>
                </w:p>
              </w:tc>
              <w:tc>
                <w:tcPr>
                  <w:tcW w:w="530" w:type="dxa"/>
                  <w:vMerge w:val="restart"/>
                  <w:tcBorders>
                    <w:tl2br w:val="nil"/>
                    <w:tr2bl w:val="nil"/>
                  </w:tcBorders>
                  <w:vAlign w:val="center"/>
                </w:tcPr>
                <w:p w14:paraId="3B1BD817">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室内边界声级/dB(A)</w:t>
                  </w:r>
                </w:p>
              </w:tc>
              <w:tc>
                <w:tcPr>
                  <w:tcW w:w="530" w:type="dxa"/>
                  <w:vMerge w:val="restart"/>
                  <w:tcBorders>
                    <w:tl2br w:val="nil"/>
                    <w:tr2bl w:val="nil"/>
                  </w:tcBorders>
                  <w:vAlign w:val="center"/>
                </w:tcPr>
                <w:p w14:paraId="344F3D4C">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运行时间</w:t>
                  </w:r>
                </w:p>
              </w:tc>
              <w:tc>
                <w:tcPr>
                  <w:tcW w:w="530" w:type="dxa"/>
                  <w:vMerge w:val="restart"/>
                  <w:tcBorders>
                    <w:tl2br w:val="nil"/>
                    <w:tr2bl w:val="nil"/>
                  </w:tcBorders>
                  <w:vAlign w:val="center"/>
                </w:tcPr>
                <w:p w14:paraId="0A2E03D7">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建筑物插入损失/dB(A)</w:t>
                  </w:r>
                </w:p>
              </w:tc>
              <w:tc>
                <w:tcPr>
                  <w:tcW w:w="1061" w:type="dxa"/>
                  <w:gridSpan w:val="2"/>
                  <w:tcBorders>
                    <w:tl2br w:val="nil"/>
                    <w:tr2bl w:val="nil"/>
                  </w:tcBorders>
                  <w:vAlign w:val="center"/>
                </w:tcPr>
                <w:p w14:paraId="3826F9AC">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建筑物外噪声</w:t>
                  </w:r>
                </w:p>
              </w:tc>
            </w:tr>
            <w:tr w14:paraId="09AFFD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9" w:hRule="atLeast"/>
                <w:jc w:val="center"/>
              </w:trPr>
              <w:tc>
                <w:tcPr>
                  <w:tcW w:w="415" w:type="dxa"/>
                  <w:vMerge w:val="continue"/>
                  <w:tcBorders>
                    <w:tl2br w:val="nil"/>
                    <w:tr2bl w:val="nil"/>
                  </w:tcBorders>
                  <w:vAlign w:val="center"/>
                </w:tcPr>
                <w:p w14:paraId="1AFA0BF5">
                  <w:pPr>
                    <w:pStyle w:val="78"/>
                    <w:jc w:val="center"/>
                    <w:rPr>
                      <w:rFonts w:hint="default" w:ascii="Times New Roman" w:hAnsi="Times New Roman" w:cs="Times New Roman"/>
                      <w:color w:val="auto"/>
                      <w:kern w:val="2"/>
                      <w:sz w:val="18"/>
                      <w:szCs w:val="18"/>
                      <w:highlight w:val="none"/>
                    </w:rPr>
                  </w:pPr>
                </w:p>
              </w:tc>
              <w:tc>
                <w:tcPr>
                  <w:tcW w:w="450" w:type="dxa"/>
                  <w:vMerge w:val="continue"/>
                  <w:tcBorders>
                    <w:tl2br w:val="nil"/>
                    <w:tr2bl w:val="nil"/>
                  </w:tcBorders>
                  <w:vAlign w:val="center"/>
                </w:tcPr>
                <w:p w14:paraId="01445925">
                  <w:pPr>
                    <w:pStyle w:val="78"/>
                    <w:jc w:val="center"/>
                    <w:rPr>
                      <w:rFonts w:hint="default" w:ascii="Times New Roman" w:hAnsi="Times New Roman" w:cs="Times New Roman"/>
                      <w:color w:val="auto"/>
                      <w:kern w:val="2"/>
                      <w:sz w:val="18"/>
                      <w:szCs w:val="18"/>
                      <w:highlight w:val="none"/>
                    </w:rPr>
                  </w:pPr>
                </w:p>
              </w:tc>
              <w:tc>
                <w:tcPr>
                  <w:tcW w:w="974" w:type="dxa"/>
                  <w:vMerge w:val="continue"/>
                  <w:tcBorders>
                    <w:tl2br w:val="nil"/>
                    <w:tr2bl w:val="nil"/>
                  </w:tcBorders>
                  <w:vAlign w:val="center"/>
                </w:tcPr>
                <w:p w14:paraId="59BC8DA5">
                  <w:pPr>
                    <w:pStyle w:val="78"/>
                    <w:jc w:val="center"/>
                    <w:rPr>
                      <w:rFonts w:hint="default" w:ascii="Times New Roman" w:hAnsi="Times New Roman" w:cs="Times New Roman"/>
                      <w:color w:val="auto"/>
                      <w:kern w:val="2"/>
                      <w:sz w:val="18"/>
                      <w:szCs w:val="18"/>
                      <w:highlight w:val="none"/>
                    </w:rPr>
                  </w:pPr>
                </w:p>
              </w:tc>
              <w:tc>
                <w:tcPr>
                  <w:tcW w:w="420" w:type="dxa"/>
                  <w:vMerge w:val="continue"/>
                  <w:tcBorders>
                    <w:tl2br w:val="nil"/>
                    <w:tr2bl w:val="nil"/>
                  </w:tcBorders>
                  <w:vAlign w:val="center"/>
                </w:tcPr>
                <w:p w14:paraId="1347AEED">
                  <w:pPr>
                    <w:pStyle w:val="78"/>
                    <w:jc w:val="center"/>
                    <w:rPr>
                      <w:rFonts w:hint="default" w:ascii="Times New Roman" w:hAnsi="Times New Roman" w:cs="Times New Roman"/>
                      <w:color w:val="auto"/>
                      <w:kern w:val="2"/>
                      <w:sz w:val="18"/>
                      <w:szCs w:val="18"/>
                      <w:highlight w:val="none"/>
                    </w:rPr>
                  </w:pPr>
                </w:p>
              </w:tc>
              <w:tc>
                <w:tcPr>
                  <w:tcW w:w="819" w:type="dxa"/>
                  <w:vMerge w:val="continue"/>
                  <w:tcBorders>
                    <w:tl2br w:val="nil"/>
                    <w:tr2bl w:val="nil"/>
                  </w:tcBorders>
                  <w:vAlign w:val="center"/>
                </w:tcPr>
                <w:p w14:paraId="25E0A5A7">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52D22684">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X</w:t>
                  </w:r>
                </w:p>
              </w:tc>
              <w:tc>
                <w:tcPr>
                  <w:tcW w:w="563" w:type="dxa"/>
                  <w:tcBorders>
                    <w:tl2br w:val="nil"/>
                    <w:tr2bl w:val="nil"/>
                  </w:tcBorders>
                  <w:vAlign w:val="center"/>
                </w:tcPr>
                <w:p w14:paraId="60ECCDF4">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Y</w:t>
                  </w:r>
                </w:p>
              </w:tc>
              <w:tc>
                <w:tcPr>
                  <w:tcW w:w="563" w:type="dxa"/>
                  <w:tcBorders>
                    <w:tl2br w:val="nil"/>
                    <w:tr2bl w:val="nil"/>
                  </w:tcBorders>
                  <w:vAlign w:val="center"/>
                </w:tcPr>
                <w:p w14:paraId="563F142D">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Z</w:t>
                  </w:r>
                </w:p>
              </w:tc>
              <w:tc>
                <w:tcPr>
                  <w:tcW w:w="530" w:type="dxa"/>
                  <w:vMerge w:val="continue"/>
                  <w:tcBorders>
                    <w:tl2br w:val="nil"/>
                    <w:tr2bl w:val="nil"/>
                  </w:tcBorders>
                  <w:vAlign w:val="center"/>
                </w:tcPr>
                <w:p w14:paraId="35F6F94E">
                  <w:pPr>
                    <w:pStyle w:val="78"/>
                    <w:jc w:val="center"/>
                    <w:rPr>
                      <w:rFonts w:hint="default" w:ascii="Times New Roman" w:hAnsi="Times New Roman" w:cs="Times New Roman"/>
                      <w:color w:val="auto"/>
                      <w:kern w:val="2"/>
                      <w:sz w:val="18"/>
                      <w:szCs w:val="18"/>
                      <w:highlight w:val="none"/>
                    </w:rPr>
                  </w:pPr>
                </w:p>
              </w:tc>
              <w:tc>
                <w:tcPr>
                  <w:tcW w:w="530" w:type="dxa"/>
                  <w:vMerge w:val="continue"/>
                  <w:tcBorders>
                    <w:tl2br w:val="nil"/>
                    <w:tr2bl w:val="nil"/>
                  </w:tcBorders>
                  <w:vAlign w:val="center"/>
                </w:tcPr>
                <w:p w14:paraId="119672D4">
                  <w:pPr>
                    <w:pStyle w:val="78"/>
                    <w:jc w:val="center"/>
                    <w:rPr>
                      <w:rFonts w:hint="default" w:ascii="Times New Roman" w:hAnsi="Times New Roman" w:cs="Times New Roman"/>
                      <w:color w:val="auto"/>
                      <w:kern w:val="2"/>
                      <w:sz w:val="18"/>
                      <w:szCs w:val="18"/>
                      <w:highlight w:val="none"/>
                    </w:rPr>
                  </w:pPr>
                </w:p>
              </w:tc>
              <w:tc>
                <w:tcPr>
                  <w:tcW w:w="530" w:type="dxa"/>
                  <w:vMerge w:val="continue"/>
                  <w:tcBorders>
                    <w:tl2br w:val="nil"/>
                    <w:tr2bl w:val="nil"/>
                  </w:tcBorders>
                  <w:vAlign w:val="center"/>
                </w:tcPr>
                <w:p w14:paraId="32DF0407">
                  <w:pPr>
                    <w:pStyle w:val="78"/>
                    <w:jc w:val="center"/>
                    <w:rPr>
                      <w:rFonts w:hint="default" w:ascii="Times New Roman" w:hAnsi="Times New Roman" w:cs="Times New Roman"/>
                      <w:color w:val="auto"/>
                      <w:kern w:val="2"/>
                      <w:sz w:val="18"/>
                      <w:szCs w:val="18"/>
                      <w:highlight w:val="none"/>
                    </w:rPr>
                  </w:pPr>
                </w:p>
              </w:tc>
              <w:tc>
                <w:tcPr>
                  <w:tcW w:w="530" w:type="dxa"/>
                  <w:vMerge w:val="continue"/>
                  <w:tcBorders>
                    <w:tl2br w:val="nil"/>
                    <w:tr2bl w:val="nil"/>
                  </w:tcBorders>
                  <w:vAlign w:val="center"/>
                </w:tcPr>
                <w:p w14:paraId="7366A625">
                  <w:pPr>
                    <w:pStyle w:val="78"/>
                    <w:jc w:val="center"/>
                    <w:rPr>
                      <w:rFonts w:hint="default" w:ascii="Times New Roman" w:hAnsi="Times New Roman" w:cs="Times New Roman"/>
                      <w:color w:val="auto"/>
                      <w:kern w:val="2"/>
                      <w:sz w:val="18"/>
                      <w:szCs w:val="18"/>
                      <w:highlight w:val="none"/>
                    </w:rPr>
                  </w:pPr>
                </w:p>
              </w:tc>
              <w:tc>
                <w:tcPr>
                  <w:tcW w:w="530" w:type="dxa"/>
                  <w:tcBorders>
                    <w:tl2br w:val="nil"/>
                    <w:tr2bl w:val="nil"/>
                  </w:tcBorders>
                  <w:vAlign w:val="center"/>
                </w:tcPr>
                <w:p w14:paraId="004DABB5">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声压级/dB(A)</w:t>
                  </w:r>
                </w:p>
              </w:tc>
              <w:tc>
                <w:tcPr>
                  <w:tcW w:w="531" w:type="dxa"/>
                  <w:tcBorders>
                    <w:tl2br w:val="nil"/>
                    <w:tr2bl w:val="nil"/>
                  </w:tcBorders>
                  <w:vAlign w:val="center"/>
                </w:tcPr>
                <w:p w14:paraId="3053AA7B">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建筑物外距离</w:t>
                  </w:r>
                </w:p>
              </w:tc>
            </w:tr>
            <w:tr w14:paraId="658493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1885122D">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w:t>
                  </w:r>
                </w:p>
              </w:tc>
              <w:tc>
                <w:tcPr>
                  <w:tcW w:w="450" w:type="dxa"/>
                  <w:vMerge w:val="restart"/>
                  <w:tcBorders>
                    <w:tl2br w:val="nil"/>
                    <w:tr2bl w:val="nil"/>
                  </w:tcBorders>
                  <w:vAlign w:val="center"/>
                </w:tcPr>
                <w:p w14:paraId="447AE4FD">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eastAsia="zh-CN"/>
                    </w:rPr>
                    <w:t>生产车间、</w:t>
                  </w:r>
                  <w:r>
                    <w:rPr>
                      <w:rFonts w:hint="default" w:ascii="Times New Roman" w:hAnsi="Times New Roman" w:cs="Times New Roman"/>
                      <w:color w:val="auto"/>
                      <w:kern w:val="2"/>
                      <w:sz w:val="18"/>
                      <w:szCs w:val="18"/>
                      <w:highlight w:val="none"/>
                      <w:lang w:val="en-US" w:eastAsia="zh-CN"/>
                    </w:rPr>
                    <w:t>锅炉房</w:t>
                  </w:r>
                </w:p>
              </w:tc>
              <w:tc>
                <w:tcPr>
                  <w:tcW w:w="974" w:type="dxa"/>
                  <w:tcBorders>
                    <w:tl2br w:val="nil"/>
                    <w:tr2bl w:val="nil"/>
                  </w:tcBorders>
                  <w:vAlign w:val="center"/>
                </w:tcPr>
                <w:p w14:paraId="41E82B34">
                  <w:pPr>
                    <w:pStyle w:val="78"/>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val="en-US" w:eastAsia="zh-CN"/>
                    </w:rPr>
                    <w:t>球磨机</w:t>
                  </w:r>
                </w:p>
              </w:tc>
              <w:tc>
                <w:tcPr>
                  <w:tcW w:w="420" w:type="dxa"/>
                  <w:tcBorders>
                    <w:tl2br w:val="nil"/>
                    <w:tr2bl w:val="nil"/>
                  </w:tcBorders>
                  <w:vAlign w:val="center"/>
                </w:tcPr>
                <w:p w14:paraId="66EE10AA">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85</w:t>
                  </w:r>
                </w:p>
              </w:tc>
              <w:tc>
                <w:tcPr>
                  <w:tcW w:w="819" w:type="dxa"/>
                  <w:vMerge w:val="restart"/>
                  <w:tcBorders>
                    <w:tl2br w:val="nil"/>
                    <w:tr2bl w:val="nil"/>
                  </w:tcBorders>
                  <w:vAlign w:val="center"/>
                </w:tcPr>
                <w:p w14:paraId="420315AF">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选用低噪声设备、减振、建筑隔声等</w:t>
                  </w:r>
                </w:p>
              </w:tc>
              <w:tc>
                <w:tcPr>
                  <w:tcW w:w="563" w:type="dxa"/>
                  <w:tcBorders>
                    <w:tl2br w:val="nil"/>
                    <w:tr2bl w:val="nil"/>
                  </w:tcBorders>
                  <w:vAlign w:val="center"/>
                </w:tcPr>
                <w:p w14:paraId="066EE667">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46</w:t>
                  </w:r>
                </w:p>
              </w:tc>
              <w:tc>
                <w:tcPr>
                  <w:tcW w:w="563" w:type="dxa"/>
                  <w:tcBorders>
                    <w:tl2br w:val="nil"/>
                    <w:tr2bl w:val="nil"/>
                  </w:tcBorders>
                  <w:vAlign w:val="center"/>
                </w:tcPr>
                <w:p w14:paraId="3C1524B1">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-68</w:t>
                  </w:r>
                </w:p>
              </w:tc>
              <w:tc>
                <w:tcPr>
                  <w:tcW w:w="563" w:type="dxa"/>
                  <w:tcBorders>
                    <w:tl2br w:val="nil"/>
                    <w:tr2bl w:val="nil"/>
                  </w:tcBorders>
                  <w:vAlign w:val="center"/>
                </w:tcPr>
                <w:p w14:paraId="62F04692">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04D3C3D3">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5</w:t>
                  </w:r>
                </w:p>
              </w:tc>
              <w:tc>
                <w:tcPr>
                  <w:tcW w:w="530" w:type="dxa"/>
                  <w:tcBorders>
                    <w:tl2br w:val="nil"/>
                    <w:tr2bl w:val="nil"/>
                  </w:tcBorders>
                  <w:vAlign w:val="center"/>
                </w:tcPr>
                <w:p w14:paraId="4F59EC1B">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63</w:t>
                  </w:r>
                </w:p>
              </w:tc>
              <w:tc>
                <w:tcPr>
                  <w:tcW w:w="530" w:type="dxa"/>
                  <w:vMerge w:val="restart"/>
                  <w:tcBorders>
                    <w:tl2br w:val="nil"/>
                    <w:tr2bl w:val="nil"/>
                  </w:tcBorders>
                  <w:vAlign w:val="center"/>
                </w:tcPr>
                <w:p w14:paraId="752389C0">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4800</w:t>
                  </w:r>
                </w:p>
              </w:tc>
              <w:tc>
                <w:tcPr>
                  <w:tcW w:w="530" w:type="dxa"/>
                  <w:tcBorders>
                    <w:tl2br w:val="nil"/>
                    <w:tr2bl w:val="nil"/>
                  </w:tcBorders>
                  <w:vAlign w:val="center"/>
                </w:tcPr>
                <w:p w14:paraId="6430541B">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7F41D224">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42</w:t>
                  </w:r>
                </w:p>
              </w:tc>
              <w:tc>
                <w:tcPr>
                  <w:tcW w:w="531" w:type="dxa"/>
                  <w:tcBorders>
                    <w:tl2br w:val="nil"/>
                    <w:tr2bl w:val="nil"/>
                  </w:tcBorders>
                  <w:vAlign w:val="center"/>
                </w:tcPr>
                <w:p w14:paraId="6BE63D3A">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1CDB9C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1E1F6893">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2</w:t>
                  </w:r>
                </w:p>
              </w:tc>
              <w:tc>
                <w:tcPr>
                  <w:tcW w:w="450" w:type="dxa"/>
                  <w:vMerge w:val="continue"/>
                  <w:tcBorders>
                    <w:tl2br w:val="nil"/>
                    <w:tr2bl w:val="nil"/>
                  </w:tcBorders>
                  <w:vAlign w:val="center"/>
                </w:tcPr>
                <w:p w14:paraId="1A9DE595">
                  <w:pPr>
                    <w:pStyle w:val="78"/>
                    <w:jc w:val="center"/>
                    <w:rPr>
                      <w:rFonts w:hint="default" w:ascii="Times New Roman" w:hAnsi="Times New Roman" w:cs="Times New Roman"/>
                      <w:color w:val="auto"/>
                      <w:kern w:val="2"/>
                      <w:sz w:val="18"/>
                      <w:szCs w:val="18"/>
                      <w:highlight w:val="none"/>
                      <w:lang w:eastAsia="zh-CN"/>
                    </w:rPr>
                  </w:pPr>
                </w:p>
              </w:tc>
              <w:tc>
                <w:tcPr>
                  <w:tcW w:w="974" w:type="dxa"/>
                  <w:tcBorders>
                    <w:tl2br w:val="nil"/>
                    <w:tr2bl w:val="nil"/>
                  </w:tcBorders>
                  <w:vAlign w:val="center"/>
                </w:tcPr>
                <w:p w14:paraId="32EF4072">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球磨机</w:t>
                  </w:r>
                </w:p>
              </w:tc>
              <w:tc>
                <w:tcPr>
                  <w:tcW w:w="420" w:type="dxa"/>
                  <w:tcBorders>
                    <w:tl2br w:val="nil"/>
                    <w:tr2bl w:val="nil"/>
                  </w:tcBorders>
                  <w:vAlign w:val="center"/>
                </w:tcPr>
                <w:p w14:paraId="18340D32">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85</w:t>
                  </w:r>
                </w:p>
              </w:tc>
              <w:tc>
                <w:tcPr>
                  <w:tcW w:w="819" w:type="dxa"/>
                  <w:vMerge w:val="continue"/>
                  <w:tcBorders>
                    <w:tl2br w:val="nil"/>
                    <w:tr2bl w:val="nil"/>
                  </w:tcBorders>
                  <w:vAlign w:val="center"/>
                </w:tcPr>
                <w:p w14:paraId="5FC029CF">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464E9798">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35</w:t>
                  </w:r>
                </w:p>
              </w:tc>
              <w:tc>
                <w:tcPr>
                  <w:tcW w:w="563" w:type="dxa"/>
                  <w:tcBorders>
                    <w:tl2br w:val="nil"/>
                    <w:tr2bl w:val="nil"/>
                  </w:tcBorders>
                  <w:vAlign w:val="center"/>
                </w:tcPr>
                <w:p w14:paraId="00BD6F3F">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-79</w:t>
                  </w:r>
                </w:p>
              </w:tc>
              <w:tc>
                <w:tcPr>
                  <w:tcW w:w="563" w:type="dxa"/>
                  <w:tcBorders>
                    <w:tl2br w:val="nil"/>
                    <w:tr2bl w:val="nil"/>
                  </w:tcBorders>
                  <w:vAlign w:val="center"/>
                </w:tcPr>
                <w:p w14:paraId="28D66267">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1519E287">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3</w:t>
                  </w:r>
                </w:p>
              </w:tc>
              <w:tc>
                <w:tcPr>
                  <w:tcW w:w="530" w:type="dxa"/>
                  <w:tcBorders>
                    <w:tl2br w:val="nil"/>
                    <w:tr2bl w:val="nil"/>
                  </w:tcBorders>
                  <w:vAlign w:val="center"/>
                </w:tcPr>
                <w:p w14:paraId="0000B493">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67</w:t>
                  </w:r>
                </w:p>
              </w:tc>
              <w:tc>
                <w:tcPr>
                  <w:tcW w:w="530" w:type="dxa"/>
                  <w:vMerge w:val="continue"/>
                  <w:tcBorders>
                    <w:tl2br w:val="nil"/>
                    <w:tr2bl w:val="nil"/>
                  </w:tcBorders>
                  <w:vAlign w:val="center"/>
                </w:tcPr>
                <w:p w14:paraId="6E80F372">
                  <w:pPr>
                    <w:pStyle w:val="78"/>
                    <w:jc w:val="center"/>
                    <w:rPr>
                      <w:rFonts w:hint="default" w:ascii="Times New Roman" w:hAnsi="Times New Roman" w:cs="Times New Roman"/>
                      <w:color w:val="auto"/>
                      <w:kern w:val="2"/>
                      <w:sz w:val="18"/>
                      <w:szCs w:val="18"/>
                      <w:highlight w:val="none"/>
                      <w:lang w:val="en-US" w:eastAsia="zh-CN"/>
                    </w:rPr>
                  </w:pPr>
                </w:p>
              </w:tc>
              <w:tc>
                <w:tcPr>
                  <w:tcW w:w="530" w:type="dxa"/>
                  <w:tcBorders>
                    <w:tl2br w:val="nil"/>
                    <w:tr2bl w:val="nil"/>
                  </w:tcBorders>
                  <w:vAlign w:val="center"/>
                </w:tcPr>
                <w:p w14:paraId="129671EF">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130F7E93">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46</w:t>
                  </w:r>
                </w:p>
              </w:tc>
              <w:tc>
                <w:tcPr>
                  <w:tcW w:w="531" w:type="dxa"/>
                  <w:tcBorders>
                    <w:tl2br w:val="nil"/>
                    <w:tr2bl w:val="nil"/>
                  </w:tcBorders>
                  <w:vAlign w:val="center"/>
                </w:tcPr>
                <w:p w14:paraId="4A344539">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19BEA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5" w:type="dxa"/>
                  <w:tcBorders>
                    <w:tl2br w:val="nil"/>
                    <w:tr2bl w:val="nil"/>
                  </w:tcBorders>
                  <w:vAlign w:val="center"/>
                </w:tcPr>
                <w:p w14:paraId="66E81743">
                  <w:pPr>
                    <w:pStyle w:val="78"/>
                    <w:jc w:val="center"/>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3</w:t>
                  </w:r>
                </w:p>
              </w:tc>
              <w:tc>
                <w:tcPr>
                  <w:tcW w:w="450" w:type="dxa"/>
                  <w:vMerge w:val="continue"/>
                  <w:tcBorders>
                    <w:tl2br w:val="nil"/>
                    <w:tr2bl w:val="nil"/>
                  </w:tcBorders>
                  <w:vAlign w:val="center"/>
                </w:tcPr>
                <w:p w14:paraId="48B2849F">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1A98672E">
                  <w:pPr>
                    <w:pStyle w:val="78"/>
                    <w:jc w:val="center"/>
                    <w:rPr>
                      <w:rFonts w:hint="default" w:ascii="Times New Roman" w:hAnsi="Times New Roman" w:eastAsia="宋体" w:cs="Times New Roman"/>
                      <w:color w:val="auto"/>
                      <w:kern w:val="2"/>
                      <w:sz w:val="18"/>
                      <w:szCs w:val="18"/>
                      <w:highlight w:val="none"/>
                      <w:lang w:eastAsia="zh-CN"/>
                    </w:rPr>
                  </w:pPr>
                  <w:r>
                    <w:rPr>
                      <w:rFonts w:hint="eastAsia" w:ascii="Times New Roman" w:hAnsi="Times New Roman" w:cs="Times New Roman"/>
                      <w:color w:val="auto"/>
                      <w:kern w:val="2"/>
                      <w:sz w:val="18"/>
                      <w:szCs w:val="18"/>
                      <w:highlight w:val="none"/>
                      <w:lang w:val="en-US" w:eastAsia="zh-CN"/>
                    </w:rPr>
                    <w:t>锤</w:t>
                  </w:r>
                  <w:r>
                    <w:rPr>
                      <w:rFonts w:hint="default" w:ascii="Times New Roman" w:hAnsi="Times New Roman" w:cs="Times New Roman"/>
                      <w:color w:val="auto"/>
                      <w:kern w:val="2"/>
                      <w:sz w:val="18"/>
                      <w:szCs w:val="18"/>
                      <w:highlight w:val="none"/>
                      <w:lang w:val="en-US" w:eastAsia="zh-CN"/>
                    </w:rPr>
                    <w:t>式破碎机</w:t>
                  </w:r>
                </w:p>
              </w:tc>
              <w:tc>
                <w:tcPr>
                  <w:tcW w:w="420" w:type="dxa"/>
                  <w:tcBorders>
                    <w:tl2br w:val="nil"/>
                    <w:tr2bl w:val="nil"/>
                  </w:tcBorders>
                  <w:vAlign w:val="center"/>
                </w:tcPr>
                <w:p w14:paraId="70EE3B46">
                  <w:pPr>
                    <w:pStyle w:val="78"/>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rPr>
                    <w:t>8</w:t>
                  </w:r>
                  <w:r>
                    <w:rPr>
                      <w:rFonts w:hint="default" w:ascii="Times New Roman" w:hAnsi="Times New Roman" w:cs="Times New Roman"/>
                      <w:color w:val="auto"/>
                      <w:kern w:val="2"/>
                      <w:sz w:val="18"/>
                      <w:szCs w:val="18"/>
                      <w:highlight w:val="none"/>
                      <w:lang w:val="en-US" w:eastAsia="zh-CN"/>
                    </w:rPr>
                    <w:t>5</w:t>
                  </w:r>
                </w:p>
              </w:tc>
              <w:tc>
                <w:tcPr>
                  <w:tcW w:w="819" w:type="dxa"/>
                  <w:vMerge w:val="continue"/>
                  <w:tcBorders>
                    <w:tl2br w:val="nil"/>
                    <w:tr2bl w:val="nil"/>
                  </w:tcBorders>
                  <w:vAlign w:val="center"/>
                </w:tcPr>
                <w:p w14:paraId="1FA051FE">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2BE5BC9D">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-45</w:t>
                  </w:r>
                </w:p>
              </w:tc>
              <w:tc>
                <w:tcPr>
                  <w:tcW w:w="563" w:type="dxa"/>
                  <w:tcBorders>
                    <w:tl2br w:val="nil"/>
                    <w:tr2bl w:val="nil"/>
                  </w:tcBorders>
                  <w:vAlign w:val="center"/>
                </w:tcPr>
                <w:p w14:paraId="2B32145C">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-127</w:t>
                  </w:r>
                </w:p>
              </w:tc>
              <w:tc>
                <w:tcPr>
                  <w:tcW w:w="563" w:type="dxa"/>
                  <w:tcBorders>
                    <w:tl2br w:val="nil"/>
                    <w:tr2bl w:val="nil"/>
                  </w:tcBorders>
                  <w:vAlign w:val="center"/>
                </w:tcPr>
                <w:p w14:paraId="1BF9EDE1">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09047B7E">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5</w:t>
                  </w:r>
                </w:p>
              </w:tc>
              <w:tc>
                <w:tcPr>
                  <w:tcW w:w="530" w:type="dxa"/>
                  <w:tcBorders>
                    <w:tl2br w:val="nil"/>
                    <w:tr2bl w:val="nil"/>
                  </w:tcBorders>
                  <w:vAlign w:val="center"/>
                </w:tcPr>
                <w:p w14:paraId="5371C1B6">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63</w:t>
                  </w:r>
                </w:p>
              </w:tc>
              <w:tc>
                <w:tcPr>
                  <w:tcW w:w="530" w:type="dxa"/>
                  <w:vMerge w:val="continue"/>
                  <w:tcBorders>
                    <w:tl2br w:val="nil"/>
                    <w:tr2bl w:val="nil"/>
                  </w:tcBorders>
                  <w:vAlign w:val="center"/>
                </w:tcPr>
                <w:p w14:paraId="422B2C01">
                  <w:pPr>
                    <w:pStyle w:val="78"/>
                    <w:jc w:val="center"/>
                    <w:rPr>
                      <w:rFonts w:hint="default" w:ascii="Times New Roman" w:hAnsi="Times New Roman" w:eastAsia="宋体" w:cs="Times New Roman"/>
                      <w:color w:val="auto"/>
                      <w:kern w:val="2"/>
                      <w:sz w:val="18"/>
                      <w:szCs w:val="18"/>
                      <w:highlight w:val="none"/>
                      <w:lang w:val="en-US" w:eastAsia="zh-CN"/>
                    </w:rPr>
                  </w:pPr>
                </w:p>
              </w:tc>
              <w:tc>
                <w:tcPr>
                  <w:tcW w:w="530" w:type="dxa"/>
                  <w:tcBorders>
                    <w:tl2br w:val="nil"/>
                    <w:tr2bl w:val="nil"/>
                  </w:tcBorders>
                  <w:vAlign w:val="center"/>
                </w:tcPr>
                <w:p w14:paraId="4C7C5379">
                  <w:pPr>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7C88BAB8">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42</w:t>
                  </w:r>
                </w:p>
              </w:tc>
              <w:tc>
                <w:tcPr>
                  <w:tcW w:w="531" w:type="dxa"/>
                  <w:tcBorders>
                    <w:tl2br w:val="nil"/>
                    <w:tr2bl w:val="nil"/>
                  </w:tcBorders>
                  <w:vAlign w:val="center"/>
                </w:tcPr>
                <w:p w14:paraId="7EF040EF">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1C519E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63E8E63B">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4</w:t>
                  </w:r>
                </w:p>
              </w:tc>
              <w:tc>
                <w:tcPr>
                  <w:tcW w:w="450" w:type="dxa"/>
                  <w:vMerge w:val="continue"/>
                  <w:tcBorders>
                    <w:tl2br w:val="nil"/>
                    <w:tr2bl w:val="nil"/>
                  </w:tcBorders>
                  <w:vAlign w:val="center"/>
                </w:tcPr>
                <w:p w14:paraId="160A2010">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75495CE7">
                  <w:pPr>
                    <w:pStyle w:val="78"/>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搅拌机</w:t>
                  </w:r>
                </w:p>
              </w:tc>
              <w:tc>
                <w:tcPr>
                  <w:tcW w:w="420" w:type="dxa"/>
                  <w:tcBorders>
                    <w:tl2br w:val="nil"/>
                    <w:tr2bl w:val="nil"/>
                  </w:tcBorders>
                  <w:vAlign w:val="center"/>
                </w:tcPr>
                <w:p w14:paraId="556279A1">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85</w:t>
                  </w:r>
                </w:p>
              </w:tc>
              <w:tc>
                <w:tcPr>
                  <w:tcW w:w="819" w:type="dxa"/>
                  <w:vMerge w:val="continue"/>
                  <w:tcBorders>
                    <w:tl2br w:val="nil"/>
                    <w:tr2bl w:val="nil"/>
                  </w:tcBorders>
                  <w:vAlign w:val="center"/>
                </w:tcPr>
                <w:p w14:paraId="3C571C0C">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55B54F08">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-42</w:t>
                  </w:r>
                </w:p>
              </w:tc>
              <w:tc>
                <w:tcPr>
                  <w:tcW w:w="563" w:type="dxa"/>
                  <w:tcBorders>
                    <w:tl2br w:val="nil"/>
                    <w:tr2bl w:val="nil"/>
                  </w:tcBorders>
                  <w:vAlign w:val="center"/>
                </w:tcPr>
                <w:p w14:paraId="259F8014">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-151</w:t>
                  </w:r>
                </w:p>
              </w:tc>
              <w:tc>
                <w:tcPr>
                  <w:tcW w:w="563" w:type="dxa"/>
                  <w:tcBorders>
                    <w:tl2br w:val="nil"/>
                    <w:tr2bl w:val="nil"/>
                  </w:tcBorders>
                  <w:vAlign w:val="center"/>
                </w:tcPr>
                <w:p w14:paraId="6653B1F1">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3C1AFF7F">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3</w:t>
                  </w:r>
                </w:p>
              </w:tc>
              <w:tc>
                <w:tcPr>
                  <w:tcW w:w="530" w:type="dxa"/>
                  <w:tcBorders>
                    <w:tl2br w:val="nil"/>
                    <w:tr2bl w:val="nil"/>
                  </w:tcBorders>
                  <w:vAlign w:val="center"/>
                </w:tcPr>
                <w:p w14:paraId="799C2329">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67</w:t>
                  </w:r>
                </w:p>
              </w:tc>
              <w:tc>
                <w:tcPr>
                  <w:tcW w:w="530" w:type="dxa"/>
                  <w:vMerge w:val="continue"/>
                  <w:tcBorders>
                    <w:tl2br w:val="nil"/>
                    <w:tr2bl w:val="nil"/>
                  </w:tcBorders>
                  <w:vAlign w:val="center"/>
                </w:tcPr>
                <w:p w14:paraId="65916D52">
                  <w:pPr>
                    <w:pStyle w:val="78"/>
                    <w:jc w:val="center"/>
                    <w:rPr>
                      <w:rFonts w:hint="default" w:ascii="Times New Roman" w:hAnsi="Times New Roman" w:cs="Times New Roman"/>
                      <w:color w:val="auto"/>
                      <w:kern w:val="2"/>
                      <w:sz w:val="18"/>
                      <w:szCs w:val="18"/>
                      <w:highlight w:val="none"/>
                    </w:rPr>
                  </w:pPr>
                </w:p>
              </w:tc>
              <w:tc>
                <w:tcPr>
                  <w:tcW w:w="530" w:type="dxa"/>
                  <w:tcBorders>
                    <w:tl2br w:val="nil"/>
                    <w:tr2bl w:val="nil"/>
                  </w:tcBorders>
                  <w:vAlign w:val="center"/>
                </w:tcPr>
                <w:p w14:paraId="202AE668">
                  <w:pPr>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6BA12956">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46</w:t>
                  </w:r>
                </w:p>
              </w:tc>
              <w:tc>
                <w:tcPr>
                  <w:tcW w:w="531" w:type="dxa"/>
                  <w:tcBorders>
                    <w:tl2br w:val="nil"/>
                    <w:tr2bl w:val="nil"/>
                  </w:tcBorders>
                  <w:vAlign w:val="center"/>
                </w:tcPr>
                <w:p w14:paraId="16CDF4C0">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7C1F33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518E8FB2">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5</w:t>
                  </w:r>
                </w:p>
              </w:tc>
              <w:tc>
                <w:tcPr>
                  <w:tcW w:w="450" w:type="dxa"/>
                  <w:vMerge w:val="continue"/>
                  <w:tcBorders>
                    <w:tl2br w:val="nil"/>
                    <w:tr2bl w:val="nil"/>
                  </w:tcBorders>
                  <w:vAlign w:val="center"/>
                </w:tcPr>
                <w:p w14:paraId="3712A99C">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35DA6A72">
                  <w:pPr>
                    <w:pStyle w:val="78"/>
                    <w:jc w:val="center"/>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搅拌机</w:t>
                  </w:r>
                </w:p>
              </w:tc>
              <w:tc>
                <w:tcPr>
                  <w:tcW w:w="420" w:type="dxa"/>
                  <w:tcBorders>
                    <w:tl2br w:val="nil"/>
                    <w:tr2bl w:val="nil"/>
                  </w:tcBorders>
                  <w:vAlign w:val="center"/>
                </w:tcPr>
                <w:p w14:paraId="7777D9DE">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85</w:t>
                  </w:r>
                </w:p>
              </w:tc>
              <w:tc>
                <w:tcPr>
                  <w:tcW w:w="819" w:type="dxa"/>
                  <w:vMerge w:val="continue"/>
                  <w:tcBorders>
                    <w:tl2br w:val="nil"/>
                    <w:tr2bl w:val="nil"/>
                  </w:tcBorders>
                  <w:vAlign w:val="center"/>
                </w:tcPr>
                <w:p w14:paraId="1A4404B4">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2E9E75CE">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-29</w:t>
                  </w:r>
                </w:p>
              </w:tc>
              <w:tc>
                <w:tcPr>
                  <w:tcW w:w="563" w:type="dxa"/>
                  <w:tcBorders>
                    <w:tl2br w:val="nil"/>
                    <w:tr2bl w:val="nil"/>
                  </w:tcBorders>
                  <w:vAlign w:val="center"/>
                </w:tcPr>
                <w:p w14:paraId="45F699CD">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-150</w:t>
                  </w:r>
                </w:p>
              </w:tc>
              <w:tc>
                <w:tcPr>
                  <w:tcW w:w="563" w:type="dxa"/>
                  <w:tcBorders>
                    <w:tl2br w:val="nil"/>
                    <w:tr2bl w:val="nil"/>
                  </w:tcBorders>
                  <w:vAlign w:val="center"/>
                </w:tcPr>
                <w:p w14:paraId="5BA728A7">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594841D9">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3</w:t>
                  </w:r>
                </w:p>
              </w:tc>
              <w:tc>
                <w:tcPr>
                  <w:tcW w:w="530" w:type="dxa"/>
                  <w:tcBorders>
                    <w:tl2br w:val="nil"/>
                    <w:tr2bl w:val="nil"/>
                  </w:tcBorders>
                  <w:vAlign w:val="center"/>
                </w:tcPr>
                <w:p w14:paraId="3100642C">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67</w:t>
                  </w:r>
                </w:p>
              </w:tc>
              <w:tc>
                <w:tcPr>
                  <w:tcW w:w="530" w:type="dxa"/>
                  <w:vMerge w:val="continue"/>
                  <w:tcBorders>
                    <w:tl2br w:val="nil"/>
                    <w:tr2bl w:val="nil"/>
                  </w:tcBorders>
                  <w:vAlign w:val="center"/>
                </w:tcPr>
                <w:p w14:paraId="0F661102">
                  <w:pPr>
                    <w:pStyle w:val="78"/>
                    <w:jc w:val="center"/>
                    <w:rPr>
                      <w:rFonts w:hint="default" w:ascii="Times New Roman" w:hAnsi="Times New Roman" w:cs="Times New Roman"/>
                      <w:color w:val="auto"/>
                      <w:kern w:val="2"/>
                      <w:sz w:val="18"/>
                      <w:szCs w:val="18"/>
                      <w:highlight w:val="none"/>
                    </w:rPr>
                  </w:pPr>
                </w:p>
              </w:tc>
              <w:tc>
                <w:tcPr>
                  <w:tcW w:w="530" w:type="dxa"/>
                  <w:tcBorders>
                    <w:tl2br w:val="nil"/>
                    <w:tr2bl w:val="nil"/>
                  </w:tcBorders>
                  <w:vAlign w:val="center"/>
                </w:tcPr>
                <w:p w14:paraId="5F5BB8D5">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30E8A0F9">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46</w:t>
                  </w:r>
                </w:p>
              </w:tc>
              <w:tc>
                <w:tcPr>
                  <w:tcW w:w="531" w:type="dxa"/>
                  <w:tcBorders>
                    <w:tl2br w:val="nil"/>
                    <w:tr2bl w:val="nil"/>
                  </w:tcBorders>
                  <w:vAlign w:val="center"/>
                </w:tcPr>
                <w:p w14:paraId="4B2B0BD5">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3B56B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24B7C6EE">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6</w:t>
                  </w:r>
                </w:p>
              </w:tc>
              <w:tc>
                <w:tcPr>
                  <w:tcW w:w="450" w:type="dxa"/>
                  <w:vMerge w:val="continue"/>
                  <w:tcBorders>
                    <w:tl2br w:val="nil"/>
                    <w:tr2bl w:val="nil"/>
                  </w:tcBorders>
                  <w:vAlign w:val="center"/>
                </w:tcPr>
                <w:p w14:paraId="0E2A62B5">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5512AB2E">
                  <w:pPr>
                    <w:pStyle w:val="78"/>
                    <w:jc w:val="center"/>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搅拌机</w:t>
                  </w:r>
                </w:p>
              </w:tc>
              <w:tc>
                <w:tcPr>
                  <w:tcW w:w="420" w:type="dxa"/>
                  <w:tcBorders>
                    <w:tl2br w:val="nil"/>
                    <w:tr2bl w:val="nil"/>
                  </w:tcBorders>
                  <w:vAlign w:val="center"/>
                </w:tcPr>
                <w:p w14:paraId="66D11600">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85</w:t>
                  </w:r>
                </w:p>
              </w:tc>
              <w:tc>
                <w:tcPr>
                  <w:tcW w:w="819" w:type="dxa"/>
                  <w:vMerge w:val="continue"/>
                  <w:tcBorders>
                    <w:tl2br w:val="nil"/>
                    <w:tr2bl w:val="nil"/>
                  </w:tcBorders>
                  <w:vAlign w:val="center"/>
                </w:tcPr>
                <w:p w14:paraId="5188F8AC">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13435CA0">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-58</w:t>
                  </w:r>
                </w:p>
              </w:tc>
              <w:tc>
                <w:tcPr>
                  <w:tcW w:w="563" w:type="dxa"/>
                  <w:tcBorders>
                    <w:tl2br w:val="nil"/>
                    <w:tr2bl w:val="nil"/>
                  </w:tcBorders>
                  <w:vAlign w:val="center"/>
                </w:tcPr>
                <w:p w14:paraId="4FD8307F">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-145</w:t>
                  </w:r>
                </w:p>
              </w:tc>
              <w:tc>
                <w:tcPr>
                  <w:tcW w:w="563" w:type="dxa"/>
                  <w:tcBorders>
                    <w:tl2br w:val="nil"/>
                    <w:tr2bl w:val="nil"/>
                  </w:tcBorders>
                  <w:vAlign w:val="center"/>
                </w:tcPr>
                <w:p w14:paraId="31EA899C">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717D85AA">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2</w:t>
                  </w:r>
                </w:p>
              </w:tc>
              <w:tc>
                <w:tcPr>
                  <w:tcW w:w="530" w:type="dxa"/>
                  <w:tcBorders>
                    <w:tl2br w:val="nil"/>
                    <w:tr2bl w:val="nil"/>
                  </w:tcBorders>
                  <w:vAlign w:val="center"/>
                </w:tcPr>
                <w:p w14:paraId="44D50674">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71</w:t>
                  </w:r>
                </w:p>
              </w:tc>
              <w:tc>
                <w:tcPr>
                  <w:tcW w:w="530" w:type="dxa"/>
                  <w:vMerge w:val="continue"/>
                  <w:tcBorders>
                    <w:tl2br w:val="nil"/>
                    <w:tr2bl w:val="nil"/>
                  </w:tcBorders>
                  <w:vAlign w:val="center"/>
                </w:tcPr>
                <w:p w14:paraId="0ACA93DC">
                  <w:pPr>
                    <w:pStyle w:val="78"/>
                    <w:jc w:val="center"/>
                    <w:rPr>
                      <w:rFonts w:hint="default" w:ascii="Times New Roman" w:hAnsi="Times New Roman" w:cs="Times New Roman"/>
                      <w:color w:val="auto"/>
                      <w:kern w:val="2"/>
                      <w:sz w:val="18"/>
                      <w:szCs w:val="18"/>
                      <w:highlight w:val="none"/>
                    </w:rPr>
                  </w:pPr>
                </w:p>
              </w:tc>
              <w:tc>
                <w:tcPr>
                  <w:tcW w:w="530" w:type="dxa"/>
                  <w:tcBorders>
                    <w:tl2br w:val="nil"/>
                    <w:tr2bl w:val="nil"/>
                  </w:tcBorders>
                  <w:vAlign w:val="center"/>
                </w:tcPr>
                <w:p w14:paraId="66813E93">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3828B7B0">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50</w:t>
                  </w:r>
                </w:p>
              </w:tc>
              <w:tc>
                <w:tcPr>
                  <w:tcW w:w="531" w:type="dxa"/>
                  <w:tcBorders>
                    <w:tl2br w:val="nil"/>
                    <w:tr2bl w:val="nil"/>
                  </w:tcBorders>
                  <w:vAlign w:val="center"/>
                </w:tcPr>
                <w:p w14:paraId="6D67DA8D">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31A6B8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42E2543D">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7</w:t>
                  </w:r>
                </w:p>
              </w:tc>
              <w:tc>
                <w:tcPr>
                  <w:tcW w:w="450" w:type="dxa"/>
                  <w:vMerge w:val="continue"/>
                  <w:tcBorders>
                    <w:tl2br w:val="nil"/>
                    <w:tr2bl w:val="nil"/>
                  </w:tcBorders>
                  <w:vAlign w:val="center"/>
                </w:tcPr>
                <w:p w14:paraId="7F276AAE">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650810E6">
                  <w:pPr>
                    <w:pStyle w:val="78"/>
                    <w:jc w:val="center"/>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搅拌机</w:t>
                  </w:r>
                </w:p>
              </w:tc>
              <w:tc>
                <w:tcPr>
                  <w:tcW w:w="420" w:type="dxa"/>
                  <w:tcBorders>
                    <w:tl2br w:val="nil"/>
                    <w:tr2bl w:val="nil"/>
                  </w:tcBorders>
                  <w:vAlign w:val="center"/>
                </w:tcPr>
                <w:p w14:paraId="2955AD5B">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85</w:t>
                  </w:r>
                </w:p>
              </w:tc>
              <w:tc>
                <w:tcPr>
                  <w:tcW w:w="819" w:type="dxa"/>
                  <w:vMerge w:val="continue"/>
                  <w:tcBorders>
                    <w:tl2br w:val="nil"/>
                    <w:tr2bl w:val="nil"/>
                  </w:tcBorders>
                  <w:vAlign w:val="center"/>
                </w:tcPr>
                <w:p w14:paraId="6C8468A6">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6EC9DD12">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-70</w:t>
                  </w:r>
                </w:p>
              </w:tc>
              <w:tc>
                <w:tcPr>
                  <w:tcW w:w="563" w:type="dxa"/>
                  <w:tcBorders>
                    <w:tl2br w:val="nil"/>
                    <w:tr2bl w:val="nil"/>
                  </w:tcBorders>
                  <w:vAlign w:val="center"/>
                </w:tcPr>
                <w:p w14:paraId="077B3CEF">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-120</w:t>
                  </w:r>
                </w:p>
              </w:tc>
              <w:tc>
                <w:tcPr>
                  <w:tcW w:w="563" w:type="dxa"/>
                  <w:tcBorders>
                    <w:tl2br w:val="nil"/>
                    <w:tr2bl w:val="nil"/>
                  </w:tcBorders>
                  <w:vAlign w:val="center"/>
                </w:tcPr>
                <w:p w14:paraId="5E21DF7B">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7800058B">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4</w:t>
                  </w:r>
                </w:p>
              </w:tc>
              <w:tc>
                <w:tcPr>
                  <w:tcW w:w="530" w:type="dxa"/>
                  <w:tcBorders>
                    <w:tl2br w:val="nil"/>
                    <w:tr2bl w:val="nil"/>
                  </w:tcBorders>
                  <w:vAlign w:val="center"/>
                </w:tcPr>
                <w:p w14:paraId="30F186FA">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65</w:t>
                  </w:r>
                </w:p>
              </w:tc>
              <w:tc>
                <w:tcPr>
                  <w:tcW w:w="530" w:type="dxa"/>
                  <w:vMerge w:val="continue"/>
                  <w:tcBorders>
                    <w:tl2br w:val="nil"/>
                    <w:tr2bl w:val="nil"/>
                  </w:tcBorders>
                  <w:vAlign w:val="center"/>
                </w:tcPr>
                <w:p w14:paraId="7013316B">
                  <w:pPr>
                    <w:pStyle w:val="78"/>
                    <w:jc w:val="center"/>
                    <w:rPr>
                      <w:rFonts w:hint="default" w:ascii="Times New Roman" w:hAnsi="Times New Roman" w:cs="Times New Roman"/>
                      <w:color w:val="auto"/>
                      <w:kern w:val="2"/>
                      <w:sz w:val="18"/>
                      <w:szCs w:val="18"/>
                      <w:highlight w:val="none"/>
                    </w:rPr>
                  </w:pPr>
                </w:p>
              </w:tc>
              <w:tc>
                <w:tcPr>
                  <w:tcW w:w="530" w:type="dxa"/>
                  <w:tcBorders>
                    <w:tl2br w:val="nil"/>
                    <w:tr2bl w:val="nil"/>
                  </w:tcBorders>
                  <w:vAlign w:val="center"/>
                </w:tcPr>
                <w:p w14:paraId="1D3E4F68">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6A4B061D">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44</w:t>
                  </w:r>
                </w:p>
              </w:tc>
              <w:tc>
                <w:tcPr>
                  <w:tcW w:w="531" w:type="dxa"/>
                  <w:tcBorders>
                    <w:tl2br w:val="nil"/>
                    <w:tr2bl w:val="nil"/>
                  </w:tcBorders>
                  <w:vAlign w:val="center"/>
                </w:tcPr>
                <w:p w14:paraId="00EBEB90">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17AB7E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6" w:hRule="atLeast"/>
                <w:jc w:val="center"/>
              </w:trPr>
              <w:tc>
                <w:tcPr>
                  <w:tcW w:w="415" w:type="dxa"/>
                  <w:tcBorders>
                    <w:tl2br w:val="nil"/>
                    <w:tr2bl w:val="nil"/>
                  </w:tcBorders>
                  <w:vAlign w:val="center"/>
                </w:tcPr>
                <w:p w14:paraId="6396A1D4">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8</w:t>
                  </w:r>
                </w:p>
              </w:tc>
              <w:tc>
                <w:tcPr>
                  <w:tcW w:w="450" w:type="dxa"/>
                  <w:vMerge w:val="continue"/>
                  <w:tcBorders>
                    <w:tl2br w:val="nil"/>
                    <w:tr2bl w:val="nil"/>
                  </w:tcBorders>
                  <w:vAlign w:val="center"/>
                </w:tcPr>
                <w:p w14:paraId="5DDD6472">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5CC9EF66">
                  <w:pPr>
                    <w:pStyle w:val="78"/>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val="en-US" w:eastAsia="zh-CN"/>
                    </w:rPr>
                    <w:t>切割机组</w:t>
                  </w:r>
                </w:p>
              </w:tc>
              <w:tc>
                <w:tcPr>
                  <w:tcW w:w="420" w:type="dxa"/>
                  <w:tcBorders>
                    <w:tl2br w:val="nil"/>
                    <w:tr2bl w:val="nil"/>
                  </w:tcBorders>
                  <w:vAlign w:val="center"/>
                </w:tcPr>
                <w:p w14:paraId="36D47BE3">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80</w:t>
                  </w:r>
                </w:p>
              </w:tc>
              <w:tc>
                <w:tcPr>
                  <w:tcW w:w="819" w:type="dxa"/>
                  <w:vMerge w:val="continue"/>
                  <w:tcBorders>
                    <w:tl2br w:val="nil"/>
                    <w:tr2bl w:val="nil"/>
                  </w:tcBorders>
                  <w:vAlign w:val="center"/>
                </w:tcPr>
                <w:p w14:paraId="77F893FF">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2BE1FCC9">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2</w:t>
                  </w:r>
                </w:p>
              </w:tc>
              <w:tc>
                <w:tcPr>
                  <w:tcW w:w="563" w:type="dxa"/>
                  <w:tcBorders>
                    <w:tl2br w:val="nil"/>
                    <w:tr2bl w:val="nil"/>
                  </w:tcBorders>
                  <w:vAlign w:val="center"/>
                </w:tcPr>
                <w:p w14:paraId="19E8B1CA">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-130</w:t>
                  </w:r>
                </w:p>
              </w:tc>
              <w:tc>
                <w:tcPr>
                  <w:tcW w:w="563" w:type="dxa"/>
                  <w:tcBorders>
                    <w:tl2br w:val="nil"/>
                    <w:tr2bl w:val="nil"/>
                  </w:tcBorders>
                  <w:vAlign w:val="center"/>
                </w:tcPr>
                <w:p w14:paraId="3B13EA65">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34A7816B">
                  <w:pPr>
                    <w:pStyle w:val="78"/>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val="en-US" w:eastAsia="zh-CN"/>
                    </w:rPr>
                    <w:t>5</w:t>
                  </w:r>
                </w:p>
              </w:tc>
              <w:tc>
                <w:tcPr>
                  <w:tcW w:w="530" w:type="dxa"/>
                  <w:tcBorders>
                    <w:tl2br w:val="nil"/>
                    <w:tr2bl w:val="nil"/>
                  </w:tcBorders>
                  <w:vAlign w:val="center"/>
                </w:tcPr>
                <w:p w14:paraId="0B737C18">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58</w:t>
                  </w:r>
                </w:p>
              </w:tc>
              <w:tc>
                <w:tcPr>
                  <w:tcW w:w="530" w:type="dxa"/>
                  <w:vMerge w:val="continue"/>
                  <w:tcBorders>
                    <w:tl2br w:val="nil"/>
                    <w:tr2bl w:val="nil"/>
                  </w:tcBorders>
                  <w:vAlign w:val="center"/>
                </w:tcPr>
                <w:p w14:paraId="13B17569">
                  <w:pPr>
                    <w:pStyle w:val="78"/>
                    <w:jc w:val="center"/>
                    <w:rPr>
                      <w:rFonts w:hint="default" w:ascii="Times New Roman" w:hAnsi="Times New Roman" w:cs="Times New Roman"/>
                      <w:color w:val="auto"/>
                      <w:kern w:val="2"/>
                      <w:sz w:val="18"/>
                      <w:szCs w:val="18"/>
                      <w:highlight w:val="none"/>
                    </w:rPr>
                  </w:pPr>
                </w:p>
              </w:tc>
              <w:tc>
                <w:tcPr>
                  <w:tcW w:w="530" w:type="dxa"/>
                  <w:tcBorders>
                    <w:tl2br w:val="nil"/>
                    <w:tr2bl w:val="nil"/>
                  </w:tcBorders>
                  <w:vAlign w:val="center"/>
                </w:tcPr>
                <w:p w14:paraId="2946C8C6">
                  <w:pPr>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7081611F">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37</w:t>
                  </w:r>
                </w:p>
              </w:tc>
              <w:tc>
                <w:tcPr>
                  <w:tcW w:w="531" w:type="dxa"/>
                  <w:tcBorders>
                    <w:tl2br w:val="nil"/>
                    <w:tr2bl w:val="nil"/>
                  </w:tcBorders>
                  <w:vAlign w:val="center"/>
                </w:tcPr>
                <w:p w14:paraId="4CB51968">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573A7C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34E182C6">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9</w:t>
                  </w:r>
                </w:p>
              </w:tc>
              <w:tc>
                <w:tcPr>
                  <w:tcW w:w="450" w:type="dxa"/>
                  <w:vMerge w:val="continue"/>
                  <w:tcBorders>
                    <w:tl2br w:val="nil"/>
                    <w:tr2bl w:val="nil"/>
                  </w:tcBorders>
                  <w:vAlign w:val="center"/>
                </w:tcPr>
                <w:p w14:paraId="11E96E1F">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05165356">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切割机组</w:t>
                  </w:r>
                </w:p>
              </w:tc>
              <w:tc>
                <w:tcPr>
                  <w:tcW w:w="420" w:type="dxa"/>
                  <w:tcBorders>
                    <w:tl2br w:val="nil"/>
                    <w:tr2bl w:val="nil"/>
                  </w:tcBorders>
                  <w:vAlign w:val="center"/>
                </w:tcPr>
                <w:p w14:paraId="1C6A834E">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80</w:t>
                  </w:r>
                </w:p>
              </w:tc>
              <w:tc>
                <w:tcPr>
                  <w:tcW w:w="819" w:type="dxa"/>
                  <w:vMerge w:val="continue"/>
                  <w:tcBorders>
                    <w:tl2br w:val="nil"/>
                    <w:tr2bl w:val="nil"/>
                  </w:tcBorders>
                  <w:vAlign w:val="center"/>
                </w:tcPr>
                <w:p w14:paraId="5AFAE56F">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091B3926">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-106</w:t>
                  </w:r>
                </w:p>
              </w:tc>
              <w:tc>
                <w:tcPr>
                  <w:tcW w:w="563" w:type="dxa"/>
                  <w:tcBorders>
                    <w:tl2br w:val="nil"/>
                    <w:tr2bl w:val="nil"/>
                  </w:tcBorders>
                  <w:vAlign w:val="center"/>
                </w:tcPr>
                <w:p w14:paraId="2FE44072">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-74</w:t>
                  </w:r>
                </w:p>
              </w:tc>
              <w:tc>
                <w:tcPr>
                  <w:tcW w:w="563" w:type="dxa"/>
                  <w:tcBorders>
                    <w:tl2br w:val="nil"/>
                    <w:tr2bl w:val="nil"/>
                  </w:tcBorders>
                  <w:vAlign w:val="center"/>
                </w:tcPr>
                <w:p w14:paraId="57CAEA9E">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6526F67D">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6</w:t>
                  </w:r>
                </w:p>
              </w:tc>
              <w:tc>
                <w:tcPr>
                  <w:tcW w:w="530" w:type="dxa"/>
                  <w:tcBorders>
                    <w:tl2br w:val="nil"/>
                    <w:tr2bl w:val="nil"/>
                  </w:tcBorders>
                  <w:vAlign w:val="center"/>
                </w:tcPr>
                <w:p w14:paraId="12C3FCF5">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56</w:t>
                  </w:r>
                </w:p>
              </w:tc>
              <w:tc>
                <w:tcPr>
                  <w:tcW w:w="530" w:type="dxa"/>
                  <w:vMerge w:val="continue"/>
                  <w:tcBorders>
                    <w:tl2br w:val="nil"/>
                    <w:tr2bl w:val="nil"/>
                  </w:tcBorders>
                  <w:vAlign w:val="center"/>
                </w:tcPr>
                <w:p w14:paraId="6ECEBA07">
                  <w:pPr>
                    <w:pStyle w:val="78"/>
                    <w:jc w:val="center"/>
                    <w:rPr>
                      <w:rFonts w:hint="default" w:ascii="Times New Roman" w:hAnsi="Times New Roman" w:cs="Times New Roman"/>
                      <w:color w:val="auto"/>
                      <w:kern w:val="2"/>
                      <w:sz w:val="18"/>
                      <w:szCs w:val="18"/>
                      <w:highlight w:val="none"/>
                    </w:rPr>
                  </w:pPr>
                </w:p>
              </w:tc>
              <w:tc>
                <w:tcPr>
                  <w:tcW w:w="530" w:type="dxa"/>
                  <w:tcBorders>
                    <w:tl2br w:val="nil"/>
                    <w:tr2bl w:val="nil"/>
                  </w:tcBorders>
                  <w:vAlign w:val="center"/>
                </w:tcPr>
                <w:p w14:paraId="4954B622">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53E66083">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35</w:t>
                  </w:r>
                </w:p>
              </w:tc>
              <w:tc>
                <w:tcPr>
                  <w:tcW w:w="531" w:type="dxa"/>
                  <w:tcBorders>
                    <w:tl2br w:val="nil"/>
                    <w:tr2bl w:val="nil"/>
                  </w:tcBorders>
                  <w:vAlign w:val="center"/>
                </w:tcPr>
                <w:p w14:paraId="620475B1">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2E7B54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06" w:hRule="atLeast"/>
                <w:jc w:val="center"/>
              </w:trPr>
              <w:tc>
                <w:tcPr>
                  <w:tcW w:w="415" w:type="dxa"/>
                  <w:tcBorders>
                    <w:tl2br w:val="nil"/>
                    <w:tr2bl w:val="nil"/>
                  </w:tcBorders>
                  <w:vAlign w:val="center"/>
                </w:tcPr>
                <w:p w14:paraId="15DEE095">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10</w:t>
                  </w:r>
                </w:p>
              </w:tc>
              <w:tc>
                <w:tcPr>
                  <w:tcW w:w="450" w:type="dxa"/>
                  <w:vMerge w:val="continue"/>
                  <w:tcBorders>
                    <w:tl2br w:val="nil"/>
                    <w:tr2bl w:val="nil"/>
                  </w:tcBorders>
                  <w:vAlign w:val="center"/>
                </w:tcPr>
                <w:p w14:paraId="51D63B5B">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3146658B">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风机</w:t>
                  </w:r>
                </w:p>
              </w:tc>
              <w:tc>
                <w:tcPr>
                  <w:tcW w:w="420" w:type="dxa"/>
                  <w:tcBorders>
                    <w:tl2br w:val="nil"/>
                    <w:tr2bl w:val="nil"/>
                  </w:tcBorders>
                  <w:vAlign w:val="center"/>
                </w:tcPr>
                <w:p w14:paraId="3F314FB5">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70</w:t>
                  </w:r>
                </w:p>
              </w:tc>
              <w:tc>
                <w:tcPr>
                  <w:tcW w:w="819" w:type="dxa"/>
                  <w:vMerge w:val="continue"/>
                  <w:tcBorders>
                    <w:tl2br w:val="nil"/>
                    <w:tr2bl w:val="nil"/>
                  </w:tcBorders>
                  <w:vAlign w:val="center"/>
                </w:tcPr>
                <w:p w14:paraId="3E440FEE">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0D53A722">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6</w:t>
                  </w:r>
                </w:p>
              </w:tc>
              <w:tc>
                <w:tcPr>
                  <w:tcW w:w="563" w:type="dxa"/>
                  <w:tcBorders>
                    <w:tl2br w:val="nil"/>
                    <w:tr2bl w:val="nil"/>
                  </w:tcBorders>
                  <w:vAlign w:val="center"/>
                </w:tcPr>
                <w:p w14:paraId="6AECC6A4">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-112</w:t>
                  </w:r>
                </w:p>
              </w:tc>
              <w:tc>
                <w:tcPr>
                  <w:tcW w:w="563" w:type="dxa"/>
                  <w:tcBorders>
                    <w:tl2br w:val="nil"/>
                    <w:tr2bl w:val="nil"/>
                  </w:tcBorders>
                  <w:vAlign w:val="center"/>
                </w:tcPr>
                <w:p w14:paraId="625A0A80">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32E45020">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3</w:t>
                  </w:r>
                </w:p>
              </w:tc>
              <w:tc>
                <w:tcPr>
                  <w:tcW w:w="530" w:type="dxa"/>
                  <w:tcBorders>
                    <w:tl2br w:val="nil"/>
                    <w:tr2bl w:val="nil"/>
                  </w:tcBorders>
                  <w:vAlign w:val="center"/>
                </w:tcPr>
                <w:p w14:paraId="31FF23F5">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52</w:t>
                  </w:r>
                </w:p>
              </w:tc>
              <w:tc>
                <w:tcPr>
                  <w:tcW w:w="530" w:type="dxa"/>
                  <w:vMerge w:val="continue"/>
                  <w:tcBorders>
                    <w:tl2br w:val="nil"/>
                    <w:tr2bl w:val="nil"/>
                  </w:tcBorders>
                  <w:vAlign w:val="center"/>
                </w:tcPr>
                <w:p w14:paraId="721ABDEC">
                  <w:pPr>
                    <w:pStyle w:val="78"/>
                    <w:jc w:val="center"/>
                    <w:rPr>
                      <w:rFonts w:hint="default" w:ascii="Times New Roman" w:hAnsi="Times New Roman" w:cs="Times New Roman"/>
                      <w:color w:val="auto"/>
                      <w:kern w:val="2"/>
                      <w:sz w:val="18"/>
                      <w:szCs w:val="18"/>
                      <w:highlight w:val="none"/>
                      <w:lang w:val="en-US" w:eastAsia="zh-CN"/>
                    </w:rPr>
                  </w:pPr>
                </w:p>
              </w:tc>
              <w:tc>
                <w:tcPr>
                  <w:tcW w:w="530" w:type="dxa"/>
                  <w:tcBorders>
                    <w:tl2br w:val="nil"/>
                    <w:tr2bl w:val="nil"/>
                  </w:tcBorders>
                  <w:vAlign w:val="center"/>
                </w:tcPr>
                <w:p w14:paraId="06B0C587">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5586F8CD">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31</w:t>
                  </w:r>
                </w:p>
              </w:tc>
              <w:tc>
                <w:tcPr>
                  <w:tcW w:w="531" w:type="dxa"/>
                  <w:tcBorders>
                    <w:tl2br w:val="nil"/>
                    <w:tr2bl w:val="nil"/>
                  </w:tcBorders>
                  <w:vAlign w:val="center"/>
                </w:tcPr>
                <w:p w14:paraId="6E71FE22">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rPr>
                    <w:t>1.0</w:t>
                  </w:r>
                </w:p>
              </w:tc>
            </w:tr>
            <w:tr w14:paraId="4767E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5BCFDA00">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11</w:t>
                  </w:r>
                </w:p>
              </w:tc>
              <w:tc>
                <w:tcPr>
                  <w:tcW w:w="450" w:type="dxa"/>
                  <w:vMerge w:val="continue"/>
                  <w:tcBorders>
                    <w:tl2br w:val="nil"/>
                    <w:tr2bl w:val="nil"/>
                  </w:tcBorders>
                  <w:vAlign w:val="center"/>
                </w:tcPr>
                <w:p w14:paraId="3F234456">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0A788F34">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风机</w:t>
                  </w:r>
                </w:p>
              </w:tc>
              <w:tc>
                <w:tcPr>
                  <w:tcW w:w="420" w:type="dxa"/>
                  <w:tcBorders>
                    <w:tl2br w:val="nil"/>
                    <w:tr2bl w:val="nil"/>
                  </w:tcBorders>
                  <w:vAlign w:val="center"/>
                </w:tcPr>
                <w:p w14:paraId="1A45FCC3">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70</w:t>
                  </w:r>
                </w:p>
              </w:tc>
              <w:tc>
                <w:tcPr>
                  <w:tcW w:w="819" w:type="dxa"/>
                  <w:vMerge w:val="continue"/>
                  <w:tcBorders>
                    <w:tl2br w:val="nil"/>
                    <w:tr2bl w:val="nil"/>
                  </w:tcBorders>
                  <w:vAlign w:val="center"/>
                </w:tcPr>
                <w:p w14:paraId="4CD2C411">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097F9335">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-63</w:t>
                  </w:r>
                </w:p>
              </w:tc>
              <w:tc>
                <w:tcPr>
                  <w:tcW w:w="563" w:type="dxa"/>
                  <w:tcBorders>
                    <w:tl2br w:val="nil"/>
                    <w:tr2bl w:val="nil"/>
                  </w:tcBorders>
                  <w:vAlign w:val="center"/>
                </w:tcPr>
                <w:p w14:paraId="6572700B">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-117</w:t>
                  </w:r>
                </w:p>
              </w:tc>
              <w:tc>
                <w:tcPr>
                  <w:tcW w:w="563" w:type="dxa"/>
                  <w:tcBorders>
                    <w:tl2br w:val="nil"/>
                    <w:tr2bl w:val="nil"/>
                  </w:tcBorders>
                  <w:vAlign w:val="center"/>
                </w:tcPr>
                <w:p w14:paraId="6C722268">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4D3DD6EE">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2</w:t>
                  </w:r>
                </w:p>
              </w:tc>
              <w:tc>
                <w:tcPr>
                  <w:tcW w:w="530" w:type="dxa"/>
                  <w:tcBorders>
                    <w:tl2br w:val="nil"/>
                    <w:tr2bl w:val="nil"/>
                  </w:tcBorders>
                  <w:vAlign w:val="center"/>
                </w:tcPr>
                <w:p w14:paraId="70B19CFA">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56</w:t>
                  </w:r>
                </w:p>
              </w:tc>
              <w:tc>
                <w:tcPr>
                  <w:tcW w:w="530" w:type="dxa"/>
                  <w:vMerge w:val="continue"/>
                  <w:tcBorders>
                    <w:tl2br w:val="nil"/>
                    <w:tr2bl w:val="nil"/>
                  </w:tcBorders>
                  <w:vAlign w:val="center"/>
                </w:tcPr>
                <w:p w14:paraId="600B20AA">
                  <w:pPr>
                    <w:pStyle w:val="78"/>
                    <w:jc w:val="center"/>
                    <w:rPr>
                      <w:rFonts w:hint="default" w:ascii="Times New Roman" w:hAnsi="Times New Roman" w:cs="Times New Roman"/>
                      <w:color w:val="auto"/>
                      <w:kern w:val="2"/>
                      <w:sz w:val="18"/>
                      <w:szCs w:val="18"/>
                      <w:highlight w:val="none"/>
                      <w:lang w:val="en-US" w:eastAsia="zh-CN"/>
                    </w:rPr>
                  </w:pPr>
                </w:p>
              </w:tc>
              <w:tc>
                <w:tcPr>
                  <w:tcW w:w="530" w:type="dxa"/>
                  <w:tcBorders>
                    <w:tl2br w:val="nil"/>
                    <w:tr2bl w:val="nil"/>
                  </w:tcBorders>
                  <w:vAlign w:val="center"/>
                </w:tcPr>
                <w:p w14:paraId="5E766BCB">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1582AF80">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35</w:t>
                  </w:r>
                </w:p>
              </w:tc>
              <w:tc>
                <w:tcPr>
                  <w:tcW w:w="531" w:type="dxa"/>
                  <w:tcBorders>
                    <w:tl2br w:val="nil"/>
                    <w:tr2bl w:val="nil"/>
                  </w:tcBorders>
                  <w:vAlign w:val="center"/>
                </w:tcPr>
                <w:p w14:paraId="02988396">
                  <w:pPr>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rPr>
                    <w:t>1.0</w:t>
                  </w:r>
                </w:p>
              </w:tc>
            </w:tr>
            <w:tr w14:paraId="5A26C1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0A69787E">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12</w:t>
                  </w:r>
                </w:p>
              </w:tc>
              <w:tc>
                <w:tcPr>
                  <w:tcW w:w="450" w:type="dxa"/>
                  <w:vMerge w:val="continue"/>
                  <w:tcBorders>
                    <w:tl2br w:val="nil"/>
                    <w:tr2bl w:val="nil"/>
                  </w:tcBorders>
                  <w:vAlign w:val="center"/>
                </w:tcPr>
                <w:p w14:paraId="3396F9E5">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19DF2AB5">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风机</w:t>
                  </w:r>
                </w:p>
              </w:tc>
              <w:tc>
                <w:tcPr>
                  <w:tcW w:w="420" w:type="dxa"/>
                  <w:tcBorders>
                    <w:tl2br w:val="nil"/>
                    <w:tr2bl w:val="nil"/>
                  </w:tcBorders>
                  <w:vAlign w:val="center"/>
                </w:tcPr>
                <w:p w14:paraId="621A5EBE">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70</w:t>
                  </w:r>
                </w:p>
              </w:tc>
              <w:tc>
                <w:tcPr>
                  <w:tcW w:w="819" w:type="dxa"/>
                  <w:vMerge w:val="continue"/>
                  <w:tcBorders>
                    <w:tl2br w:val="nil"/>
                    <w:tr2bl w:val="nil"/>
                  </w:tcBorders>
                  <w:vAlign w:val="center"/>
                </w:tcPr>
                <w:p w14:paraId="5A7F39C3">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585164E6">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-96</w:t>
                  </w:r>
                </w:p>
              </w:tc>
              <w:tc>
                <w:tcPr>
                  <w:tcW w:w="563" w:type="dxa"/>
                  <w:tcBorders>
                    <w:tl2br w:val="nil"/>
                    <w:tr2bl w:val="nil"/>
                  </w:tcBorders>
                  <w:vAlign w:val="center"/>
                </w:tcPr>
                <w:p w14:paraId="28515512">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-76</w:t>
                  </w:r>
                </w:p>
              </w:tc>
              <w:tc>
                <w:tcPr>
                  <w:tcW w:w="563" w:type="dxa"/>
                  <w:tcBorders>
                    <w:tl2br w:val="nil"/>
                    <w:tr2bl w:val="nil"/>
                  </w:tcBorders>
                  <w:vAlign w:val="center"/>
                </w:tcPr>
                <w:p w14:paraId="0B9D4C3A">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613BB536">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2</w:t>
                  </w:r>
                </w:p>
              </w:tc>
              <w:tc>
                <w:tcPr>
                  <w:tcW w:w="530" w:type="dxa"/>
                  <w:tcBorders>
                    <w:tl2br w:val="nil"/>
                    <w:tr2bl w:val="nil"/>
                  </w:tcBorders>
                  <w:vAlign w:val="center"/>
                </w:tcPr>
                <w:p w14:paraId="4150534F">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56</w:t>
                  </w:r>
                </w:p>
              </w:tc>
              <w:tc>
                <w:tcPr>
                  <w:tcW w:w="530" w:type="dxa"/>
                  <w:vMerge w:val="continue"/>
                  <w:tcBorders>
                    <w:tl2br w:val="nil"/>
                    <w:tr2bl w:val="nil"/>
                  </w:tcBorders>
                  <w:vAlign w:val="center"/>
                </w:tcPr>
                <w:p w14:paraId="4D5D88BE">
                  <w:pPr>
                    <w:pStyle w:val="78"/>
                    <w:jc w:val="center"/>
                    <w:rPr>
                      <w:rFonts w:hint="default" w:ascii="Times New Roman" w:hAnsi="Times New Roman" w:cs="Times New Roman"/>
                      <w:color w:val="auto"/>
                      <w:kern w:val="2"/>
                      <w:sz w:val="18"/>
                      <w:szCs w:val="18"/>
                      <w:highlight w:val="none"/>
                      <w:lang w:val="en-US" w:eastAsia="zh-CN"/>
                    </w:rPr>
                  </w:pPr>
                </w:p>
              </w:tc>
              <w:tc>
                <w:tcPr>
                  <w:tcW w:w="530" w:type="dxa"/>
                  <w:tcBorders>
                    <w:tl2br w:val="nil"/>
                    <w:tr2bl w:val="nil"/>
                  </w:tcBorders>
                  <w:vAlign w:val="center"/>
                </w:tcPr>
                <w:p w14:paraId="71E676AC">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652514E5">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35</w:t>
                  </w:r>
                </w:p>
              </w:tc>
              <w:tc>
                <w:tcPr>
                  <w:tcW w:w="531" w:type="dxa"/>
                  <w:tcBorders>
                    <w:tl2br w:val="nil"/>
                    <w:tr2bl w:val="nil"/>
                  </w:tcBorders>
                  <w:vAlign w:val="center"/>
                </w:tcPr>
                <w:p w14:paraId="435CF0ED">
                  <w:pPr>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rPr>
                    <w:t>1.0</w:t>
                  </w:r>
                </w:p>
              </w:tc>
            </w:tr>
            <w:tr w14:paraId="471BA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66B751D1">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13</w:t>
                  </w:r>
                </w:p>
              </w:tc>
              <w:tc>
                <w:tcPr>
                  <w:tcW w:w="450" w:type="dxa"/>
                  <w:vMerge w:val="continue"/>
                  <w:tcBorders>
                    <w:tl2br w:val="nil"/>
                    <w:tr2bl w:val="nil"/>
                  </w:tcBorders>
                  <w:vAlign w:val="center"/>
                </w:tcPr>
                <w:p w14:paraId="46A73B21">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4EC65012">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风机</w:t>
                  </w:r>
                </w:p>
              </w:tc>
              <w:tc>
                <w:tcPr>
                  <w:tcW w:w="420" w:type="dxa"/>
                  <w:tcBorders>
                    <w:tl2br w:val="nil"/>
                    <w:tr2bl w:val="nil"/>
                  </w:tcBorders>
                  <w:vAlign w:val="center"/>
                </w:tcPr>
                <w:p w14:paraId="3E5FF4C5">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70</w:t>
                  </w:r>
                </w:p>
              </w:tc>
              <w:tc>
                <w:tcPr>
                  <w:tcW w:w="819" w:type="dxa"/>
                  <w:vMerge w:val="continue"/>
                  <w:tcBorders>
                    <w:tl2br w:val="nil"/>
                    <w:tr2bl w:val="nil"/>
                  </w:tcBorders>
                  <w:vAlign w:val="center"/>
                </w:tcPr>
                <w:p w14:paraId="536B5F88">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702EC7C1">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20</w:t>
                  </w:r>
                </w:p>
              </w:tc>
              <w:tc>
                <w:tcPr>
                  <w:tcW w:w="563" w:type="dxa"/>
                  <w:tcBorders>
                    <w:tl2br w:val="nil"/>
                    <w:tr2bl w:val="nil"/>
                  </w:tcBorders>
                  <w:vAlign w:val="center"/>
                </w:tcPr>
                <w:p w14:paraId="76FDA84F">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-96</w:t>
                  </w:r>
                </w:p>
              </w:tc>
              <w:tc>
                <w:tcPr>
                  <w:tcW w:w="563" w:type="dxa"/>
                  <w:tcBorders>
                    <w:tl2br w:val="nil"/>
                    <w:tr2bl w:val="nil"/>
                  </w:tcBorders>
                  <w:vAlign w:val="center"/>
                </w:tcPr>
                <w:p w14:paraId="2F49A9B6">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286853F3">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5</w:t>
                  </w:r>
                </w:p>
              </w:tc>
              <w:tc>
                <w:tcPr>
                  <w:tcW w:w="530" w:type="dxa"/>
                  <w:tcBorders>
                    <w:tl2br w:val="nil"/>
                    <w:tr2bl w:val="nil"/>
                  </w:tcBorders>
                  <w:vAlign w:val="center"/>
                </w:tcPr>
                <w:p w14:paraId="602050BA">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48</w:t>
                  </w:r>
                </w:p>
              </w:tc>
              <w:tc>
                <w:tcPr>
                  <w:tcW w:w="530" w:type="dxa"/>
                  <w:vMerge w:val="continue"/>
                  <w:tcBorders>
                    <w:tl2br w:val="nil"/>
                    <w:tr2bl w:val="nil"/>
                  </w:tcBorders>
                  <w:vAlign w:val="center"/>
                </w:tcPr>
                <w:p w14:paraId="63DBD905">
                  <w:pPr>
                    <w:pStyle w:val="78"/>
                    <w:jc w:val="center"/>
                    <w:rPr>
                      <w:rFonts w:hint="default" w:ascii="Times New Roman" w:hAnsi="Times New Roman" w:cs="Times New Roman"/>
                      <w:color w:val="auto"/>
                      <w:kern w:val="2"/>
                      <w:sz w:val="18"/>
                      <w:szCs w:val="18"/>
                      <w:highlight w:val="none"/>
                      <w:lang w:val="en-US" w:eastAsia="zh-CN"/>
                    </w:rPr>
                  </w:pPr>
                </w:p>
              </w:tc>
              <w:tc>
                <w:tcPr>
                  <w:tcW w:w="530" w:type="dxa"/>
                  <w:tcBorders>
                    <w:tl2br w:val="nil"/>
                    <w:tr2bl w:val="nil"/>
                  </w:tcBorders>
                  <w:vAlign w:val="center"/>
                </w:tcPr>
                <w:p w14:paraId="485BF893">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05607D0B">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27</w:t>
                  </w:r>
                </w:p>
              </w:tc>
              <w:tc>
                <w:tcPr>
                  <w:tcW w:w="531" w:type="dxa"/>
                  <w:tcBorders>
                    <w:tl2br w:val="nil"/>
                    <w:tr2bl w:val="nil"/>
                  </w:tcBorders>
                  <w:vAlign w:val="center"/>
                </w:tcPr>
                <w:p w14:paraId="71887E96">
                  <w:pPr>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rPr>
                    <w:t>1.0</w:t>
                  </w:r>
                </w:p>
              </w:tc>
            </w:tr>
            <w:tr w14:paraId="2E0965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53BBFC67">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14</w:t>
                  </w:r>
                </w:p>
              </w:tc>
              <w:tc>
                <w:tcPr>
                  <w:tcW w:w="450" w:type="dxa"/>
                  <w:vMerge w:val="continue"/>
                  <w:tcBorders>
                    <w:tl2br w:val="nil"/>
                    <w:tr2bl w:val="nil"/>
                  </w:tcBorders>
                  <w:vAlign w:val="center"/>
                </w:tcPr>
                <w:p w14:paraId="48B97E35">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1C2C835C">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风机</w:t>
                  </w:r>
                </w:p>
              </w:tc>
              <w:tc>
                <w:tcPr>
                  <w:tcW w:w="420" w:type="dxa"/>
                  <w:tcBorders>
                    <w:tl2br w:val="nil"/>
                    <w:tr2bl w:val="nil"/>
                  </w:tcBorders>
                  <w:vAlign w:val="center"/>
                </w:tcPr>
                <w:p w14:paraId="751031BF">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70</w:t>
                  </w:r>
                </w:p>
              </w:tc>
              <w:tc>
                <w:tcPr>
                  <w:tcW w:w="819" w:type="dxa"/>
                  <w:vMerge w:val="continue"/>
                  <w:tcBorders>
                    <w:tl2br w:val="nil"/>
                    <w:tr2bl w:val="nil"/>
                  </w:tcBorders>
                  <w:vAlign w:val="center"/>
                </w:tcPr>
                <w:p w14:paraId="60C1C9D8">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7C816229">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-68</w:t>
                  </w:r>
                </w:p>
              </w:tc>
              <w:tc>
                <w:tcPr>
                  <w:tcW w:w="563" w:type="dxa"/>
                  <w:tcBorders>
                    <w:tl2br w:val="nil"/>
                    <w:tr2bl w:val="nil"/>
                  </w:tcBorders>
                  <w:vAlign w:val="center"/>
                </w:tcPr>
                <w:p w14:paraId="25F9C71A">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-112</w:t>
                  </w:r>
                </w:p>
              </w:tc>
              <w:tc>
                <w:tcPr>
                  <w:tcW w:w="563" w:type="dxa"/>
                  <w:tcBorders>
                    <w:tl2br w:val="nil"/>
                    <w:tr2bl w:val="nil"/>
                  </w:tcBorders>
                  <w:vAlign w:val="center"/>
                </w:tcPr>
                <w:p w14:paraId="6C117DA5">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58CC8EC7">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w:t>
                  </w:r>
                </w:p>
              </w:tc>
              <w:tc>
                <w:tcPr>
                  <w:tcW w:w="530" w:type="dxa"/>
                  <w:tcBorders>
                    <w:tl2br w:val="nil"/>
                    <w:tr2bl w:val="nil"/>
                  </w:tcBorders>
                  <w:vAlign w:val="center"/>
                </w:tcPr>
                <w:p w14:paraId="084B0B8B">
                  <w:pPr>
                    <w:pStyle w:val="78"/>
                    <w:jc w:val="center"/>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48</w:t>
                  </w:r>
                </w:p>
              </w:tc>
              <w:tc>
                <w:tcPr>
                  <w:tcW w:w="530" w:type="dxa"/>
                  <w:vMerge w:val="continue"/>
                  <w:tcBorders>
                    <w:tl2br w:val="nil"/>
                    <w:tr2bl w:val="nil"/>
                  </w:tcBorders>
                  <w:vAlign w:val="center"/>
                </w:tcPr>
                <w:p w14:paraId="4274F61B">
                  <w:pPr>
                    <w:pStyle w:val="78"/>
                    <w:jc w:val="center"/>
                    <w:rPr>
                      <w:rFonts w:hint="default" w:ascii="Times New Roman" w:hAnsi="Times New Roman" w:cs="Times New Roman"/>
                      <w:color w:val="auto"/>
                      <w:kern w:val="2"/>
                      <w:sz w:val="18"/>
                      <w:szCs w:val="18"/>
                      <w:highlight w:val="none"/>
                      <w:lang w:val="en-US" w:eastAsia="zh-CN"/>
                    </w:rPr>
                  </w:pPr>
                </w:p>
              </w:tc>
              <w:tc>
                <w:tcPr>
                  <w:tcW w:w="530" w:type="dxa"/>
                  <w:tcBorders>
                    <w:tl2br w:val="nil"/>
                    <w:tr2bl w:val="nil"/>
                  </w:tcBorders>
                  <w:vAlign w:val="center"/>
                </w:tcPr>
                <w:p w14:paraId="12C362EA">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2F233F41">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27</w:t>
                  </w:r>
                </w:p>
              </w:tc>
              <w:tc>
                <w:tcPr>
                  <w:tcW w:w="531" w:type="dxa"/>
                  <w:tcBorders>
                    <w:tl2br w:val="nil"/>
                    <w:tr2bl w:val="nil"/>
                  </w:tcBorders>
                  <w:vAlign w:val="center"/>
                </w:tcPr>
                <w:p w14:paraId="033B13B6">
                  <w:pPr>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rPr>
                    <w:t>1.0</w:t>
                  </w:r>
                </w:p>
              </w:tc>
            </w:tr>
            <w:tr w14:paraId="52CA63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4A4E509A">
                  <w:pPr>
                    <w:pStyle w:val="78"/>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15</w:t>
                  </w:r>
                </w:p>
              </w:tc>
              <w:tc>
                <w:tcPr>
                  <w:tcW w:w="450" w:type="dxa"/>
                  <w:vMerge w:val="continue"/>
                  <w:tcBorders>
                    <w:tl2br w:val="nil"/>
                    <w:tr2bl w:val="nil"/>
                  </w:tcBorders>
                  <w:vAlign w:val="center"/>
                </w:tcPr>
                <w:p w14:paraId="0B13ACB5">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4D9C69E2">
                  <w:pPr>
                    <w:widowControl/>
                    <w:jc w:val="center"/>
                    <w:textAlignment w:val="center"/>
                    <w:rPr>
                      <w:rFonts w:hint="default" w:ascii="Times New Roman" w:hAnsi="Times New Roman" w:cs="Times New Roman"/>
                      <w:color w:val="auto"/>
                      <w:kern w:val="2"/>
                      <w:sz w:val="18"/>
                      <w:szCs w:val="18"/>
                      <w:highlight w:val="none"/>
                      <w:lang w:val="en-US" w:eastAsia="zh-CN"/>
                    </w:rPr>
                  </w:pPr>
                  <w:r>
                    <w:rPr>
                      <w:rFonts w:hint="eastAsia" w:cs="Times New Roman"/>
                      <w:color w:val="auto"/>
                      <w:kern w:val="0"/>
                      <w:sz w:val="18"/>
                      <w:szCs w:val="18"/>
                      <w:highlight w:val="none"/>
                      <w:lang w:val="en-US" w:eastAsia="zh-CN" w:bidi="ar"/>
                    </w:rPr>
                    <w:t>装载机</w:t>
                  </w:r>
                </w:p>
              </w:tc>
              <w:tc>
                <w:tcPr>
                  <w:tcW w:w="420" w:type="dxa"/>
                  <w:tcBorders>
                    <w:tl2br w:val="nil"/>
                    <w:tr2bl w:val="nil"/>
                  </w:tcBorders>
                  <w:vAlign w:val="center"/>
                </w:tcPr>
                <w:p w14:paraId="75D182FD">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70</w:t>
                  </w:r>
                </w:p>
              </w:tc>
              <w:tc>
                <w:tcPr>
                  <w:tcW w:w="819" w:type="dxa"/>
                  <w:vMerge w:val="continue"/>
                  <w:tcBorders>
                    <w:tl2br w:val="nil"/>
                    <w:tr2bl w:val="nil"/>
                  </w:tcBorders>
                  <w:vAlign w:val="center"/>
                </w:tcPr>
                <w:p w14:paraId="7D4A5A4D">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3BAE2B7C">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lang w:val="en-US" w:eastAsia="zh-CN"/>
                    </w:rPr>
                  </w:pPr>
                  <w:r>
                    <w:rPr>
                      <w:rFonts w:hint="eastAsia" w:cs="Times New Roman"/>
                      <w:color w:val="auto"/>
                      <w:kern w:val="2"/>
                      <w:sz w:val="18"/>
                      <w:szCs w:val="18"/>
                      <w:highlight w:val="none"/>
                      <w:lang w:val="en-US" w:eastAsia="zh-CN"/>
                    </w:rPr>
                    <w:t>10</w:t>
                  </w:r>
                </w:p>
              </w:tc>
              <w:tc>
                <w:tcPr>
                  <w:tcW w:w="563" w:type="dxa"/>
                  <w:tcBorders>
                    <w:tl2br w:val="nil"/>
                    <w:tr2bl w:val="nil"/>
                  </w:tcBorders>
                  <w:vAlign w:val="center"/>
                </w:tcPr>
                <w:p w14:paraId="1C83A7D1">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w:t>
                  </w:r>
                  <w:r>
                    <w:rPr>
                      <w:rFonts w:hint="eastAsia" w:cs="Times New Roman"/>
                      <w:color w:val="auto"/>
                      <w:kern w:val="2"/>
                      <w:sz w:val="18"/>
                      <w:szCs w:val="18"/>
                      <w:highlight w:val="none"/>
                      <w:lang w:val="en-US" w:eastAsia="zh-CN"/>
                    </w:rPr>
                    <w:t>20</w:t>
                  </w:r>
                </w:p>
              </w:tc>
              <w:tc>
                <w:tcPr>
                  <w:tcW w:w="563" w:type="dxa"/>
                  <w:tcBorders>
                    <w:tl2br w:val="nil"/>
                    <w:tr2bl w:val="nil"/>
                  </w:tcBorders>
                  <w:vAlign w:val="center"/>
                </w:tcPr>
                <w:p w14:paraId="379C6CF4">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0C0FA5A3">
                  <w:pPr>
                    <w:pStyle w:val="78"/>
                    <w:jc w:val="center"/>
                    <w:rPr>
                      <w:rFonts w:hint="eastAsia"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3</w:t>
                  </w:r>
                </w:p>
              </w:tc>
              <w:tc>
                <w:tcPr>
                  <w:tcW w:w="530" w:type="dxa"/>
                  <w:tcBorders>
                    <w:tl2br w:val="nil"/>
                    <w:tr2bl w:val="nil"/>
                  </w:tcBorders>
                  <w:vAlign w:val="center"/>
                </w:tcPr>
                <w:p w14:paraId="0EC6921F">
                  <w:pPr>
                    <w:pStyle w:val="78"/>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52</w:t>
                  </w:r>
                </w:p>
              </w:tc>
              <w:tc>
                <w:tcPr>
                  <w:tcW w:w="530" w:type="dxa"/>
                  <w:vMerge w:val="continue"/>
                  <w:tcBorders>
                    <w:tl2br w:val="nil"/>
                    <w:tr2bl w:val="nil"/>
                  </w:tcBorders>
                  <w:vAlign w:val="center"/>
                </w:tcPr>
                <w:p w14:paraId="2AB5DD14">
                  <w:pPr>
                    <w:pStyle w:val="78"/>
                    <w:jc w:val="center"/>
                    <w:rPr>
                      <w:rFonts w:hint="default" w:ascii="Times New Roman" w:hAnsi="Times New Roman" w:cs="Times New Roman"/>
                      <w:color w:val="auto"/>
                      <w:kern w:val="2"/>
                      <w:sz w:val="18"/>
                      <w:szCs w:val="18"/>
                      <w:highlight w:val="none"/>
                      <w:lang w:val="en-US" w:eastAsia="zh-CN"/>
                    </w:rPr>
                  </w:pPr>
                </w:p>
              </w:tc>
              <w:tc>
                <w:tcPr>
                  <w:tcW w:w="530" w:type="dxa"/>
                  <w:tcBorders>
                    <w:tl2br w:val="nil"/>
                    <w:tr2bl w:val="nil"/>
                  </w:tcBorders>
                  <w:vAlign w:val="center"/>
                </w:tcPr>
                <w:p w14:paraId="7E5E7093">
                  <w:pPr>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4194BA02">
                  <w:pPr>
                    <w:pStyle w:val="78"/>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31</w:t>
                  </w:r>
                </w:p>
              </w:tc>
              <w:tc>
                <w:tcPr>
                  <w:tcW w:w="531" w:type="dxa"/>
                  <w:tcBorders>
                    <w:tl2br w:val="nil"/>
                    <w:tr2bl w:val="nil"/>
                  </w:tcBorders>
                  <w:vAlign w:val="center"/>
                </w:tcPr>
                <w:p w14:paraId="0801FF57">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20EA2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0889D78C">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16</w:t>
                  </w:r>
                </w:p>
              </w:tc>
              <w:tc>
                <w:tcPr>
                  <w:tcW w:w="450" w:type="dxa"/>
                  <w:vMerge w:val="continue"/>
                  <w:tcBorders>
                    <w:tl2br w:val="nil"/>
                    <w:tr2bl w:val="nil"/>
                  </w:tcBorders>
                  <w:vAlign w:val="center"/>
                </w:tcPr>
                <w:p w14:paraId="2EABD8DB">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4B259583">
                  <w:pPr>
                    <w:widowControl/>
                    <w:jc w:val="center"/>
                    <w:textAlignment w:val="center"/>
                    <w:rPr>
                      <w:rFonts w:hint="eastAsia"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装载机</w:t>
                  </w:r>
                </w:p>
              </w:tc>
              <w:tc>
                <w:tcPr>
                  <w:tcW w:w="420" w:type="dxa"/>
                  <w:tcBorders>
                    <w:tl2br w:val="nil"/>
                    <w:tr2bl w:val="nil"/>
                  </w:tcBorders>
                  <w:vAlign w:val="center"/>
                </w:tcPr>
                <w:p w14:paraId="4505BE7A">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70</w:t>
                  </w:r>
                </w:p>
              </w:tc>
              <w:tc>
                <w:tcPr>
                  <w:tcW w:w="819" w:type="dxa"/>
                  <w:vMerge w:val="continue"/>
                  <w:tcBorders>
                    <w:tl2br w:val="nil"/>
                    <w:tr2bl w:val="nil"/>
                  </w:tcBorders>
                  <w:vAlign w:val="center"/>
                </w:tcPr>
                <w:p w14:paraId="557964B7">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4FEADA3B">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-6</w:t>
                  </w:r>
                  <w:r>
                    <w:rPr>
                      <w:rFonts w:hint="eastAsia" w:cs="Times New Roman"/>
                      <w:color w:val="auto"/>
                      <w:kern w:val="2"/>
                      <w:sz w:val="18"/>
                      <w:szCs w:val="18"/>
                      <w:highlight w:val="none"/>
                      <w:lang w:val="en-US" w:eastAsia="zh-CN"/>
                    </w:rPr>
                    <w:t>0</w:t>
                  </w:r>
                </w:p>
              </w:tc>
              <w:tc>
                <w:tcPr>
                  <w:tcW w:w="563" w:type="dxa"/>
                  <w:tcBorders>
                    <w:tl2br w:val="nil"/>
                    <w:tr2bl w:val="nil"/>
                  </w:tcBorders>
                  <w:vAlign w:val="center"/>
                </w:tcPr>
                <w:p w14:paraId="402C117B">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-11</w:t>
                  </w:r>
                  <w:r>
                    <w:rPr>
                      <w:rFonts w:hint="eastAsia" w:cs="Times New Roman"/>
                      <w:color w:val="auto"/>
                      <w:kern w:val="2"/>
                      <w:sz w:val="18"/>
                      <w:szCs w:val="18"/>
                      <w:highlight w:val="none"/>
                      <w:lang w:val="en-US" w:eastAsia="zh-CN"/>
                    </w:rPr>
                    <w:t>9</w:t>
                  </w:r>
                </w:p>
              </w:tc>
              <w:tc>
                <w:tcPr>
                  <w:tcW w:w="563" w:type="dxa"/>
                  <w:tcBorders>
                    <w:tl2br w:val="nil"/>
                    <w:tr2bl w:val="nil"/>
                  </w:tcBorders>
                  <w:vAlign w:val="center"/>
                </w:tcPr>
                <w:p w14:paraId="56867F5D">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3718BC6D">
                  <w:pPr>
                    <w:pStyle w:val="78"/>
                    <w:jc w:val="center"/>
                    <w:rPr>
                      <w:rFonts w:hint="eastAsia"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2</w:t>
                  </w:r>
                </w:p>
              </w:tc>
              <w:tc>
                <w:tcPr>
                  <w:tcW w:w="530" w:type="dxa"/>
                  <w:tcBorders>
                    <w:tl2br w:val="nil"/>
                    <w:tr2bl w:val="nil"/>
                  </w:tcBorders>
                  <w:vAlign w:val="center"/>
                </w:tcPr>
                <w:p w14:paraId="5ACA7F87">
                  <w:pPr>
                    <w:pStyle w:val="78"/>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56</w:t>
                  </w:r>
                </w:p>
              </w:tc>
              <w:tc>
                <w:tcPr>
                  <w:tcW w:w="530" w:type="dxa"/>
                  <w:vMerge w:val="continue"/>
                  <w:tcBorders>
                    <w:tl2br w:val="nil"/>
                    <w:tr2bl w:val="nil"/>
                  </w:tcBorders>
                  <w:vAlign w:val="center"/>
                </w:tcPr>
                <w:p w14:paraId="5EB5A352">
                  <w:pPr>
                    <w:pStyle w:val="78"/>
                    <w:jc w:val="center"/>
                    <w:rPr>
                      <w:rFonts w:hint="default" w:ascii="Times New Roman" w:hAnsi="Times New Roman" w:cs="Times New Roman"/>
                      <w:color w:val="auto"/>
                      <w:kern w:val="2"/>
                      <w:sz w:val="18"/>
                      <w:szCs w:val="18"/>
                      <w:highlight w:val="none"/>
                      <w:lang w:val="en-US" w:eastAsia="zh-CN"/>
                    </w:rPr>
                  </w:pPr>
                </w:p>
              </w:tc>
              <w:tc>
                <w:tcPr>
                  <w:tcW w:w="530" w:type="dxa"/>
                  <w:tcBorders>
                    <w:tl2br w:val="nil"/>
                    <w:tr2bl w:val="nil"/>
                  </w:tcBorders>
                  <w:vAlign w:val="center"/>
                </w:tcPr>
                <w:p w14:paraId="00FF3775">
                  <w:pPr>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2C428BBD">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35</w:t>
                  </w:r>
                </w:p>
              </w:tc>
              <w:tc>
                <w:tcPr>
                  <w:tcW w:w="531" w:type="dxa"/>
                  <w:tcBorders>
                    <w:tl2br w:val="nil"/>
                    <w:tr2bl w:val="nil"/>
                  </w:tcBorders>
                  <w:vAlign w:val="center"/>
                </w:tcPr>
                <w:p w14:paraId="21FB2099">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6544DB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6D35B700">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17</w:t>
                  </w:r>
                </w:p>
              </w:tc>
              <w:tc>
                <w:tcPr>
                  <w:tcW w:w="450" w:type="dxa"/>
                  <w:vMerge w:val="continue"/>
                  <w:tcBorders>
                    <w:tl2br w:val="nil"/>
                    <w:tr2bl w:val="nil"/>
                  </w:tcBorders>
                  <w:vAlign w:val="center"/>
                </w:tcPr>
                <w:p w14:paraId="723D15EF">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1C98BC8F">
                  <w:pPr>
                    <w:widowControl/>
                    <w:jc w:val="center"/>
                    <w:textAlignment w:val="center"/>
                    <w:rPr>
                      <w:rFonts w:hint="eastAsia"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装载机</w:t>
                  </w:r>
                </w:p>
              </w:tc>
              <w:tc>
                <w:tcPr>
                  <w:tcW w:w="420" w:type="dxa"/>
                  <w:tcBorders>
                    <w:tl2br w:val="nil"/>
                    <w:tr2bl w:val="nil"/>
                  </w:tcBorders>
                  <w:vAlign w:val="center"/>
                </w:tcPr>
                <w:p w14:paraId="639C9126">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70</w:t>
                  </w:r>
                </w:p>
              </w:tc>
              <w:tc>
                <w:tcPr>
                  <w:tcW w:w="819" w:type="dxa"/>
                  <w:vMerge w:val="continue"/>
                  <w:tcBorders>
                    <w:tl2br w:val="nil"/>
                    <w:tr2bl w:val="nil"/>
                  </w:tcBorders>
                  <w:vAlign w:val="center"/>
                </w:tcPr>
                <w:p w14:paraId="54A205CF">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16B2BF76">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-9</w:t>
                  </w:r>
                  <w:r>
                    <w:rPr>
                      <w:rFonts w:hint="eastAsia" w:cs="Times New Roman"/>
                      <w:color w:val="auto"/>
                      <w:kern w:val="2"/>
                      <w:sz w:val="18"/>
                      <w:szCs w:val="18"/>
                      <w:highlight w:val="none"/>
                      <w:lang w:val="en-US" w:eastAsia="zh-CN"/>
                    </w:rPr>
                    <w:t>0</w:t>
                  </w:r>
                </w:p>
              </w:tc>
              <w:tc>
                <w:tcPr>
                  <w:tcW w:w="563" w:type="dxa"/>
                  <w:tcBorders>
                    <w:tl2br w:val="nil"/>
                    <w:tr2bl w:val="nil"/>
                  </w:tcBorders>
                  <w:vAlign w:val="center"/>
                </w:tcPr>
                <w:p w14:paraId="0AD0606E">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w:t>
                  </w:r>
                  <w:r>
                    <w:rPr>
                      <w:rFonts w:hint="eastAsia" w:cs="Times New Roman"/>
                      <w:color w:val="auto"/>
                      <w:kern w:val="2"/>
                      <w:sz w:val="18"/>
                      <w:szCs w:val="18"/>
                      <w:highlight w:val="none"/>
                      <w:lang w:val="en-US" w:eastAsia="zh-CN"/>
                    </w:rPr>
                    <w:t>80</w:t>
                  </w:r>
                </w:p>
              </w:tc>
              <w:tc>
                <w:tcPr>
                  <w:tcW w:w="563" w:type="dxa"/>
                  <w:tcBorders>
                    <w:tl2br w:val="nil"/>
                    <w:tr2bl w:val="nil"/>
                  </w:tcBorders>
                  <w:vAlign w:val="center"/>
                </w:tcPr>
                <w:p w14:paraId="63BF3F06">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1480DE8F">
                  <w:pPr>
                    <w:pStyle w:val="78"/>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2</w:t>
                  </w:r>
                </w:p>
              </w:tc>
              <w:tc>
                <w:tcPr>
                  <w:tcW w:w="530" w:type="dxa"/>
                  <w:tcBorders>
                    <w:tl2br w:val="nil"/>
                    <w:tr2bl w:val="nil"/>
                  </w:tcBorders>
                  <w:vAlign w:val="center"/>
                </w:tcPr>
                <w:p w14:paraId="1AF4E4B4">
                  <w:pPr>
                    <w:pStyle w:val="78"/>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56</w:t>
                  </w:r>
                </w:p>
              </w:tc>
              <w:tc>
                <w:tcPr>
                  <w:tcW w:w="530" w:type="dxa"/>
                  <w:vMerge w:val="continue"/>
                  <w:tcBorders>
                    <w:tl2br w:val="nil"/>
                    <w:tr2bl w:val="nil"/>
                  </w:tcBorders>
                  <w:vAlign w:val="center"/>
                </w:tcPr>
                <w:p w14:paraId="422635B5">
                  <w:pPr>
                    <w:pStyle w:val="78"/>
                    <w:jc w:val="center"/>
                    <w:rPr>
                      <w:rFonts w:hint="default" w:ascii="Times New Roman" w:hAnsi="Times New Roman" w:cs="Times New Roman"/>
                      <w:color w:val="auto"/>
                      <w:kern w:val="2"/>
                      <w:sz w:val="18"/>
                      <w:szCs w:val="18"/>
                      <w:highlight w:val="none"/>
                      <w:lang w:val="en-US" w:eastAsia="zh-CN"/>
                    </w:rPr>
                  </w:pPr>
                </w:p>
              </w:tc>
              <w:tc>
                <w:tcPr>
                  <w:tcW w:w="530" w:type="dxa"/>
                  <w:tcBorders>
                    <w:tl2br w:val="nil"/>
                    <w:tr2bl w:val="nil"/>
                  </w:tcBorders>
                  <w:vAlign w:val="center"/>
                </w:tcPr>
                <w:p w14:paraId="142369BC">
                  <w:pPr>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2EA45B70">
                  <w:pPr>
                    <w:pStyle w:val="78"/>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35</w:t>
                  </w:r>
                </w:p>
              </w:tc>
              <w:tc>
                <w:tcPr>
                  <w:tcW w:w="531" w:type="dxa"/>
                  <w:tcBorders>
                    <w:tl2br w:val="nil"/>
                    <w:tr2bl w:val="nil"/>
                  </w:tcBorders>
                  <w:vAlign w:val="center"/>
                </w:tcPr>
                <w:p w14:paraId="06EA92E9">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r w14:paraId="241655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15" w:type="dxa"/>
                  <w:tcBorders>
                    <w:tl2br w:val="nil"/>
                    <w:tr2bl w:val="nil"/>
                  </w:tcBorders>
                  <w:vAlign w:val="center"/>
                </w:tcPr>
                <w:p w14:paraId="1F4B6F18">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18</w:t>
                  </w:r>
                </w:p>
              </w:tc>
              <w:tc>
                <w:tcPr>
                  <w:tcW w:w="450" w:type="dxa"/>
                  <w:vMerge w:val="continue"/>
                  <w:tcBorders>
                    <w:tl2br w:val="nil"/>
                    <w:tr2bl w:val="nil"/>
                  </w:tcBorders>
                  <w:vAlign w:val="center"/>
                </w:tcPr>
                <w:p w14:paraId="61474FBE">
                  <w:pPr>
                    <w:pStyle w:val="78"/>
                    <w:jc w:val="center"/>
                    <w:rPr>
                      <w:rFonts w:hint="default" w:ascii="Times New Roman" w:hAnsi="Times New Roman" w:cs="Times New Roman"/>
                      <w:color w:val="auto"/>
                      <w:kern w:val="2"/>
                      <w:sz w:val="18"/>
                      <w:szCs w:val="18"/>
                      <w:highlight w:val="none"/>
                    </w:rPr>
                  </w:pPr>
                </w:p>
              </w:tc>
              <w:tc>
                <w:tcPr>
                  <w:tcW w:w="974" w:type="dxa"/>
                  <w:tcBorders>
                    <w:tl2br w:val="nil"/>
                    <w:tr2bl w:val="nil"/>
                  </w:tcBorders>
                  <w:vAlign w:val="center"/>
                </w:tcPr>
                <w:p w14:paraId="27A99AF6">
                  <w:pPr>
                    <w:widowControl/>
                    <w:jc w:val="center"/>
                    <w:textAlignment w:val="center"/>
                    <w:rPr>
                      <w:rFonts w:hint="default" w:ascii="Times New Roman" w:hAnsi="Times New Roman" w:cs="Times New Roman"/>
                      <w:color w:val="auto"/>
                      <w:kern w:val="2"/>
                      <w:sz w:val="18"/>
                      <w:szCs w:val="18"/>
                      <w:highlight w:val="none"/>
                      <w:lang w:val="en-US" w:eastAsia="zh-CN"/>
                    </w:rPr>
                  </w:pPr>
                  <w:r>
                    <w:rPr>
                      <w:rFonts w:hint="eastAsia" w:cs="Times New Roman"/>
                      <w:color w:val="auto"/>
                      <w:kern w:val="0"/>
                      <w:sz w:val="18"/>
                      <w:szCs w:val="18"/>
                      <w:highlight w:val="none"/>
                      <w:lang w:val="en-US" w:eastAsia="zh-CN" w:bidi="ar"/>
                    </w:rPr>
                    <w:t>电烘干箱</w:t>
                  </w:r>
                </w:p>
              </w:tc>
              <w:tc>
                <w:tcPr>
                  <w:tcW w:w="420" w:type="dxa"/>
                  <w:tcBorders>
                    <w:tl2br w:val="nil"/>
                    <w:tr2bl w:val="nil"/>
                  </w:tcBorders>
                  <w:vAlign w:val="center"/>
                </w:tcPr>
                <w:p w14:paraId="5F55761F">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70</w:t>
                  </w:r>
                </w:p>
              </w:tc>
              <w:tc>
                <w:tcPr>
                  <w:tcW w:w="819" w:type="dxa"/>
                  <w:vMerge w:val="continue"/>
                  <w:tcBorders>
                    <w:tl2br w:val="nil"/>
                    <w:tr2bl w:val="nil"/>
                  </w:tcBorders>
                  <w:vAlign w:val="center"/>
                </w:tcPr>
                <w:p w14:paraId="2F2FE1DE">
                  <w:pPr>
                    <w:pStyle w:val="78"/>
                    <w:jc w:val="center"/>
                    <w:rPr>
                      <w:rFonts w:hint="default" w:ascii="Times New Roman" w:hAnsi="Times New Roman" w:cs="Times New Roman"/>
                      <w:color w:val="auto"/>
                      <w:kern w:val="2"/>
                      <w:sz w:val="18"/>
                      <w:szCs w:val="18"/>
                      <w:highlight w:val="none"/>
                    </w:rPr>
                  </w:pPr>
                </w:p>
              </w:tc>
              <w:tc>
                <w:tcPr>
                  <w:tcW w:w="563" w:type="dxa"/>
                  <w:tcBorders>
                    <w:tl2br w:val="nil"/>
                    <w:tr2bl w:val="nil"/>
                  </w:tcBorders>
                  <w:vAlign w:val="center"/>
                </w:tcPr>
                <w:p w14:paraId="363F8387">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-68</w:t>
                  </w:r>
                </w:p>
              </w:tc>
              <w:tc>
                <w:tcPr>
                  <w:tcW w:w="563" w:type="dxa"/>
                  <w:tcBorders>
                    <w:tl2br w:val="nil"/>
                    <w:tr2bl w:val="nil"/>
                  </w:tcBorders>
                  <w:vAlign w:val="center"/>
                </w:tcPr>
                <w:p w14:paraId="4EFAB010">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w:t>
                  </w:r>
                  <w:r>
                    <w:rPr>
                      <w:rFonts w:hint="eastAsia" w:cs="Times New Roman"/>
                      <w:color w:val="auto"/>
                      <w:kern w:val="2"/>
                      <w:sz w:val="18"/>
                      <w:szCs w:val="18"/>
                      <w:highlight w:val="none"/>
                      <w:lang w:val="en-US" w:eastAsia="zh-CN"/>
                    </w:rPr>
                    <w:t>20</w:t>
                  </w:r>
                </w:p>
              </w:tc>
              <w:tc>
                <w:tcPr>
                  <w:tcW w:w="563" w:type="dxa"/>
                  <w:tcBorders>
                    <w:tl2br w:val="nil"/>
                    <w:tr2bl w:val="nil"/>
                  </w:tcBorders>
                  <w:vAlign w:val="center"/>
                </w:tcPr>
                <w:p w14:paraId="6C357442">
                  <w:pPr>
                    <w:keepNext w:val="0"/>
                    <w:keepLines w:val="0"/>
                    <w:pageBreakBefore w:val="0"/>
                    <w:widowControl/>
                    <w:suppressLineNumbers w:val="0"/>
                    <w:wordWrap/>
                    <w:topLinePunct w:val="0"/>
                    <w:autoSpaceDE/>
                    <w:autoSpaceDN/>
                    <w:bidi w:val="0"/>
                    <w:spacing w:line="240" w:lineRule="auto"/>
                    <w:ind w:firstLine="0" w:firstLineChars="0"/>
                    <w:jc w:val="center"/>
                    <w:textAlignment w:val="center"/>
                    <w:rPr>
                      <w:rFonts w:hint="default" w:ascii="Times New Roman" w:hAnsi="Times New Roman" w:eastAsia="宋体" w:cs="Times New Roman"/>
                      <w:i w:val="0"/>
                      <w:iCs w:val="0"/>
                      <w:color w:val="auto"/>
                      <w:kern w:val="0"/>
                      <w:sz w:val="18"/>
                      <w:szCs w:val="18"/>
                      <w:highlight w:val="none"/>
                      <w:u w:val="none"/>
                      <w:lang w:val="en-US" w:eastAsia="zh-CN" w:bidi="ar"/>
                    </w:rPr>
                  </w:pPr>
                  <w:r>
                    <w:rPr>
                      <w:rFonts w:hint="default" w:ascii="Times New Roman" w:hAnsi="Times New Roman" w:eastAsia="宋体" w:cs="Times New Roman"/>
                      <w:i w:val="0"/>
                      <w:iCs w:val="0"/>
                      <w:color w:val="auto"/>
                      <w:kern w:val="0"/>
                      <w:sz w:val="18"/>
                      <w:szCs w:val="18"/>
                      <w:highlight w:val="none"/>
                      <w:u w:val="none"/>
                      <w:lang w:val="en-US" w:eastAsia="zh-CN" w:bidi="ar"/>
                    </w:rPr>
                    <w:t>1</w:t>
                  </w:r>
                </w:p>
              </w:tc>
              <w:tc>
                <w:tcPr>
                  <w:tcW w:w="530" w:type="dxa"/>
                  <w:tcBorders>
                    <w:tl2br w:val="nil"/>
                    <w:tr2bl w:val="nil"/>
                  </w:tcBorders>
                  <w:vAlign w:val="center"/>
                </w:tcPr>
                <w:p w14:paraId="6E8F39AC">
                  <w:pPr>
                    <w:pStyle w:val="78"/>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w:t>
                  </w:r>
                </w:p>
              </w:tc>
              <w:tc>
                <w:tcPr>
                  <w:tcW w:w="530" w:type="dxa"/>
                  <w:tcBorders>
                    <w:tl2br w:val="nil"/>
                    <w:tr2bl w:val="nil"/>
                  </w:tcBorders>
                  <w:vAlign w:val="center"/>
                </w:tcPr>
                <w:p w14:paraId="79A53FFA">
                  <w:pPr>
                    <w:pStyle w:val="78"/>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48</w:t>
                  </w:r>
                </w:p>
              </w:tc>
              <w:tc>
                <w:tcPr>
                  <w:tcW w:w="530" w:type="dxa"/>
                  <w:vMerge w:val="continue"/>
                  <w:tcBorders>
                    <w:tl2br w:val="nil"/>
                    <w:tr2bl w:val="nil"/>
                  </w:tcBorders>
                  <w:vAlign w:val="center"/>
                </w:tcPr>
                <w:p w14:paraId="57D0C4AE">
                  <w:pPr>
                    <w:pStyle w:val="78"/>
                    <w:jc w:val="center"/>
                    <w:rPr>
                      <w:rFonts w:hint="default" w:ascii="Times New Roman" w:hAnsi="Times New Roman" w:cs="Times New Roman"/>
                      <w:color w:val="auto"/>
                      <w:kern w:val="2"/>
                      <w:sz w:val="18"/>
                      <w:szCs w:val="18"/>
                      <w:highlight w:val="none"/>
                      <w:lang w:val="en-US" w:eastAsia="zh-CN"/>
                    </w:rPr>
                  </w:pPr>
                </w:p>
              </w:tc>
              <w:tc>
                <w:tcPr>
                  <w:tcW w:w="530" w:type="dxa"/>
                  <w:tcBorders>
                    <w:tl2br w:val="nil"/>
                    <w:tr2bl w:val="nil"/>
                  </w:tcBorders>
                  <w:vAlign w:val="center"/>
                </w:tcPr>
                <w:p w14:paraId="6D40111D">
                  <w:pPr>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15</w:t>
                  </w:r>
                </w:p>
              </w:tc>
              <w:tc>
                <w:tcPr>
                  <w:tcW w:w="530" w:type="dxa"/>
                  <w:tcBorders>
                    <w:tl2br w:val="nil"/>
                    <w:tr2bl w:val="nil"/>
                  </w:tcBorders>
                  <w:vAlign w:val="center"/>
                </w:tcPr>
                <w:p w14:paraId="34994589">
                  <w:pPr>
                    <w:pStyle w:val="78"/>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27</w:t>
                  </w:r>
                </w:p>
              </w:tc>
              <w:tc>
                <w:tcPr>
                  <w:tcW w:w="531" w:type="dxa"/>
                  <w:tcBorders>
                    <w:tl2br w:val="nil"/>
                    <w:tr2bl w:val="nil"/>
                  </w:tcBorders>
                  <w:vAlign w:val="center"/>
                </w:tcPr>
                <w:p w14:paraId="3FBA7FB4">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1.0</w:t>
                  </w:r>
                </w:p>
              </w:tc>
            </w:tr>
          </w:tbl>
          <w:p w14:paraId="3B93351D">
            <w:pPr>
              <w:adjustRightInd w:val="0"/>
              <w:snapToGrid w:val="0"/>
              <w:spacing w:line="360" w:lineRule="auto"/>
              <w:ind w:firstLine="420" w:firstLineChars="200"/>
              <w:rPr>
                <w:rFonts w:hint="default" w:ascii="Times New Roman" w:hAnsi="Times New Roman" w:cs="Times New Roman"/>
                <w:bCs/>
                <w:color w:val="auto"/>
                <w:szCs w:val="21"/>
                <w:highlight w:val="none"/>
              </w:rPr>
            </w:pPr>
          </w:p>
          <w:p w14:paraId="0B9FCC4F">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根据《环境影响评价技术导则 声环境》（HJ2.4-2021）的要求，并结合建设项目声源的噪声排放特点，选择点声源预测模式，预测本项目运营期设备噪声对厂界的影响。具体预测模式如下：</w:t>
            </w:r>
          </w:p>
          <w:p w14:paraId="63FDF849">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噪声预测值计算公式为：</w:t>
            </w:r>
          </w:p>
          <w:p w14:paraId="79C12BAD">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drawing>
                <wp:inline distT="0" distB="0" distL="114300" distR="114300">
                  <wp:extent cx="2381250" cy="447675"/>
                  <wp:effectExtent l="0" t="0" r="0" b="952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25"/>
                          <a:stretch>
                            <a:fillRect/>
                          </a:stretch>
                        </pic:blipFill>
                        <pic:spPr>
                          <a:xfrm>
                            <a:off x="0" y="0"/>
                            <a:ext cx="2381250" cy="447675"/>
                          </a:xfrm>
                          <a:prstGeom prst="rect">
                            <a:avLst/>
                          </a:prstGeom>
                          <a:noFill/>
                          <a:ln>
                            <a:noFill/>
                          </a:ln>
                        </pic:spPr>
                      </pic:pic>
                    </a:graphicData>
                  </a:graphic>
                </wp:inline>
              </w:drawing>
            </w:r>
          </w:p>
          <w:p w14:paraId="16BA8521">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其中：Leq—预测点的噪声预测值，dB；</w:t>
            </w:r>
          </w:p>
          <w:p w14:paraId="622E64F3">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Leqg—建设项目声源在预测点产生的噪声贡献值，dB；</w:t>
            </w:r>
          </w:p>
          <w:p w14:paraId="5CC67845">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Leqb—预测点的背景噪声值，dB。</w:t>
            </w:r>
          </w:p>
          <w:p w14:paraId="0F27034E">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点声源距离衰减计算公式为：</w:t>
            </w:r>
          </w:p>
          <w:p w14:paraId="210D4FA6">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drawing>
                <wp:inline distT="0" distB="0" distL="114300" distR="114300">
                  <wp:extent cx="2162175" cy="419100"/>
                  <wp:effectExtent l="0" t="0" r="9525" b="0"/>
                  <wp:docPr id="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5"/>
                          <pic:cNvPicPr>
                            <a:picLocks noChangeAspect="1"/>
                          </pic:cNvPicPr>
                        </pic:nvPicPr>
                        <pic:blipFill>
                          <a:blip r:embed="rId26"/>
                          <a:stretch>
                            <a:fillRect/>
                          </a:stretch>
                        </pic:blipFill>
                        <pic:spPr>
                          <a:xfrm>
                            <a:off x="0" y="0"/>
                            <a:ext cx="2162175" cy="419100"/>
                          </a:xfrm>
                          <a:prstGeom prst="rect">
                            <a:avLst/>
                          </a:prstGeom>
                          <a:noFill/>
                          <a:ln>
                            <a:noFill/>
                          </a:ln>
                        </pic:spPr>
                      </pic:pic>
                    </a:graphicData>
                  </a:graphic>
                </wp:inline>
              </w:drawing>
            </w:r>
          </w:p>
          <w:p w14:paraId="7B2D0FE3">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其中：LP（r）—预测点处声压级，dB；</w:t>
            </w:r>
          </w:p>
          <w:p w14:paraId="78E3F948">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LW—由点声源产生的倍频带声功率级，dB；</w:t>
            </w:r>
          </w:p>
          <w:p w14:paraId="62718DA0">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r—预测点距声源距离。</w:t>
            </w:r>
          </w:p>
          <w:p w14:paraId="5F349664">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声源对预测点产生的贡献值计算公式为：</w:t>
            </w:r>
          </w:p>
          <w:p w14:paraId="07F5147C">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drawing>
                <wp:inline distT="0" distB="0" distL="114300" distR="114300">
                  <wp:extent cx="2533650" cy="704850"/>
                  <wp:effectExtent l="0" t="0" r="0" b="0"/>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27"/>
                          <a:stretch>
                            <a:fillRect/>
                          </a:stretch>
                        </pic:blipFill>
                        <pic:spPr>
                          <a:xfrm>
                            <a:off x="0" y="0"/>
                            <a:ext cx="2533650" cy="704850"/>
                          </a:xfrm>
                          <a:prstGeom prst="rect">
                            <a:avLst/>
                          </a:prstGeom>
                          <a:noFill/>
                          <a:ln>
                            <a:noFill/>
                          </a:ln>
                        </pic:spPr>
                      </pic:pic>
                    </a:graphicData>
                  </a:graphic>
                </wp:inline>
              </w:drawing>
            </w:r>
          </w:p>
          <w:p w14:paraId="6AD9B2BF">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其中：Leqg—噪声贡献值，dB；</w:t>
            </w:r>
          </w:p>
          <w:p w14:paraId="4D30473B">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T—预测计算的时间段，S；</w:t>
            </w:r>
          </w:p>
          <w:p w14:paraId="4EFDA7D4">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ti—i声源在T时段内的运行时间，S；</w:t>
            </w:r>
          </w:p>
          <w:p w14:paraId="76D8BCC5">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LAi—i声源在预测点产生的等效连续A声级，dB。</w:t>
            </w:r>
          </w:p>
          <w:p w14:paraId="2F206104">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经上述公式计算，噪声预测结果见下表。</w:t>
            </w:r>
          </w:p>
          <w:p w14:paraId="135603AB">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表4-</w:t>
            </w:r>
            <w:r>
              <w:rPr>
                <w:rFonts w:hint="default" w:ascii="Times New Roman" w:hAnsi="Times New Roman" w:cs="Times New Roman"/>
                <w:b/>
                <w:bCs/>
                <w:color w:val="auto"/>
                <w:szCs w:val="21"/>
                <w:highlight w:val="none"/>
                <w:lang w:val="en-US" w:eastAsia="zh-CN"/>
              </w:rPr>
              <w:t>1</w:t>
            </w:r>
            <w:r>
              <w:rPr>
                <w:rFonts w:hint="eastAsia" w:cs="Times New Roman"/>
                <w:b/>
                <w:bCs/>
                <w:color w:val="auto"/>
                <w:szCs w:val="21"/>
                <w:highlight w:val="none"/>
                <w:lang w:val="en-US" w:eastAsia="zh-CN"/>
              </w:rPr>
              <w:t>4</w:t>
            </w:r>
            <w:r>
              <w:rPr>
                <w:rFonts w:hint="default" w:ascii="Times New Roman" w:hAnsi="Times New Roman" w:cs="Times New Roman"/>
                <w:b/>
                <w:bCs/>
                <w:color w:val="auto"/>
                <w:szCs w:val="21"/>
                <w:highlight w:val="none"/>
              </w:rPr>
              <w:t xml:space="preserve">  厂界噪声贡献值预测结果表    单位：dB(A)</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47"/>
              <w:gridCol w:w="1324"/>
              <w:gridCol w:w="1325"/>
              <w:gridCol w:w="1325"/>
              <w:gridCol w:w="1325"/>
            </w:tblGrid>
            <w:tr w14:paraId="59D899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47" w:type="dxa"/>
                  <w:vMerge w:val="restart"/>
                  <w:vAlign w:val="center"/>
                </w:tcPr>
                <w:p w14:paraId="0D9E62F5">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预测位置</w:t>
                  </w:r>
                </w:p>
              </w:tc>
              <w:tc>
                <w:tcPr>
                  <w:tcW w:w="2649" w:type="dxa"/>
                  <w:gridSpan w:val="2"/>
                  <w:vAlign w:val="center"/>
                </w:tcPr>
                <w:p w14:paraId="5982D052">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昼间</w:t>
                  </w:r>
                </w:p>
              </w:tc>
              <w:tc>
                <w:tcPr>
                  <w:tcW w:w="2650" w:type="dxa"/>
                  <w:gridSpan w:val="2"/>
                  <w:vAlign w:val="center"/>
                </w:tcPr>
                <w:p w14:paraId="1A1B1E16">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夜间</w:t>
                  </w:r>
                </w:p>
              </w:tc>
            </w:tr>
            <w:tr w14:paraId="22BE74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47" w:type="dxa"/>
                  <w:vMerge w:val="continue"/>
                  <w:vAlign w:val="center"/>
                </w:tcPr>
                <w:p w14:paraId="407676B7">
                  <w:pPr>
                    <w:pStyle w:val="78"/>
                    <w:jc w:val="center"/>
                    <w:rPr>
                      <w:rFonts w:hint="default" w:ascii="Times New Roman" w:hAnsi="Times New Roman" w:cs="Times New Roman"/>
                      <w:color w:val="auto"/>
                      <w:kern w:val="2"/>
                      <w:sz w:val="18"/>
                      <w:szCs w:val="18"/>
                      <w:highlight w:val="none"/>
                    </w:rPr>
                  </w:pPr>
                </w:p>
              </w:tc>
              <w:tc>
                <w:tcPr>
                  <w:tcW w:w="1324" w:type="dxa"/>
                  <w:vAlign w:val="center"/>
                </w:tcPr>
                <w:p w14:paraId="25F481B7">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预测值</w:t>
                  </w:r>
                </w:p>
              </w:tc>
              <w:tc>
                <w:tcPr>
                  <w:tcW w:w="1325" w:type="dxa"/>
                  <w:vAlign w:val="center"/>
                </w:tcPr>
                <w:p w14:paraId="0446471A">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标准值</w:t>
                  </w:r>
                </w:p>
              </w:tc>
              <w:tc>
                <w:tcPr>
                  <w:tcW w:w="1325" w:type="dxa"/>
                  <w:vAlign w:val="center"/>
                </w:tcPr>
                <w:p w14:paraId="02830AB1">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预测值</w:t>
                  </w:r>
                </w:p>
              </w:tc>
              <w:tc>
                <w:tcPr>
                  <w:tcW w:w="1325" w:type="dxa"/>
                  <w:vAlign w:val="center"/>
                </w:tcPr>
                <w:p w14:paraId="3553B860">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标准值</w:t>
                  </w:r>
                </w:p>
              </w:tc>
            </w:tr>
            <w:tr w14:paraId="50A31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47" w:type="dxa"/>
                  <w:vAlign w:val="center"/>
                </w:tcPr>
                <w:p w14:paraId="74263986">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厂界</w:t>
                  </w:r>
                  <w:r>
                    <w:rPr>
                      <w:rFonts w:hint="default" w:ascii="Times New Roman" w:hAnsi="Times New Roman" w:cs="Times New Roman"/>
                      <w:color w:val="auto"/>
                      <w:kern w:val="2"/>
                      <w:sz w:val="18"/>
                      <w:szCs w:val="18"/>
                      <w:highlight w:val="none"/>
                      <w:lang w:val="en-US" w:eastAsia="zh-CN"/>
                    </w:rPr>
                    <w:t>北</w:t>
                  </w:r>
                  <w:r>
                    <w:rPr>
                      <w:rFonts w:hint="default" w:ascii="Times New Roman" w:hAnsi="Times New Roman" w:cs="Times New Roman"/>
                      <w:color w:val="auto"/>
                      <w:kern w:val="2"/>
                      <w:sz w:val="18"/>
                      <w:szCs w:val="18"/>
                      <w:highlight w:val="none"/>
                    </w:rPr>
                    <w:t>侧</w:t>
                  </w:r>
                </w:p>
              </w:tc>
              <w:tc>
                <w:tcPr>
                  <w:tcW w:w="1324" w:type="dxa"/>
                  <w:vAlign w:val="center"/>
                </w:tcPr>
                <w:p w14:paraId="1A1CB26B">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sz w:val="18"/>
                      <w:szCs w:val="18"/>
                      <w:highlight w:val="none"/>
                    </w:rPr>
                    <w:t>33.29</w:t>
                  </w:r>
                </w:p>
              </w:tc>
              <w:tc>
                <w:tcPr>
                  <w:tcW w:w="1325" w:type="dxa"/>
                  <w:vAlign w:val="center"/>
                </w:tcPr>
                <w:p w14:paraId="376F55D8">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65</w:t>
                  </w:r>
                </w:p>
              </w:tc>
              <w:tc>
                <w:tcPr>
                  <w:tcW w:w="1325" w:type="dxa"/>
                  <w:vAlign w:val="center"/>
                </w:tcPr>
                <w:p w14:paraId="567FF8DE">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sz w:val="18"/>
                      <w:szCs w:val="18"/>
                      <w:highlight w:val="none"/>
                    </w:rPr>
                    <w:t>33.29</w:t>
                  </w:r>
                </w:p>
              </w:tc>
              <w:tc>
                <w:tcPr>
                  <w:tcW w:w="1325" w:type="dxa"/>
                  <w:vAlign w:val="center"/>
                </w:tcPr>
                <w:p w14:paraId="3B9CA8CF">
                  <w:pPr>
                    <w:pStyle w:val="78"/>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55</w:t>
                  </w:r>
                </w:p>
              </w:tc>
            </w:tr>
            <w:tr w14:paraId="69EE7F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47" w:type="dxa"/>
                  <w:vAlign w:val="center"/>
                </w:tcPr>
                <w:p w14:paraId="0137DCC1">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厂界</w:t>
                  </w:r>
                  <w:r>
                    <w:rPr>
                      <w:rFonts w:hint="default" w:ascii="Times New Roman" w:hAnsi="Times New Roman" w:cs="Times New Roman"/>
                      <w:color w:val="auto"/>
                      <w:kern w:val="2"/>
                      <w:sz w:val="18"/>
                      <w:szCs w:val="18"/>
                      <w:highlight w:val="none"/>
                      <w:lang w:val="en-US" w:eastAsia="zh-CN"/>
                    </w:rPr>
                    <w:t>西</w:t>
                  </w:r>
                  <w:r>
                    <w:rPr>
                      <w:rFonts w:hint="default" w:ascii="Times New Roman" w:hAnsi="Times New Roman" w:cs="Times New Roman"/>
                      <w:color w:val="auto"/>
                      <w:kern w:val="2"/>
                      <w:sz w:val="18"/>
                      <w:szCs w:val="18"/>
                      <w:highlight w:val="none"/>
                    </w:rPr>
                    <w:t>侧</w:t>
                  </w:r>
                </w:p>
              </w:tc>
              <w:tc>
                <w:tcPr>
                  <w:tcW w:w="1324" w:type="dxa"/>
                  <w:vAlign w:val="center"/>
                </w:tcPr>
                <w:p w14:paraId="54140C96">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sz w:val="18"/>
                      <w:szCs w:val="18"/>
                      <w:highlight w:val="none"/>
                    </w:rPr>
                    <w:t>48.87</w:t>
                  </w:r>
                </w:p>
              </w:tc>
              <w:tc>
                <w:tcPr>
                  <w:tcW w:w="1325" w:type="dxa"/>
                  <w:vAlign w:val="center"/>
                </w:tcPr>
                <w:p w14:paraId="03DCEA0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65</w:t>
                  </w:r>
                </w:p>
              </w:tc>
              <w:tc>
                <w:tcPr>
                  <w:tcW w:w="1325" w:type="dxa"/>
                  <w:vAlign w:val="center"/>
                </w:tcPr>
                <w:p w14:paraId="3AAE803A">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sz w:val="18"/>
                      <w:szCs w:val="18"/>
                      <w:highlight w:val="none"/>
                    </w:rPr>
                    <w:t>48.87</w:t>
                  </w:r>
                </w:p>
              </w:tc>
              <w:tc>
                <w:tcPr>
                  <w:tcW w:w="1325" w:type="dxa"/>
                  <w:vAlign w:val="center"/>
                </w:tcPr>
                <w:p w14:paraId="4666EDCD">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lang w:val="en-US" w:eastAsia="zh-CN"/>
                    </w:rPr>
                    <w:t>55</w:t>
                  </w:r>
                </w:p>
              </w:tc>
            </w:tr>
            <w:tr w14:paraId="48519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47" w:type="dxa"/>
                  <w:vAlign w:val="center"/>
                </w:tcPr>
                <w:p w14:paraId="264F7EEC">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厂界</w:t>
                  </w:r>
                  <w:r>
                    <w:rPr>
                      <w:rFonts w:hint="default" w:ascii="Times New Roman" w:hAnsi="Times New Roman" w:cs="Times New Roman"/>
                      <w:color w:val="auto"/>
                      <w:kern w:val="2"/>
                      <w:sz w:val="18"/>
                      <w:szCs w:val="18"/>
                      <w:highlight w:val="none"/>
                      <w:lang w:val="en-US" w:eastAsia="zh-CN"/>
                    </w:rPr>
                    <w:t>南</w:t>
                  </w:r>
                  <w:r>
                    <w:rPr>
                      <w:rFonts w:hint="default" w:ascii="Times New Roman" w:hAnsi="Times New Roman" w:cs="Times New Roman"/>
                      <w:color w:val="auto"/>
                      <w:kern w:val="2"/>
                      <w:sz w:val="18"/>
                      <w:szCs w:val="18"/>
                      <w:highlight w:val="none"/>
                    </w:rPr>
                    <w:t>侧</w:t>
                  </w:r>
                </w:p>
              </w:tc>
              <w:tc>
                <w:tcPr>
                  <w:tcW w:w="1324" w:type="dxa"/>
                  <w:vAlign w:val="center"/>
                </w:tcPr>
                <w:p w14:paraId="62E685E7">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sz w:val="18"/>
                      <w:szCs w:val="18"/>
                      <w:highlight w:val="none"/>
                    </w:rPr>
                    <w:t>52.2</w:t>
                  </w:r>
                  <w:r>
                    <w:rPr>
                      <w:rFonts w:hint="default" w:ascii="Times New Roman" w:hAnsi="Times New Roman" w:cs="Times New Roman"/>
                      <w:color w:val="auto"/>
                      <w:sz w:val="18"/>
                      <w:szCs w:val="18"/>
                      <w:highlight w:val="none"/>
                      <w:lang w:val="en-US" w:eastAsia="zh-CN"/>
                    </w:rPr>
                    <w:t>0</w:t>
                  </w:r>
                </w:p>
              </w:tc>
              <w:tc>
                <w:tcPr>
                  <w:tcW w:w="1325" w:type="dxa"/>
                  <w:vAlign w:val="center"/>
                </w:tcPr>
                <w:p w14:paraId="3C979D5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65</w:t>
                  </w:r>
                </w:p>
              </w:tc>
              <w:tc>
                <w:tcPr>
                  <w:tcW w:w="1325" w:type="dxa"/>
                  <w:vAlign w:val="center"/>
                </w:tcPr>
                <w:p w14:paraId="756296F6">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sz w:val="18"/>
                      <w:szCs w:val="18"/>
                      <w:highlight w:val="none"/>
                    </w:rPr>
                    <w:t>52.2</w:t>
                  </w:r>
                  <w:r>
                    <w:rPr>
                      <w:rFonts w:hint="default" w:ascii="Times New Roman" w:hAnsi="Times New Roman" w:cs="Times New Roman"/>
                      <w:color w:val="auto"/>
                      <w:sz w:val="18"/>
                      <w:szCs w:val="18"/>
                      <w:highlight w:val="none"/>
                      <w:lang w:val="en-US" w:eastAsia="zh-CN"/>
                    </w:rPr>
                    <w:t>0</w:t>
                  </w:r>
                </w:p>
              </w:tc>
              <w:tc>
                <w:tcPr>
                  <w:tcW w:w="1325" w:type="dxa"/>
                  <w:vAlign w:val="center"/>
                </w:tcPr>
                <w:p w14:paraId="4E24323C">
                  <w:pPr>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55</w:t>
                  </w:r>
                </w:p>
              </w:tc>
            </w:tr>
            <w:tr w14:paraId="3633A2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47" w:type="dxa"/>
                  <w:vAlign w:val="center"/>
                </w:tcPr>
                <w:p w14:paraId="54982487">
                  <w:pPr>
                    <w:pStyle w:val="78"/>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厂</w:t>
                  </w:r>
                  <w:r>
                    <w:rPr>
                      <w:rFonts w:hint="default" w:ascii="Times New Roman" w:hAnsi="Times New Roman" w:cs="Times New Roman"/>
                      <w:color w:val="auto"/>
                      <w:kern w:val="2"/>
                      <w:sz w:val="18"/>
                      <w:szCs w:val="18"/>
                      <w:highlight w:val="none"/>
                      <w:lang w:val="en-US" w:eastAsia="zh-CN"/>
                    </w:rPr>
                    <w:t>界东</w:t>
                  </w:r>
                  <w:r>
                    <w:rPr>
                      <w:rFonts w:hint="default" w:ascii="Times New Roman" w:hAnsi="Times New Roman" w:cs="Times New Roman"/>
                      <w:color w:val="auto"/>
                      <w:kern w:val="2"/>
                      <w:sz w:val="18"/>
                      <w:szCs w:val="18"/>
                      <w:highlight w:val="none"/>
                    </w:rPr>
                    <w:t>侧</w:t>
                  </w:r>
                </w:p>
              </w:tc>
              <w:tc>
                <w:tcPr>
                  <w:tcW w:w="1324" w:type="dxa"/>
                  <w:vAlign w:val="center"/>
                </w:tcPr>
                <w:p w14:paraId="6CF23F03">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sz w:val="18"/>
                      <w:szCs w:val="18"/>
                      <w:highlight w:val="none"/>
                    </w:rPr>
                    <w:t>38.66</w:t>
                  </w:r>
                </w:p>
              </w:tc>
              <w:tc>
                <w:tcPr>
                  <w:tcW w:w="1325" w:type="dxa"/>
                  <w:vAlign w:val="center"/>
                </w:tcPr>
                <w:p w14:paraId="2DB6AF18">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65</w:t>
                  </w:r>
                </w:p>
              </w:tc>
              <w:tc>
                <w:tcPr>
                  <w:tcW w:w="1325" w:type="dxa"/>
                  <w:vAlign w:val="center"/>
                </w:tcPr>
                <w:p w14:paraId="048B7F46">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sz w:val="18"/>
                      <w:szCs w:val="18"/>
                      <w:highlight w:val="none"/>
                    </w:rPr>
                    <w:t>38.66</w:t>
                  </w:r>
                </w:p>
              </w:tc>
              <w:tc>
                <w:tcPr>
                  <w:tcW w:w="1325" w:type="dxa"/>
                  <w:vAlign w:val="center"/>
                </w:tcPr>
                <w:p w14:paraId="722912EE">
                  <w:pPr>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55</w:t>
                  </w:r>
                </w:p>
              </w:tc>
            </w:tr>
          </w:tbl>
          <w:p w14:paraId="07211C70">
            <w:pPr>
              <w:keepNext w:val="0"/>
              <w:keepLines w:val="0"/>
              <w:pageBreakBefore w:val="0"/>
              <w:widowControl w:val="0"/>
              <w:kinsoku/>
              <w:wordWrap/>
              <w:overflowPunct/>
              <w:topLinePunct w:val="0"/>
              <w:autoSpaceDE/>
              <w:autoSpaceDN/>
              <w:bidi w:val="0"/>
              <w:adjustRightInd/>
              <w:snapToGrid/>
              <w:spacing w:line="360" w:lineRule="auto"/>
              <w:ind w:left="0" w:leftChars="0"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污染防治措施及环境影响分析</w:t>
            </w:r>
          </w:p>
          <w:p w14:paraId="5B5079B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本项目运营期采取如下降噪措施：</w:t>
            </w:r>
          </w:p>
          <w:p w14:paraId="474283F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①在厂区总体布置中应注意防噪间距，以减少噪声的污染；</w:t>
            </w:r>
          </w:p>
          <w:p w14:paraId="0155726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②降低噪声源，已选用低噪声设备；</w:t>
            </w:r>
          </w:p>
          <w:p w14:paraId="0AB0327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③定期对设备进行检查、维修，保持设备最佳运行状态，减少噪声产生量；</w:t>
            </w:r>
          </w:p>
          <w:p w14:paraId="2ED51A2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④风机设置软连接减振措施；</w:t>
            </w:r>
          </w:p>
          <w:p w14:paraId="5D2557E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⑤对近距离操作员工进行个体防护；</w:t>
            </w:r>
          </w:p>
          <w:p w14:paraId="1BDDBF7D">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rPr>
              <w:t>本项目选用低噪声设备，基础减振</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隔声等措施，</w:t>
            </w:r>
            <w:r>
              <w:rPr>
                <w:rFonts w:hint="default" w:ascii="Times New Roman" w:hAnsi="Times New Roman" w:cs="Times New Roman"/>
                <w:color w:val="auto"/>
                <w:sz w:val="21"/>
                <w:szCs w:val="21"/>
                <w:highlight w:val="none"/>
                <w:lang w:val="en-US" w:eastAsia="zh-CN"/>
              </w:rPr>
              <w:t>厂界噪声</w:t>
            </w:r>
            <w:r>
              <w:rPr>
                <w:rFonts w:hint="default" w:ascii="Times New Roman" w:hAnsi="Times New Roman" w:cs="Times New Roman"/>
                <w:color w:val="auto"/>
                <w:sz w:val="21"/>
                <w:szCs w:val="21"/>
                <w:highlight w:val="none"/>
              </w:rPr>
              <w:t>满足《工业企业厂界环境噪声排放标准》（GB12348-2008）中</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类标准限值</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本项目对周围声环境影响较小。</w:t>
            </w:r>
          </w:p>
          <w:p w14:paraId="6F0D1F06">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cs="Times New Roman"/>
                <w:b/>
                <w:bCs w:val="0"/>
                <w:color w:val="auto"/>
                <w:szCs w:val="21"/>
                <w:highlight w:val="none"/>
              </w:rPr>
            </w:pPr>
            <w:r>
              <w:rPr>
                <w:rFonts w:hint="eastAsia" w:cs="Times New Roman"/>
                <w:b/>
                <w:bCs w:val="0"/>
                <w:color w:val="auto"/>
                <w:szCs w:val="21"/>
                <w:highlight w:val="none"/>
                <w:lang w:eastAsia="zh-CN"/>
              </w:rPr>
              <w:t>（</w:t>
            </w:r>
            <w:r>
              <w:rPr>
                <w:rFonts w:hint="eastAsia" w:cs="Times New Roman"/>
                <w:b/>
                <w:bCs w:val="0"/>
                <w:color w:val="auto"/>
                <w:szCs w:val="21"/>
                <w:highlight w:val="none"/>
                <w:lang w:val="en-US" w:eastAsia="zh-CN"/>
              </w:rPr>
              <w:t>3</w:t>
            </w:r>
            <w:r>
              <w:rPr>
                <w:rFonts w:hint="eastAsia" w:cs="Times New Roman"/>
                <w:b/>
                <w:bCs w:val="0"/>
                <w:color w:val="auto"/>
                <w:szCs w:val="21"/>
                <w:highlight w:val="none"/>
                <w:lang w:eastAsia="zh-CN"/>
              </w:rPr>
              <w:t>）</w:t>
            </w:r>
            <w:r>
              <w:rPr>
                <w:rFonts w:hint="default" w:ascii="Times New Roman" w:hAnsi="Times New Roman" w:cs="Times New Roman"/>
                <w:b/>
                <w:bCs w:val="0"/>
                <w:color w:val="auto"/>
                <w:szCs w:val="21"/>
                <w:highlight w:val="none"/>
              </w:rPr>
              <w:t>监测计划</w:t>
            </w:r>
          </w:p>
          <w:p w14:paraId="09B7E56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根据《排污单位自行监测技术指南 总则》（HJ819-2017）</w:t>
            </w:r>
            <w:r>
              <w:rPr>
                <w:rFonts w:hint="default" w:ascii="Times New Roman" w:hAnsi="Times New Roman" w:cs="Times New Roman"/>
                <w:color w:val="auto"/>
                <w:szCs w:val="21"/>
                <w:highlight w:val="none"/>
              </w:rPr>
              <w:t>，</w:t>
            </w:r>
            <w:r>
              <w:rPr>
                <w:rFonts w:hint="default" w:ascii="Times New Roman" w:hAnsi="Times New Roman" w:cs="Times New Roman"/>
                <w:bCs/>
                <w:color w:val="auto"/>
                <w:szCs w:val="21"/>
                <w:highlight w:val="none"/>
              </w:rPr>
              <w:t>制定本项目噪声监测计划如下。</w:t>
            </w:r>
          </w:p>
          <w:p w14:paraId="15E98A0B">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表4-</w:t>
            </w:r>
            <w:r>
              <w:rPr>
                <w:rFonts w:hint="default" w:ascii="Times New Roman" w:hAnsi="Times New Roman" w:cs="Times New Roman"/>
                <w:b/>
                <w:bCs/>
                <w:color w:val="auto"/>
                <w:szCs w:val="21"/>
                <w:highlight w:val="none"/>
                <w:lang w:val="en-US" w:eastAsia="zh-CN"/>
              </w:rPr>
              <w:t>1</w:t>
            </w:r>
            <w:r>
              <w:rPr>
                <w:rFonts w:hint="eastAsia" w:cs="Times New Roman"/>
                <w:b/>
                <w:bCs/>
                <w:color w:val="auto"/>
                <w:szCs w:val="21"/>
                <w:highlight w:val="none"/>
                <w:lang w:val="en-US" w:eastAsia="zh-CN"/>
              </w:rPr>
              <w:t>5</w:t>
            </w:r>
            <w:r>
              <w:rPr>
                <w:rFonts w:hint="default" w:ascii="Times New Roman" w:hAnsi="Times New Roman" w:cs="Times New Roman"/>
                <w:b/>
                <w:bCs/>
                <w:color w:val="auto"/>
                <w:szCs w:val="21"/>
                <w:highlight w:val="none"/>
                <w:lang w:val="en-US" w:eastAsia="zh-CN"/>
              </w:rPr>
              <w:t xml:space="preserve"> </w:t>
            </w:r>
            <w:r>
              <w:rPr>
                <w:rFonts w:hint="default" w:ascii="Times New Roman" w:hAnsi="Times New Roman" w:cs="Times New Roman"/>
                <w:b/>
                <w:bCs/>
                <w:color w:val="auto"/>
                <w:szCs w:val="21"/>
                <w:highlight w:val="none"/>
              </w:rPr>
              <w:t xml:space="preserve"> 项目噪声监测计划表</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9"/>
              <w:gridCol w:w="1274"/>
              <w:gridCol w:w="1430"/>
              <w:gridCol w:w="1373"/>
              <w:gridCol w:w="2839"/>
            </w:tblGrid>
            <w:tr w14:paraId="29D9A3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029" w:type="dxa"/>
                  <w:vAlign w:val="center"/>
                </w:tcPr>
                <w:p w14:paraId="683BFDEC">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类别</w:t>
                  </w:r>
                </w:p>
              </w:tc>
              <w:tc>
                <w:tcPr>
                  <w:tcW w:w="1274" w:type="dxa"/>
                  <w:vAlign w:val="center"/>
                </w:tcPr>
                <w:p w14:paraId="216C3932">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监测点位</w:t>
                  </w:r>
                </w:p>
              </w:tc>
              <w:tc>
                <w:tcPr>
                  <w:tcW w:w="1430" w:type="dxa"/>
                  <w:vAlign w:val="center"/>
                </w:tcPr>
                <w:p w14:paraId="5E5E53A8">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监测项目</w:t>
                  </w:r>
                </w:p>
              </w:tc>
              <w:tc>
                <w:tcPr>
                  <w:tcW w:w="1373" w:type="dxa"/>
                  <w:vAlign w:val="center"/>
                </w:tcPr>
                <w:p w14:paraId="1A7A5CF7">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监测频次</w:t>
                  </w:r>
                </w:p>
              </w:tc>
              <w:tc>
                <w:tcPr>
                  <w:tcW w:w="2839" w:type="dxa"/>
                  <w:vAlign w:val="center"/>
                </w:tcPr>
                <w:p w14:paraId="3C0FF4E4">
                  <w:pPr>
                    <w:pStyle w:val="78"/>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执行标准</w:t>
                  </w:r>
                </w:p>
              </w:tc>
            </w:tr>
            <w:tr w14:paraId="21FC8B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33" w:hRule="atLeast"/>
                <w:jc w:val="center"/>
              </w:trPr>
              <w:tc>
                <w:tcPr>
                  <w:tcW w:w="1029" w:type="dxa"/>
                  <w:vAlign w:val="center"/>
                </w:tcPr>
                <w:p w14:paraId="68F83527">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厂界噪声</w:t>
                  </w:r>
                </w:p>
              </w:tc>
              <w:tc>
                <w:tcPr>
                  <w:tcW w:w="1274" w:type="dxa"/>
                  <w:vAlign w:val="center"/>
                </w:tcPr>
                <w:p w14:paraId="5CFB9968">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厂界四周</w:t>
                  </w:r>
                </w:p>
              </w:tc>
              <w:tc>
                <w:tcPr>
                  <w:tcW w:w="1430" w:type="dxa"/>
                  <w:vAlign w:val="center"/>
                </w:tcPr>
                <w:p w14:paraId="612F5096">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rPr>
                    <w:t>等效连续A声级</w:t>
                  </w:r>
                  <w:r>
                    <w:rPr>
                      <w:rFonts w:hint="eastAsia" w:ascii="Times New Roman" w:hAnsi="Times New Roman" w:cs="Times New Roman"/>
                      <w:color w:val="auto"/>
                      <w:kern w:val="2"/>
                      <w:sz w:val="18"/>
                      <w:szCs w:val="18"/>
                      <w:highlight w:val="none"/>
                      <w:lang w:eastAsia="zh-CN"/>
                    </w:rPr>
                    <w:t>、</w:t>
                  </w:r>
                  <w:r>
                    <w:rPr>
                      <w:rFonts w:hint="eastAsia" w:ascii="Times New Roman" w:hAnsi="Times New Roman" w:cs="Times New Roman"/>
                      <w:color w:val="auto"/>
                      <w:kern w:val="2"/>
                      <w:sz w:val="18"/>
                      <w:szCs w:val="18"/>
                      <w:highlight w:val="none"/>
                      <w:lang w:val="en-US" w:eastAsia="zh-CN"/>
                    </w:rPr>
                    <w:t>最大声压级</w:t>
                  </w:r>
                </w:p>
              </w:tc>
              <w:tc>
                <w:tcPr>
                  <w:tcW w:w="1373" w:type="dxa"/>
                  <w:vAlign w:val="center"/>
                </w:tcPr>
                <w:p w14:paraId="1B6AD907">
                  <w:pPr>
                    <w:pStyle w:val="78"/>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rPr>
                    <w:t>1次/季度，</w:t>
                  </w:r>
                  <w:r>
                    <w:rPr>
                      <w:rFonts w:hint="default" w:ascii="Times New Roman" w:hAnsi="Times New Roman" w:cs="Times New Roman"/>
                      <w:color w:val="auto"/>
                      <w:kern w:val="2"/>
                      <w:sz w:val="18"/>
                      <w:szCs w:val="18"/>
                      <w:highlight w:val="none"/>
                      <w:lang w:eastAsia="zh-CN"/>
                    </w:rPr>
                    <w:t>昼</w:t>
                  </w:r>
                  <w:r>
                    <w:rPr>
                      <w:rFonts w:hint="default" w:ascii="Times New Roman" w:hAnsi="Times New Roman" w:cs="Times New Roman"/>
                      <w:color w:val="auto"/>
                      <w:kern w:val="2"/>
                      <w:sz w:val="18"/>
                      <w:szCs w:val="18"/>
                      <w:highlight w:val="none"/>
                      <w:lang w:val="en-US" w:eastAsia="zh-CN"/>
                    </w:rPr>
                    <w:t>夜均测</w:t>
                  </w:r>
                </w:p>
              </w:tc>
              <w:tc>
                <w:tcPr>
                  <w:tcW w:w="2839" w:type="dxa"/>
                  <w:vAlign w:val="center"/>
                </w:tcPr>
                <w:p w14:paraId="7E2A0BF3">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《工业企业厂界环境噪声排放标准》（GB12348-2008）中</w:t>
                  </w:r>
                  <w:r>
                    <w:rPr>
                      <w:rFonts w:hint="default" w:ascii="Times New Roman" w:hAnsi="Times New Roman" w:cs="Times New Roman"/>
                      <w:color w:val="auto"/>
                      <w:kern w:val="2"/>
                      <w:sz w:val="18"/>
                      <w:szCs w:val="18"/>
                      <w:highlight w:val="none"/>
                      <w:lang w:val="en-US" w:eastAsia="zh-CN"/>
                    </w:rPr>
                    <w:t>3</w:t>
                  </w:r>
                  <w:r>
                    <w:rPr>
                      <w:rFonts w:hint="default" w:ascii="Times New Roman" w:hAnsi="Times New Roman" w:cs="Times New Roman"/>
                      <w:color w:val="auto"/>
                      <w:kern w:val="2"/>
                      <w:sz w:val="18"/>
                      <w:szCs w:val="18"/>
                      <w:highlight w:val="none"/>
                    </w:rPr>
                    <w:t>类标准</w:t>
                  </w:r>
                </w:p>
              </w:tc>
            </w:tr>
          </w:tbl>
          <w:p w14:paraId="3DAC6BC4">
            <w:pPr>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4</w:t>
            </w:r>
            <w:r>
              <w:rPr>
                <w:rFonts w:hint="eastAsia" w:cs="Times New Roman"/>
                <w:b/>
                <w:bCs/>
                <w:color w:val="auto"/>
                <w:szCs w:val="21"/>
                <w:highlight w:val="none"/>
                <w:lang w:val="en-US" w:eastAsia="zh-CN"/>
              </w:rPr>
              <w:t>.</w:t>
            </w:r>
            <w:r>
              <w:rPr>
                <w:rFonts w:hint="default" w:ascii="Times New Roman" w:hAnsi="Times New Roman" w:cs="Times New Roman"/>
                <w:b/>
                <w:bCs/>
                <w:color w:val="auto"/>
                <w:szCs w:val="21"/>
                <w:highlight w:val="none"/>
              </w:rPr>
              <w:t>固体废物</w:t>
            </w:r>
          </w:p>
          <w:p w14:paraId="2EC528B9">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本项目运营期产生的固体废物主要为生活垃圾</w:t>
            </w:r>
            <w:r>
              <w:rPr>
                <w:rFonts w:hint="default" w:ascii="Times New Roman" w:hAnsi="Times New Roman" w:cs="Times New Roman"/>
                <w:color w:val="auto"/>
                <w:szCs w:val="21"/>
                <w:highlight w:val="none"/>
                <w:lang w:eastAsia="zh-CN"/>
              </w:rPr>
              <w:t>、除尘器收集粉尘、废布袋、废包装带、</w:t>
            </w:r>
            <w:r>
              <w:rPr>
                <w:rFonts w:hint="eastAsia" w:cs="Times New Roman"/>
                <w:color w:val="auto"/>
                <w:szCs w:val="21"/>
                <w:highlight w:val="none"/>
                <w:lang w:eastAsia="zh-CN"/>
              </w:rPr>
              <w:t>防腐剂桶、脱模剂桶、</w:t>
            </w:r>
            <w:r>
              <w:rPr>
                <w:rFonts w:hint="default" w:ascii="Times New Roman" w:hAnsi="Times New Roman" w:cs="Times New Roman"/>
                <w:color w:val="auto"/>
                <w:szCs w:val="21"/>
                <w:highlight w:val="none"/>
                <w:lang w:eastAsia="zh-CN"/>
              </w:rPr>
              <w:t>不合格品、</w:t>
            </w:r>
            <w:r>
              <w:rPr>
                <w:rFonts w:hint="default" w:ascii="Times New Roman" w:hAnsi="Times New Roman" w:cs="Times New Roman"/>
                <w:color w:val="auto"/>
                <w:szCs w:val="21"/>
                <w:highlight w:val="none"/>
                <w:lang w:val="en-US" w:eastAsia="zh-CN"/>
              </w:rPr>
              <w:t>炉渣、废离子交换树脂、浸泡废水、</w:t>
            </w:r>
            <w:r>
              <w:rPr>
                <w:rFonts w:hint="default" w:ascii="Times New Roman" w:hAnsi="Times New Roman" w:cs="Times New Roman"/>
                <w:color w:val="auto"/>
                <w:szCs w:val="21"/>
                <w:highlight w:val="none"/>
                <w:lang w:eastAsia="zh-CN"/>
              </w:rPr>
              <w:t>废</w:t>
            </w:r>
            <w:r>
              <w:rPr>
                <w:rFonts w:hint="default" w:ascii="Times New Roman" w:hAnsi="Times New Roman" w:cs="Times New Roman"/>
                <w:color w:val="auto"/>
                <w:szCs w:val="21"/>
                <w:highlight w:val="none"/>
                <w:lang w:val="en-US" w:eastAsia="zh-CN"/>
              </w:rPr>
              <w:t>矿物油</w:t>
            </w:r>
            <w:r>
              <w:rPr>
                <w:rFonts w:hint="eastAsia" w:cs="Times New Roman"/>
                <w:color w:val="auto"/>
                <w:szCs w:val="21"/>
                <w:highlight w:val="none"/>
                <w:lang w:val="en-US" w:eastAsia="zh-CN"/>
              </w:rPr>
              <w:t>、废油桶</w:t>
            </w:r>
            <w:r>
              <w:rPr>
                <w:rFonts w:hint="default" w:ascii="Times New Roman" w:hAnsi="Times New Roman" w:cs="Times New Roman"/>
                <w:color w:val="auto"/>
                <w:szCs w:val="21"/>
                <w:highlight w:val="none"/>
                <w:lang w:eastAsia="zh-CN"/>
              </w:rPr>
              <w:t>以及</w:t>
            </w:r>
            <w:r>
              <w:rPr>
                <w:rFonts w:hint="default" w:ascii="Times New Roman" w:hAnsi="Times New Roman" w:cs="Times New Roman"/>
                <w:color w:val="auto"/>
                <w:szCs w:val="21"/>
                <w:highlight w:val="none"/>
                <w:lang w:val="en-US" w:eastAsia="zh-CN"/>
              </w:rPr>
              <w:t>废活性炭</w:t>
            </w:r>
            <w:r>
              <w:rPr>
                <w:rFonts w:hint="default" w:ascii="Times New Roman" w:hAnsi="Times New Roman" w:cs="Times New Roman"/>
                <w:color w:val="auto"/>
                <w:szCs w:val="21"/>
                <w:highlight w:val="none"/>
              </w:rPr>
              <w:t>。</w:t>
            </w:r>
          </w:p>
          <w:p w14:paraId="38C23F33">
            <w:pPr>
              <w:spacing w:line="360" w:lineRule="auto"/>
              <w:ind w:firstLine="422" w:firstLineChars="200"/>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eastAsia="zh-CN"/>
              </w:rPr>
              <w:t>（</w:t>
            </w:r>
            <w:r>
              <w:rPr>
                <w:rFonts w:hint="default" w:ascii="Times New Roman" w:hAnsi="Times New Roman" w:cs="Times New Roman"/>
                <w:b/>
                <w:bCs/>
                <w:color w:val="auto"/>
                <w:szCs w:val="21"/>
                <w:highlight w:val="none"/>
                <w:lang w:val="en-US" w:eastAsia="zh-CN"/>
              </w:rPr>
              <w:t>1</w:t>
            </w:r>
            <w:r>
              <w:rPr>
                <w:rFonts w:hint="default" w:ascii="Times New Roman" w:hAnsi="Times New Roman" w:cs="Times New Roman"/>
                <w:b/>
                <w:bCs/>
                <w:color w:val="auto"/>
                <w:szCs w:val="21"/>
                <w:highlight w:val="none"/>
                <w:lang w:eastAsia="zh-CN"/>
              </w:rPr>
              <w:t>）</w:t>
            </w:r>
            <w:r>
              <w:rPr>
                <w:rFonts w:hint="default" w:ascii="Times New Roman" w:hAnsi="Times New Roman" w:cs="Times New Roman"/>
                <w:b/>
                <w:bCs/>
                <w:color w:val="auto"/>
                <w:szCs w:val="21"/>
                <w:highlight w:val="none"/>
                <w:lang w:val="en-US" w:eastAsia="zh-CN"/>
              </w:rPr>
              <w:t>固体废物排放信息</w:t>
            </w:r>
          </w:p>
          <w:p w14:paraId="17A9FAD5">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表4-</w:t>
            </w:r>
            <w:r>
              <w:rPr>
                <w:rFonts w:hint="default" w:ascii="Times New Roman" w:hAnsi="Times New Roman" w:cs="Times New Roman"/>
                <w:b/>
                <w:bCs/>
                <w:color w:val="auto"/>
                <w:szCs w:val="21"/>
                <w:highlight w:val="none"/>
                <w:lang w:val="en-US" w:eastAsia="zh-CN"/>
              </w:rPr>
              <w:t>1</w:t>
            </w:r>
            <w:r>
              <w:rPr>
                <w:rFonts w:hint="eastAsia" w:cs="Times New Roman"/>
                <w:b/>
                <w:bCs/>
                <w:color w:val="auto"/>
                <w:szCs w:val="21"/>
                <w:highlight w:val="none"/>
                <w:lang w:val="en-US" w:eastAsia="zh-CN"/>
              </w:rPr>
              <w:t>6</w:t>
            </w:r>
            <w:r>
              <w:rPr>
                <w:rFonts w:hint="default" w:ascii="Times New Roman" w:hAnsi="Times New Roman" w:cs="Times New Roman"/>
                <w:b/>
                <w:bCs/>
                <w:color w:val="auto"/>
                <w:szCs w:val="21"/>
                <w:highlight w:val="none"/>
              </w:rPr>
              <w:t xml:space="preserve">  本项目固体废物产生一览表</w:t>
            </w:r>
          </w:p>
          <w:tbl>
            <w:tblPr>
              <w:tblStyle w:val="32"/>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448"/>
              <w:gridCol w:w="709"/>
              <w:gridCol w:w="930"/>
              <w:gridCol w:w="516"/>
              <w:gridCol w:w="744"/>
              <w:gridCol w:w="593"/>
              <w:gridCol w:w="744"/>
              <w:gridCol w:w="1541"/>
            </w:tblGrid>
            <w:tr w14:paraId="6D39D0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48" w:type="pct"/>
                  <w:vMerge w:val="restart"/>
                  <w:tcBorders>
                    <w:tl2br w:val="nil"/>
                    <w:tr2bl w:val="nil"/>
                  </w:tcBorders>
                  <w:shd w:val="clear" w:color="auto" w:fill="auto"/>
                  <w:vAlign w:val="center"/>
                </w:tcPr>
                <w:p w14:paraId="44493D59">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工序/生产线</w:t>
                  </w:r>
                </w:p>
              </w:tc>
              <w:tc>
                <w:tcPr>
                  <w:tcW w:w="912" w:type="pct"/>
                  <w:vMerge w:val="restart"/>
                  <w:tcBorders>
                    <w:tl2br w:val="nil"/>
                    <w:tr2bl w:val="nil"/>
                  </w:tcBorders>
                  <w:shd w:val="clear" w:color="auto" w:fill="auto"/>
                  <w:vAlign w:val="center"/>
                </w:tcPr>
                <w:p w14:paraId="62FE1BA5">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固体废物名称</w:t>
                  </w:r>
                </w:p>
              </w:tc>
              <w:tc>
                <w:tcPr>
                  <w:tcW w:w="446" w:type="pct"/>
                  <w:vMerge w:val="restart"/>
                  <w:tcBorders>
                    <w:tl2br w:val="nil"/>
                    <w:tr2bl w:val="nil"/>
                  </w:tcBorders>
                  <w:shd w:val="clear" w:color="auto" w:fill="auto"/>
                  <w:vAlign w:val="center"/>
                </w:tcPr>
                <w:p w14:paraId="517ADDA1">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固体废物属性</w:t>
                  </w:r>
                </w:p>
              </w:tc>
              <w:tc>
                <w:tcPr>
                  <w:tcW w:w="585" w:type="pct"/>
                  <w:vMerge w:val="restart"/>
                  <w:tcBorders>
                    <w:tl2br w:val="nil"/>
                    <w:tr2bl w:val="nil"/>
                  </w:tcBorders>
                  <w:shd w:val="clear" w:color="auto" w:fill="auto"/>
                  <w:vAlign w:val="center"/>
                </w:tcPr>
                <w:p w14:paraId="47A9E093">
                  <w:pPr>
                    <w:pStyle w:val="78"/>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固废</w:t>
                  </w:r>
                </w:p>
                <w:p w14:paraId="270DE10F">
                  <w:pPr>
                    <w:pStyle w:val="78"/>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代码</w:t>
                  </w:r>
                </w:p>
              </w:tc>
              <w:tc>
                <w:tcPr>
                  <w:tcW w:w="793" w:type="pct"/>
                  <w:gridSpan w:val="2"/>
                  <w:tcBorders>
                    <w:tl2br w:val="nil"/>
                    <w:tr2bl w:val="nil"/>
                  </w:tcBorders>
                  <w:shd w:val="clear" w:color="auto" w:fill="auto"/>
                  <w:vAlign w:val="center"/>
                </w:tcPr>
                <w:p w14:paraId="6C691C68">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产生情况</w:t>
                  </w:r>
                </w:p>
              </w:tc>
              <w:tc>
                <w:tcPr>
                  <w:tcW w:w="842" w:type="pct"/>
                  <w:gridSpan w:val="2"/>
                  <w:tcBorders>
                    <w:tl2br w:val="nil"/>
                    <w:tr2bl w:val="nil"/>
                  </w:tcBorders>
                  <w:shd w:val="clear" w:color="auto" w:fill="auto"/>
                  <w:vAlign w:val="center"/>
                </w:tcPr>
                <w:p w14:paraId="6E12155A">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处置措施</w:t>
                  </w:r>
                </w:p>
              </w:tc>
              <w:tc>
                <w:tcPr>
                  <w:tcW w:w="970" w:type="pct"/>
                  <w:vMerge w:val="restart"/>
                  <w:tcBorders>
                    <w:tl2br w:val="nil"/>
                    <w:tr2bl w:val="nil"/>
                  </w:tcBorders>
                  <w:shd w:val="clear" w:color="auto" w:fill="auto"/>
                  <w:vAlign w:val="center"/>
                </w:tcPr>
                <w:p w14:paraId="729750AF">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最终去向</w:t>
                  </w:r>
                </w:p>
              </w:tc>
            </w:tr>
            <w:tr w14:paraId="419D5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48" w:type="pct"/>
                  <w:vMerge w:val="continue"/>
                  <w:tcBorders>
                    <w:tl2br w:val="nil"/>
                    <w:tr2bl w:val="nil"/>
                  </w:tcBorders>
                  <w:shd w:val="clear" w:color="auto" w:fill="auto"/>
                  <w:vAlign w:val="center"/>
                </w:tcPr>
                <w:p w14:paraId="05508921">
                  <w:pPr>
                    <w:pStyle w:val="78"/>
                    <w:rPr>
                      <w:rFonts w:hint="default" w:ascii="Times New Roman" w:hAnsi="Times New Roman" w:cs="Times New Roman"/>
                      <w:color w:val="auto"/>
                      <w:kern w:val="2"/>
                      <w:sz w:val="18"/>
                      <w:szCs w:val="18"/>
                      <w:highlight w:val="none"/>
                    </w:rPr>
                  </w:pPr>
                </w:p>
              </w:tc>
              <w:tc>
                <w:tcPr>
                  <w:tcW w:w="912" w:type="pct"/>
                  <w:vMerge w:val="continue"/>
                  <w:tcBorders>
                    <w:tl2br w:val="nil"/>
                    <w:tr2bl w:val="nil"/>
                  </w:tcBorders>
                  <w:shd w:val="clear" w:color="auto" w:fill="auto"/>
                  <w:vAlign w:val="center"/>
                </w:tcPr>
                <w:p w14:paraId="57F28823">
                  <w:pPr>
                    <w:pStyle w:val="78"/>
                    <w:rPr>
                      <w:rFonts w:hint="default" w:ascii="Times New Roman" w:hAnsi="Times New Roman" w:cs="Times New Roman"/>
                      <w:color w:val="auto"/>
                      <w:kern w:val="2"/>
                      <w:sz w:val="18"/>
                      <w:szCs w:val="18"/>
                      <w:highlight w:val="none"/>
                    </w:rPr>
                  </w:pPr>
                </w:p>
              </w:tc>
              <w:tc>
                <w:tcPr>
                  <w:tcW w:w="446" w:type="pct"/>
                  <w:vMerge w:val="continue"/>
                  <w:tcBorders>
                    <w:tl2br w:val="nil"/>
                    <w:tr2bl w:val="nil"/>
                  </w:tcBorders>
                  <w:shd w:val="clear" w:color="auto" w:fill="auto"/>
                  <w:vAlign w:val="center"/>
                </w:tcPr>
                <w:p w14:paraId="6C1947BA">
                  <w:pPr>
                    <w:pStyle w:val="78"/>
                    <w:rPr>
                      <w:rFonts w:hint="default" w:ascii="Times New Roman" w:hAnsi="Times New Roman" w:cs="Times New Roman"/>
                      <w:color w:val="auto"/>
                      <w:kern w:val="2"/>
                      <w:sz w:val="18"/>
                      <w:szCs w:val="18"/>
                      <w:highlight w:val="none"/>
                    </w:rPr>
                  </w:pPr>
                </w:p>
              </w:tc>
              <w:tc>
                <w:tcPr>
                  <w:tcW w:w="585" w:type="pct"/>
                  <w:vMerge w:val="continue"/>
                  <w:tcBorders>
                    <w:tl2br w:val="nil"/>
                    <w:tr2bl w:val="nil"/>
                  </w:tcBorders>
                  <w:shd w:val="clear" w:color="auto" w:fill="auto"/>
                  <w:vAlign w:val="center"/>
                </w:tcPr>
                <w:p w14:paraId="42267BFF">
                  <w:pPr>
                    <w:pStyle w:val="78"/>
                    <w:rPr>
                      <w:rFonts w:hint="default" w:ascii="Times New Roman" w:hAnsi="Times New Roman" w:cs="Times New Roman"/>
                      <w:color w:val="auto"/>
                      <w:kern w:val="2"/>
                      <w:sz w:val="18"/>
                      <w:szCs w:val="18"/>
                      <w:highlight w:val="none"/>
                    </w:rPr>
                  </w:pPr>
                </w:p>
              </w:tc>
              <w:tc>
                <w:tcPr>
                  <w:tcW w:w="325" w:type="pct"/>
                  <w:tcBorders>
                    <w:tl2br w:val="nil"/>
                    <w:tr2bl w:val="nil"/>
                  </w:tcBorders>
                  <w:shd w:val="clear" w:color="auto" w:fill="auto"/>
                  <w:vAlign w:val="center"/>
                </w:tcPr>
                <w:p w14:paraId="14C324D6">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核算方法</w:t>
                  </w:r>
                </w:p>
              </w:tc>
              <w:tc>
                <w:tcPr>
                  <w:tcW w:w="468" w:type="pct"/>
                  <w:tcBorders>
                    <w:tl2br w:val="nil"/>
                    <w:tr2bl w:val="nil"/>
                  </w:tcBorders>
                  <w:shd w:val="clear" w:color="auto" w:fill="auto"/>
                  <w:vAlign w:val="center"/>
                </w:tcPr>
                <w:p w14:paraId="37744314">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产生量</w:t>
                  </w:r>
                </w:p>
              </w:tc>
              <w:tc>
                <w:tcPr>
                  <w:tcW w:w="373" w:type="pct"/>
                  <w:tcBorders>
                    <w:tl2br w:val="nil"/>
                    <w:tr2bl w:val="nil"/>
                  </w:tcBorders>
                  <w:shd w:val="clear" w:color="auto" w:fill="auto"/>
                  <w:vAlign w:val="center"/>
                </w:tcPr>
                <w:p w14:paraId="28406156">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工艺</w:t>
                  </w:r>
                </w:p>
              </w:tc>
              <w:tc>
                <w:tcPr>
                  <w:tcW w:w="468" w:type="pct"/>
                  <w:tcBorders>
                    <w:tl2br w:val="nil"/>
                    <w:tr2bl w:val="nil"/>
                  </w:tcBorders>
                  <w:shd w:val="clear" w:color="auto" w:fill="auto"/>
                  <w:vAlign w:val="center"/>
                </w:tcPr>
                <w:p w14:paraId="1A3E9862">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处置量</w:t>
                  </w:r>
                </w:p>
              </w:tc>
              <w:tc>
                <w:tcPr>
                  <w:tcW w:w="970" w:type="pct"/>
                  <w:vMerge w:val="continue"/>
                  <w:tcBorders>
                    <w:tl2br w:val="nil"/>
                    <w:tr2bl w:val="nil"/>
                  </w:tcBorders>
                  <w:shd w:val="clear" w:color="auto" w:fill="auto"/>
                  <w:vAlign w:val="center"/>
                </w:tcPr>
                <w:p w14:paraId="20ABC775">
                  <w:pPr>
                    <w:pStyle w:val="78"/>
                    <w:rPr>
                      <w:rFonts w:hint="default" w:ascii="Times New Roman" w:hAnsi="Times New Roman" w:cs="Times New Roman"/>
                      <w:color w:val="auto"/>
                      <w:kern w:val="2"/>
                      <w:sz w:val="18"/>
                      <w:szCs w:val="18"/>
                      <w:highlight w:val="none"/>
                    </w:rPr>
                  </w:pPr>
                </w:p>
              </w:tc>
            </w:tr>
            <w:tr w14:paraId="138148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0" w:hRule="atLeast"/>
                <w:jc w:val="center"/>
              </w:trPr>
              <w:tc>
                <w:tcPr>
                  <w:tcW w:w="448" w:type="pct"/>
                  <w:tcBorders>
                    <w:tl2br w:val="nil"/>
                    <w:tr2bl w:val="nil"/>
                  </w:tcBorders>
                  <w:shd w:val="clear" w:color="auto" w:fill="auto"/>
                  <w:vAlign w:val="center"/>
                </w:tcPr>
                <w:p w14:paraId="50DF1E0C">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职工生活</w:t>
                  </w:r>
                </w:p>
              </w:tc>
              <w:tc>
                <w:tcPr>
                  <w:tcW w:w="912" w:type="pct"/>
                  <w:tcBorders>
                    <w:tl2br w:val="nil"/>
                    <w:tr2bl w:val="nil"/>
                  </w:tcBorders>
                  <w:shd w:val="clear" w:color="auto" w:fill="auto"/>
                  <w:vAlign w:val="center"/>
                </w:tcPr>
                <w:p w14:paraId="3C37A028">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生活垃圾</w:t>
                  </w:r>
                </w:p>
              </w:tc>
              <w:tc>
                <w:tcPr>
                  <w:tcW w:w="446" w:type="pct"/>
                  <w:tcBorders>
                    <w:tl2br w:val="nil"/>
                    <w:tr2bl w:val="nil"/>
                  </w:tcBorders>
                  <w:shd w:val="clear" w:color="auto" w:fill="auto"/>
                  <w:vAlign w:val="center"/>
                </w:tcPr>
                <w:p w14:paraId="196648EC">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w:t>
                  </w:r>
                </w:p>
              </w:tc>
              <w:tc>
                <w:tcPr>
                  <w:tcW w:w="585" w:type="pct"/>
                  <w:tcBorders>
                    <w:tl2br w:val="nil"/>
                    <w:tr2bl w:val="nil"/>
                  </w:tcBorders>
                  <w:shd w:val="clear" w:color="auto" w:fill="auto"/>
                  <w:vAlign w:val="center"/>
                </w:tcPr>
                <w:p w14:paraId="1ADF9EB4">
                  <w:pPr>
                    <w:pStyle w:val="78"/>
                    <w:rPr>
                      <w:rFonts w:hint="eastAsia"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sz w:val="18"/>
                      <w:szCs w:val="18"/>
                      <w:highlight w:val="none"/>
                      <w:lang w:val="en-US" w:eastAsia="zh-CN"/>
                    </w:rPr>
                    <w:t>900-099-S64</w:t>
                  </w:r>
                </w:p>
              </w:tc>
              <w:tc>
                <w:tcPr>
                  <w:tcW w:w="325" w:type="pct"/>
                  <w:vMerge w:val="restart"/>
                  <w:tcBorders>
                    <w:tl2br w:val="nil"/>
                    <w:tr2bl w:val="nil"/>
                  </w:tcBorders>
                  <w:shd w:val="clear" w:color="auto" w:fill="auto"/>
                  <w:vAlign w:val="center"/>
                </w:tcPr>
                <w:p w14:paraId="77A132A4">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lang w:val="en-US" w:eastAsia="zh-CN"/>
                    </w:rPr>
                    <w:t>产污系数</w:t>
                  </w:r>
                  <w:r>
                    <w:rPr>
                      <w:rFonts w:hint="default" w:ascii="Times New Roman" w:hAnsi="Times New Roman" w:cs="Times New Roman"/>
                      <w:color w:val="auto"/>
                      <w:kern w:val="2"/>
                      <w:sz w:val="18"/>
                      <w:szCs w:val="18"/>
                      <w:highlight w:val="none"/>
                    </w:rPr>
                    <w:t>法</w:t>
                  </w:r>
                </w:p>
              </w:tc>
              <w:tc>
                <w:tcPr>
                  <w:tcW w:w="468" w:type="pct"/>
                  <w:tcBorders>
                    <w:tl2br w:val="nil"/>
                    <w:tr2bl w:val="nil"/>
                  </w:tcBorders>
                  <w:shd w:val="clear" w:color="auto" w:fill="auto"/>
                  <w:vAlign w:val="center"/>
                </w:tcPr>
                <w:p w14:paraId="016F52F5">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lang w:val="en-US" w:eastAsia="zh-CN"/>
                    </w:rPr>
                    <w:t>16.95</w:t>
                  </w:r>
                  <w:r>
                    <w:rPr>
                      <w:rFonts w:hint="default" w:ascii="Times New Roman" w:hAnsi="Times New Roman" w:cs="Times New Roman"/>
                      <w:color w:val="auto"/>
                      <w:kern w:val="2"/>
                      <w:sz w:val="18"/>
                      <w:szCs w:val="18"/>
                      <w:highlight w:val="none"/>
                    </w:rPr>
                    <w:t>t/a</w:t>
                  </w:r>
                </w:p>
              </w:tc>
              <w:tc>
                <w:tcPr>
                  <w:tcW w:w="373" w:type="pct"/>
                  <w:tcBorders>
                    <w:tl2br w:val="nil"/>
                    <w:tr2bl w:val="nil"/>
                  </w:tcBorders>
                  <w:shd w:val="clear" w:color="auto" w:fill="auto"/>
                  <w:vAlign w:val="center"/>
                </w:tcPr>
                <w:p w14:paraId="23D1055F">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集中收集</w:t>
                  </w:r>
                </w:p>
              </w:tc>
              <w:tc>
                <w:tcPr>
                  <w:tcW w:w="468" w:type="pct"/>
                  <w:tcBorders>
                    <w:tl2br w:val="nil"/>
                    <w:tr2bl w:val="nil"/>
                  </w:tcBorders>
                  <w:shd w:val="clear" w:color="auto" w:fill="auto"/>
                  <w:vAlign w:val="center"/>
                </w:tcPr>
                <w:p w14:paraId="5E43B0EF">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lang w:val="en-US" w:eastAsia="zh-CN"/>
                    </w:rPr>
                    <w:t>16.95</w:t>
                  </w:r>
                  <w:r>
                    <w:rPr>
                      <w:rFonts w:hint="default" w:ascii="Times New Roman" w:hAnsi="Times New Roman" w:cs="Times New Roman"/>
                      <w:color w:val="auto"/>
                      <w:kern w:val="2"/>
                      <w:sz w:val="18"/>
                      <w:szCs w:val="18"/>
                      <w:highlight w:val="none"/>
                    </w:rPr>
                    <w:t>t/a</w:t>
                  </w:r>
                </w:p>
              </w:tc>
              <w:tc>
                <w:tcPr>
                  <w:tcW w:w="970" w:type="pct"/>
                  <w:tcBorders>
                    <w:tl2br w:val="nil"/>
                    <w:tr2bl w:val="nil"/>
                  </w:tcBorders>
                  <w:shd w:val="clear" w:color="auto" w:fill="auto"/>
                  <w:vAlign w:val="center"/>
                </w:tcPr>
                <w:p w14:paraId="3991E23B">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由市政部门统一处理</w:t>
                  </w:r>
                </w:p>
              </w:tc>
            </w:tr>
            <w:tr w14:paraId="3DAF47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8" w:type="pct"/>
                  <w:vMerge w:val="restart"/>
                  <w:tcBorders>
                    <w:tl2br w:val="nil"/>
                    <w:tr2bl w:val="nil"/>
                  </w:tcBorders>
                  <w:shd w:val="clear" w:color="auto" w:fill="auto"/>
                  <w:vAlign w:val="center"/>
                </w:tcPr>
                <w:p w14:paraId="67970B95">
                  <w:pPr>
                    <w:pStyle w:val="78"/>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生产及包装过程</w:t>
                  </w:r>
                </w:p>
              </w:tc>
              <w:tc>
                <w:tcPr>
                  <w:tcW w:w="912" w:type="pct"/>
                  <w:tcBorders>
                    <w:tl2br w:val="nil"/>
                    <w:tr2bl w:val="nil"/>
                  </w:tcBorders>
                  <w:shd w:val="clear" w:color="auto" w:fill="auto"/>
                  <w:vAlign w:val="center"/>
                </w:tcPr>
                <w:p w14:paraId="356FF21F">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eastAsia="zh-CN"/>
                    </w:rPr>
                    <w:t>不合格品</w:t>
                  </w:r>
                  <w:r>
                    <w:rPr>
                      <w:rFonts w:hint="eastAsia" w:ascii="Times New Roman" w:hAnsi="Times New Roman" w:cs="Times New Roman"/>
                      <w:color w:val="auto"/>
                      <w:kern w:val="2"/>
                      <w:sz w:val="18"/>
                      <w:szCs w:val="18"/>
                      <w:highlight w:val="none"/>
                      <w:lang w:eastAsia="zh-CN"/>
                    </w:rPr>
                    <w:t>、</w:t>
                  </w:r>
                  <w:r>
                    <w:rPr>
                      <w:rFonts w:hint="eastAsia" w:ascii="Times New Roman" w:hAnsi="Times New Roman" w:cs="Times New Roman"/>
                      <w:color w:val="auto"/>
                      <w:kern w:val="2"/>
                      <w:sz w:val="18"/>
                      <w:szCs w:val="18"/>
                      <w:highlight w:val="none"/>
                      <w:lang w:val="en-US" w:eastAsia="zh-CN"/>
                    </w:rPr>
                    <w:t>废边角料</w:t>
                  </w:r>
                </w:p>
              </w:tc>
              <w:tc>
                <w:tcPr>
                  <w:tcW w:w="446" w:type="pct"/>
                  <w:vMerge w:val="restart"/>
                  <w:tcBorders>
                    <w:tl2br w:val="nil"/>
                    <w:tr2bl w:val="nil"/>
                  </w:tcBorders>
                  <w:shd w:val="clear" w:color="auto" w:fill="auto"/>
                  <w:vAlign w:val="center"/>
                </w:tcPr>
                <w:p w14:paraId="1F19EA88">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一般</w:t>
                  </w:r>
                </w:p>
                <w:p w14:paraId="320585A0">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固废</w:t>
                  </w:r>
                </w:p>
              </w:tc>
              <w:tc>
                <w:tcPr>
                  <w:tcW w:w="585" w:type="pct"/>
                  <w:tcBorders>
                    <w:tl2br w:val="nil"/>
                    <w:tr2bl w:val="nil"/>
                  </w:tcBorders>
                  <w:shd w:val="clear" w:color="auto" w:fill="auto"/>
                  <w:vAlign w:val="center"/>
                </w:tcPr>
                <w:p w14:paraId="3D911118">
                  <w:pPr>
                    <w:pStyle w:val="7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900-009-S59</w:t>
                  </w:r>
                </w:p>
              </w:tc>
              <w:tc>
                <w:tcPr>
                  <w:tcW w:w="325" w:type="pct"/>
                  <w:vMerge w:val="continue"/>
                  <w:tcBorders>
                    <w:tl2br w:val="nil"/>
                    <w:tr2bl w:val="nil"/>
                  </w:tcBorders>
                  <w:shd w:val="clear" w:color="auto" w:fill="auto"/>
                  <w:vAlign w:val="center"/>
                </w:tcPr>
                <w:p w14:paraId="6C3D64F4">
                  <w:pPr>
                    <w:pStyle w:val="78"/>
                    <w:rPr>
                      <w:rFonts w:hint="default" w:ascii="Times New Roman" w:hAnsi="Times New Roman" w:cs="Times New Roman"/>
                      <w:color w:val="auto"/>
                      <w:kern w:val="2"/>
                      <w:sz w:val="18"/>
                      <w:szCs w:val="18"/>
                      <w:highlight w:val="none"/>
                    </w:rPr>
                  </w:pPr>
                </w:p>
              </w:tc>
              <w:tc>
                <w:tcPr>
                  <w:tcW w:w="468" w:type="pct"/>
                  <w:tcBorders>
                    <w:tl2br w:val="nil"/>
                    <w:tr2bl w:val="nil"/>
                  </w:tcBorders>
                  <w:shd w:val="clear" w:color="auto" w:fill="auto"/>
                  <w:vAlign w:val="center"/>
                </w:tcPr>
                <w:p w14:paraId="30BA2926">
                  <w:pPr>
                    <w:pStyle w:val="78"/>
                    <w:rPr>
                      <w:rFonts w:hint="default" w:ascii="Times New Roman" w:hAnsi="Times New Roman" w:cs="Times New Roman"/>
                      <w:color w:val="auto"/>
                      <w:kern w:val="2"/>
                      <w:sz w:val="18"/>
                      <w:szCs w:val="18"/>
                      <w:highlight w:val="none"/>
                    </w:rPr>
                  </w:pPr>
                  <w:r>
                    <w:rPr>
                      <w:rFonts w:hint="eastAsia" w:ascii="Times New Roman" w:hAnsi="Times New Roman" w:cs="Times New Roman"/>
                      <w:color w:val="auto"/>
                      <w:kern w:val="2"/>
                      <w:sz w:val="18"/>
                      <w:szCs w:val="18"/>
                      <w:highlight w:val="none"/>
                      <w:lang w:val="en-US" w:eastAsia="zh-CN"/>
                    </w:rPr>
                    <w:t>13458.84</w:t>
                  </w:r>
                  <w:r>
                    <w:rPr>
                      <w:rFonts w:hint="default" w:ascii="Times New Roman" w:hAnsi="Times New Roman" w:cs="Times New Roman"/>
                      <w:color w:val="auto"/>
                      <w:kern w:val="2"/>
                      <w:sz w:val="18"/>
                      <w:szCs w:val="18"/>
                      <w:highlight w:val="none"/>
                    </w:rPr>
                    <w:t>t/a</w:t>
                  </w:r>
                </w:p>
              </w:tc>
              <w:tc>
                <w:tcPr>
                  <w:tcW w:w="373" w:type="pct"/>
                  <w:vMerge w:val="restart"/>
                  <w:tcBorders>
                    <w:tl2br w:val="nil"/>
                    <w:tr2bl w:val="nil"/>
                  </w:tcBorders>
                  <w:shd w:val="clear" w:color="auto" w:fill="auto"/>
                  <w:vAlign w:val="center"/>
                </w:tcPr>
                <w:p w14:paraId="4084CFF0">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集中收集</w:t>
                  </w:r>
                </w:p>
              </w:tc>
              <w:tc>
                <w:tcPr>
                  <w:tcW w:w="468" w:type="pct"/>
                  <w:tcBorders>
                    <w:tl2br w:val="nil"/>
                    <w:tr2bl w:val="nil"/>
                  </w:tcBorders>
                  <w:shd w:val="clear" w:color="auto" w:fill="auto"/>
                  <w:vAlign w:val="center"/>
                </w:tcPr>
                <w:p w14:paraId="3A3EC993">
                  <w:pPr>
                    <w:pStyle w:val="78"/>
                    <w:rPr>
                      <w:rFonts w:hint="default" w:ascii="Times New Roman" w:hAnsi="Times New Roman" w:cs="Times New Roman"/>
                      <w:color w:val="auto"/>
                      <w:kern w:val="2"/>
                      <w:sz w:val="18"/>
                      <w:szCs w:val="18"/>
                      <w:highlight w:val="none"/>
                    </w:rPr>
                  </w:pPr>
                  <w:r>
                    <w:rPr>
                      <w:rFonts w:hint="eastAsia" w:ascii="Times New Roman" w:hAnsi="Times New Roman" w:cs="Times New Roman"/>
                      <w:color w:val="auto"/>
                      <w:kern w:val="2"/>
                      <w:sz w:val="18"/>
                      <w:szCs w:val="18"/>
                      <w:highlight w:val="none"/>
                      <w:lang w:val="en-US" w:eastAsia="zh-CN"/>
                    </w:rPr>
                    <w:t>13458.84</w:t>
                  </w:r>
                  <w:r>
                    <w:rPr>
                      <w:rFonts w:hint="default" w:ascii="Times New Roman" w:hAnsi="Times New Roman" w:cs="Times New Roman"/>
                      <w:color w:val="auto"/>
                      <w:kern w:val="2"/>
                      <w:sz w:val="18"/>
                      <w:szCs w:val="18"/>
                      <w:highlight w:val="none"/>
                    </w:rPr>
                    <w:t>t/a</w:t>
                  </w:r>
                </w:p>
              </w:tc>
              <w:tc>
                <w:tcPr>
                  <w:tcW w:w="970" w:type="pct"/>
                  <w:tcBorders>
                    <w:tl2br w:val="nil"/>
                    <w:tr2bl w:val="nil"/>
                  </w:tcBorders>
                  <w:shd w:val="clear" w:color="auto" w:fill="auto"/>
                  <w:vAlign w:val="center"/>
                </w:tcPr>
                <w:p w14:paraId="6ABE9015">
                  <w:pPr>
                    <w:pStyle w:val="78"/>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外售综合利用</w:t>
                  </w:r>
                </w:p>
              </w:tc>
            </w:tr>
            <w:tr w14:paraId="63BF7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 w:hRule="atLeast"/>
                <w:jc w:val="center"/>
              </w:trPr>
              <w:tc>
                <w:tcPr>
                  <w:tcW w:w="448" w:type="pct"/>
                  <w:vMerge w:val="continue"/>
                  <w:tcBorders>
                    <w:tl2br w:val="nil"/>
                    <w:tr2bl w:val="nil"/>
                  </w:tcBorders>
                  <w:shd w:val="clear" w:color="auto" w:fill="auto"/>
                  <w:vAlign w:val="center"/>
                </w:tcPr>
                <w:p w14:paraId="59300067">
                  <w:pPr>
                    <w:pStyle w:val="78"/>
                    <w:rPr>
                      <w:rFonts w:hint="default" w:ascii="Times New Roman" w:hAnsi="Times New Roman" w:cs="Times New Roman"/>
                      <w:color w:val="auto"/>
                      <w:highlight w:val="none"/>
                    </w:rPr>
                  </w:pPr>
                </w:p>
              </w:tc>
              <w:tc>
                <w:tcPr>
                  <w:tcW w:w="912" w:type="pct"/>
                  <w:tcBorders>
                    <w:tl2br w:val="nil"/>
                    <w:tr2bl w:val="nil"/>
                  </w:tcBorders>
                  <w:shd w:val="clear" w:color="auto" w:fill="auto"/>
                  <w:vAlign w:val="center"/>
                </w:tcPr>
                <w:p w14:paraId="28188A38">
                  <w:pPr>
                    <w:pStyle w:val="78"/>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废包装带</w:t>
                  </w:r>
                </w:p>
              </w:tc>
              <w:tc>
                <w:tcPr>
                  <w:tcW w:w="446" w:type="pct"/>
                  <w:vMerge w:val="continue"/>
                  <w:tcBorders>
                    <w:tl2br w:val="nil"/>
                    <w:tr2bl w:val="nil"/>
                  </w:tcBorders>
                  <w:shd w:val="clear" w:color="auto" w:fill="auto"/>
                  <w:vAlign w:val="center"/>
                </w:tcPr>
                <w:p w14:paraId="406A708C">
                  <w:pPr>
                    <w:pStyle w:val="78"/>
                    <w:rPr>
                      <w:rFonts w:hint="default" w:ascii="Times New Roman" w:hAnsi="Times New Roman" w:cs="Times New Roman"/>
                      <w:color w:val="auto"/>
                      <w:kern w:val="2"/>
                      <w:sz w:val="18"/>
                      <w:szCs w:val="18"/>
                      <w:highlight w:val="none"/>
                    </w:rPr>
                  </w:pPr>
                </w:p>
              </w:tc>
              <w:tc>
                <w:tcPr>
                  <w:tcW w:w="585" w:type="pct"/>
                  <w:tcBorders>
                    <w:tl2br w:val="nil"/>
                    <w:tr2bl w:val="nil"/>
                  </w:tcBorders>
                  <w:shd w:val="clear" w:color="auto" w:fill="auto"/>
                  <w:vAlign w:val="center"/>
                </w:tcPr>
                <w:p w14:paraId="38F66A18">
                  <w:pPr>
                    <w:pStyle w:val="7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900-009-S59</w:t>
                  </w:r>
                </w:p>
              </w:tc>
              <w:tc>
                <w:tcPr>
                  <w:tcW w:w="325" w:type="pct"/>
                  <w:vMerge w:val="continue"/>
                  <w:tcBorders>
                    <w:tl2br w:val="nil"/>
                    <w:tr2bl w:val="nil"/>
                  </w:tcBorders>
                  <w:shd w:val="clear" w:color="auto" w:fill="auto"/>
                  <w:vAlign w:val="center"/>
                </w:tcPr>
                <w:p w14:paraId="0022AF68">
                  <w:pPr>
                    <w:pStyle w:val="78"/>
                    <w:rPr>
                      <w:rFonts w:hint="default" w:ascii="Times New Roman" w:hAnsi="Times New Roman" w:cs="Times New Roman"/>
                      <w:color w:val="auto"/>
                      <w:kern w:val="2"/>
                      <w:sz w:val="18"/>
                      <w:szCs w:val="18"/>
                      <w:highlight w:val="none"/>
                    </w:rPr>
                  </w:pPr>
                </w:p>
              </w:tc>
              <w:tc>
                <w:tcPr>
                  <w:tcW w:w="468" w:type="pct"/>
                  <w:tcBorders>
                    <w:tl2br w:val="nil"/>
                    <w:tr2bl w:val="nil"/>
                  </w:tcBorders>
                  <w:shd w:val="clear" w:color="auto" w:fill="auto"/>
                  <w:vAlign w:val="center"/>
                </w:tcPr>
                <w:p w14:paraId="633AF116">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lang w:val="en-US" w:eastAsia="zh-CN"/>
                    </w:rPr>
                    <w:t>50</w:t>
                  </w:r>
                  <w:r>
                    <w:rPr>
                      <w:rFonts w:hint="default" w:ascii="Times New Roman" w:hAnsi="Times New Roman" w:cs="Times New Roman"/>
                      <w:color w:val="auto"/>
                      <w:kern w:val="2"/>
                      <w:sz w:val="18"/>
                      <w:szCs w:val="18"/>
                      <w:highlight w:val="none"/>
                    </w:rPr>
                    <w:t>kg/a</w:t>
                  </w:r>
                </w:p>
              </w:tc>
              <w:tc>
                <w:tcPr>
                  <w:tcW w:w="373" w:type="pct"/>
                  <w:vMerge w:val="continue"/>
                  <w:tcBorders>
                    <w:tl2br w:val="nil"/>
                    <w:tr2bl w:val="nil"/>
                  </w:tcBorders>
                  <w:shd w:val="clear" w:color="auto" w:fill="auto"/>
                  <w:vAlign w:val="center"/>
                </w:tcPr>
                <w:p w14:paraId="34995910">
                  <w:pPr>
                    <w:pStyle w:val="78"/>
                    <w:rPr>
                      <w:rFonts w:hint="default" w:ascii="Times New Roman" w:hAnsi="Times New Roman" w:cs="Times New Roman"/>
                      <w:color w:val="auto"/>
                      <w:kern w:val="2"/>
                      <w:sz w:val="18"/>
                      <w:szCs w:val="18"/>
                      <w:highlight w:val="none"/>
                    </w:rPr>
                  </w:pPr>
                </w:p>
              </w:tc>
              <w:tc>
                <w:tcPr>
                  <w:tcW w:w="468" w:type="pct"/>
                  <w:tcBorders>
                    <w:tl2br w:val="nil"/>
                    <w:tr2bl w:val="nil"/>
                  </w:tcBorders>
                  <w:shd w:val="clear" w:color="auto" w:fill="auto"/>
                  <w:vAlign w:val="center"/>
                </w:tcPr>
                <w:p w14:paraId="20DE344B">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lang w:val="en-US" w:eastAsia="zh-CN"/>
                    </w:rPr>
                    <w:t>50</w:t>
                  </w:r>
                  <w:r>
                    <w:rPr>
                      <w:rFonts w:hint="default" w:ascii="Times New Roman" w:hAnsi="Times New Roman" w:cs="Times New Roman"/>
                      <w:color w:val="auto"/>
                      <w:kern w:val="2"/>
                      <w:sz w:val="18"/>
                      <w:szCs w:val="18"/>
                      <w:highlight w:val="none"/>
                    </w:rPr>
                    <w:t>kg/a</w:t>
                  </w:r>
                </w:p>
              </w:tc>
              <w:tc>
                <w:tcPr>
                  <w:tcW w:w="970" w:type="pct"/>
                  <w:tcBorders>
                    <w:tl2br w:val="nil"/>
                    <w:tr2bl w:val="nil"/>
                  </w:tcBorders>
                  <w:shd w:val="clear" w:color="auto" w:fill="auto"/>
                  <w:vAlign w:val="center"/>
                </w:tcPr>
                <w:p w14:paraId="62F12232">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由市政部门统一处理</w:t>
                  </w:r>
                </w:p>
              </w:tc>
            </w:tr>
            <w:tr w14:paraId="6137CF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448" w:type="pct"/>
                  <w:vMerge w:val="restart"/>
                  <w:tcBorders>
                    <w:tl2br w:val="nil"/>
                    <w:tr2bl w:val="nil"/>
                  </w:tcBorders>
                  <w:shd w:val="clear" w:color="auto" w:fill="auto"/>
                  <w:vAlign w:val="center"/>
                </w:tcPr>
                <w:p w14:paraId="6BF66A97">
                  <w:pPr>
                    <w:pStyle w:val="7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废气处理</w:t>
                  </w:r>
                </w:p>
              </w:tc>
              <w:tc>
                <w:tcPr>
                  <w:tcW w:w="912" w:type="pct"/>
                  <w:tcBorders>
                    <w:tl2br w:val="nil"/>
                    <w:tr2bl w:val="nil"/>
                  </w:tcBorders>
                  <w:shd w:val="clear" w:color="auto" w:fill="auto"/>
                  <w:vAlign w:val="center"/>
                </w:tcPr>
                <w:p w14:paraId="05EC1003">
                  <w:pPr>
                    <w:pStyle w:val="78"/>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废布袋</w:t>
                  </w:r>
                </w:p>
              </w:tc>
              <w:tc>
                <w:tcPr>
                  <w:tcW w:w="446" w:type="pct"/>
                  <w:vMerge w:val="continue"/>
                  <w:tcBorders>
                    <w:tl2br w:val="nil"/>
                    <w:tr2bl w:val="nil"/>
                  </w:tcBorders>
                  <w:shd w:val="clear" w:color="auto" w:fill="auto"/>
                  <w:vAlign w:val="center"/>
                </w:tcPr>
                <w:p w14:paraId="74FE11C3">
                  <w:pPr>
                    <w:rPr>
                      <w:rFonts w:hint="default" w:ascii="Times New Roman" w:hAnsi="Times New Roman" w:cs="Times New Roman"/>
                      <w:color w:val="auto"/>
                      <w:highlight w:val="none"/>
                    </w:rPr>
                  </w:pPr>
                </w:p>
              </w:tc>
              <w:tc>
                <w:tcPr>
                  <w:tcW w:w="585" w:type="pct"/>
                  <w:tcBorders>
                    <w:tl2br w:val="nil"/>
                    <w:tr2bl w:val="nil"/>
                  </w:tcBorders>
                  <w:shd w:val="clear" w:color="auto" w:fill="auto"/>
                  <w:vAlign w:val="center"/>
                </w:tcPr>
                <w:p w14:paraId="6EDAFAAC">
                  <w:pPr>
                    <w:pStyle w:val="7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900-009-S59</w:t>
                  </w:r>
                </w:p>
              </w:tc>
              <w:tc>
                <w:tcPr>
                  <w:tcW w:w="325" w:type="pct"/>
                  <w:vMerge w:val="continue"/>
                  <w:tcBorders>
                    <w:tl2br w:val="nil"/>
                    <w:tr2bl w:val="nil"/>
                  </w:tcBorders>
                  <w:shd w:val="clear" w:color="auto" w:fill="auto"/>
                  <w:vAlign w:val="center"/>
                </w:tcPr>
                <w:p w14:paraId="10D9F78E">
                  <w:pPr>
                    <w:pStyle w:val="78"/>
                    <w:rPr>
                      <w:rFonts w:hint="default" w:ascii="Times New Roman" w:hAnsi="Times New Roman" w:cs="Times New Roman"/>
                      <w:color w:val="auto"/>
                      <w:kern w:val="2"/>
                      <w:sz w:val="18"/>
                      <w:szCs w:val="18"/>
                      <w:highlight w:val="none"/>
                    </w:rPr>
                  </w:pPr>
                </w:p>
              </w:tc>
              <w:tc>
                <w:tcPr>
                  <w:tcW w:w="468" w:type="pct"/>
                  <w:tcBorders>
                    <w:tl2br w:val="nil"/>
                    <w:tr2bl w:val="nil"/>
                  </w:tcBorders>
                  <w:shd w:val="clear" w:color="auto" w:fill="auto"/>
                  <w:vAlign w:val="center"/>
                </w:tcPr>
                <w:p w14:paraId="4942C8E1">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lang w:val="en-US" w:eastAsia="zh-CN"/>
                    </w:rPr>
                    <w:t>0.1t</w:t>
                  </w:r>
                  <w:r>
                    <w:rPr>
                      <w:rFonts w:hint="default" w:ascii="Times New Roman" w:hAnsi="Times New Roman" w:cs="Times New Roman"/>
                      <w:color w:val="auto"/>
                      <w:kern w:val="2"/>
                      <w:sz w:val="18"/>
                      <w:szCs w:val="18"/>
                      <w:highlight w:val="none"/>
                    </w:rPr>
                    <w:t>/a</w:t>
                  </w:r>
                </w:p>
              </w:tc>
              <w:tc>
                <w:tcPr>
                  <w:tcW w:w="373" w:type="pct"/>
                  <w:vMerge w:val="continue"/>
                  <w:tcBorders>
                    <w:tl2br w:val="nil"/>
                    <w:tr2bl w:val="nil"/>
                  </w:tcBorders>
                  <w:shd w:val="clear" w:color="auto" w:fill="auto"/>
                  <w:vAlign w:val="center"/>
                </w:tcPr>
                <w:p w14:paraId="00A5659B">
                  <w:pPr>
                    <w:pStyle w:val="78"/>
                    <w:rPr>
                      <w:rFonts w:hint="default" w:ascii="Times New Roman" w:hAnsi="Times New Roman" w:cs="Times New Roman"/>
                      <w:color w:val="auto"/>
                      <w:kern w:val="2"/>
                      <w:sz w:val="18"/>
                      <w:szCs w:val="18"/>
                      <w:highlight w:val="none"/>
                    </w:rPr>
                  </w:pPr>
                </w:p>
              </w:tc>
              <w:tc>
                <w:tcPr>
                  <w:tcW w:w="468" w:type="pct"/>
                  <w:tcBorders>
                    <w:tl2br w:val="nil"/>
                    <w:tr2bl w:val="nil"/>
                  </w:tcBorders>
                  <w:shd w:val="clear" w:color="auto" w:fill="auto"/>
                  <w:vAlign w:val="center"/>
                </w:tcPr>
                <w:p w14:paraId="3783EEC6">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lang w:val="en-US" w:eastAsia="zh-CN"/>
                    </w:rPr>
                    <w:t>0.1t</w:t>
                  </w:r>
                  <w:r>
                    <w:rPr>
                      <w:rFonts w:hint="default" w:ascii="Times New Roman" w:hAnsi="Times New Roman" w:cs="Times New Roman"/>
                      <w:color w:val="auto"/>
                      <w:kern w:val="2"/>
                      <w:sz w:val="18"/>
                      <w:szCs w:val="18"/>
                      <w:highlight w:val="none"/>
                    </w:rPr>
                    <w:t>/a</w:t>
                  </w:r>
                </w:p>
              </w:tc>
              <w:tc>
                <w:tcPr>
                  <w:tcW w:w="970" w:type="pct"/>
                  <w:tcBorders>
                    <w:tl2br w:val="nil"/>
                    <w:tr2bl w:val="nil"/>
                  </w:tcBorders>
                  <w:shd w:val="clear" w:color="auto" w:fill="auto"/>
                  <w:vAlign w:val="center"/>
                </w:tcPr>
                <w:p w14:paraId="5E17702C">
                  <w:pPr>
                    <w:pStyle w:val="78"/>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kern w:val="2"/>
                      <w:sz w:val="18"/>
                      <w:szCs w:val="18"/>
                      <w:highlight w:val="none"/>
                      <w:lang w:eastAsia="zh-CN"/>
                    </w:rPr>
                    <w:t>更换后由厂家直接带走</w:t>
                  </w:r>
                </w:p>
              </w:tc>
            </w:tr>
            <w:tr w14:paraId="698480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448" w:type="pct"/>
                  <w:vMerge w:val="continue"/>
                  <w:tcBorders>
                    <w:tl2br w:val="nil"/>
                    <w:tr2bl w:val="nil"/>
                  </w:tcBorders>
                  <w:shd w:val="clear" w:color="auto" w:fill="auto"/>
                  <w:vAlign w:val="center"/>
                </w:tcPr>
                <w:p w14:paraId="6CB547C0">
                  <w:pPr>
                    <w:pStyle w:val="78"/>
                    <w:rPr>
                      <w:rFonts w:hint="default" w:ascii="Times New Roman" w:hAnsi="Times New Roman" w:eastAsia="宋体" w:cs="Times New Roman"/>
                      <w:color w:val="auto"/>
                      <w:sz w:val="18"/>
                      <w:szCs w:val="18"/>
                      <w:highlight w:val="none"/>
                      <w:lang w:val="en-US" w:eastAsia="zh-CN"/>
                    </w:rPr>
                  </w:pPr>
                </w:p>
              </w:tc>
              <w:tc>
                <w:tcPr>
                  <w:tcW w:w="912" w:type="pct"/>
                  <w:tcBorders>
                    <w:tl2br w:val="nil"/>
                    <w:tr2bl w:val="nil"/>
                  </w:tcBorders>
                  <w:shd w:val="clear" w:color="auto" w:fill="auto"/>
                  <w:vAlign w:val="center"/>
                </w:tcPr>
                <w:p w14:paraId="1E53DB94">
                  <w:pPr>
                    <w:pStyle w:val="78"/>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除尘器收集粉尘</w:t>
                  </w:r>
                </w:p>
              </w:tc>
              <w:tc>
                <w:tcPr>
                  <w:tcW w:w="446" w:type="pct"/>
                  <w:vMerge w:val="continue"/>
                  <w:tcBorders>
                    <w:tl2br w:val="nil"/>
                    <w:tr2bl w:val="nil"/>
                  </w:tcBorders>
                  <w:shd w:val="clear" w:color="auto" w:fill="auto"/>
                  <w:vAlign w:val="center"/>
                </w:tcPr>
                <w:p w14:paraId="07B5C762">
                  <w:pPr>
                    <w:pStyle w:val="78"/>
                    <w:rPr>
                      <w:rFonts w:hint="default" w:ascii="Times New Roman" w:hAnsi="Times New Roman" w:cs="Times New Roman"/>
                      <w:color w:val="auto"/>
                      <w:kern w:val="2"/>
                      <w:sz w:val="18"/>
                      <w:szCs w:val="18"/>
                      <w:highlight w:val="none"/>
                      <w:lang w:eastAsia="zh-CN"/>
                    </w:rPr>
                  </w:pPr>
                </w:p>
              </w:tc>
              <w:tc>
                <w:tcPr>
                  <w:tcW w:w="585" w:type="pct"/>
                  <w:tcBorders>
                    <w:tl2br w:val="nil"/>
                    <w:tr2bl w:val="nil"/>
                  </w:tcBorders>
                  <w:shd w:val="clear" w:color="auto" w:fill="auto"/>
                  <w:vAlign w:val="center"/>
                </w:tcPr>
                <w:p w14:paraId="48C28FA6">
                  <w:pPr>
                    <w:pStyle w:val="7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900-099-S59</w:t>
                  </w:r>
                </w:p>
              </w:tc>
              <w:tc>
                <w:tcPr>
                  <w:tcW w:w="325" w:type="pct"/>
                  <w:vMerge w:val="continue"/>
                  <w:tcBorders>
                    <w:tl2br w:val="nil"/>
                    <w:tr2bl w:val="nil"/>
                  </w:tcBorders>
                  <w:shd w:val="clear" w:color="auto" w:fill="auto"/>
                  <w:vAlign w:val="center"/>
                </w:tcPr>
                <w:p w14:paraId="553B838B">
                  <w:pPr>
                    <w:pStyle w:val="78"/>
                    <w:rPr>
                      <w:rFonts w:hint="default" w:ascii="Times New Roman" w:hAnsi="Times New Roman" w:cs="Times New Roman"/>
                      <w:color w:val="auto"/>
                      <w:kern w:val="2"/>
                      <w:sz w:val="18"/>
                      <w:szCs w:val="18"/>
                      <w:highlight w:val="none"/>
                      <w:lang w:eastAsia="zh-CN"/>
                    </w:rPr>
                  </w:pPr>
                </w:p>
              </w:tc>
              <w:tc>
                <w:tcPr>
                  <w:tcW w:w="468" w:type="pct"/>
                  <w:tcBorders>
                    <w:tl2br w:val="nil"/>
                    <w:tr2bl w:val="nil"/>
                  </w:tcBorders>
                  <w:shd w:val="clear" w:color="auto" w:fill="auto"/>
                  <w:vAlign w:val="center"/>
                </w:tcPr>
                <w:p w14:paraId="09BA9AD2">
                  <w:pPr>
                    <w:pStyle w:val="78"/>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500.9</w:t>
                  </w:r>
                  <w:r>
                    <w:rPr>
                      <w:rFonts w:hint="default" w:ascii="Times New Roman" w:hAnsi="Times New Roman" w:cs="Times New Roman"/>
                      <w:color w:val="auto"/>
                      <w:kern w:val="2"/>
                      <w:sz w:val="18"/>
                      <w:szCs w:val="18"/>
                      <w:highlight w:val="none"/>
                      <w:lang w:val="en-US" w:eastAsia="zh-CN"/>
                    </w:rPr>
                    <w:t>t/a</w:t>
                  </w:r>
                </w:p>
              </w:tc>
              <w:tc>
                <w:tcPr>
                  <w:tcW w:w="373" w:type="pct"/>
                  <w:vMerge w:val="continue"/>
                  <w:tcBorders>
                    <w:tl2br w:val="nil"/>
                    <w:tr2bl w:val="nil"/>
                  </w:tcBorders>
                  <w:shd w:val="clear" w:color="auto" w:fill="auto"/>
                  <w:vAlign w:val="center"/>
                </w:tcPr>
                <w:p w14:paraId="0D0A2CCB">
                  <w:pPr>
                    <w:pStyle w:val="78"/>
                    <w:rPr>
                      <w:rFonts w:hint="default" w:ascii="Times New Roman" w:hAnsi="Times New Roman" w:cs="Times New Roman"/>
                      <w:color w:val="auto"/>
                      <w:kern w:val="2"/>
                      <w:sz w:val="18"/>
                      <w:szCs w:val="18"/>
                      <w:highlight w:val="none"/>
                      <w:lang w:eastAsia="zh-CN"/>
                    </w:rPr>
                  </w:pPr>
                </w:p>
              </w:tc>
              <w:tc>
                <w:tcPr>
                  <w:tcW w:w="468" w:type="pct"/>
                  <w:tcBorders>
                    <w:tl2br w:val="nil"/>
                    <w:tr2bl w:val="nil"/>
                  </w:tcBorders>
                  <w:shd w:val="clear" w:color="auto" w:fill="auto"/>
                  <w:vAlign w:val="center"/>
                </w:tcPr>
                <w:p w14:paraId="75E1915D">
                  <w:pPr>
                    <w:pStyle w:val="78"/>
                    <w:rPr>
                      <w:rFonts w:hint="default" w:ascii="Times New Roman" w:hAnsi="Times New Roman" w:cs="Times New Roman"/>
                      <w:color w:val="auto"/>
                      <w:kern w:val="2"/>
                      <w:sz w:val="18"/>
                      <w:szCs w:val="18"/>
                      <w:highlight w:val="none"/>
                      <w:lang w:eastAsia="zh-CN"/>
                    </w:rPr>
                  </w:pPr>
                  <w:r>
                    <w:rPr>
                      <w:rFonts w:hint="eastAsia" w:ascii="Times New Roman" w:hAnsi="Times New Roman" w:cs="Times New Roman"/>
                      <w:color w:val="auto"/>
                      <w:kern w:val="2"/>
                      <w:sz w:val="18"/>
                      <w:szCs w:val="18"/>
                      <w:highlight w:val="none"/>
                      <w:lang w:val="en-US" w:eastAsia="zh-CN"/>
                    </w:rPr>
                    <w:t>500.9</w:t>
                  </w:r>
                  <w:r>
                    <w:rPr>
                      <w:rFonts w:hint="default" w:ascii="Times New Roman" w:hAnsi="Times New Roman" w:cs="Times New Roman"/>
                      <w:color w:val="auto"/>
                      <w:kern w:val="2"/>
                      <w:sz w:val="18"/>
                      <w:szCs w:val="18"/>
                      <w:highlight w:val="none"/>
                      <w:lang w:val="en-US" w:eastAsia="zh-CN"/>
                    </w:rPr>
                    <w:t>t/a</w:t>
                  </w:r>
                </w:p>
              </w:tc>
              <w:tc>
                <w:tcPr>
                  <w:tcW w:w="970" w:type="pct"/>
                  <w:tcBorders>
                    <w:tl2br w:val="nil"/>
                    <w:tr2bl w:val="nil"/>
                  </w:tcBorders>
                  <w:shd w:val="clear" w:color="auto" w:fill="auto"/>
                  <w:vAlign w:val="center"/>
                </w:tcPr>
                <w:p w14:paraId="7437D5B8">
                  <w:pPr>
                    <w:pStyle w:val="78"/>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回用于生产</w:t>
                  </w:r>
                </w:p>
              </w:tc>
            </w:tr>
            <w:tr w14:paraId="2470BA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48" w:type="pct"/>
                  <w:vMerge w:val="restart"/>
                  <w:tcBorders>
                    <w:tl2br w:val="nil"/>
                    <w:tr2bl w:val="nil"/>
                  </w:tcBorders>
                  <w:shd w:val="clear" w:color="auto" w:fill="auto"/>
                  <w:vAlign w:val="center"/>
                </w:tcPr>
                <w:p w14:paraId="2EE980AF">
                  <w:pPr>
                    <w:pStyle w:val="7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锅炉房</w:t>
                  </w:r>
                </w:p>
              </w:tc>
              <w:tc>
                <w:tcPr>
                  <w:tcW w:w="912" w:type="pct"/>
                  <w:tcBorders>
                    <w:tl2br w:val="nil"/>
                    <w:tr2bl w:val="nil"/>
                  </w:tcBorders>
                  <w:shd w:val="clear" w:color="auto" w:fill="auto"/>
                  <w:vAlign w:val="center"/>
                </w:tcPr>
                <w:p w14:paraId="795A4609">
                  <w:pPr>
                    <w:pStyle w:val="78"/>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sz w:val="18"/>
                      <w:szCs w:val="18"/>
                      <w:highlight w:val="none"/>
                      <w:lang w:val="en-US" w:eastAsia="zh-CN"/>
                    </w:rPr>
                    <w:t>炉渣</w:t>
                  </w:r>
                </w:p>
              </w:tc>
              <w:tc>
                <w:tcPr>
                  <w:tcW w:w="446" w:type="pct"/>
                  <w:vMerge w:val="continue"/>
                  <w:tcBorders>
                    <w:tl2br w:val="nil"/>
                    <w:tr2bl w:val="nil"/>
                  </w:tcBorders>
                  <w:shd w:val="clear" w:color="auto" w:fill="auto"/>
                  <w:vAlign w:val="center"/>
                </w:tcPr>
                <w:p w14:paraId="555F9B5D">
                  <w:pPr>
                    <w:pStyle w:val="78"/>
                    <w:rPr>
                      <w:rFonts w:hint="default" w:ascii="Times New Roman" w:hAnsi="Times New Roman" w:cs="Times New Roman"/>
                      <w:color w:val="auto"/>
                      <w:kern w:val="2"/>
                      <w:sz w:val="18"/>
                      <w:szCs w:val="18"/>
                      <w:highlight w:val="none"/>
                      <w:lang w:eastAsia="zh-CN"/>
                    </w:rPr>
                  </w:pPr>
                </w:p>
              </w:tc>
              <w:tc>
                <w:tcPr>
                  <w:tcW w:w="585" w:type="pct"/>
                  <w:tcBorders>
                    <w:tl2br w:val="nil"/>
                    <w:tr2bl w:val="nil"/>
                  </w:tcBorders>
                  <w:shd w:val="clear" w:color="auto" w:fill="auto"/>
                  <w:vAlign w:val="center"/>
                </w:tcPr>
                <w:p w14:paraId="71516CA2">
                  <w:pPr>
                    <w:pStyle w:val="7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900-099-S59</w:t>
                  </w:r>
                </w:p>
              </w:tc>
              <w:tc>
                <w:tcPr>
                  <w:tcW w:w="325" w:type="pct"/>
                  <w:vMerge w:val="continue"/>
                  <w:tcBorders>
                    <w:tl2br w:val="nil"/>
                    <w:tr2bl w:val="nil"/>
                  </w:tcBorders>
                  <w:shd w:val="clear" w:color="auto" w:fill="auto"/>
                  <w:vAlign w:val="center"/>
                </w:tcPr>
                <w:p w14:paraId="6D59D408">
                  <w:pPr>
                    <w:pStyle w:val="78"/>
                    <w:rPr>
                      <w:rFonts w:hint="default" w:ascii="Times New Roman" w:hAnsi="Times New Roman" w:cs="Times New Roman"/>
                      <w:color w:val="auto"/>
                      <w:kern w:val="2"/>
                      <w:sz w:val="18"/>
                      <w:szCs w:val="18"/>
                      <w:highlight w:val="none"/>
                      <w:lang w:eastAsia="zh-CN"/>
                    </w:rPr>
                  </w:pPr>
                </w:p>
              </w:tc>
              <w:tc>
                <w:tcPr>
                  <w:tcW w:w="468" w:type="pct"/>
                  <w:tcBorders>
                    <w:tl2br w:val="nil"/>
                    <w:tr2bl w:val="nil"/>
                  </w:tcBorders>
                  <w:shd w:val="clear" w:color="auto" w:fill="auto"/>
                  <w:vAlign w:val="center"/>
                </w:tcPr>
                <w:p w14:paraId="7AC481FE">
                  <w:pPr>
                    <w:pStyle w:val="78"/>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eastAsia="zh-CN"/>
                    </w:rPr>
                    <w:t>320.71</w:t>
                  </w:r>
                  <w:r>
                    <w:rPr>
                      <w:rFonts w:hint="default" w:ascii="Times New Roman" w:hAnsi="Times New Roman" w:cs="Times New Roman"/>
                      <w:color w:val="auto"/>
                      <w:kern w:val="2"/>
                      <w:sz w:val="18"/>
                      <w:szCs w:val="18"/>
                      <w:highlight w:val="none"/>
                      <w:lang w:val="en-US" w:eastAsia="zh-CN"/>
                    </w:rPr>
                    <w:t>t/a</w:t>
                  </w:r>
                </w:p>
              </w:tc>
              <w:tc>
                <w:tcPr>
                  <w:tcW w:w="373" w:type="pct"/>
                  <w:vMerge w:val="continue"/>
                  <w:tcBorders>
                    <w:tl2br w:val="nil"/>
                    <w:tr2bl w:val="nil"/>
                  </w:tcBorders>
                  <w:shd w:val="clear" w:color="auto" w:fill="auto"/>
                  <w:vAlign w:val="center"/>
                </w:tcPr>
                <w:p w14:paraId="0BE53BFD">
                  <w:pPr>
                    <w:pStyle w:val="78"/>
                    <w:rPr>
                      <w:rFonts w:hint="default" w:ascii="Times New Roman" w:hAnsi="Times New Roman" w:cs="Times New Roman"/>
                      <w:color w:val="auto"/>
                      <w:kern w:val="2"/>
                      <w:sz w:val="18"/>
                      <w:szCs w:val="18"/>
                      <w:highlight w:val="none"/>
                      <w:lang w:eastAsia="zh-CN"/>
                    </w:rPr>
                  </w:pPr>
                </w:p>
              </w:tc>
              <w:tc>
                <w:tcPr>
                  <w:tcW w:w="468" w:type="pct"/>
                  <w:tcBorders>
                    <w:tl2br w:val="nil"/>
                    <w:tr2bl w:val="nil"/>
                  </w:tcBorders>
                  <w:shd w:val="clear" w:color="auto" w:fill="auto"/>
                  <w:vAlign w:val="center"/>
                </w:tcPr>
                <w:p w14:paraId="48BF3813">
                  <w:pPr>
                    <w:pStyle w:val="78"/>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eastAsia="zh-CN"/>
                    </w:rPr>
                    <w:t>320.71</w:t>
                  </w:r>
                  <w:r>
                    <w:rPr>
                      <w:rFonts w:hint="default" w:ascii="Times New Roman" w:hAnsi="Times New Roman" w:cs="Times New Roman"/>
                      <w:color w:val="auto"/>
                      <w:kern w:val="2"/>
                      <w:sz w:val="18"/>
                      <w:szCs w:val="18"/>
                      <w:highlight w:val="none"/>
                      <w:lang w:val="en-US" w:eastAsia="zh-CN"/>
                    </w:rPr>
                    <w:t>t/a</w:t>
                  </w:r>
                </w:p>
              </w:tc>
              <w:tc>
                <w:tcPr>
                  <w:tcW w:w="970" w:type="pct"/>
                  <w:tcBorders>
                    <w:tl2br w:val="nil"/>
                    <w:tr2bl w:val="nil"/>
                  </w:tcBorders>
                  <w:shd w:val="clear" w:color="auto" w:fill="auto"/>
                  <w:vAlign w:val="center"/>
                </w:tcPr>
                <w:p w14:paraId="0A32F679">
                  <w:pPr>
                    <w:pStyle w:val="78"/>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暂存于锅炉房内，定期外售综合利用</w:t>
                  </w:r>
                </w:p>
              </w:tc>
            </w:tr>
            <w:tr w14:paraId="53A83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48" w:type="pct"/>
                  <w:vMerge w:val="continue"/>
                  <w:tcBorders>
                    <w:tl2br w:val="nil"/>
                    <w:tr2bl w:val="nil"/>
                  </w:tcBorders>
                  <w:shd w:val="clear" w:color="auto" w:fill="auto"/>
                  <w:vAlign w:val="center"/>
                </w:tcPr>
                <w:p w14:paraId="1FDB8BC5">
                  <w:pPr>
                    <w:pStyle w:val="78"/>
                    <w:rPr>
                      <w:rFonts w:hint="default" w:ascii="Times New Roman" w:hAnsi="Times New Roman" w:eastAsia="宋体" w:cs="Times New Roman"/>
                      <w:color w:val="auto"/>
                      <w:highlight w:val="none"/>
                      <w:lang w:val="en-US" w:eastAsia="zh-CN"/>
                    </w:rPr>
                  </w:pPr>
                </w:p>
              </w:tc>
              <w:tc>
                <w:tcPr>
                  <w:tcW w:w="912" w:type="pct"/>
                  <w:tcBorders>
                    <w:tl2br w:val="nil"/>
                    <w:tr2bl w:val="nil"/>
                  </w:tcBorders>
                  <w:shd w:val="clear" w:color="auto" w:fill="auto"/>
                  <w:vAlign w:val="center"/>
                </w:tcPr>
                <w:p w14:paraId="40C14F73">
                  <w:pPr>
                    <w:pStyle w:val="78"/>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废离子交换树脂</w:t>
                  </w:r>
                </w:p>
              </w:tc>
              <w:tc>
                <w:tcPr>
                  <w:tcW w:w="446" w:type="pct"/>
                  <w:vMerge w:val="continue"/>
                  <w:tcBorders>
                    <w:tl2br w:val="nil"/>
                    <w:tr2bl w:val="nil"/>
                  </w:tcBorders>
                  <w:shd w:val="clear" w:color="auto" w:fill="auto"/>
                  <w:vAlign w:val="center"/>
                </w:tcPr>
                <w:p w14:paraId="6D9389B8">
                  <w:pPr>
                    <w:pStyle w:val="78"/>
                    <w:rPr>
                      <w:rFonts w:hint="default" w:ascii="Times New Roman" w:hAnsi="Times New Roman" w:cs="Times New Roman"/>
                      <w:color w:val="auto"/>
                      <w:kern w:val="2"/>
                      <w:sz w:val="18"/>
                      <w:szCs w:val="18"/>
                      <w:highlight w:val="none"/>
                      <w:lang w:eastAsia="zh-CN"/>
                    </w:rPr>
                  </w:pPr>
                </w:p>
              </w:tc>
              <w:tc>
                <w:tcPr>
                  <w:tcW w:w="585" w:type="pct"/>
                  <w:tcBorders>
                    <w:tl2br w:val="nil"/>
                    <w:tr2bl w:val="nil"/>
                  </w:tcBorders>
                  <w:shd w:val="clear" w:color="auto" w:fill="auto"/>
                  <w:vAlign w:val="center"/>
                </w:tcPr>
                <w:p w14:paraId="7D6EDB22">
                  <w:pPr>
                    <w:pStyle w:val="78"/>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900-009-S59</w:t>
                  </w:r>
                </w:p>
              </w:tc>
              <w:tc>
                <w:tcPr>
                  <w:tcW w:w="325" w:type="pct"/>
                  <w:vMerge w:val="continue"/>
                  <w:tcBorders>
                    <w:tl2br w:val="nil"/>
                    <w:tr2bl w:val="nil"/>
                  </w:tcBorders>
                  <w:shd w:val="clear" w:color="auto" w:fill="auto"/>
                  <w:vAlign w:val="center"/>
                </w:tcPr>
                <w:p w14:paraId="094022C0">
                  <w:pPr>
                    <w:pStyle w:val="78"/>
                    <w:rPr>
                      <w:rFonts w:hint="default" w:ascii="Times New Roman" w:hAnsi="Times New Roman" w:cs="Times New Roman"/>
                      <w:color w:val="auto"/>
                      <w:kern w:val="2"/>
                      <w:sz w:val="18"/>
                      <w:szCs w:val="18"/>
                      <w:highlight w:val="none"/>
                      <w:lang w:eastAsia="zh-CN"/>
                    </w:rPr>
                  </w:pPr>
                </w:p>
              </w:tc>
              <w:tc>
                <w:tcPr>
                  <w:tcW w:w="468" w:type="pct"/>
                  <w:tcBorders>
                    <w:tl2br w:val="nil"/>
                    <w:tr2bl w:val="nil"/>
                  </w:tcBorders>
                  <w:shd w:val="clear" w:color="auto" w:fill="auto"/>
                  <w:vAlign w:val="center"/>
                </w:tcPr>
                <w:p w14:paraId="5B048F27">
                  <w:pPr>
                    <w:pStyle w:val="78"/>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1t/a</w:t>
                  </w:r>
                </w:p>
              </w:tc>
              <w:tc>
                <w:tcPr>
                  <w:tcW w:w="373" w:type="pct"/>
                  <w:vMerge w:val="continue"/>
                  <w:tcBorders>
                    <w:tl2br w:val="nil"/>
                    <w:tr2bl w:val="nil"/>
                  </w:tcBorders>
                  <w:shd w:val="clear" w:color="auto" w:fill="auto"/>
                  <w:vAlign w:val="center"/>
                </w:tcPr>
                <w:p w14:paraId="427CF978">
                  <w:pPr>
                    <w:pStyle w:val="78"/>
                    <w:rPr>
                      <w:rFonts w:hint="default" w:ascii="Times New Roman" w:hAnsi="Times New Roman" w:cs="Times New Roman"/>
                      <w:color w:val="auto"/>
                      <w:kern w:val="2"/>
                      <w:sz w:val="18"/>
                      <w:szCs w:val="18"/>
                      <w:highlight w:val="none"/>
                      <w:lang w:eastAsia="zh-CN"/>
                    </w:rPr>
                  </w:pPr>
                </w:p>
              </w:tc>
              <w:tc>
                <w:tcPr>
                  <w:tcW w:w="468" w:type="pct"/>
                  <w:tcBorders>
                    <w:tl2br w:val="nil"/>
                    <w:tr2bl w:val="nil"/>
                  </w:tcBorders>
                  <w:shd w:val="clear" w:color="auto" w:fill="auto"/>
                  <w:vAlign w:val="center"/>
                </w:tcPr>
                <w:p w14:paraId="57422DCB">
                  <w:pPr>
                    <w:pStyle w:val="78"/>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1t/a</w:t>
                  </w:r>
                </w:p>
              </w:tc>
              <w:tc>
                <w:tcPr>
                  <w:tcW w:w="970" w:type="pct"/>
                  <w:tcBorders>
                    <w:tl2br w:val="nil"/>
                    <w:tr2bl w:val="nil"/>
                  </w:tcBorders>
                  <w:shd w:val="clear" w:color="auto" w:fill="auto"/>
                  <w:vAlign w:val="center"/>
                </w:tcPr>
                <w:p w14:paraId="7C13AA1F">
                  <w:pPr>
                    <w:pStyle w:val="78"/>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厂家回收</w:t>
                  </w:r>
                </w:p>
              </w:tc>
            </w:tr>
            <w:tr w14:paraId="5B578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48" w:type="pct"/>
                  <w:tcBorders>
                    <w:tl2br w:val="nil"/>
                    <w:tr2bl w:val="nil"/>
                  </w:tcBorders>
                  <w:shd w:val="clear" w:color="auto" w:fill="auto"/>
                  <w:vAlign w:val="center"/>
                </w:tcPr>
                <w:p w14:paraId="2E2E94F8">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废气处理</w:t>
                  </w:r>
                </w:p>
              </w:tc>
              <w:tc>
                <w:tcPr>
                  <w:tcW w:w="912" w:type="pct"/>
                  <w:tcBorders>
                    <w:tl2br w:val="nil"/>
                    <w:tr2bl w:val="nil"/>
                  </w:tcBorders>
                  <w:shd w:val="clear" w:color="auto" w:fill="auto"/>
                  <w:vAlign w:val="center"/>
                </w:tcPr>
                <w:p w14:paraId="18CB2EE3">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废活性炭</w:t>
                  </w:r>
                </w:p>
              </w:tc>
              <w:tc>
                <w:tcPr>
                  <w:tcW w:w="446" w:type="pct"/>
                  <w:vMerge w:val="restart"/>
                  <w:tcBorders>
                    <w:tl2br w:val="nil"/>
                    <w:tr2bl w:val="nil"/>
                  </w:tcBorders>
                  <w:shd w:val="clear" w:color="auto" w:fill="auto"/>
                  <w:vAlign w:val="center"/>
                </w:tcPr>
                <w:p w14:paraId="02E76112">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危险废物</w:t>
                  </w:r>
                </w:p>
              </w:tc>
              <w:tc>
                <w:tcPr>
                  <w:tcW w:w="585" w:type="pct"/>
                  <w:tcBorders>
                    <w:tl2br w:val="nil"/>
                    <w:tr2bl w:val="nil"/>
                  </w:tcBorders>
                  <w:shd w:val="clear" w:color="auto" w:fill="auto"/>
                  <w:vAlign w:val="center"/>
                </w:tcPr>
                <w:p w14:paraId="6AB0F529">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900-039-49</w:t>
                  </w:r>
                </w:p>
              </w:tc>
              <w:tc>
                <w:tcPr>
                  <w:tcW w:w="325" w:type="pct"/>
                  <w:vMerge w:val="restart"/>
                  <w:tcBorders>
                    <w:tl2br w:val="nil"/>
                    <w:tr2bl w:val="nil"/>
                  </w:tcBorders>
                  <w:shd w:val="clear" w:color="auto" w:fill="auto"/>
                  <w:vAlign w:val="center"/>
                </w:tcPr>
                <w:p w14:paraId="2AA6B117">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类比法</w:t>
                  </w:r>
                </w:p>
              </w:tc>
              <w:tc>
                <w:tcPr>
                  <w:tcW w:w="468" w:type="pct"/>
                  <w:tcBorders>
                    <w:tl2br w:val="nil"/>
                    <w:tr2bl w:val="nil"/>
                  </w:tcBorders>
                  <w:shd w:val="clear" w:color="auto" w:fill="auto"/>
                  <w:vAlign w:val="center"/>
                </w:tcPr>
                <w:p w14:paraId="5DC6764C">
                  <w:pPr>
                    <w:pStyle w:val="78"/>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1.012t/a</w:t>
                  </w:r>
                </w:p>
              </w:tc>
              <w:tc>
                <w:tcPr>
                  <w:tcW w:w="373" w:type="pct"/>
                  <w:vMerge w:val="restart"/>
                  <w:tcBorders>
                    <w:tl2br w:val="nil"/>
                    <w:tr2bl w:val="nil"/>
                  </w:tcBorders>
                  <w:shd w:val="clear" w:color="auto" w:fill="auto"/>
                  <w:vAlign w:val="center"/>
                </w:tcPr>
                <w:p w14:paraId="766D24D4">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分类收集</w:t>
                  </w:r>
                </w:p>
              </w:tc>
              <w:tc>
                <w:tcPr>
                  <w:tcW w:w="468" w:type="pct"/>
                  <w:tcBorders>
                    <w:tl2br w:val="nil"/>
                    <w:tr2bl w:val="nil"/>
                  </w:tcBorders>
                  <w:shd w:val="clear" w:color="auto" w:fill="auto"/>
                  <w:vAlign w:val="center"/>
                </w:tcPr>
                <w:p w14:paraId="260B5F95">
                  <w:pPr>
                    <w:pStyle w:val="78"/>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1.012t/a</w:t>
                  </w:r>
                </w:p>
              </w:tc>
              <w:tc>
                <w:tcPr>
                  <w:tcW w:w="970" w:type="pct"/>
                  <w:vMerge w:val="restart"/>
                  <w:tcBorders>
                    <w:tl2br w:val="nil"/>
                    <w:tr2bl w:val="nil"/>
                  </w:tcBorders>
                  <w:shd w:val="clear" w:color="auto" w:fill="auto"/>
                  <w:vAlign w:val="center"/>
                </w:tcPr>
                <w:p w14:paraId="2633A849">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危废</w:t>
                  </w:r>
                  <w:r>
                    <w:rPr>
                      <w:rFonts w:hint="eastAsia" w:ascii="Times New Roman" w:hAnsi="Times New Roman" w:cs="Times New Roman"/>
                      <w:color w:val="auto"/>
                      <w:kern w:val="2"/>
                      <w:sz w:val="18"/>
                      <w:szCs w:val="18"/>
                      <w:highlight w:val="none"/>
                      <w:lang w:val="en-US" w:eastAsia="zh-CN"/>
                    </w:rPr>
                    <w:t>贮存点</w:t>
                  </w:r>
                  <w:r>
                    <w:rPr>
                      <w:rFonts w:hint="default" w:ascii="Times New Roman" w:hAnsi="Times New Roman" w:eastAsia="宋体" w:cs="Times New Roman"/>
                      <w:color w:val="auto"/>
                      <w:kern w:val="2"/>
                      <w:sz w:val="18"/>
                      <w:szCs w:val="18"/>
                      <w:highlight w:val="none"/>
                      <w:lang w:val="en-US" w:eastAsia="zh-CN"/>
                    </w:rPr>
                    <w:t>暂存，定期委托有资质单位处置</w:t>
                  </w:r>
                </w:p>
              </w:tc>
            </w:tr>
            <w:tr w14:paraId="0324D9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48" w:type="pct"/>
                  <w:tcBorders>
                    <w:tl2br w:val="nil"/>
                    <w:tr2bl w:val="nil"/>
                  </w:tcBorders>
                  <w:shd w:val="clear" w:color="auto" w:fill="auto"/>
                  <w:vAlign w:val="center"/>
                </w:tcPr>
                <w:p w14:paraId="2094C31D">
                  <w:pPr>
                    <w:pStyle w:val="78"/>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生产车间</w:t>
                  </w:r>
                </w:p>
              </w:tc>
              <w:tc>
                <w:tcPr>
                  <w:tcW w:w="912" w:type="pct"/>
                  <w:tcBorders>
                    <w:tl2br w:val="nil"/>
                    <w:tr2bl w:val="nil"/>
                  </w:tcBorders>
                  <w:shd w:val="clear" w:color="auto" w:fill="auto"/>
                  <w:vAlign w:val="center"/>
                </w:tcPr>
                <w:p w14:paraId="16217ADA">
                  <w:pPr>
                    <w:pStyle w:val="78"/>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防腐剂桶</w:t>
                  </w:r>
                </w:p>
              </w:tc>
              <w:tc>
                <w:tcPr>
                  <w:tcW w:w="446" w:type="pct"/>
                  <w:vMerge w:val="continue"/>
                  <w:tcBorders>
                    <w:tl2br w:val="nil"/>
                    <w:tr2bl w:val="nil"/>
                  </w:tcBorders>
                  <w:shd w:val="clear" w:color="auto" w:fill="auto"/>
                  <w:vAlign w:val="center"/>
                </w:tcPr>
                <w:p w14:paraId="58FEB291">
                  <w:pPr>
                    <w:pStyle w:val="78"/>
                    <w:rPr>
                      <w:rFonts w:hint="default" w:ascii="Times New Roman" w:hAnsi="Times New Roman" w:eastAsia="宋体" w:cs="Times New Roman"/>
                      <w:color w:val="auto"/>
                      <w:kern w:val="2"/>
                      <w:sz w:val="18"/>
                      <w:szCs w:val="18"/>
                      <w:highlight w:val="none"/>
                      <w:lang w:val="en-US" w:eastAsia="zh-CN"/>
                    </w:rPr>
                  </w:pPr>
                </w:p>
              </w:tc>
              <w:tc>
                <w:tcPr>
                  <w:tcW w:w="585" w:type="pct"/>
                  <w:tcBorders>
                    <w:tl2br w:val="nil"/>
                    <w:tr2bl w:val="nil"/>
                  </w:tcBorders>
                  <w:shd w:val="clear" w:color="auto" w:fill="auto"/>
                  <w:vAlign w:val="center"/>
                </w:tcPr>
                <w:p w14:paraId="6FC73090">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sz w:val="18"/>
                      <w:szCs w:val="18"/>
                      <w:highlight w:val="none"/>
                      <w:lang w:bidi="zh-CN"/>
                    </w:rPr>
                    <w:t>900-0</w:t>
                  </w:r>
                  <w:r>
                    <w:rPr>
                      <w:rFonts w:hint="eastAsia" w:cs="Times New Roman"/>
                      <w:color w:val="auto"/>
                      <w:sz w:val="18"/>
                      <w:szCs w:val="18"/>
                      <w:highlight w:val="none"/>
                      <w:lang w:val="en-US" w:bidi="zh-CN"/>
                    </w:rPr>
                    <w:t>41</w:t>
                  </w:r>
                  <w:r>
                    <w:rPr>
                      <w:rFonts w:hint="default" w:ascii="Times New Roman" w:hAnsi="Times New Roman" w:cs="Times New Roman"/>
                      <w:color w:val="auto"/>
                      <w:sz w:val="18"/>
                      <w:szCs w:val="18"/>
                      <w:highlight w:val="none"/>
                      <w:lang w:bidi="zh-CN"/>
                    </w:rPr>
                    <w:t>-49</w:t>
                  </w:r>
                </w:p>
              </w:tc>
              <w:tc>
                <w:tcPr>
                  <w:tcW w:w="325" w:type="pct"/>
                  <w:vMerge w:val="continue"/>
                  <w:tcBorders>
                    <w:tl2br w:val="nil"/>
                    <w:tr2bl w:val="nil"/>
                  </w:tcBorders>
                  <w:shd w:val="clear" w:color="auto" w:fill="auto"/>
                  <w:vAlign w:val="center"/>
                </w:tcPr>
                <w:p w14:paraId="2A93821C">
                  <w:pPr>
                    <w:pStyle w:val="78"/>
                    <w:rPr>
                      <w:rFonts w:hint="default" w:ascii="Times New Roman" w:hAnsi="Times New Roman" w:eastAsia="宋体" w:cs="Times New Roman"/>
                      <w:color w:val="auto"/>
                      <w:kern w:val="2"/>
                      <w:sz w:val="18"/>
                      <w:szCs w:val="18"/>
                      <w:highlight w:val="none"/>
                      <w:lang w:val="en-US" w:eastAsia="zh-CN"/>
                    </w:rPr>
                  </w:pPr>
                </w:p>
              </w:tc>
              <w:tc>
                <w:tcPr>
                  <w:tcW w:w="468" w:type="pct"/>
                  <w:tcBorders>
                    <w:tl2br w:val="nil"/>
                    <w:tr2bl w:val="nil"/>
                  </w:tcBorders>
                  <w:shd w:val="clear" w:color="auto" w:fill="auto"/>
                  <w:vAlign w:val="center"/>
                </w:tcPr>
                <w:p w14:paraId="3BC6C57D">
                  <w:pPr>
                    <w:pStyle w:val="78"/>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13.122t/a</w:t>
                  </w:r>
                </w:p>
              </w:tc>
              <w:tc>
                <w:tcPr>
                  <w:tcW w:w="373" w:type="pct"/>
                  <w:vMerge w:val="continue"/>
                  <w:tcBorders>
                    <w:tl2br w:val="nil"/>
                    <w:tr2bl w:val="nil"/>
                  </w:tcBorders>
                  <w:shd w:val="clear" w:color="auto" w:fill="auto"/>
                  <w:vAlign w:val="center"/>
                </w:tcPr>
                <w:p w14:paraId="3156C92E">
                  <w:pPr>
                    <w:pStyle w:val="78"/>
                    <w:rPr>
                      <w:rFonts w:hint="default" w:ascii="Times New Roman" w:hAnsi="Times New Roman" w:eastAsia="宋体" w:cs="Times New Roman"/>
                      <w:color w:val="auto"/>
                      <w:kern w:val="2"/>
                      <w:sz w:val="18"/>
                      <w:szCs w:val="18"/>
                      <w:highlight w:val="none"/>
                      <w:lang w:val="en-US" w:eastAsia="zh-CN"/>
                    </w:rPr>
                  </w:pPr>
                </w:p>
              </w:tc>
              <w:tc>
                <w:tcPr>
                  <w:tcW w:w="468" w:type="pct"/>
                  <w:tcBorders>
                    <w:tl2br w:val="nil"/>
                    <w:tr2bl w:val="nil"/>
                  </w:tcBorders>
                  <w:shd w:val="clear" w:color="auto" w:fill="auto"/>
                  <w:vAlign w:val="center"/>
                </w:tcPr>
                <w:p w14:paraId="12FF6651">
                  <w:pPr>
                    <w:pStyle w:val="78"/>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13.122t/a</w:t>
                  </w:r>
                </w:p>
              </w:tc>
              <w:tc>
                <w:tcPr>
                  <w:tcW w:w="970" w:type="pct"/>
                  <w:vMerge w:val="continue"/>
                  <w:tcBorders>
                    <w:tl2br w:val="nil"/>
                    <w:tr2bl w:val="nil"/>
                  </w:tcBorders>
                  <w:shd w:val="clear" w:color="auto" w:fill="auto"/>
                  <w:vAlign w:val="center"/>
                </w:tcPr>
                <w:p w14:paraId="105D667D">
                  <w:pPr>
                    <w:pStyle w:val="78"/>
                    <w:rPr>
                      <w:rFonts w:hint="default" w:ascii="Times New Roman" w:hAnsi="Times New Roman" w:eastAsia="宋体" w:cs="Times New Roman"/>
                      <w:color w:val="auto"/>
                      <w:kern w:val="2"/>
                      <w:sz w:val="18"/>
                      <w:szCs w:val="18"/>
                      <w:highlight w:val="none"/>
                      <w:lang w:val="en-US" w:eastAsia="zh-CN"/>
                    </w:rPr>
                  </w:pPr>
                </w:p>
              </w:tc>
            </w:tr>
            <w:tr w14:paraId="5789B9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448" w:type="pct"/>
                  <w:tcBorders>
                    <w:tl2br w:val="nil"/>
                    <w:tr2bl w:val="nil"/>
                  </w:tcBorders>
                  <w:shd w:val="clear" w:color="auto" w:fill="auto"/>
                  <w:vAlign w:val="center"/>
                </w:tcPr>
                <w:p w14:paraId="76C64FA1">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设备维修</w:t>
                  </w:r>
                </w:p>
              </w:tc>
              <w:tc>
                <w:tcPr>
                  <w:tcW w:w="912" w:type="pct"/>
                  <w:tcBorders>
                    <w:tl2br w:val="nil"/>
                    <w:tr2bl w:val="nil"/>
                  </w:tcBorders>
                  <w:shd w:val="clear" w:color="auto" w:fill="auto"/>
                  <w:vAlign w:val="center"/>
                </w:tcPr>
                <w:p w14:paraId="37302798">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废矿物油</w:t>
                  </w:r>
                  <w:r>
                    <w:rPr>
                      <w:rFonts w:hint="eastAsia" w:ascii="Times New Roman" w:hAnsi="Times New Roman" w:cs="Times New Roman"/>
                      <w:color w:val="auto"/>
                      <w:kern w:val="2"/>
                      <w:sz w:val="18"/>
                      <w:szCs w:val="18"/>
                      <w:highlight w:val="none"/>
                      <w:lang w:val="en-US" w:eastAsia="zh-CN"/>
                    </w:rPr>
                    <w:t>、废油桶</w:t>
                  </w:r>
                </w:p>
              </w:tc>
              <w:tc>
                <w:tcPr>
                  <w:tcW w:w="446" w:type="pct"/>
                  <w:vMerge w:val="continue"/>
                  <w:tcBorders>
                    <w:tl2br w:val="nil"/>
                    <w:tr2bl w:val="nil"/>
                  </w:tcBorders>
                  <w:shd w:val="clear" w:color="auto" w:fill="auto"/>
                  <w:vAlign w:val="center"/>
                </w:tcPr>
                <w:p w14:paraId="111EEE2A">
                  <w:pPr>
                    <w:pStyle w:val="78"/>
                    <w:rPr>
                      <w:rFonts w:hint="default" w:ascii="Times New Roman" w:hAnsi="Times New Roman" w:eastAsia="宋体" w:cs="Times New Roman"/>
                      <w:color w:val="auto"/>
                      <w:kern w:val="2"/>
                      <w:sz w:val="18"/>
                      <w:szCs w:val="18"/>
                      <w:highlight w:val="none"/>
                      <w:lang w:val="en-US" w:eastAsia="zh-CN"/>
                    </w:rPr>
                  </w:pPr>
                </w:p>
              </w:tc>
              <w:tc>
                <w:tcPr>
                  <w:tcW w:w="585" w:type="pct"/>
                  <w:tcBorders>
                    <w:tl2br w:val="nil"/>
                    <w:tr2bl w:val="nil"/>
                  </w:tcBorders>
                  <w:shd w:val="clear" w:color="auto" w:fill="auto"/>
                  <w:vAlign w:val="center"/>
                </w:tcPr>
                <w:p w14:paraId="0A7757A7">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900-214-08、900-218-08</w:t>
                  </w:r>
                  <w:r>
                    <w:rPr>
                      <w:rFonts w:hint="eastAsia" w:ascii="Times New Roman" w:hAnsi="Times New Roman" w:cs="Times New Roman"/>
                      <w:color w:val="auto"/>
                      <w:sz w:val="18"/>
                      <w:szCs w:val="18"/>
                      <w:highlight w:val="none"/>
                      <w:lang w:val="en-US" w:eastAsia="zh-CN"/>
                    </w:rPr>
                    <w:t>、</w:t>
                  </w:r>
                  <w:r>
                    <w:rPr>
                      <w:rFonts w:hint="default" w:ascii="Times New Roman" w:hAnsi="Times New Roman" w:eastAsia="宋体" w:cs="Times New Roman"/>
                      <w:color w:val="auto"/>
                      <w:sz w:val="18"/>
                      <w:szCs w:val="18"/>
                      <w:highlight w:val="none"/>
                      <w:lang w:eastAsia="zh-CN"/>
                    </w:rPr>
                    <w:t>900-2</w:t>
                  </w:r>
                  <w:r>
                    <w:rPr>
                      <w:rFonts w:hint="eastAsia" w:cs="Times New Roman"/>
                      <w:color w:val="auto"/>
                      <w:sz w:val="18"/>
                      <w:szCs w:val="18"/>
                      <w:highlight w:val="none"/>
                      <w:lang w:val="en-US" w:eastAsia="zh-CN"/>
                    </w:rPr>
                    <w:t>49</w:t>
                  </w:r>
                  <w:r>
                    <w:rPr>
                      <w:rFonts w:hint="default" w:ascii="Times New Roman" w:hAnsi="Times New Roman" w:eastAsia="宋体" w:cs="Times New Roman"/>
                      <w:color w:val="auto"/>
                      <w:sz w:val="18"/>
                      <w:szCs w:val="18"/>
                      <w:highlight w:val="none"/>
                      <w:lang w:eastAsia="zh-CN"/>
                    </w:rPr>
                    <w:t>-08</w:t>
                  </w:r>
                </w:p>
              </w:tc>
              <w:tc>
                <w:tcPr>
                  <w:tcW w:w="325" w:type="pct"/>
                  <w:vMerge w:val="continue"/>
                  <w:tcBorders>
                    <w:tl2br w:val="nil"/>
                    <w:tr2bl w:val="nil"/>
                  </w:tcBorders>
                  <w:shd w:val="clear" w:color="auto" w:fill="auto"/>
                  <w:vAlign w:val="center"/>
                </w:tcPr>
                <w:p w14:paraId="619F0799">
                  <w:pPr>
                    <w:pStyle w:val="78"/>
                    <w:rPr>
                      <w:rFonts w:hint="default" w:ascii="Times New Roman" w:hAnsi="Times New Roman" w:eastAsia="宋体" w:cs="Times New Roman"/>
                      <w:color w:val="auto"/>
                      <w:kern w:val="2"/>
                      <w:sz w:val="18"/>
                      <w:szCs w:val="18"/>
                      <w:highlight w:val="none"/>
                      <w:lang w:val="en-US" w:eastAsia="zh-CN"/>
                    </w:rPr>
                  </w:pPr>
                </w:p>
              </w:tc>
              <w:tc>
                <w:tcPr>
                  <w:tcW w:w="468" w:type="pct"/>
                  <w:tcBorders>
                    <w:tl2br w:val="nil"/>
                    <w:tr2bl w:val="nil"/>
                  </w:tcBorders>
                  <w:shd w:val="clear" w:color="auto" w:fill="auto"/>
                  <w:vAlign w:val="center"/>
                </w:tcPr>
                <w:p w14:paraId="29AD9F63">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0.0</w:t>
                  </w:r>
                  <w:r>
                    <w:rPr>
                      <w:rFonts w:hint="default" w:ascii="Times New Roman" w:hAnsi="Times New Roman" w:cs="Times New Roman"/>
                      <w:color w:val="auto"/>
                      <w:kern w:val="2"/>
                      <w:sz w:val="18"/>
                      <w:szCs w:val="18"/>
                      <w:highlight w:val="none"/>
                      <w:lang w:val="en-US" w:eastAsia="zh-CN"/>
                    </w:rPr>
                    <w:t>5</w:t>
                  </w:r>
                  <w:r>
                    <w:rPr>
                      <w:rFonts w:hint="default" w:ascii="Times New Roman" w:hAnsi="Times New Roman" w:eastAsia="宋体" w:cs="Times New Roman"/>
                      <w:color w:val="auto"/>
                      <w:kern w:val="2"/>
                      <w:sz w:val="18"/>
                      <w:szCs w:val="18"/>
                      <w:highlight w:val="none"/>
                      <w:lang w:val="en-US" w:eastAsia="zh-CN"/>
                    </w:rPr>
                    <w:t>t/a</w:t>
                  </w:r>
                </w:p>
              </w:tc>
              <w:tc>
                <w:tcPr>
                  <w:tcW w:w="373" w:type="pct"/>
                  <w:vMerge w:val="continue"/>
                  <w:tcBorders>
                    <w:tl2br w:val="nil"/>
                    <w:tr2bl w:val="nil"/>
                  </w:tcBorders>
                  <w:shd w:val="clear" w:color="auto" w:fill="auto"/>
                  <w:vAlign w:val="center"/>
                </w:tcPr>
                <w:p w14:paraId="5C43589D">
                  <w:pPr>
                    <w:pStyle w:val="78"/>
                    <w:rPr>
                      <w:rFonts w:hint="default" w:ascii="Times New Roman" w:hAnsi="Times New Roman" w:eastAsia="宋体" w:cs="Times New Roman"/>
                      <w:color w:val="auto"/>
                      <w:kern w:val="2"/>
                      <w:sz w:val="18"/>
                      <w:szCs w:val="18"/>
                      <w:highlight w:val="none"/>
                      <w:lang w:val="en-US" w:eastAsia="zh-CN"/>
                    </w:rPr>
                  </w:pPr>
                </w:p>
              </w:tc>
              <w:tc>
                <w:tcPr>
                  <w:tcW w:w="468" w:type="pct"/>
                  <w:tcBorders>
                    <w:tl2br w:val="nil"/>
                    <w:tr2bl w:val="nil"/>
                  </w:tcBorders>
                  <w:shd w:val="clear" w:color="auto" w:fill="auto"/>
                  <w:vAlign w:val="center"/>
                </w:tcPr>
                <w:p w14:paraId="3592D2D6">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0.0</w:t>
                  </w:r>
                  <w:r>
                    <w:rPr>
                      <w:rFonts w:hint="default" w:ascii="Times New Roman" w:hAnsi="Times New Roman" w:cs="Times New Roman"/>
                      <w:color w:val="auto"/>
                      <w:kern w:val="2"/>
                      <w:sz w:val="18"/>
                      <w:szCs w:val="18"/>
                      <w:highlight w:val="none"/>
                      <w:lang w:val="en-US" w:eastAsia="zh-CN"/>
                    </w:rPr>
                    <w:t>5</w:t>
                  </w:r>
                  <w:r>
                    <w:rPr>
                      <w:rFonts w:hint="default" w:ascii="Times New Roman" w:hAnsi="Times New Roman" w:eastAsia="宋体" w:cs="Times New Roman"/>
                      <w:color w:val="auto"/>
                      <w:kern w:val="2"/>
                      <w:sz w:val="18"/>
                      <w:szCs w:val="18"/>
                      <w:highlight w:val="none"/>
                      <w:lang w:val="en-US" w:eastAsia="zh-CN"/>
                    </w:rPr>
                    <w:t>t/a</w:t>
                  </w:r>
                </w:p>
              </w:tc>
              <w:tc>
                <w:tcPr>
                  <w:tcW w:w="970" w:type="pct"/>
                  <w:vMerge w:val="continue"/>
                  <w:tcBorders>
                    <w:tl2br w:val="nil"/>
                    <w:tr2bl w:val="nil"/>
                  </w:tcBorders>
                  <w:shd w:val="clear" w:color="auto" w:fill="auto"/>
                  <w:vAlign w:val="center"/>
                </w:tcPr>
                <w:p w14:paraId="32BF0F69">
                  <w:pPr>
                    <w:pStyle w:val="78"/>
                    <w:rPr>
                      <w:rFonts w:hint="default" w:ascii="Times New Roman" w:hAnsi="Times New Roman" w:eastAsia="宋体" w:cs="Times New Roman"/>
                      <w:color w:val="auto"/>
                      <w:kern w:val="2"/>
                      <w:sz w:val="18"/>
                      <w:szCs w:val="18"/>
                      <w:highlight w:val="none"/>
                      <w:lang w:val="en-US" w:eastAsia="zh-CN"/>
                    </w:rPr>
                  </w:pPr>
                </w:p>
              </w:tc>
            </w:tr>
            <w:tr w14:paraId="31E63C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448" w:type="pct"/>
                  <w:vMerge w:val="restart"/>
                  <w:tcBorders>
                    <w:tl2br w:val="nil"/>
                    <w:tr2bl w:val="nil"/>
                  </w:tcBorders>
                  <w:shd w:val="clear" w:color="auto" w:fill="auto"/>
                  <w:vAlign w:val="center"/>
                </w:tcPr>
                <w:p w14:paraId="65C40CE8">
                  <w:pPr>
                    <w:pStyle w:val="78"/>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生产车间</w:t>
                  </w:r>
                </w:p>
              </w:tc>
              <w:tc>
                <w:tcPr>
                  <w:tcW w:w="912" w:type="pct"/>
                  <w:tcBorders>
                    <w:tl2br w:val="nil"/>
                    <w:tr2bl w:val="nil"/>
                  </w:tcBorders>
                  <w:shd w:val="clear" w:color="auto" w:fill="auto"/>
                  <w:vAlign w:val="center"/>
                </w:tcPr>
                <w:p w14:paraId="2CC694BA">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脱模剂桶</w:t>
                  </w:r>
                </w:p>
              </w:tc>
              <w:tc>
                <w:tcPr>
                  <w:tcW w:w="446" w:type="pct"/>
                  <w:vMerge w:val="continue"/>
                  <w:tcBorders>
                    <w:tl2br w:val="nil"/>
                    <w:tr2bl w:val="nil"/>
                  </w:tcBorders>
                  <w:shd w:val="clear" w:color="auto" w:fill="auto"/>
                  <w:vAlign w:val="center"/>
                </w:tcPr>
                <w:p w14:paraId="1ED97F6E">
                  <w:pPr>
                    <w:pStyle w:val="78"/>
                    <w:rPr>
                      <w:rFonts w:hint="default" w:ascii="Times New Roman" w:hAnsi="Times New Roman" w:eastAsia="宋体" w:cs="Times New Roman"/>
                      <w:color w:val="auto"/>
                      <w:kern w:val="2"/>
                      <w:sz w:val="18"/>
                      <w:szCs w:val="18"/>
                      <w:highlight w:val="none"/>
                      <w:lang w:val="en-US" w:eastAsia="zh-CN"/>
                    </w:rPr>
                  </w:pPr>
                </w:p>
              </w:tc>
              <w:tc>
                <w:tcPr>
                  <w:tcW w:w="585" w:type="pct"/>
                  <w:tcBorders>
                    <w:tl2br w:val="nil"/>
                    <w:tr2bl w:val="nil"/>
                  </w:tcBorders>
                  <w:shd w:val="clear" w:color="auto" w:fill="auto"/>
                  <w:vAlign w:val="center"/>
                </w:tcPr>
                <w:p w14:paraId="3D638494">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sz w:val="18"/>
                      <w:szCs w:val="18"/>
                      <w:highlight w:val="none"/>
                      <w:lang w:bidi="zh-CN"/>
                    </w:rPr>
                    <w:t>900-0</w:t>
                  </w:r>
                  <w:r>
                    <w:rPr>
                      <w:rFonts w:hint="eastAsia" w:cs="Times New Roman"/>
                      <w:color w:val="auto"/>
                      <w:sz w:val="18"/>
                      <w:szCs w:val="18"/>
                      <w:highlight w:val="none"/>
                      <w:lang w:val="en-US" w:bidi="zh-CN"/>
                    </w:rPr>
                    <w:t>41</w:t>
                  </w:r>
                  <w:r>
                    <w:rPr>
                      <w:rFonts w:hint="default" w:ascii="Times New Roman" w:hAnsi="Times New Roman" w:cs="Times New Roman"/>
                      <w:color w:val="auto"/>
                      <w:sz w:val="18"/>
                      <w:szCs w:val="18"/>
                      <w:highlight w:val="none"/>
                      <w:lang w:bidi="zh-CN"/>
                    </w:rPr>
                    <w:t>-49</w:t>
                  </w:r>
                </w:p>
              </w:tc>
              <w:tc>
                <w:tcPr>
                  <w:tcW w:w="325" w:type="pct"/>
                  <w:vMerge w:val="continue"/>
                  <w:tcBorders>
                    <w:tl2br w:val="nil"/>
                    <w:tr2bl w:val="nil"/>
                  </w:tcBorders>
                  <w:shd w:val="clear" w:color="auto" w:fill="auto"/>
                  <w:vAlign w:val="center"/>
                </w:tcPr>
                <w:p w14:paraId="2AE1CF5E">
                  <w:pPr>
                    <w:pStyle w:val="78"/>
                    <w:rPr>
                      <w:rFonts w:hint="default" w:ascii="Times New Roman" w:hAnsi="Times New Roman" w:eastAsia="宋体" w:cs="Times New Roman"/>
                      <w:color w:val="auto"/>
                      <w:kern w:val="2"/>
                      <w:sz w:val="18"/>
                      <w:szCs w:val="18"/>
                      <w:highlight w:val="none"/>
                      <w:lang w:val="en-US" w:eastAsia="zh-CN"/>
                    </w:rPr>
                  </w:pPr>
                </w:p>
              </w:tc>
              <w:tc>
                <w:tcPr>
                  <w:tcW w:w="468" w:type="pct"/>
                  <w:tcBorders>
                    <w:tl2br w:val="nil"/>
                    <w:tr2bl w:val="nil"/>
                  </w:tcBorders>
                  <w:shd w:val="clear" w:color="auto" w:fill="auto"/>
                  <w:vAlign w:val="center"/>
                </w:tcPr>
                <w:p w14:paraId="1C87B616">
                  <w:pPr>
                    <w:pStyle w:val="78"/>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0.45t</w:t>
                  </w:r>
                </w:p>
              </w:tc>
              <w:tc>
                <w:tcPr>
                  <w:tcW w:w="373" w:type="pct"/>
                  <w:vMerge w:val="continue"/>
                  <w:tcBorders>
                    <w:tl2br w:val="nil"/>
                    <w:tr2bl w:val="nil"/>
                  </w:tcBorders>
                  <w:shd w:val="clear" w:color="auto" w:fill="auto"/>
                  <w:vAlign w:val="center"/>
                </w:tcPr>
                <w:p w14:paraId="0710F101">
                  <w:pPr>
                    <w:pStyle w:val="78"/>
                    <w:rPr>
                      <w:rFonts w:hint="default" w:ascii="Times New Roman" w:hAnsi="Times New Roman" w:eastAsia="宋体" w:cs="Times New Roman"/>
                      <w:color w:val="auto"/>
                      <w:kern w:val="2"/>
                      <w:sz w:val="18"/>
                      <w:szCs w:val="18"/>
                      <w:highlight w:val="none"/>
                      <w:lang w:val="en-US" w:eastAsia="zh-CN"/>
                    </w:rPr>
                  </w:pPr>
                </w:p>
              </w:tc>
              <w:tc>
                <w:tcPr>
                  <w:tcW w:w="468" w:type="pct"/>
                  <w:tcBorders>
                    <w:tl2br w:val="nil"/>
                    <w:tr2bl w:val="nil"/>
                  </w:tcBorders>
                  <w:shd w:val="clear" w:color="auto" w:fill="auto"/>
                  <w:vAlign w:val="center"/>
                </w:tcPr>
                <w:p w14:paraId="2827D395">
                  <w:pPr>
                    <w:pStyle w:val="78"/>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0.45t</w:t>
                  </w:r>
                </w:p>
              </w:tc>
              <w:tc>
                <w:tcPr>
                  <w:tcW w:w="970" w:type="pct"/>
                  <w:vMerge w:val="continue"/>
                  <w:tcBorders>
                    <w:tl2br w:val="nil"/>
                    <w:tr2bl w:val="nil"/>
                  </w:tcBorders>
                  <w:shd w:val="clear" w:color="auto" w:fill="auto"/>
                  <w:vAlign w:val="center"/>
                </w:tcPr>
                <w:p w14:paraId="5B048AF5">
                  <w:pPr>
                    <w:pStyle w:val="78"/>
                    <w:rPr>
                      <w:rFonts w:hint="default" w:ascii="Times New Roman" w:hAnsi="Times New Roman" w:eastAsia="宋体" w:cs="Times New Roman"/>
                      <w:color w:val="auto"/>
                      <w:kern w:val="2"/>
                      <w:sz w:val="18"/>
                      <w:szCs w:val="18"/>
                      <w:highlight w:val="none"/>
                      <w:lang w:val="en-US" w:eastAsia="zh-CN"/>
                    </w:rPr>
                  </w:pPr>
                </w:p>
              </w:tc>
            </w:tr>
            <w:tr w14:paraId="402024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 w:hRule="atLeast"/>
                <w:jc w:val="center"/>
              </w:trPr>
              <w:tc>
                <w:tcPr>
                  <w:tcW w:w="448" w:type="pct"/>
                  <w:vMerge w:val="continue"/>
                  <w:tcBorders>
                    <w:tl2br w:val="nil"/>
                    <w:tr2bl w:val="nil"/>
                  </w:tcBorders>
                  <w:shd w:val="clear" w:color="auto" w:fill="auto"/>
                  <w:vAlign w:val="center"/>
                </w:tcPr>
                <w:p w14:paraId="395967AB">
                  <w:pPr>
                    <w:pStyle w:val="78"/>
                    <w:rPr>
                      <w:rFonts w:hint="default" w:ascii="Times New Roman" w:hAnsi="Times New Roman" w:eastAsia="宋体" w:cs="Times New Roman"/>
                      <w:color w:val="auto"/>
                      <w:kern w:val="2"/>
                      <w:sz w:val="18"/>
                      <w:szCs w:val="18"/>
                      <w:highlight w:val="none"/>
                      <w:lang w:val="en-US" w:eastAsia="zh-CN"/>
                    </w:rPr>
                  </w:pPr>
                </w:p>
              </w:tc>
              <w:tc>
                <w:tcPr>
                  <w:tcW w:w="912" w:type="pct"/>
                  <w:tcBorders>
                    <w:tl2br w:val="nil"/>
                    <w:tr2bl w:val="nil"/>
                  </w:tcBorders>
                  <w:shd w:val="clear" w:color="auto" w:fill="auto"/>
                  <w:vAlign w:val="center"/>
                </w:tcPr>
                <w:p w14:paraId="7AFF074B">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浸泡废水</w:t>
                  </w:r>
                </w:p>
              </w:tc>
              <w:tc>
                <w:tcPr>
                  <w:tcW w:w="446" w:type="pct"/>
                  <w:vMerge w:val="continue"/>
                  <w:tcBorders>
                    <w:tl2br w:val="nil"/>
                    <w:tr2bl w:val="nil"/>
                  </w:tcBorders>
                  <w:shd w:val="clear" w:color="auto" w:fill="auto"/>
                  <w:vAlign w:val="center"/>
                </w:tcPr>
                <w:p w14:paraId="58F6D4B0">
                  <w:pPr>
                    <w:pStyle w:val="78"/>
                    <w:rPr>
                      <w:rFonts w:hint="default" w:ascii="Times New Roman" w:hAnsi="Times New Roman" w:eastAsia="宋体" w:cs="Times New Roman"/>
                      <w:color w:val="auto"/>
                      <w:kern w:val="2"/>
                      <w:sz w:val="18"/>
                      <w:szCs w:val="18"/>
                      <w:highlight w:val="none"/>
                      <w:lang w:val="en-US" w:eastAsia="zh-CN"/>
                    </w:rPr>
                  </w:pPr>
                </w:p>
              </w:tc>
              <w:tc>
                <w:tcPr>
                  <w:tcW w:w="585" w:type="pct"/>
                  <w:tcBorders>
                    <w:tl2br w:val="nil"/>
                    <w:tr2bl w:val="nil"/>
                  </w:tcBorders>
                  <w:shd w:val="clear" w:color="auto" w:fill="auto"/>
                  <w:vAlign w:val="center"/>
                </w:tcPr>
                <w:p w14:paraId="43F805CA">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336-064-17</w:t>
                  </w:r>
                </w:p>
              </w:tc>
              <w:tc>
                <w:tcPr>
                  <w:tcW w:w="325" w:type="pct"/>
                  <w:vMerge w:val="continue"/>
                  <w:tcBorders>
                    <w:tl2br w:val="nil"/>
                    <w:tr2bl w:val="nil"/>
                  </w:tcBorders>
                  <w:shd w:val="clear" w:color="auto" w:fill="auto"/>
                  <w:vAlign w:val="center"/>
                </w:tcPr>
                <w:p w14:paraId="35A660D0">
                  <w:pPr>
                    <w:pStyle w:val="78"/>
                    <w:rPr>
                      <w:rFonts w:hint="default" w:ascii="Times New Roman" w:hAnsi="Times New Roman" w:eastAsia="宋体" w:cs="Times New Roman"/>
                      <w:color w:val="auto"/>
                      <w:kern w:val="2"/>
                      <w:sz w:val="18"/>
                      <w:szCs w:val="18"/>
                      <w:highlight w:val="none"/>
                      <w:lang w:val="en-US" w:eastAsia="zh-CN"/>
                    </w:rPr>
                  </w:pPr>
                </w:p>
              </w:tc>
              <w:tc>
                <w:tcPr>
                  <w:tcW w:w="468" w:type="pct"/>
                  <w:tcBorders>
                    <w:tl2br w:val="nil"/>
                    <w:tr2bl w:val="nil"/>
                  </w:tcBorders>
                  <w:shd w:val="clear" w:color="auto" w:fill="auto"/>
                  <w:vAlign w:val="center"/>
                </w:tcPr>
                <w:p w14:paraId="01A40A87">
                  <w:pPr>
                    <w:pStyle w:val="78"/>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45.927t/a</w:t>
                  </w:r>
                </w:p>
              </w:tc>
              <w:tc>
                <w:tcPr>
                  <w:tcW w:w="373" w:type="pct"/>
                  <w:vMerge w:val="continue"/>
                  <w:tcBorders>
                    <w:tl2br w:val="nil"/>
                    <w:tr2bl w:val="nil"/>
                  </w:tcBorders>
                  <w:shd w:val="clear" w:color="auto" w:fill="auto"/>
                  <w:vAlign w:val="center"/>
                </w:tcPr>
                <w:p w14:paraId="32A40CDB">
                  <w:pPr>
                    <w:pStyle w:val="78"/>
                    <w:rPr>
                      <w:rFonts w:hint="default" w:ascii="Times New Roman" w:hAnsi="Times New Roman" w:eastAsia="宋体" w:cs="Times New Roman"/>
                      <w:color w:val="auto"/>
                      <w:kern w:val="2"/>
                      <w:sz w:val="18"/>
                      <w:szCs w:val="18"/>
                      <w:highlight w:val="none"/>
                      <w:lang w:val="en-US" w:eastAsia="zh-CN"/>
                    </w:rPr>
                  </w:pPr>
                </w:p>
              </w:tc>
              <w:tc>
                <w:tcPr>
                  <w:tcW w:w="468" w:type="pct"/>
                  <w:tcBorders>
                    <w:tl2br w:val="nil"/>
                    <w:tr2bl w:val="nil"/>
                  </w:tcBorders>
                  <w:shd w:val="clear" w:color="auto" w:fill="auto"/>
                  <w:vAlign w:val="center"/>
                </w:tcPr>
                <w:p w14:paraId="7C7702C2">
                  <w:pPr>
                    <w:pStyle w:val="78"/>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45.927t/a</w:t>
                  </w:r>
                </w:p>
              </w:tc>
              <w:tc>
                <w:tcPr>
                  <w:tcW w:w="970" w:type="pct"/>
                  <w:vMerge w:val="continue"/>
                  <w:tcBorders>
                    <w:tl2br w:val="nil"/>
                    <w:tr2bl w:val="nil"/>
                  </w:tcBorders>
                  <w:shd w:val="clear" w:color="auto" w:fill="auto"/>
                  <w:vAlign w:val="center"/>
                </w:tcPr>
                <w:p w14:paraId="6024FD6F">
                  <w:pPr>
                    <w:pStyle w:val="78"/>
                    <w:rPr>
                      <w:rFonts w:hint="default" w:ascii="Times New Roman" w:hAnsi="Times New Roman" w:eastAsia="宋体" w:cs="Times New Roman"/>
                      <w:color w:val="auto"/>
                      <w:kern w:val="2"/>
                      <w:sz w:val="18"/>
                      <w:szCs w:val="18"/>
                      <w:highlight w:val="none"/>
                      <w:lang w:val="en-US" w:eastAsia="zh-CN"/>
                    </w:rPr>
                  </w:pPr>
                </w:p>
              </w:tc>
            </w:tr>
          </w:tbl>
          <w:p w14:paraId="143D7568">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①生活垃圾</w:t>
            </w:r>
          </w:p>
          <w:p w14:paraId="2BF8EAFF">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本项目劳动定员</w:t>
            </w:r>
            <w:r>
              <w:rPr>
                <w:rFonts w:hint="default" w:ascii="Times New Roman" w:hAnsi="Times New Roman" w:cs="Times New Roman"/>
                <w:color w:val="auto"/>
                <w:szCs w:val="21"/>
                <w:highlight w:val="none"/>
                <w:lang w:val="en-US" w:eastAsia="zh-CN"/>
              </w:rPr>
              <w:t>113</w:t>
            </w:r>
            <w:r>
              <w:rPr>
                <w:rFonts w:hint="default" w:ascii="Times New Roman" w:hAnsi="Times New Roman" w:cs="Times New Roman"/>
                <w:color w:val="auto"/>
                <w:szCs w:val="21"/>
                <w:highlight w:val="none"/>
              </w:rPr>
              <w:t>人，年工作</w:t>
            </w:r>
            <w:r>
              <w:rPr>
                <w:rFonts w:hint="default" w:ascii="Times New Roman" w:hAnsi="Times New Roman" w:cs="Times New Roman"/>
                <w:color w:val="auto"/>
                <w:szCs w:val="21"/>
                <w:highlight w:val="none"/>
                <w:lang w:val="en-US" w:eastAsia="zh-CN"/>
              </w:rPr>
              <w:t>300</w:t>
            </w:r>
            <w:r>
              <w:rPr>
                <w:rFonts w:hint="default" w:ascii="Times New Roman" w:hAnsi="Times New Roman" w:cs="Times New Roman"/>
                <w:color w:val="auto"/>
                <w:szCs w:val="21"/>
                <w:highlight w:val="none"/>
              </w:rPr>
              <w:t>天，职工生活垃圾按每日每人次产生0.5kg计，则生活垃圾产生量为</w:t>
            </w:r>
            <w:r>
              <w:rPr>
                <w:rFonts w:hint="default" w:ascii="Times New Roman" w:hAnsi="Times New Roman" w:cs="Times New Roman"/>
                <w:color w:val="auto"/>
                <w:szCs w:val="21"/>
                <w:highlight w:val="none"/>
                <w:lang w:val="en-US" w:eastAsia="zh-CN"/>
              </w:rPr>
              <w:t>0.06t</w:t>
            </w:r>
            <w:r>
              <w:rPr>
                <w:rFonts w:hint="default" w:ascii="Times New Roman" w:hAnsi="Times New Roman" w:cs="Times New Roman"/>
                <w:color w:val="auto"/>
                <w:szCs w:val="21"/>
                <w:highlight w:val="none"/>
              </w:rPr>
              <w:t>/d，</w:t>
            </w:r>
            <w:r>
              <w:rPr>
                <w:rFonts w:hint="default" w:ascii="Times New Roman" w:hAnsi="Times New Roman" w:cs="Times New Roman"/>
                <w:color w:val="auto"/>
                <w:szCs w:val="21"/>
                <w:highlight w:val="none"/>
                <w:lang w:val="en-US" w:eastAsia="zh-CN"/>
              </w:rPr>
              <w:t>16.95t</w:t>
            </w:r>
            <w:r>
              <w:rPr>
                <w:rFonts w:hint="default" w:ascii="Times New Roman" w:hAnsi="Times New Roman" w:cs="Times New Roman"/>
                <w:color w:val="auto"/>
                <w:szCs w:val="21"/>
                <w:highlight w:val="none"/>
              </w:rPr>
              <w:t>/a。职工生活垃圾分类收集，由市政环卫部门统一清运处理。</w:t>
            </w:r>
          </w:p>
          <w:p w14:paraId="2C30DC08">
            <w:pPr>
              <w:spacing w:line="360" w:lineRule="auto"/>
              <w:ind w:firstLine="420" w:firstLineChars="200"/>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rPr>
              <w:t>②</w:t>
            </w:r>
            <w:r>
              <w:rPr>
                <w:rFonts w:hint="default" w:ascii="Times New Roman" w:hAnsi="Times New Roman" w:cs="Times New Roman"/>
                <w:color w:val="auto"/>
                <w:szCs w:val="21"/>
                <w:highlight w:val="none"/>
                <w:lang w:eastAsia="zh-CN"/>
              </w:rPr>
              <w:t>除尘器收集粉尘</w:t>
            </w:r>
          </w:p>
          <w:p w14:paraId="56E24AFE">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根据废气环境影响分析内容可知，本项目布袋除尘器收集粉尘为</w:t>
            </w:r>
            <w:r>
              <w:rPr>
                <w:rFonts w:hint="eastAsia" w:cs="Times New Roman"/>
                <w:color w:val="auto"/>
                <w:szCs w:val="21"/>
                <w:highlight w:val="none"/>
                <w:lang w:val="en-US" w:eastAsia="zh-CN"/>
              </w:rPr>
              <w:t>500.9</w:t>
            </w:r>
            <w:r>
              <w:rPr>
                <w:rFonts w:hint="default" w:ascii="Times New Roman" w:hAnsi="Times New Roman" w:cs="Times New Roman"/>
                <w:color w:val="auto"/>
                <w:szCs w:val="21"/>
                <w:highlight w:val="none"/>
                <w:lang w:val="en-US" w:eastAsia="zh-CN"/>
              </w:rPr>
              <w:t>t/a，收集后回用于生产</w:t>
            </w:r>
            <w:r>
              <w:rPr>
                <w:rFonts w:hint="default" w:ascii="Times New Roman" w:hAnsi="Times New Roman" w:cs="Times New Roman"/>
                <w:color w:val="auto"/>
                <w:szCs w:val="21"/>
                <w:highlight w:val="none"/>
              </w:rPr>
              <w:t>。</w:t>
            </w:r>
          </w:p>
          <w:p w14:paraId="2E9F3F94">
            <w:pPr>
              <w:spacing w:line="360" w:lineRule="auto"/>
              <w:ind w:firstLine="420" w:firstLineChars="200"/>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③废</w:t>
            </w:r>
            <w:r>
              <w:rPr>
                <w:rFonts w:hint="default" w:ascii="Times New Roman" w:hAnsi="Times New Roman" w:cs="Times New Roman"/>
                <w:color w:val="auto"/>
                <w:szCs w:val="21"/>
                <w:highlight w:val="none"/>
                <w:lang w:eastAsia="zh-CN"/>
              </w:rPr>
              <w:t>布袋</w:t>
            </w:r>
          </w:p>
          <w:p w14:paraId="62E83E52">
            <w:pPr>
              <w:spacing w:line="360" w:lineRule="auto"/>
              <w:ind w:firstLine="420" w:firstLineChars="200"/>
              <w:rPr>
                <w:rFonts w:hint="default" w:ascii="Times New Roman" w:hAnsi="Times New Roman" w:cs="Times New Roman"/>
                <w:color w:val="auto"/>
                <w:szCs w:val="21"/>
                <w:highlight w:val="none"/>
                <w:lang w:val="en-US"/>
              </w:rPr>
            </w:pPr>
            <w:r>
              <w:rPr>
                <w:rFonts w:hint="default" w:ascii="Times New Roman" w:hAnsi="Times New Roman" w:cs="Times New Roman"/>
                <w:color w:val="auto"/>
                <w:sz w:val="21"/>
                <w:szCs w:val="21"/>
                <w:highlight w:val="none"/>
                <w:lang w:val="en-US" w:eastAsia="zh-CN"/>
              </w:rPr>
              <w:t>本项目除尘器为保证除尘效率，定期更换布袋，半年更换一次，废弃布袋产生量0.1t/a，更换后由厂家直接带走。</w:t>
            </w:r>
          </w:p>
          <w:p w14:paraId="5B93A97F">
            <w:pPr>
              <w:spacing w:line="360" w:lineRule="auto"/>
              <w:ind w:firstLine="420" w:firstLineChars="200"/>
              <w:rPr>
                <w:rFonts w:hint="default" w:ascii="Times New Roman" w:hAnsi="Times New Roman" w:eastAsia="宋体" w:cs="Times New Roman"/>
                <w:color w:val="auto"/>
                <w:szCs w:val="21"/>
                <w:highlight w:val="none"/>
                <w:lang w:eastAsia="zh-CN"/>
              </w:rPr>
            </w:pPr>
            <w:r>
              <w:rPr>
                <w:rFonts w:hint="default" w:ascii="Times New Roman" w:hAnsi="Times New Roman" w:eastAsia="微软雅黑" w:cs="Times New Roman"/>
                <w:color w:val="auto"/>
                <w:szCs w:val="21"/>
                <w:highlight w:val="none"/>
              </w:rPr>
              <w:t>④</w:t>
            </w:r>
            <w:r>
              <w:rPr>
                <w:rFonts w:hint="default" w:ascii="Times New Roman" w:hAnsi="Times New Roman" w:cs="Times New Roman"/>
                <w:color w:val="auto"/>
                <w:szCs w:val="21"/>
                <w:highlight w:val="none"/>
                <w:lang w:eastAsia="zh-CN"/>
              </w:rPr>
              <w:t>废包装带</w:t>
            </w:r>
          </w:p>
          <w:p w14:paraId="076D10A9">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本项目采用塑料包装带对产品按规格进行缠绕打包，废包装带产生量为</w:t>
            </w:r>
            <w:r>
              <w:rPr>
                <w:rFonts w:hint="default" w:ascii="Times New Roman" w:hAnsi="Times New Roman" w:cs="Times New Roman"/>
                <w:color w:val="auto"/>
                <w:szCs w:val="21"/>
                <w:highlight w:val="none"/>
                <w:lang w:val="en-US" w:eastAsia="zh-CN"/>
              </w:rPr>
              <w:t>50kg/a，收集后交由市政环卫部门处置</w:t>
            </w:r>
            <w:r>
              <w:rPr>
                <w:rFonts w:hint="default" w:ascii="Times New Roman" w:hAnsi="Times New Roman" w:cs="Times New Roman"/>
                <w:color w:val="auto"/>
                <w:szCs w:val="21"/>
                <w:highlight w:val="none"/>
              </w:rPr>
              <w:t>；</w:t>
            </w:r>
          </w:p>
          <w:p w14:paraId="75C04CEE">
            <w:pP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eastAsia="微软雅黑" w:cs="Times New Roman"/>
                <w:color w:val="auto"/>
                <w:szCs w:val="21"/>
                <w:highlight w:val="none"/>
              </w:rPr>
              <w:t>⑤</w:t>
            </w:r>
            <w:r>
              <w:rPr>
                <w:rFonts w:hint="default" w:ascii="Times New Roman" w:hAnsi="Times New Roman" w:cs="Times New Roman"/>
                <w:color w:val="auto"/>
                <w:szCs w:val="21"/>
                <w:highlight w:val="none"/>
                <w:lang w:eastAsia="zh-CN"/>
              </w:rPr>
              <w:t>不合格品</w:t>
            </w:r>
            <w:r>
              <w:rPr>
                <w:rFonts w:hint="eastAsia" w:cs="Times New Roman"/>
                <w:color w:val="auto"/>
                <w:szCs w:val="21"/>
                <w:highlight w:val="none"/>
                <w:lang w:eastAsia="zh-CN"/>
              </w:rPr>
              <w:t>、</w:t>
            </w:r>
            <w:r>
              <w:rPr>
                <w:rFonts w:hint="eastAsia" w:cs="Times New Roman"/>
                <w:color w:val="auto"/>
                <w:szCs w:val="21"/>
                <w:highlight w:val="none"/>
                <w:lang w:val="en-US" w:eastAsia="zh-CN"/>
              </w:rPr>
              <w:t>边角料</w:t>
            </w:r>
          </w:p>
          <w:p w14:paraId="037E22BC">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eastAsia="zh-CN"/>
              </w:rPr>
              <w:t>本项目压实成型过程因操作不当等因素会产生不合格品</w:t>
            </w:r>
            <w:r>
              <w:rPr>
                <w:rFonts w:hint="eastAsia" w:cs="Times New Roman"/>
                <w:color w:val="auto"/>
                <w:szCs w:val="21"/>
                <w:highlight w:val="none"/>
                <w:lang w:val="en-US" w:eastAsia="zh-CN"/>
              </w:rPr>
              <w:t>及切割产生的</w:t>
            </w:r>
            <w:r>
              <w:rPr>
                <w:rFonts w:hint="default" w:ascii="Times New Roman" w:hAnsi="Times New Roman" w:cs="Times New Roman"/>
                <w:color w:val="auto"/>
                <w:szCs w:val="21"/>
                <w:highlight w:val="none"/>
                <w:lang w:eastAsia="zh-CN"/>
              </w:rPr>
              <w:t>废边角料，产生量为</w:t>
            </w:r>
            <w:r>
              <w:rPr>
                <w:rFonts w:hint="eastAsia" w:cs="Times New Roman"/>
                <w:color w:val="auto"/>
                <w:szCs w:val="21"/>
                <w:highlight w:val="none"/>
                <w:lang w:val="en-US" w:eastAsia="zh-CN"/>
              </w:rPr>
              <w:t>13458.84</w:t>
            </w:r>
            <w:r>
              <w:rPr>
                <w:rFonts w:hint="default" w:ascii="Times New Roman" w:hAnsi="Times New Roman" w:cs="Times New Roman"/>
                <w:color w:val="auto"/>
                <w:szCs w:val="21"/>
                <w:highlight w:val="none"/>
                <w:lang w:val="en-US" w:eastAsia="zh-CN"/>
              </w:rPr>
              <w:t>t/a，收集后外售其他水泥制品单位综合利用</w:t>
            </w:r>
            <w:r>
              <w:rPr>
                <w:rFonts w:hint="default" w:ascii="Times New Roman" w:hAnsi="Times New Roman" w:cs="Times New Roman"/>
                <w:color w:val="auto"/>
                <w:szCs w:val="21"/>
                <w:highlight w:val="none"/>
              </w:rPr>
              <w:t>。</w:t>
            </w:r>
          </w:p>
          <w:p w14:paraId="7B61E818">
            <w:pPr>
              <w:shd w:val="clear"/>
              <w:spacing w:line="360" w:lineRule="auto"/>
              <w:ind w:firstLine="420" w:firstLineChars="200"/>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eastAsia="zh-CN"/>
              </w:rPr>
              <w:t>⑥</w:t>
            </w:r>
            <w:r>
              <w:rPr>
                <w:rFonts w:hint="default" w:ascii="Times New Roman" w:hAnsi="Times New Roman" w:cs="Times New Roman"/>
                <w:color w:val="auto"/>
                <w:szCs w:val="21"/>
                <w:highlight w:val="none"/>
                <w:lang w:eastAsia="zh-CN"/>
              </w:rPr>
              <w:t>废矿物油</w:t>
            </w:r>
            <w:r>
              <w:rPr>
                <w:rFonts w:hint="eastAsia" w:cs="Times New Roman"/>
                <w:color w:val="auto"/>
                <w:szCs w:val="21"/>
                <w:highlight w:val="none"/>
                <w:lang w:eastAsia="zh-CN"/>
              </w:rPr>
              <w:t>、废油桶</w:t>
            </w:r>
          </w:p>
          <w:p w14:paraId="4000B793">
            <w:pPr>
              <w:shd w:val="clear"/>
              <w:spacing w:line="360" w:lineRule="auto"/>
              <w:ind w:firstLine="420" w:firstLineChars="20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eastAsia="zh-CN"/>
              </w:rPr>
              <w:t>本项目对厂内设备进行定期维修保养过程产生废润滑油</w:t>
            </w:r>
            <w:r>
              <w:rPr>
                <w:rFonts w:hint="default" w:ascii="Times New Roman" w:hAnsi="Times New Roman" w:cs="Times New Roman"/>
                <w:color w:val="auto"/>
                <w:szCs w:val="21"/>
                <w:highlight w:val="none"/>
                <w:shd w:val="clear"/>
                <w:lang w:eastAsia="zh-CN"/>
              </w:rPr>
              <w:t>（900-21</w:t>
            </w:r>
            <w:r>
              <w:rPr>
                <w:rFonts w:hint="default" w:ascii="Times New Roman" w:hAnsi="Times New Roman" w:cs="Times New Roman"/>
                <w:color w:val="auto"/>
                <w:szCs w:val="21"/>
                <w:highlight w:val="none"/>
                <w:shd w:val="clear"/>
                <w:lang w:val="en-US" w:eastAsia="zh-CN"/>
              </w:rPr>
              <w:t>4</w:t>
            </w:r>
            <w:r>
              <w:rPr>
                <w:rFonts w:hint="default" w:ascii="Times New Roman" w:hAnsi="Times New Roman" w:cs="Times New Roman"/>
                <w:color w:val="auto"/>
                <w:szCs w:val="21"/>
                <w:highlight w:val="none"/>
                <w:shd w:val="clear"/>
                <w:lang w:eastAsia="zh-CN"/>
              </w:rPr>
              <w:t>-08）</w:t>
            </w:r>
            <w:r>
              <w:rPr>
                <w:rFonts w:hint="default" w:ascii="Times New Roman" w:hAnsi="Times New Roman" w:cs="Times New Roman"/>
                <w:color w:val="auto"/>
                <w:szCs w:val="21"/>
                <w:highlight w:val="none"/>
                <w:lang w:eastAsia="zh-CN"/>
              </w:rPr>
              <w:t>及废液压油（900-21</w:t>
            </w:r>
            <w:r>
              <w:rPr>
                <w:rFonts w:hint="default" w:ascii="Times New Roman" w:hAnsi="Times New Roman" w:cs="Times New Roman"/>
                <w:color w:val="auto"/>
                <w:szCs w:val="21"/>
                <w:highlight w:val="none"/>
                <w:lang w:val="en-US" w:eastAsia="zh-CN"/>
              </w:rPr>
              <w:t>8</w:t>
            </w:r>
            <w:r>
              <w:rPr>
                <w:rFonts w:hint="default" w:ascii="Times New Roman" w:hAnsi="Times New Roman" w:cs="Times New Roman"/>
                <w:color w:val="auto"/>
                <w:szCs w:val="21"/>
                <w:highlight w:val="none"/>
                <w:lang w:eastAsia="zh-CN"/>
              </w:rPr>
              <w:t>-08），属于危险废物，根据设备厂家提供数据，废矿物油产生量约</w:t>
            </w:r>
            <w:r>
              <w:rPr>
                <w:rFonts w:hint="default" w:ascii="Times New Roman" w:hAnsi="Times New Roman" w:cs="Times New Roman"/>
                <w:color w:val="auto"/>
                <w:szCs w:val="21"/>
                <w:highlight w:val="none"/>
                <w:lang w:val="en-US" w:eastAsia="zh-CN"/>
              </w:rPr>
              <w:t>0.05t/a，</w:t>
            </w:r>
            <w:r>
              <w:rPr>
                <w:rFonts w:hint="default" w:ascii="Times New Roman" w:hAnsi="Times New Roman" w:cs="Times New Roman"/>
                <w:color w:val="auto"/>
                <w:szCs w:val="21"/>
                <w:highlight w:val="none"/>
                <w:lang w:eastAsia="zh-CN"/>
              </w:rPr>
              <w:t>废</w:t>
            </w:r>
            <w:r>
              <w:rPr>
                <w:rFonts w:hint="eastAsia" w:cs="Times New Roman"/>
                <w:color w:val="auto"/>
                <w:szCs w:val="21"/>
                <w:highlight w:val="none"/>
                <w:lang w:eastAsia="zh-CN"/>
              </w:rPr>
              <w:t>油桶</w:t>
            </w:r>
            <w:r>
              <w:rPr>
                <w:rFonts w:hint="default" w:ascii="Times New Roman" w:hAnsi="Times New Roman" w:cs="Times New Roman"/>
                <w:color w:val="auto"/>
                <w:szCs w:val="21"/>
                <w:highlight w:val="none"/>
                <w:lang w:eastAsia="zh-CN"/>
              </w:rPr>
              <w:t>产生量约</w:t>
            </w:r>
            <w:r>
              <w:rPr>
                <w:rFonts w:hint="default" w:ascii="Times New Roman" w:hAnsi="Times New Roman" w:cs="Times New Roman"/>
                <w:color w:val="auto"/>
                <w:szCs w:val="21"/>
                <w:highlight w:val="none"/>
                <w:lang w:val="en-US" w:eastAsia="zh-CN"/>
              </w:rPr>
              <w:t>0.0</w:t>
            </w:r>
            <w:r>
              <w:rPr>
                <w:rFonts w:hint="eastAsia" w:cs="Times New Roman"/>
                <w:color w:val="auto"/>
                <w:szCs w:val="21"/>
                <w:highlight w:val="none"/>
                <w:lang w:val="en-US" w:eastAsia="zh-CN"/>
              </w:rPr>
              <w:t>1</w:t>
            </w:r>
            <w:r>
              <w:rPr>
                <w:rFonts w:hint="default" w:ascii="Times New Roman" w:hAnsi="Times New Roman" w:cs="Times New Roman"/>
                <w:color w:val="auto"/>
                <w:szCs w:val="21"/>
                <w:highlight w:val="none"/>
                <w:lang w:val="en-US" w:eastAsia="zh-CN"/>
              </w:rPr>
              <w:t>t/a，收集后分类暂存于厂内危废</w:t>
            </w:r>
            <w:r>
              <w:rPr>
                <w:rFonts w:hint="eastAsia" w:cs="Times New Roman"/>
                <w:color w:val="auto"/>
                <w:szCs w:val="21"/>
                <w:highlight w:val="none"/>
                <w:lang w:val="en-US" w:eastAsia="zh-CN"/>
              </w:rPr>
              <w:t>贮存点</w:t>
            </w:r>
            <w:r>
              <w:rPr>
                <w:rFonts w:hint="default" w:ascii="Times New Roman" w:hAnsi="Times New Roman" w:cs="Times New Roman"/>
                <w:color w:val="auto"/>
                <w:szCs w:val="21"/>
                <w:highlight w:val="none"/>
                <w:lang w:val="en-US" w:eastAsia="zh-CN"/>
              </w:rPr>
              <w:t>，定期委托有资质单位处置。</w:t>
            </w:r>
          </w:p>
          <w:p w14:paraId="41B51EAB">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⑦炉渣</w:t>
            </w:r>
          </w:p>
          <w:p w14:paraId="25B25FC0">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eastAsia" w:cs="Times New Roman"/>
                <w:color w:val="auto"/>
                <w:sz w:val="21"/>
                <w:szCs w:val="21"/>
                <w:highlight w:val="none"/>
                <w:lang w:val="en-US" w:eastAsia="zh-CN"/>
              </w:rPr>
              <w:t>灰</w:t>
            </w:r>
            <w:r>
              <w:rPr>
                <w:rFonts w:hint="default" w:ascii="Times New Roman" w:hAnsi="Times New Roman" w:eastAsia="宋体" w:cs="Times New Roman"/>
                <w:color w:val="auto"/>
                <w:sz w:val="21"/>
                <w:szCs w:val="21"/>
                <w:highlight w:val="none"/>
              </w:rPr>
              <w:t>渣产生量根据《污染源源强核算技术指南 锅炉》（HJ991-2018）中8.1物料衡算法计算：</w:t>
            </w:r>
          </w:p>
          <w:p w14:paraId="5C672B0E">
            <w:pPr>
              <w:keepNext w:val="0"/>
              <w:keepLines w:val="0"/>
              <w:pageBreakBefore w:val="0"/>
              <w:kinsoku/>
              <w:wordWrap/>
              <w:overflowPunct/>
              <w:topLinePunct w:val="0"/>
              <w:autoSpaceDE/>
              <w:autoSpaceDN/>
              <w:bidi w:val="0"/>
              <w:spacing w:line="36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object>
                <v:shape id="_x0000_i1030" o:spt="75" type="#_x0000_t75" style="height:36pt;width:147pt;" o:ole="t" filled="f" o:preferrelative="t" stroked="f" coordsize="21600,21600">
                  <v:path/>
                  <v:fill on="f" focussize="0,0"/>
                  <v:stroke on="f"/>
                  <v:imagedata r:id="rId29" o:title=""/>
                  <o:lock v:ext="edit" aspectratio="t"/>
                  <w10:wrap type="none"/>
                  <w10:anchorlock/>
                </v:shape>
                <o:OLEObject Type="Embed" ProgID="Equation.KSEE3" ShapeID="_x0000_i1030" DrawAspect="Content" ObjectID="_1468075730" r:id="rId28">
                  <o:LockedField>false</o:LockedField>
                </o:OLEObject>
              </w:object>
            </w:r>
          </w:p>
          <w:p w14:paraId="4BF34A6D">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式中：Ehc----核算时段内灰渣产生量，t；</w:t>
            </w:r>
          </w:p>
          <w:p w14:paraId="6357019F">
            <w:pPr>
              <w:keepNext w:val="0"/>
              <w:keepLines w:val="0"/>
              <w:pageBreakBefore w:val="0"/>
              <w:kinsoku/>
              <w:wordWrap/>
              <w:overflowPunct/>
              <w:topLinePunct w:val="0"/>
              <w:autoSpaceDE/>
              <w:autoSpaceDN/>
              <w:bidi w:val="0"/>
              <w:adjustRightIn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R----核算时段内锅炉燃料耗量，</w:t>
            </w:r>
            <w:r>
              <w:rPr>
                <w:rFonts w:hint="default"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1904</w:t>
            </w:r>
            <w:r>
              <w:rPr>
                <w:rFonts w:hint="default" w:ascii="Times New Roman" w:hAnsi="Times New Roman" w:eastAsia="宋体" w:cs="Times New Roman"/>
                <w:color w:val="auto"/>
                <w:sz w:val="21"/>
                <w:szCs w:val="21"/>
                <w:highlight w:val="none"/>
              </w:rPr>
              <w:t>t；</w:t>
            </w:r>
          </w:p>
          <w:p w14:paraId="10534C50">
            <w:pPr>
              <w:keepNext w:val="0"/>
              <w:keepLines w:val="0"/>
              <w:pageBreakBefore w:val="0"/>
              <w:kinsoku/>
              <w:wordWrap/>
              <w:overflowPunct/>
              <w:topLinePunct w:val="0"/>
              <w:autoSpaceDE/>
              <w:autoSpaceDN/>
              <w:bidi w:val="0"/>
              <w:adjustRightIn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Aar----收到基灰分的质量分数，%；取</w:t>
            </w:r>
            <w:r>
              <w:rPr>
                <w:rFonts w:hint="eastAsia" w:cs="Times New Roman"/>
                <w:color w:val="auto"/>
                <w:sz w:val="21"/>
                <w:szCs w:val="21"/>
                <w:highlight w:val="none"/>
                <w:lang w:val="en-US" w:eastAsia="zh-CN"/>
              </w:rPr>
              <w:t>6.33</w:t>
            </w:r>
            <w:r>
              <w:rPr>
                <w:rFonts w:hint="default" w:ascii="Times New Roman" w:hAnsi="Times New Roman" w:eastAsia="宋体" w:cs="Times New Roman"/>
                <w:color w:val="auto"/>
                <w:sz w:val="21"/>
                <w:szCs w:val="21"/>
                <w:highlight w:val="none"/>
              </w:rPr>
              <w:t>%；</w:t>
            </w:r>
          </w:p>
          <w:p w14:paraId="35348416">
            <w:pPr>
              <w:keepNext w:val="0"/>
              <w:keepLines w:val="0"/>
              <w:pageBreakBefore w:val="0"/>
              <w:kinsoku/>
              <w:wordWrap/>
              <w:overflowPunct/>
              <w:topLinePunct w:val="0"/>
              <w:autoSpaceDE/>
              <w:autoSpaceDN/>
              <w:bidi w:val="0"/>
              <w:adjustRightIn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q4----锅炉机械不完全燃烧热损失，%；取</w:t>
            </w:r>
            <w:r>
              <w:rPr>
                <w:rFonts w:hint="default"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w:t>
            </w:r>
          </w:p>
          <w:p w14:paraId="692D492C">
            <w:pPr>
              <w:keepNext w:val="0"/>
              <w:keepLines w:val="0"/>
              <w:pageBreakBefore w:val="0"/>
              <w:kinsoku/>
              <w:wordWrap/>
              <w:overflowPunct/>
              <w:topLinePunct w:val="0"/>
              <w:autoSpaceDE/>
              <w:autoSpaceDN/>
              <w:bidi w:val="0"/>
              <w:adjustRightIn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Qnet，ar----收到基低位发热量，</w:t>
            </w:r>
            <w:r>
              <w:rPr>
                <w:rFonts w:hint="default" w:ascii="Times New Roman" w:hAnsi="Times New Roman"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rPr>
              <w:t>J/kg。</w:t>
            </w:r>
            <w:r>
              <w:rPr>
                <w:rFonts w:hint="default" w:ascii="Times New Roman" w:hAnsi="Times New Roman" w:cs="Times New Roman"/>
                <w:color w:val="auto"/>
                <w:sz w:val="21"/>
                <w:szCs w:val="21"/>
                <w:highlight w:val="none"/>
                <w:lang w:val="en-US" w:eastAsia="zh-CN"/>
              </w:rPr>
              <w:t>14.</w:t>
            </w:r>
            <w:r>
              <w:rPr>
                <w:rFonts w:hint="eastAsia" w:cs="Times New Roman"/>
                <w:color w:val="auto"/>
                <w:sz w:val="21"/>
                <w:szCs w:val="21"/>
                <w:highlight w:val="none"/>
                <w:lang w:val="en-US" w:eastAsia="zh-CN"/>
              </w:rPr>
              <w:t>132</w:t>
            </w:r>
            <w:r>
              <w:rPr>
                <w:rFonts w:hint="default" w:ascii="Times New Roman" w:hAnsi="Times New Roman" w:eastAsia="宋体" w:cs="Times New Roman"/>
                <w:color w:val="auto"/>
                <w:sz w:val="21"/>
                <w:szCs w:val="21"/>
                <w:highlight w:val="none"/>
              </w:rPr>
              <w:t>；</w:t>
            </w:r>
          </w:p>
          <w:p w14:paraId="247F57E5">
            <w:pPr>
              <w:keepNext w:val="0"/>
              <w:keepLines w:val="0"/>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rPr>
              <w:t>经计算，本项目</w:t>
            </w:r>
            <w:r>
              <w:rPr>
                <w:rFonts w:hint="default" w:ascii="Times New Roman" w:hAnsi="Times New Roman" w:eastAsia="宋体" w:cs="Times New Roman"/>
                <w:color w:val="auto"/>
                <w:sz w:val="21"/>
                <w:szCs w:val="21"/>
                <w:highlight w:val="none"/>
                <w:lang w:val="en-US" w:eastAsia="zh-CN"/>
              </w:rPr>
              <w:t>灰</w:t>
            </w:r>
            <w:r>
              <w:rPr>
                <w:rFonts w:hint="default" w:ascii="Times New Roman" w:hAnsi="Times New Roman" w:eastAsia="宋体" w:cs="Times New Roman"/>
                <w:color w:val="auto"/>
                <w:sz w:val="21"/>
                <w:szCs w:val="21"/>
                <w:highlight w:val="none"/>
              </w:rPr>
              <w:t>渣的产生量为</w:t>
            </w:r>
            <w:r>
              <w:rPr>
                <w:rFonts w:hint="eastAsia" w:cs="Times New Roman"/>
                <w:color w:val="auto"/>
                <w:sz w:val="21"/>
                <w:szCs w:val="21"/>
                <w:highlight w:val="none"/>
                <w:lang w:val="en-US" w:eastAsia="zh-CN"/>
              </w:rPr>
              <w:t>754.27</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val="en-US" w:eastAsia="zh-CN"/>
              </w:rPr>
              <w:t>布袋收尘灰</w:t>
            </w:r>
            <w:r>
              <w:rPr>
                <w:rFonts w:hint="eastAsia" w:cs="Times New Roman"/>
                <w:color w:val="auto"/>
                <w:sz w:val="21"/>
                <w:szCs w:val="21"/>
                <w:highlight w:val="none"/>
                <w:lang w:val="en-US" w:eastAsia="zh-CN"/>
              </w:rPr>
              <w:t>为433.56</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炉渣</w:t>
            </w:r>
            <w:r>
              <w:rPr>
                <w:rFonts w:hint="default" w:ascii="Times New Roman" w:hAnsi="Times New Roman" w:eastAsia="宋体" w:cs="Times New Roman"/>
                <w:color w:val="auto"/>
                <w:sz w:val="21"/>
                <w:szCs w:val="21"/>
                <w:highlight w:val="none"/>
                <w:lang w:val="en-US" w:eastAsia="zh-CN"/>
              </w:rPr>
              <w:t>为</w:t>
            </w:r>
            <w:r>
              <w:rPr>
                <w:rFonts w:hint="eastAsia" w:cs="Times New Roman"/>
                <w:color w:val="auto"/>
                <w:sz w:val="21"/>
                <w:szCs w:val="21"/>
                <w:highlight w:val="none"/>
                <w:lang w:val="en-US" w:eastAsia="zh-CN"/>
              </w:rPr>
              <w:t>320.71</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/a，暂存于锅炉</w:t>
            </w:r>
            <w:r>
              <w:rPr>
                <w:rFonts w:hint="default" w:ascii="Times New Roman" w:hAnsi="Times New Roman" w:eastAsia="宋体" w:cs="Times New Roman"/>
                <w:color w:val="auto"/>
                <w:sz w:val="21"/>
                <w:szCs w:val="21"/>
                <w:highlight w:val="none"/>
                <w:lang w:val="en-US" w:eastAsia="zh-CN"/>
              </w:rPr>
              <w:t>房</w:t>
            </w:r>
            <w:r>
              <w:rPr>
                <w:rFonts w:hint="default" w:ascii="Times New Roman" w:hAnsi="Times New Roman" w:eastAsia="宋体" w:cs="Times New Roman"/>
                <w:color w:val="auto"/>
                <w:sz w:val="21"/>
                <w:szCs w:val="21"/>
                <w:highlight w:val="none"/>
              </w:rPr>
              <w:t>内，</w:t>
            </w:r>
            <w:r>
              <w:rPr>
                <w:rFonts w:hint="eastAsia" w:cs="Times New Roman"/>
                <w:color w:val="auto"/>
                <w:sz w:val="21"/>
                <w:szCs w:val="21"/>
                <w:highlight w:val="none"/>
                <w:lang w:val="en-US" w:eastAsia="zh-CN"/>
              </w:rPr>
              <w:t>回用于生产</w:t>
            </w:r>
            <w:r>
              <w:rPr>
                <w:rFonts w:hint="default" w:ascii="Times New Roman" w:hAnsi="Times New Roman" w:eastAsia="宋体" w:cs="Times New Roman"/>
                <w:color w:val="auto"/>
                <w:sz w:val="21"/>
                <w:szCs w:val="21"/>
                <w:highlight w:val="none"/>
              </w:rPr>
              <w:t>。</w:t>
            </w:r>
          </w:p>
          <w:p w14:paraId="00A1BCE2">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eastAsia" w:ascii="宋体" w:hAnsi="宋体" w:eastAsia="宋体" w:cs="宋体"/>
                <w:color w:val="auto"/>
                <w:sz w:val="21"/>
                <w:szCs w:val="21"/>
                <w:highlight w:val="none"/>
                <w:lang w:val="en-US" w:eastAsia="zh-CN"/>
              </w:rPr>
              <w:t>⑧</w:t>
            </w:r>
            <w:r>
              <w:rPr>
                <w:rFonts w:hint="default" w:ascii="Times New Roman" w:hAnsi="Times New Roman" w:eastAsia="宋体" w:cs="Times New Roman"/>
                <w:color w:val="auto"/>
                <w:sz w:val="21"/>
                <w:szCs w:val="21"/>
                <w:highlight w:val="none"/>
              </w:rPr>
              <w:t>废离子交换树脂</w:t>
            </w:r>
          </w:p>
          <w:p w14:paraId="0A9E8D2D">
            <w:pPr>
              <w:keepNext w:val="0"/>
              <w:keepLines w:val="0"/>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rPr>
              <w:t>锅炉软化水处理系统中的废离子交换树脂定期更换，废离子交换树脂产生量约</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z w:val="21"/>
                <w:szCs w:val="21"/>
                <w:highlight w:val="none"/>
                <w:lang w:val="en-US" w:eastAsia="zh-CN"/>
              </w:rPr>
              <w:t>厂家回收</w:t>
            </w:r>
            <w:r>
              <w:rPr>
                <w:rFonts w:hint="default" w:ascii="Times New Roman" w:hAnsi="Times New Roman" w:eastAsia="宋体" w:cs="Times New Roman"/>
                <w:color w:val="auto"/>
                <w:sz w:val="21"/>
                <w:szCs w:val="21"/>
                <w:highlight w:val="none"/>
              </w:rPr>
              <w:t>。</w:t>
            </w:r>
          </w:p>
          <w:p w14:paraId="65FAB82C">
            <w:pPr>
              <w:keepNext w:val="0"/>
              <w:keepLines w:val="0"/>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eastAsia" w:cs="Times New Roman"/>
                <w:bCs/>
                <w:color w:val="auto"/>
                <w:sz w:val="21"/>
                <w:szCs w:val="21"/>
                <w:highlight w:val="none"/>
                <w:lang w:val="en-US" w:eastAsia="zh-CN"/>
              </w:rPr>
            </w:pPr>
            <w:r>
              <w:rPr>
                <w:rFonts w:hint="eastAsia" w:cs="Times New Roman"/>
                <w:bCs/>
                <w:color w:val="auto"/>
                <w:sz w:val="21"/>
                <w:szCs w:val="21"/>
                <w:highlight w:val="none"/>
                <w:lang w:val="en-US" w:eastAsia="zh-CN"/>
              </w:rPr>
              <w:t>⑨防腐剂桶</w:t>
            </w:r>
          </w:p>
          <w:p w14:paraId="3BC8F5D9">
            <w:pPr>
              <w:keepNext w:val="0"/>
              <w:keepLines w:val="0"/>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本项目年消耗328.05t防腐剂，统一采用25kg/桶的塑料包装，全年共计产生沾染防腐剂的废包装桶13122个，每个桶的重量按1kg计算，则产生的防腐剂桶为13.122t。暂存于危险废物贮存点，定期</w:t>
            </w:r>
            <w:r>
              <w:rPr>
                <w:rFonts w:hint="default" w:ascii="Times New Roman" w:hAnsi="Times New Roman" w:eastAsia="宋体" w:cs="Times New Roman"/>
                <w:bCs/>
                <w:color w:val="auto"/>
                <w:sz w:val="21"/>
                <w:szCs w:val="21"/>
                <w:highlight w:val="none"/>
                <w:lang w:val="en-US" w:eastAsia="zh-CN"/>
              </w:rPr>
              <w:t>交由有资质部门统一处理。</w:t>
            </w:r>
          </w:p>
          <w:p w14:paraId="2B912AD2">
            <w:pPr>
              <w:keepNext w:val="0"/>
              <w:keepLines w:val="0"/>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⑩</w:t>
            </w:r>
            <w:r>
              <w:rPr>
                <w:rFonts w:hint="default" w:ascii="Times New Roman" w:hAnsi="Times New Roman" w:eastAsia="宋体" w:cs="Times New Roman"/>
                <w:bCs/>
                <w:color w:val="auto"/>
                <w:sz w:val="21"/>
                <w:szCs w:val="21"/>
                <w:highlight w:val="none"/>
                <w:lang w:eastAsia="zh-CN"/>
              </w:rPr>
              <w:t>废活性炭</w:t>
            </w:r>
          </w:p>
          <w:p w14:paraId="5B5EF9B7">
            <w:pPr>
              <w:keepNext w:val="0"/>
              <w:keepLines w:val="0"/>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bCs/>
                <w:color w:val="auto"/>
                <w:sz w:val="21"/>
                <w:szCs w:val="21"/>
                <w:highlight w:val="none"/>
                <w:lang w:eastAsia="zh-CN"/>
              </w:rPr>
              <w:t>根据查询资料可知，活性炭与有机废气的吸附比约为</w:t>
            </w:r>
            <w:r>
              <w:rPr>
                <w:rFonts w:hint="default" w:ascii="Times New Roman" w:hAnsi="Times New Roman" w:eastAsia="宋体" w:cs="Times New Roman"/>
                <w:bCs/>
                <w:color w:val="auto"/>
                <w:sz w:val="21"/>
                <w:szCs w:val="21"/>
                <w:highlight w:val="none"/>
                <w:lang w:val="en-US" w:eastAsia="zh-CN"/>
              </w:rPr>
              <w:t>1:0.6，饱和率按90%计算，</w:t>
            </w:r>
            <w:r>
              <w:rPr>
                <w:rFonts w:hint="default" w:ascii="Times New Roman" w:hAnsi="Times New Roman" w:eastAsia="宋体" w:cs="Times New Roman"/>
                <w:bCs/>
                <w:color w:val="auto"/>
                <w:sz w:val="21"/>
                <w:szCs w:val="21"/>
                <w:highlight w:val="none"/>
                <w:lang w:eastAsia="zh-CN"/>
              </w:rPr>
              <w:t>项目活性炭吸附的有机废气</w:t>
            </w:r>
            <w:r>
              <w:rPr>
                <w:rFonts w:hint="default" w:ascii="Times New Roman" w:hAnsi="Times New Roman" w:eastAsia="宋体" w:cs="Times New Roman"/>
                <w:bCs/>
                <w:color w:val="auto"/>
                <w:sz w:val="21"/>
                <w:szCs w:val="21"/>
                <w:highlight w:val="none"/>
                <w:lang w:val="en-US" w:eastAsia="zh-CN"/>
              </w:rPr>
              <w:t>约为0.355t/a。则本项目所需活性炭为0.657t/a。本项目活性炭每次装箱量为0.5t，则本项目活性炭</w:t>
            </w:r>
            <w:r>
              <w:rPr>
                <w:rFonts w:hint="default" w:ascii="Times New Roman" w:hAnsi="Times New Roman" w:eastAsia="宋体" w:cs="Times New Roman"/>
                <w:bCs/>
                <w:color w:val="auto"/>
                <w:sz w:val="21"/>
                <w:szCs w:val="21"/>
                <w:highlight w:val="none"/>
              </w:rPr>
              <w:t>每年更换</w:t>
            </w:r>
            <w:r>
              <w:rPr>
                <w:rFonts w:hint="default"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bCs/>
                <w:color w:val="auto"/>
                <w:sz w:val="21"/>
                <w:szCs w:val="21"/>
                <w:highlight w:val="none"/>
              </w:rPr>
              <w:t>次。</w:t>
            </w:r>
            <w:r>
              <w:rPr>
                <w:rFonts w:hint="default" w:ascii="Times New Roman" w:hAnsi="Times New Roman" w:eastAsia="宋体" w:cs="Times New Roman"/>
                <w:bCs/>
                <w:color w:val="auto"/>
                <w:sz w:val="21"/>
                <w:szCs w:val="21"/>
                <w:highlight w:val="none"/>
                <w:lang w:eastAsia="zh-CN"/>
              </w:rPr>
              <w:t>废活性炭产生量为</w:t>
            </w:r>
            <w:r>
              <w:rPr>
                <w:rFonts w:hint="default" w:ascii="Times New Roman" w:hAnsi="Times New Roman" w:eastAsia="宋体" w:cs="Times New Roman"/>
                <w:bCs/>
                <w:color w:val="auto"/>
                <w:sz w:val="21"/>
                <w:szCs w:val="21"/>
                <w:highlight w:val="none"/>
                <w:lang w:val="en-US" w:eastAsia="zh-CN"/>
              </w:rPr>
              <w:t>1.012t/a。</w:t>
            </w:r>
            <w:r>
              <w:rPr>
                <w:rFonts w:hint="eastAsia" w:cs="Times New Roman"/>
                <w:bCs/>
                <w:color w:val="auto"/>
                <w:sz w:val="21"/>
                <w:szCs w:val="21"/>
                <w:highlight w:val="none"/>
                <w:lang w:val="en-US" w:eastAsia="zh-CN"/>
              </w:rPr>
              <w:t>暂存于危险废物贮存点，定期</w:t>
            </w:r>
            <w:r>
              <w:rPr>
                <w:rFonts w:hint="default" w:ascii="Times New Roman" w:hAnsi="Times New Roman" w:eastAsia="宋体" w:cs="Times New Roman"/>
                <w:bCs/>
                <w:color w:val="auto"/>
                <w:sz w:val="21"/>
                <w:szCs w:val="21"/>
                <w:highlight w:val="none"/>
                <w:lang w:val="en-US" w:eastAsia="zh-CN"/>
              </w:rPr>
              <w:t>交由有资质部门统一处理。</w:t>
            </w:r>
          </w:p>
          <w:p w14:paraId="34152305">
            <w:pPr>
              <w:keepNext w:val="0"/>
              <w:keepLines w:val="0"/>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⑪钢筋防锈浸泡用水</w:t>
            </w:r>
          </w:p>
          <w:p w14:paraId="78F9979F">
            <w:pPr>
              <w:keepNext w:val="0"/>
              <w:keepLines w:val="0"/>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项目钢筋防腐工艺，本项</w:t>
            </w:r>
            <w:r>
              <w:rPr>
                <w:rFonts w:hint="default" w:ascii="Times New Roman" w:hAnsi="Times New Roman" w:eastAsia="宋体" w:cs="Times New Roman"/>
                <w:color w:val="auto"/>
                <w:sz w:val="21"/>
                <w:szCs w:val="21"/>
                <w:highlight w:val="none"/>
              </w:rPr>
              <w:t>目钢筋采用防腐剂浸泡防锈，防腐剂失去药性后产生浸泡废水，浸泡废水产生量为</w:t>
            </w:r>
            <w:r>
              <w:rPr>
                <w:rFonts w:hint="default" w:ascii="Times New Roman" w:hAnsi="Times New Roman" w:eastAsia="宋体" w:cs="Times New Roman"/>
                <w:color w:val="auto"/>
                <w:sz w:val="21"/>
                <w:szCs w:val="21"/>
                <w:highlight w:val="none"/>
                <w:lang w:val="en-US" w:eastAsia="zh-CN"/>
              </w:rPr>
              <w:t>45.927</w:t>
            </w:r>
            <w:r>
              <w:rPr>
                <w:rFonts w:hint="default" w:ascii="Times New Roman" w:hAnsi="Times New Roman" w:eastAsia="宋体" w:cs="Times New Roman"/>
                <w:color w:val="auto"/>
                <w:sz w:val="21"/>
                <w:szCs w:val="21"/>
                <w:highlight w:val="none"/>
              </w:rPr>
              <w:t>t/a，该废水属于危险废物，采用耐腐蚀的容器收集后，暂存于危废暂存间定期交由资质单位进处置，不外排。</w:t>
            </w:r>
          </w:p>
          <w:p w14:paraId="558987B5">
            <w:pPr>
              <w:keepNext w:val="0"/>
              <w:keepLines w:val="0"/>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⑫脱模剂桶</w:t>
            </w:r>
          </w:p>
          <w:p w14:paraId="50014C52">
            <w:pPr>
              <w:keepNext w:val="0"/>
              <w:keepLines w:val="0"/>
              <w:pageBreakBefore w:val="0"/>
              <w:widowControl w:val="0"/>
              <w:kinsoku/>
              <w:wordWrap/>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本项目年消耗90t脱模剂，统一采用200kg/桶的塑料包装，全年共计产生沾染脱模剂的废包装桶450个，每个桶的重量按1kg计算，则产生的脱模剂桶为0.45t。暂存于危险废物贮存点，定期</w:t>
            </w:r>
            <w:r>
              <w:rPr>
                <w:rFonts w:hint="default" w:ascii="Times New Roman" w:hAnsi="Times New Roman" w:eastAsia="宋体" w:cs="Times New Roman"/>
                <w:bCs/>
                <w:color w:val="auto"/>
                <w:sz w:val="21"/>
                <w:szCs w:val="21"/>
                <w:highlight w:val="none"/>
                <w:lang w:val="en-US" w:eastAsia="zh-CN"/>
              </w:rPr>
              <w:t>交由有资质部门统一处理。</w:t>
            </w:r>
          </w:p>
          <w:p w14:paraId="70FF0139">
            <w:pPr>
              <w:keepNext w:val="0"/>
              <w:keepLines w:val="0"/>
              <w:pageBreakBefore w:val="0"/>
              <w:widowControl w:val="0"/>
              <w:kinsoku/>
              <w:wordWrap/>
              <w:overflowPunct/>
              <w:topLinePunct w:val="0"/>
              <w:autoSpaceDE/>
              <w:autoSpaceDN/>
              <w:bidi w:val="0"/>
              <w:adjustRightInd/>
              <w:snapToGrid/>
              <w:spacing w:line="360" w:lineRule="auto"/>
              <w:ind w:left="0" w:firstLine="422" w:firstLineChars="200"/>
              <w:jc w:val="both"/>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Cs w:val="21"/>
                <w:highlight w:val="none"/>
              </w:rPr>
              <w:t>（2）</w:t>
            </w:r>
            <w:r>
              <w:rPr>
                <w:rFonts w:hint="default" w:ascii="Times New Roman" w:hAnsi="Times New Roman" w:eastAsia="宋体" w:cs="Times New Roman"/>
                <w:b/>
                <w:bCs/>
                <w:color w:val="auto"/>
                <w:sz w:val="21"/>
                <w:szCs w:val="21"/>
                <w:highlight w:val="none"/>
                <w:lang w:eastAsia="zh-CN"/>
              </w:rPr>
              <w:t>危险废物类别及代码</w:t>
            </w:r>
          </w:p>
          <w:p w14:paraId="2AE36B66">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20" w:firstLineChars="200"/>
              <w:jc w:val="both"/>
              <w:textAlignment w:val="auto"/>
              <w:rPr>
                <w:rFonts w:hint="default" w:ascii="Times New Roman" w:hAnsi="Times New Roman" w:cs="Times New Roman"/>
                <w:b/>
                <w:color w:val="auto"/>
                <w:sz w:val="21"/>
                <w:szCs w:val="21"/>
                <w:highlight w:val="none"/>
              </w:rPr>
            </w:pPr>
            <w:r>
              <w:rPr>
                <w:rFonts w:hint="default" w:ascii="Times New Roman" w:hAnsi="Times New Roman" w:eastAsia="宋体" w:cs="Times New Roman"/>
                <w:color w:val="auto"/>
                <w:sz w:val="21"/>
                <w:szCs w:val="21"/>
                <w:highlight w:val="none"/>
                <w:lang w:eastAsia="zh-CN"/>
              </w:rPr>
              <w:t>根据《国家危险废物名录（</w:t>
            </w:r>
            <w:r>
              <w:rPr>
                <w:rFonts w:hint="default" w:ascii="Times New Roman" w:hAnsi="Times New Roman" w:eastAsia="宋体" w:cs="Times New Roman"/>
                <w:color w:val="auto"/>
                <w:sz w:val="21"/>
                <w:szCs w:val="21"/>
                <w:highlight w:val="none"/>
                <w:lang w:val="en-US" w:eastAsia="zh-CN"/>
              </w:rPr>
              <w:t>2025版</w:t>
            </w:r>
            <w:r>
              <w:rPr>
                <w:rFonts w:hint="default" w:ascii="Times New Roman" w:hAnsi="Times New Roman" w:eastAsia="宋体" w:cs="Times New Roman"/>
                <w:color w:val="auto"/>
                <w:sz w:val="21"/>
                <w:szCs w:val="21"/>
                <w:highlight w:val="none"/>
                <w:lang w:eastAsia="zh-CN"/>
              </w:rPr>
              <w:t>）》，对本项目固体废物</w:t>
            </w:r>
            <w:r>
              <w:rPr>
                <w:rFonts w:hint="default" w:ascii="Times New Roman" w:hAnsi="Times New Roman" w:eastAsia="宋体" w:cs="Times New Roman"/>
                <w:color w:val="auto"/>
                <w:sz w:val="21"/>
                <w:szCs w:val="21"/>
                <w:highlight w:val="none"/>
              </w:rPr>
              <w:t>汇总详见</w:t>
            </w:r>
            <w:r>
              <w:rPr>
                <w:rFonts w:hint="default" w:ascii="Times New Roman" w:hAnsi="Times New Roman" w:eastAsia="宋体" w:cs="Times New Roman"/>
                <w:color w:val="auto"/>
                <w:sz w:val="21"/>
                <w:szCs w:val="21"/>
                <w:highlight w:val="none"/>
                <w:lang w:eastAsia="zh-CN"/>
              </w:rPr>
              <w:t>下表。</w:t>
            </w:r>
          </w:p>
          <w:p w14:paraId="59F9CD4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w:t>
            </w:r>
            <w:r>
              <w:rPr>
                <w:rFonts w:hint="default" w:ascii="Times New Roman" w:hAnsi="Times New Roman" w:cs="Times New Roman"/>
                <w:b/>
                <w:color w:val="auto"/>
                <w:sz w:val="21"/>
                <w:szCs w:val="21"/>
                <w:highlight w:val="none"/>
                <w:lang w:val="en-US" w:eastAsia="zh-CN"/>
              </w:rPr>
              <w:t>4-1</w:t>
            </w:r>
            <w:r>
              <w:rPr>
                <w:rFonts w:hint="eastAsia" w:cs="Times New Roman"/>
                <w:b/>
                <w:color w:val="auto"/>
                <w:sz w:val="21"/>
                <w:szCs w:val="21"/>
                <w:highlight w:val="none"/>
                <w:lang w:val="en-US" w:eastAsia="zh-CN"/>
              </w:rPr>
              <w:t>7</w:t>
            </w:r>
            <w:r>
              <w:rPr>
                <w:rFonts w:hint="default" w:ascii="Times New Roman" w:hAnsi="Times New Roman" w:cs="Times New Roman"/>
                <w:b/>
                <w:color w:val="auto"/>
                <w:sz w:val="21"/>
                <w:szCs w:val="21"/>
                <w:highlight w:val="none"/>
                <w:lang w:val="en-US" w:eastAsia="zh-CN"/>
              </w:rPr>
              <w:t xml:space="preserve"> </w:t>
            </w:r>
            <w:r>
              <w:rPr>
                <w:rFonts w:hint="default" w:ascii="Times New Roman" w:hAnsi="Times New Roman" w:cs="Times New Roman"/>
                <w:b/>
                <w:color w:val="auto"/>
                <w:sz w:val="21"/>
                <w:szCs w:val="21"/>
                <w:highlight w:val="none"/>
              </w:rPr>
              <w:t xml:space="preserve"> 危险废物属性判别</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5"/>
              <w:gridCol w:w="1393"/>
              <w:gridCol w:w="1620"/>
              <w:gridCol w:w="1485"/>
              <w:gridCol w:w="2684"/>
            </w:tblGrid>
            <w:tr w14:paraId="4316C7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55" w:type="dxa"/>
                  <w:noWrap w:val="0"/>
                  <w:vAlign w:val="center"/>
                </w:tcPr>
                <w:p w14:paraId="68DE8617">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序号</w:t>
                  </w:r>
                </w:p>
              </w:tc>
              <w:tc>
                <w:tcPr>
                  <w:tcW w:w="1393" w:type="dxa"/>
                  <w:noWrap w:val="0"/>
                  <w:vAlign w:val="center"/>
                </w:tcPr>
                <w:p w14:paraId="39A54E62">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名称</w:t>
                  </w:r>
                </w:p>
              </w:tc>
              <w:tc>
                <w:tcPr>
                  <w:tcW w:w="1620" w:type="dxa"/>
                  <w:noWrap w:val="0"/>
                  <w:vAlign w:val="center"/>
                </w:tcPr>
                <w:p w14:paraId="572A0FB0">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来源</w:t>
                  </w:r>
                </w:p>
              </w:tc>
              <w:tc>
                <w:tcPr>
                  <w:tcW w:w="1485" w:type="dxa"/>
                  <w:noWrap w:val="0"/>
                  <w:vAlign w:val="center"/>
                </w:tcPr>
                <w:p w14:paraId="2A3CAB01">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是否属于危废</w:t>
                  </w:r>
                </w:p>
              </w:tc>
              <w:tc>
                <w:tcPr>
                  <w:tcW w:w="2684" w:type="dxa"/>
                  <w:noWrap w:val="0"/>
                  <w:vAlign w:val="center"/>
                </w:tcPr>
                <w:p w14:paraId="10812F96">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危废代码</w:t>
                  </w:r>
                </w:p>
              </w:tc>
            </w:tr>
            <w:tr w14:paraId="2F4517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55" w:type="dxa"/>
                  <w:noWrap w:val="0"/>
                  <w:vAlign w:val="center"/>
                </w:tcPr>
                <w:p w14:paraId="01C236E3">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1393" w:type="dxa"/>
                  <w:noWrap w:val="0"/>
                  <w:vAlign w:val="center"/>
                </w:tcPr>
                <w:p w14:paraId="7355E4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废活性炭</w:t>
                  </w:r>
                </w:p>
              </w:tc>
              <w:tc>
                <w:tcPr>
                  <w:tcW w:w="1620" w:type="dxa"/>
                  <w:noWrap w:val="0"/>
                  <w:vAlign w:val="center"/>
                </w:tcPr>
                <w:p w14:paraId="67117F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废气处理工艺</w:t>
                  </w:r>
                </w:p>
              </w:tc>
              <w:tc>
                <w:tcPr>
                  <w:tcW w:w="1485" w:type="dxa"/>
                  <w:noWrap w:val="0"/>
                  <w:vAlign w:val="center"/>
                </w:tcPr>
                <w:p w14:paraId="6D0FC2B1">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是</w:t>
                  </w:r>
                </w:p>
              </w:tc>
              <w:tc>
                <w:tcPr>
                  <w:tcW w:w="2684" w:type="dxa"/>
                  <w:noWrap w:val="0"/>
                  <w:vAlign w:val="center"/>
                </w:tcPr>
                <w:p w14:paraId="736FD7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color w:val="auto"/>
                      <w:sz w:val="18"/>
                      <w:szCs w:val="18"/>
                      <w:highlight w:val="none"/>
                    </w:rPr>
                    <w:t>HW49</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cs="Times New Roman"/>
                      <w:color w:val="auto"/>
                      <w:sz w:val="18"/>
                      <w:szCs w:val="18"/>
                      <w:highlight w:val="none"/>
                      <w:lang w:bidi="zh-CN"/>
                    </w:rPr>
                    <w:t>900-0</w:t>
                  </w:r>
                  <w:r>
                    <w:rPr>
                      <w:rFonts w:hint="default" w:ascii="Times New Roman" w:hAnsi="Times New Roman" w:cs="Times New Roman"/>
                      <w:color w:val="auto"/>
                      <w:sz w:val="18"/>
                      <w:szCs w:val="18"/>
                      <w:highlight w:val="none"/>
                      <w:lang w:val="en-US" w:bidi="zh-CN"/>
                    </w:rPr>
                    <w:t>39</w:t>
                  </w:r>
                  <w:r>
                    <w:rPr>
                      <w:rFonts w:hint="default" w:ascii="Times New Roman" w:hAnsi="Times New Roman" w:cs="Times New Roman"/>
                      <w:color w:val="auto"/>
                      <w:sz w:val="18"/>
                      <w:szCs w:val="18"/>
                      <w:highlight w:val="none"/>
                      <w:lang w:bidi="zh-CN"/>
                    </w:rPr>
                    <w:t>-49</w:t>
                  </w:r>
                  <w:r>
                    <w:rPr>
                      <w:rFonts w:hint="default" w:ascii="Times New Roman" w:hAnsi="Times New Roman" w:eastAsia="宋体" w:cs="Times New Roman"/>
                      <w:color w:val="auto"/>
                      <w:sz w:val="18"/>
                      <w:szCs w:val="18"/>
                      <w:highlight w:val="none"/>
                      <w:lang w:eastAsia="zh-CN"/>
                    </w:rPr>
                    <w:t>）</w:t>
                  </w:r>
                </w:p>
              </w:tc>
            </w:tr>
            <w:tr w14:paraId="559047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55" w:type="dxa"/>
                  <w:noWrap w:val="0"/>
                  <w:vAlign w:val="center"/>
                </w:tcPr>
                <w:p w14:paraId="17A61B01">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1393" w:type="dxa"/>
                  <w:noWrap w:val="0"/>
                  <w:vAlign w:val="center"/>
                </w:tcPr>
                <w:p w14:paraId="6BD3A1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废矿物油</w:t>
                  </w:r>
                </w:p>
              </w:tc>
              <w:tc>
                <w:tcPr>
                  <w:tcW w:w="1620" w:type="dxa"/>
                  <w:vMerge w:val="restart"/>
                  <w:noWrap w:val="0"/>
                  <w:vAlign w:val="center"/>
                </w:tcPr>
                <w:p w14:paraId="14363A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维修保养</w:t>
                  </w:r>
                </w:p>
              </w:tc>
              <w:tc>
                <w:tcPr>
                  <w:tcW w:w="1485" w:type="dxa"/>
                  <w:vMerge w:val="restart"/>
                  <w:noWrap w:val="0"/>
                  <w:vAlign w:val="center"/>
                </w:tcPr>
                <w:p w14:paraId="65F2D2B4">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是</w:t>
                  </w:r>
                </w:p>
              </w:tc>
              <w:tc>
                <w:tcPr>
                  <w:tcW w:w="2684" w:type="dxa"/>
                  <w:noWrap w:val="0"/>
                  <w:vAlign w:val="center"/>
                </w:tcPr>
                <w:p w14:paraId="4938EA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HW</w:t>
                  </w:r>
                  <w:r>
                    <w:rPr>
                      <w:rFonts w:hint="default" w:ascii="Times New Roman" w:hAnsi="Times New Roman" w:eastAsia="宋体" w:cs="Times New Roman"/>
                      <w:color w:val="auto"/>
                      <w:sz w:val="18"/>
                      <w:szCs w:val="18"/>
                      <w:highlight w:val="none"/>
                      <w:lang w:val="en-US" w:eastAsia="zh-CN"/>
                    </w:rPr>
                    <w:t>08</w:t>
                  </w:r>
                  <w:r>
                    <w:rPr>
                      <w:rFonts w:hint="default" w:ascii="Times New Roman" w:hAnsi="Times New Roman" w:eastAsia="宋体" w:cs="Times New Roman"/>
                      <w:color w:val="auto"/>
                      <w:sz w:val="18"/>
                      <w:szCs w:val="18"/>
                      <w:highlight w:val="none"/>
                      <w:lang w:eastAsia="zh-CN"/>
                    </w:rPr>
                    <w:t>（900-214-08、900-218-08）</w:t>
                  </w:r>
                </w:p>
              </w:tc>
            </w:tr>
            <w:tr w14:paraId="759A64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55" w:type="dxa"/>
                  <w:noWrap w:val="0"/>
                  <w:vAlign w:val="center"/>
                </w:tcPr>
                <w:p w14:paraId="3386E54B">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1393" w:type="dxa"/>
                  <w:noWrap w:val="0"/>
                  <w:vAlign w:val="center"/>
                </w:tcPr>
                <w:p w14:paraId="14BBD7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废油桶</w:t>
                  </w:r>
                </w:p>
              </w:tc>
              <w:tc>
                <w:tcPr>
                  <w:tcW w:w="1620" w:type="dxa"/>
                  <w:vMerge w:val="continue"/>
                  <w:noWrap w:val="0"/>
                  <w:vAlign w:val="center"/>
                </w:tcPr>
                <w:p w14:paraId="4C5E08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eastAsia="zh-CN"/>
                    </w:rPr>
                  </w:pPr>
                </w:p>
              </w:tc>
              <w:tc>
                <w:tcPr>
                  <w:tcW w:w="1485" w:type="dxa"/>
                  <w:vMerge w:val="continue"/>
                  <w:noWrap w:val="0"/>
                  <w:vAlign w:val="center"/>
                </w:tcPr>
                <w:p w14:paraId="6F02CAAC">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eastAsia="zh-CN"/>
                    </w:rPr>
                  </w:pPr>
                </w:p>
              </w:tc>
              <w:tc>
                <w:tcPr>
                  <w:tcW w:w="2684" w:type="dxa"/>
                  <w:noWrap w:val="0"/>
                  <w:vAlign w:val="center"/>
                </w:tcPr>
                <w:p w14:paraId="535491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HW</w:t>
                  </w:r>
                  <w:r>
                    <w:rPr>
                      <w:rFonts w:hint="default" w:ascii="Times New Roman" w:hAnsi="Times New Roman" w:eastAsia="宋体" w:cs="Times New Roman"/>
                      <w:color w:val="auto"/>
                      <w:sz w:val="18"/>
                      <w:szCs w:val="18"/>
                      <w:highlight w:val="none"/>
                      <w:lang w:val="en-US" w:eastAsia="zh-CN"/>
                    </w:rPr>
                    <w:t>08</w:t>
                  </w:r>
                  <w:r>
                    <w:rPr>
                      <w:rFonts w:hint="default" w:ascii="Times New Roman" w:hAnsi="Times New Roman" w:eastAsia="宋体" w:cs="Times New Roman"/>
                      <w:color w:val="auto"/>
                      <w:sz w:val="18"/>
                      <w:szCs w:val="18"/>
                      <w:highlight w:val="none"/>
                      <w:lang w:eastAsia="zh-CN"/>
                    </w:rPr>
                    <w:t>（900-2</w:t>
                  </w:r>
                  <w:r>
                    <w:rPr>
                      <w:rFonts w:hint="eastAsia" w:cs="Times New Roman"/>
                      <w:color w:val="auto"/>
                      <w:sz w:val="18"/>
                      <w:szCs w:val="18"/>
                      <w:highlight w:val="none"/>
                      <w:lang w:val="en-US" w:eastAsia="zh-CN"/>
                    </w:rPr>
                    <w:t>49</w:t>
                  </w:r>
                  <w:r>
                    <w:rPr>
                      <w:rFonts w:hint="default" w:ascii="Times New Roman" w:hAnsi="Times New Roman" w:eastAsia="宋体" w:cs="Times New Roman"/>
                      <w:color w:val="auto"/>
                      <w:sz w:val="18"/>
                      <w:szCs w:val="18"/>
                      <w:highlight w:val="none"/>
                      <w:lang w:eastAsia="zh-CN"/>
                    </w:rPr>
                    <w:t>-08）</w:t>
                  </w:r>
                </w:p>
              </w:tc>
            </w:tr>
            <w:tr w14:paraId="77C32B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55" w:type="dxa"/>
                  <w:noWrap w:val="0"/>
                  <w:vAlign w:val="center"/>
                </w:tcPr>
                <w:p w14:paraId="5B6E6897">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1393" w:type="dxa"/>
                  <w:noWrap w:val="0"/>
                  <w:vAlign w:val="center"/>
                </w:tcPr>
                <w:p w14:paraId="6C0737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防腐剂桶</w:t>
                  </w:r>
                </w:p>
              </w:tc>
              <w:tc>
                <w:tcPr>
                  <w:tcW w:w="1620" w:type="dxa"/>
                  <w:vMerge w:val="restart"/>
                  <w:noWrap w:val="0"/>
                  <w:vAlign w:val="center"/>
                </w:tcPr>
                <w:p w14:paraId="01D6A8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eastAsia="zh-CN"/>
                    </w:rPr>
                    <w:t>生产车间</w:t>
                  </w:r>
                </w:p>
              </w:tc>
              <w:tc>
                <w:tcPr>
                  <w:tcW w:w="1485" w:type="dxa"/>
                  <w:vMerge w:val="restart"/>
                  <w:noWrap w:val="0"/>
                  <w:vAlign w:val="center"/>
                </w:tcPr>
                <w:p w14:paraId="57204803">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eastAsia="zh-CN"/>
                    </w:rPr>
                    <w:t>是</w:t>
                  </w:r>
                </w:p>
              </w:tc>
              <w:tc>
                <w:tcPr>
                  <w:tcW w:w="2684" w:type="dxa"/>
                  <w:vMerge w:val="restart"/>
                  <w:noWrap w:val="0"/>
                  <w:vAlign w:val="center"/>
                </w:tcPr>
                <w:p w14:paraId="559602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HW49</w:t>
                  </w:r>
                  <w:r>
                    <w:rPr>
                      <w:rFonts w:hint="default" w:ascii="Times New Roman" w:hAnsi="Times New Roman" w:eastAsia="宋体" w:cs="Times New Roman"/>
                      <w:color w:val="auto"/>
                      <w:sz w:val="18"/>
                      <w:szCs w:val="18"/>
                      <w:highlight w:val="none"/>
                      <w:lang w:eastAsia="zh-CN"/>
                    </w:rPr>
                    <w:t>（</w:t>
                  </w:r>
                  <w:r>
                    <w:rPr>
                      <w:rFonts w:hint="default" w:ascii="Times New Roman" w:hAnsi="Times New Roman" w:cs="Times New Roman"/>
                      <w:color w:val="auto"/>
                      <w:sz w:val="18"/>
                      <w:szCs w:val="18"/>
                      <w:highlight w:val="none"/>
                      <w:lang w:bidi="zh-CN"/>
                    </w:rPr>
                    <w:t>900-0</w:t>
                  </w:r>
                  <w:r>
                    <w:rPr>
                      <w:rFonts w:hint="eastAsia" w:cs="Times New Roman"/>
                      <w:color w:val="auto"/>
                      <w:sz w:val="18"/>
                      <w:szCs w:val="18"/>
                      <w:highlight w:val="none"/>
                      <w:lang w:val="en-US" w:bidi="zh-CN"/>
                    </w:rPr>
                    <w:t>41</w:t>
                  </w:r>
                  <w:r>
                    <w:rPr>
                      <w:rFonts w:hint="default" w:ascii="Times New Roman" w:hAnsi="Times New Roman" w:cs="Times New Roman"/>
                      <w:color w:val="auto"/>
                      <w:sz w:val="18"/>
                      <w:szCs w:val="18"/>
                      <w:highlight w:val="none"/>
                      <w:lang w:bidi="zh-CN"/>
                    </w:rPr>
                    <w:t>-49</w:t>
                  </w:r>
                  <w:r>
                    <w:rPr>
                      <w:rFonts w:hint="default" w:ascii="Times New Roman" w:hAnsi="Times New Roman" w:eastAsia="宋体" w:cs="Times New Roman"/>
                      <w:color w:val="auto"/>
                      <w:sz w:val="18"/>
                      <w:szCs w:val="18"/>
                      <w:highlight w:val="none"/>
                      <w:lang w:eastAsia="zh-CN"/>
                    </w:rPr>
                    <w:t>）</w:t>
                  </w:r>
                </w:p>
              </w:tc>
            </w:tr>
            <w:tr w14:paraId="47E0B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55" w:type="dxa"/>
                  <w:noWrap w:val="0"/>
                  <w:vAlign w:val="center"/>
                </w:tcPr>
                <w:p w14:paraId="435FCD55">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1393" w:type="dxa"/>
                  <w:noWrap w:val="0"/>
                  <w:vAlign w:val="center"/>
                </w:tcPr>
                <w:p w14:paraId="55CC43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脱模剂桶</w:t>
                  </w:r>
                </w:p>
              </w:tc>
              <w:tc>
                <w:tcPr>
                  <w:tcW w:w="1620" w:type="dxa"/>
                  <w:vMerge w:val="continue"/>
                  <w:noWrap w:val="0"/>
                  <w:vAlign w:val="center"/>
                </w:tcPr>
                <w:p w14:paraId="4B4102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eastAsia="zh-CN"/>
                    </w:rPr>
                  </w:pPr>
                </w:p>
              </w:tc>
              <w:tc>
                <w:tcPr>
                  <w:tcW w:w="1485" w:type="dxa"/>
                  <w:vMerge w:val="continue"/>
                  <w:noWrap w:val="0"/>
                  <w:vAlign w:val="center"/>
                </w:tcPr>
                <w:p w14:paraId="42D54138">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eastAsia="zh-CN"/>
                    </w:rPr>
                  </w:pPr>
                </w:p>
              </w:tc>
              <w:tc>
                <w:tcPr>
                  <w:tcW w:w="2684" w:type="dxa"/>
                  <w:vMerge w:val="continue"/>
                  <w:noWrap w:val="0"/>
                  <w:vAlign w:val="center"/>
                </w:tcPr>
                <w:p w14:paraId="3238EF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rPr>
                  </w:pPr>
                </w:p>
              </w:tc>
            </w:tr>
            <w:tr w14:paraId="287D1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755" w:type="dxa"/>
                  <w:noWrap w:val="0"/>
                  <w:vAlign w:val="center"/>
                </w:tcPr>
                <w:p w14:paraId="3F850558">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c>
                <w:tcPr>
                  <w:tcW w:w="1393" w:type="dxa"/>
                  <w:noWrap w:val="0"/>
                  <w:vAlign w:val="center"/>
                </w:tcPr>
                <w:p w14:paraId="6E46F6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浸泡废水</w:t>
                  </w:r>
                </w:p>
              </w:tc>
              <w:tc>
                <w:tcPr>
                  <w:tcW w:w="1620" w:type="dxa"/>
                  <w:vMerge w:val="continue"/>
                  <w:noWrap w:val="0"/>
                  <w:vAlign w:val="center"/>
                </w:tcPr>
                <w:p w14:paraId="1A1EA9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eastAsia="zh-CN"/>
                    </w:rPr>
                  </w:pPr>
                </w:p>
              </w:tc>
              <w:tc>
                <w:tcPr>
                  <w:tcW w:w="1485" w:type="dxa"/>
                  <w:vMerge w:val="continue"/>
                  <w:noWrap w:val="0"/>
                  <w:vAlign w:val="center"/>
                </w:tcPr>
                <w:p w14:paraId="7416416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eastAsia="zh-CN"/>
                    </w:rPr>
                  </w:pPr>
                </w:p>
              </w:tc>
              <w:tc>
                <w:tcPr>
                  <w:tcW w:w="2684" w:type="dxa"/>
                  <w:noWrap w:val="0"/>
                  <w:vAlign w:val="center"/>
                </w:tcPr>
                <w:p w14:paraId="745DCD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bidi="zh-CN"/>
                    </w:rPr>
                    <w:t>HW17（336-064-17）</w:t>
                  </w:r>
                </w:p>
              </w:tc>
            </w:tr>
          </w:tbl>
          <w:p w14:paraId="4730DC1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w:t>
            </w:r>
            <w:r>
              <w:rPr>
                <w:rFonts w:hint="default" w:ascii="Times New Roman" w:hAnsi="Times New Roman" w:cs="Times New Roman"/>
                <w:b/>
                <w:color w:val="auto"/>
                <w:sz w:val="21"/>
                <w:szCs w:val="21"/>
                <w:highlight w:val="none"/>
                <w:lang w:val="en-US" w:eastAsia="zh-CN"/>
              </w:rPr>
              <w:t>4-1</w:t>
            </w:r>
            <w:r>
              <w:rPr>
                <w:rFonts w:hint="eastAsia" w:cs="Times New Roman"/>
                <w:b/>
                <w:color w:val="auto"/>
                <w:sz w:val="21"/>
                <w:szCs w:val="21"/>
                <w:highlight w:val="none"/>
                <w:lang w:val="en-US" w:eastAsia="zh-CN"/>
              </w:rPr>
              <w:t>8</w:t>
            </w:r>
            <w:r>
              <w:rPr>
                <w:rFonts w:hint="default" w:ascii="Times New Roman" w:hAnsi="Times New Roman" w:cs="Times New Roman"/>
                <w:b/>
                <w:color w:val="auto"/>
                <w:sz w:val="21"/>
                <w:szCs w:val="21"/>
                <w:highlight w:val="none"/>
              </w:rPr>
              <w:t xml:space="preserve">  危险废物汇总样表</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0"/>
              <w:gridCol w:w="853"/>
              <w:gridCol w:w="837"/>
              <w:gridCol w:w="819"/>
              <w:gridCol w:w="834"/>
              <w:gridCol w:w="707"/>
              <w:gridCol w:w="603"/>
              <w:gridCol w:w="557"/>
              <w:gridCol w:w="556"/>
              <w:gridCol w:w="397"/>
              <w:gridCol w:w="518"/>
              <w:gridCol w:w="816"/>
            </w:tblGrid>
            <w:tr w14:paraId="14542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40" w:type="dxa"/>
                  <w:noWrap w:val="0"/>
                  <w:vAlign w:val="center"/>
                </w:tcPr>
                <w:p w14:paraId="578FEA2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序号</w:t>
                  </w:r>
                </w:p>
              </w:tc>
              <w:tc>
                <w:tcPr>
                  <w:tcW w:w="853" w:type="dxa"/>
                  <w:noWrap w:val="0"/>
                  <w:vAlign w:val="center"/>
                </w:tcPr>
                <w:p w14:paraId="43472B47">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危险废物名称</w:t>
                  </w:r>
                </w:p>
              </w:tc>
              <w:tc>
                <w:tcPr>
                  <w:tcW w:w="837" w:type="dxa"/>
                  <w:noWrap w:val="0"/>
                  <w:vAlign w:val="center"/>
                </w:tcPr>
                <w:p w14:paraId="2B63DF1B">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危险废物类别</w:t>
                  </w:r>
                </w:p>
              </w:tc>
              <w:tc>
                <w:tcPr>
                  <w:tcW w:w="819" w:type="dxa"/>
                  <w:noWrap w:val="0"/>
                  <w:vAlign w:val="center"/>
                </w:tcPr>
                <w:p w14:paraId="6AB97E94">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危险废物代码</w:t>
                  </w:r>
                </w:p>
              </w:tc>
              <w:tc>
                <w:tcPr>
                  <w:tcW w:w="834" w:type="dxa"/>
                  <w:noWrap w:val="0"/>
                  <w:vAlign w:val="center"/>
                </w:tcPr>
                <w:p w14:paraId="778E2ADC">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产生量</w:t>
                  </w:r>
                </w:p>
              </w:tc>
              <w:tc>
                <w:tcPr>
                  <w:tcW w:w="707" w:type="dxa"/>
                  <w:noWrap w:val="0"/>
                  <w:vAlign w:val="center"/>
                </w:tcPr>
                <w:p w14:paraId="55B5984E">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产生工序及装置</w:t>
                  </w:r>
                </w:p>
              </w:tc>
              <w:tc>
                <w:tcPr>
                  <w:tcW w:w="603" w:type="dxa"/>
                  <w:noWrap w:val="0"/>
                  <w:vAlign w:val="center"/>
                </w:tcPr>
                <w:p w14:paraId="2E39944E">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形态</w:t>
                  </w:r>
                </w:p>
              </w:tc>
              <w:tc>
                <w:tcPr>
                  <w:tcW w:w="557" w:type="dxa"/>
                  <w:noWrap w:val="0"/>
                  <w:vAlign w:val="center"/>
                </w:tcPr>
                <w:p w14:paraId="2927E038">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主要成分</w:t>
                  </w:r>
                </w:p>
              </w:tc>
              <w:tc>
                <w:tcPr>
                  <w:tcW w:w="556" w:type="dxa"/>
                  <w:noWrap w:val="0"/>
                  <w:vAlign w:val="center"/>
                </w:tcPr>
                <w:p w14:paraId="7EE85A62">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有害成分</w:t>
                  </w:r>
                </w:p>
              </w:tc>
              <w:tc>
                <w:tcPr>
                  <w:tcW w:w="397" w:type="dxa"/>
                  <w:noWrap w:val="0"/>
                  <w:vAlign w:val="center"/>
                </w:tcPr>
                <w:p w14:paraId="65ED3418">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产废周期</w:t>
                  </w:r>
                </w:p>
              </w:tc>
              <w:tc>
                <w:tcPr>
                  <w:tcW w:w="518" w:type="dxa"/>
                  <w:noWrap w:val="0"/>
                  <w:vAlign w:val="center"/>
                </w:tcPr>
                <w:p w14:paraId="568EC74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危险</w:t>
                  </w:r>
                </w:p>
                <w:p w14:paraId="5D4FF727">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特性</w:t>
                  </w:r>
                </w:p>
              </w:tc>
              <w:tc>
                <w:tcPr>
                  <w:tcW w:w="816" w:type="dxa"/>
                  <w:noWrap w:val="0"/>
                  <w:vAlign w:val="center"/>
                </w:tcPr>
                <w:p w14:paraId="0311FC58">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污染防治措施</w:t>
                  </w:r>
                </w:p>
              </w:tc>
            </w:tr>
            <w:tr w14:paraId="3960D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40" w:type="dxa"/>
                  <w:noWrap w:val="0"/>
                  <w:vAlign w:val="center"/>
                </w:tcPr>
                <w:p w14:paraId="505A965D">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p>
              </w:tc>
              <w:tc>
                <w:tcPr>
                  <w:tcW w:w="853" w:type="dxa"/>
                  <w:noWrap w:val="0"/>
                  <w:vAlign w:val="center"/>
                </w:tcPr>
                <w:p w14:paraId="6792D1FC">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废活性炭</w:t>
                  </w:r>
                </w:p>
              </w:tc>
              <w:tc>
                <w:tcPr>
                  <w:tcW w:w="837" w:type="dxa"/>
                  <w:noWrap w:val="0"/>
                  <w:vAlign w:val="center"/>
                </w:tcPr>
                <w:p w14:paraId="32BEA961">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HW49</w:t>
                  </w:r>
                </w:p>
              </w:tc>
              <w:tc>
                <w:tcPr>
                  <w:tcW w:w="819" w:type="dxa"/>
                  <w:noWrap w:val="0"/>
                  <w:vAlign w:val="center"/>
                </w:tcPr>
                <w:p w14:paraId="32515755">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900-039-49</w:t>
                  </w:r>
                </w:p>
              </w:tc>
              <w:tc>
                <w:tcPr>
                  <w:tcW w:w="834" w:type="dxa"/>
                  <w:noWrap w:val="0"/>
                  <w:vAlign w:val="center"/>
                </w:tcPr>
                <w:p w14:paraId="6E732341">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7.286t/a</w:t>
                  </w:r>
                </w:p>
              </w:tc>
              <w:tc>
                <w:tcPr>
                  <w:tcW w:w="707" w:type="dxa"/>
                  <w:noWrap w:val="0"/>
                  <w:vAlign w:val="center"/>
                </w:tcPr>
                <w:p w14:paraId="79C04774">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废气处理工艺</w:t>
                  </w:r>
                </w:p>
              </w:tc>
              <w:tc>
                <w:tcPr>
                  <w:tcW w:w="603" w:type="dxa"/>
                  <w:noWrap w:val="0"/>
                  <w:vAlign w:val="center"/>
                </w:tcPr>
                <w:p w14:paraId="1C3A5BB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固态</w:t>
                  </w:r>
                </w:p>
              </w:tc>
              <w:tc>
                <w:tcPr>
                  <w:tcW w:w="557" w:type="dxa"/>
                  <w:noWrap w:val="0"/>
                  <w:vAlign w:val="center"/>
                </w:tcPr>
                <w:p w14:paraId="28CAC775">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556" w:type="dxa"/>
                  <w:noWrap w:val="0"/>
                  <w:vAlign w:val="center"/>
                </w:tcPr>
                <w:p w14:paraId="665E49FD">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397" w:type="dxa"/>
                  <w:noWrap w:val="0"/>
                  <w:vAlign w:val="center"/>
                </w:tcPr>
                <w:p w14:paraId="40D64986">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1年</w:t>
                  </w:r>
                </w:p>
              </w:tc>
              <w:tc>
                <w:tcPr>
                  <w:tcW w:w="518" w:type="dxa"/>
                  <w:noWrap w:val="0"/>
                  <w:vAlign w:val="center"/>
                </w:tcPr>
                <w:p w14:paraId="4CBC79DB">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T</w:t>
                  </w:r>
                </w:p>
              </w:tc>
              <w:tc>
                <w:tcPr>
                  <w:tcW w:w="816" w:type="dxa"/>
                  <w:noWrap w:val="0"/>
                  <w:vAlign w:val="center"/>
                </w:tcPr>
                <w:p w14:paraId="22005F84">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有资质单位进行处置</w:t>
                  </w:r>
                </w:p>
              </w:tc>
            </w:tr>
            <w:tr w14:paraId="62F8A4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40" w:type="dxa"/>
                  <w:noWrap w:val="0"/>
                  <w:vAlign w:val="center"/>
                </w:tcPr>
                <w:p w14:paraId="7690A4FC">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p>
              </w:tc>
              <w:tc>
                <w:tcPr>
                  <w:tcW w:w="853" w:type="dxa"/>
                  <w:noWrap w:val="0"/>
                  <w:vAlign w:val="center"/>
                </w:tcPr>
                <w:p w14:paraId="4C7A964D">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废矿物油</w:t>
                  </w:r>
                </w:p>
              </w:tc>
              <w:tc>
                <w:tcPr>
                  <w:tcW w:w="837" w:type="dxa"/>
                  <w:noWrap w:val="0"/>
                  <w:vAlign w:val="center"/>
                </w:tcPr>
                <w:p w14:paraId="09CB9489">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HW08</w:t>
                  </w:r>
                </w:p>
              </w:tc>
              <w:tc>
                <w:tcPr>
                  <w:tcW w:w="819" w:type="dxa"/>
                  <w:noWrap w:val="0"/>
                  <w:vAlign w:val="center"/>
                </w:tcPr>
                <w:p w14:paraId="169AE134">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900-214-08、900-218-08</w:t>
                  </w:r>
                </w:p>
              </w:tc>
              <w:tc>
                <w:tcPr>
                  <w:tcW w:w="834" w:type="dxa"/>
                  <w:noWrap w:val="0"/>
                  <w:vAlign w:val="center"/>
                </w:tcPr>
                <w:p w14:paraId="489FDEC7">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0.05t/a</w:t>
                  </w:r>
                </w:p>
              </w:tc>
              <w:tc>
                <w:tcPr>
                  <w:tcW w:w="707" w:type="dxa"/>
                  <w:vMerge w:val="restart"/>
                  <w:noWrap w:val="0"/>
                  <w:vAlign w:val="center"/>
                </w:tcPr>
                <w:p w14:paraId="006FB8CB">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维修保养</w:t>
                  </w:r>
                </w:p>
              </w:tc>
              <w:tc>
                <w:tcPr>
                  <w:tcW w:w="603" w:type="dxa"/>
                  <w:noWrap w:val="0"/>
                  <w:vAlign w:val="center"/>
                </w:tcPr>
                <w:p w14:paraId="0FC912E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液态</w:t>
                  </w:r>
                </w:p>
              </w:tc>
              <w:tc>
                <w:tcPr>
                  <w:tcW w:w="557" w:type="dxa"/>
                  <w:noWrap w:val="0"/>
                  <w:vAlign w:val="center"/>
                </w:tcPr>
                <w:p w14:paraId="415D05EF">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556" w:type="dxa"/>
                  <w:noWrap w:val="0"/>
                  <w:vAlign w:val="center"/>
                </w:tcPr>
                <w:p w14:paraId="507753E5">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397" w:type="dxa"/>
                  <w:noWrap w:val="0"/>
                  <w:vAlign w:val="center"/>
                </w:tcPr>
                <w:p w14:paraId="4397FDDC">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1年</w:t>
                  </w:r>
                </w:p>
              </w:tc>
              <w:tc>
                <w:tcPr>
                  <w:tcW w:w="518" w:type="dxa"/>
                  <w:noWrap w:val="0"/>
                  <w:vAlign w:val="center"/>
                </w:tcPr>
                <w:p w14:paraId="5D1D8550">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T</w:t>
                  </w:r>
                </w:p>
              </w:tc>
              <w:tc>
                <w:tcPr>
                  <w:tcW w:w="816" w:type="dxa"/>
                  <w:noWrap w:val="0"/>
                  <w:vAlign w:val="center"/>
                </w:tcPr>
                <w:p w14:paraId="3890364B">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有资质单位进行处置</w:t>
                  </w:r>
                </w:p>
              </w:tc>
            </w:tr>
            <w:tr w14:paraId="2514F9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40" w:type="dxa"/>
                  <w:noWrap w:val="0"/>
                  <w:vAlign w:val="center"/>
                </w:tcPr>
                <w:p w14:paraId="15EBCAA2">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853" w:type="dxa"/>
                  <w:noWrap w:val="0"/>
                  <w:vAlign w:val="center"/>
                </w:tcPr>
                <w:p w14:paraId="3D68A9B5">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废油桶</w:t>
                  </w:r>
                </w:p>
              </w:tc>
              <w:tc>
                <w:tcPr>
                  <w:tcW w:w="837" w:type="dxa"/>
                  <w:noWrap w:val="0"/>
                  <w:vAlign w:val="center"/>
                </w:tcPr>
                <w:p w14:paraId="6632C11F">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rPr>
                    <w:t>HW</w:t>
                  </w:r>
                  <w:r>
                    <w:rPr>
                      <w:rFonts w:hint="default" w:ascii="Times New Roman" w:hAnsi="Times New Roman" w:eastAsia="宋体" w:cs="Times New Roman"/>
                      <w:color w:val="auto"/>
                      <w:sz w:val="18"/>
                      <w:szCs w:val="18"/>
                      <w:highlight w:val="none"/>
                      <w:lang w:val="en-US" w:eastAsia="zh-CN"/>
                    </w:rPr>
                    <w:t>08</w:t>
                  </w:r>
                </w:p>
              </w:tc>
              <w:tc>
                <w:tcPr>
                  <w:tcW w:w="819" w:type="dxa"/>
                  <w:noWrap w:val="0"/>
                  <w:vAlign w:val="center"/>
                </w:tcPr>
                <w:p w14:paraId="6F0D894B">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eastAsia="zh-CN"/>
                    </w:rPr>
                    <w:t>900-2</w:t>
                  </w:r>
                  <w:r>
                    <w:rPr>
                      <w:rFonts w:hint="eastAsia" w:cs="Times New Roman"/>
                      <w:color w:val="auto"/>
                      <w:sz w:val="18"/>
                      <w:szCs w:val="18"/>
                      <w:highlight w:val="none"/>
                      <w:lang w:val="en-US" w:eastAsia="zh-CN"/>
                    </w:rPr>
                    <w:t>49</w:t>
                  </w:r>
                  <w:r>
                    <w:rPr>
                      <w:rFonts w:hint="default" w:ascii="Times New Roman" w:hAnsi="Times New Roman" w:eastAsia="宋体" w:cs="Times New Roman"/>
                      <w:color w:val="auto"/>
                      <w:sz w:val="18"/>
                      <w:szCs w:val="18"/>
                      <w:highlight w:val="none"/>
                      <w:lang w:eastAsia="zh-CN"/>
                    </w:rPr>
                    <w:t>-08</w:t>
                  </w:r>
                </w:p>
              </w:tc>
              <w:tc>
                <w:tcPr>
                  <w:tcW w:w="834" w:type="dxa"/>
                  <w:noWrap w:val="0"/>
                  <w:vAlign w:val="center"/>
                </w:tcPr>
                <w:p w14:paraId="04C0448B">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0.01t/a</w:t>
                  </w:r>
                </w:p>
              </w:tc>
              <w:tc>
                <w:tcPr>
                  <w:tcW w:w="707" w:type="dxa"/>
                  <w:vMerge w:val="continue"/>
                  <w:noWrap w:val="0"/>
                  <w:vAlign w:val="center"/>
                </w:tcPr>
                <w:p w14:paraId="232DE303">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eastAsia="zh-CN"/>
                    </w:rPr>
                  </w:pPr>
                </w:p>
              </w:tc>
              <w:tc>
                <w:tcPr>
                  <w:tcW w:w="603" w:type="dxa"/>
                  <w:vMerge w:val="restart"/>
                  <w:noWrap w:val="0"/>
                  <w:vAlign w:val="center"/>
                </w:tcPr>
                <w:p w14:paraId="67230732">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固态</w:t>
                  </w:r>
                </w:p>
              </w:tc>
              <w:tc>
                <w:tcPr>
                  <w:tcW w:w="557" w:type="dxa"/>
                  <w:noWrap w:val="0"/>
                  <w:vAlign w:val="center"/>
                </w:tcPr>
                <w:p w14:paraId="7AF3F189">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556" w:type="dxa"/>
                  <w:noWrap w:val="0"/>
                  <w:vAlign w:val="center"/>
                </w:tcPr>
                <w:p w14:paraId="0C661802">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397" w:type="dxa"/>
                  <w:noWrap w:val="0"/>
                  <w:vAlign w:val="center"/>
                </w:tcPr>
                <w:p w14:paraId="6C6DADE6">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1年</w:t>
                  </w:r>
                </w:p>
              </w:tc>
              <w:tc>
                <w:tcPr>
                  <w:tcW w:w="518" w:type="dxa"/>
                  <w:noWrap w:val="0"/>
                  <w:vAlign w:val="center"/>
                </w:tcPr>
                <w:p w14:paraId="75F095E3">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T</w:t>
                  </w:r>
                  <w:r>
                    <w:rPr>
                      <w:rFonts w:hint="eastAsia" w:cs="Times New Roman"/>
                      <w:color w:val="auto"/>
                      <w:sz w:val="18"/>
                      <w:szCs w:val="18"/>
                      <w:highlight w:val="none"/>
                      <w:lang w:val="en-US" w:eastAsia="zh-CN"/>
                    </w:rPr>
                    <w:t>、I</w:t>
                  </w:r>
                </w:p>
              </w:tc>
              <w:tc>
                <w:tcPr>
                  <w:tcW w:w="816" w:type="dxa"/>
                  <w:noWrap w:val="0"/>
                  <w:vAlign w:val="center"/>
                </w:tcPr>
                <w:p w14:paraId="302A4D42">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有资质单位进行处置</w:t>
                  </w:r>
                </w:p>
              </w:tc>
            </w:tr>
            <w:tr w14:paraId="132D3A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40" w:type="dxa"/>
                  <w:noWrap w:val="0"/>
                  <w:vAlign w:val="center"/>
                </w:tcPr>
                <w:p w14:paraId="598C374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853" w:type="dxa"/>
                  <w:noWrap w:val="0"/>
                  <w:vAlign w:val="center"/>
                </w:tcPr>
                <w:p w14:paraId="4DE0CD1C">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防腐剂桶</w:t>
                  </w:r>
                </w:p>
              </w:tc>
              <w:tc>
                <w:tcPr>
                  <w:tcW w:w="837" w:type="dxa"/>
                  <w:vMerge w:val="restart"/>
                  <w:noWrap w:val="0"/>
                  <w:vAlign w:val="center"/>
                </w:tcPr>
                <w:p w14:paraId="1D6968E4">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HW49</w:t>
                  </w:r>
                </w:p>
              </w:tc>
              <w:tc>
                <w:tcPr>
                  <w:tcW w:w="819" w:type="dxa"/>
                  <w:vMerge w:val="restart"/>
                  <w:noWrap w:val="0"/>
                  <w:vAlign w:val="center"/>
                </w:tcPr>
                <w:p w14:paraId="381D4EEB">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bidi="zh-CN"/>
                    </w:rPr>
                    <w:t>900-0</w:t>
                  </w:r>
                  <w:r>
                    <w:rPr>
                      <w:rFonts w:hint="eastAsia" w:cs="Times New Roman"/>
                      <w:color w:val="auto"/>
                      <w:sz w:val="18"/>
                      <w:szCs w:val="18"/>
                      <w:highlight w:val="none"/>
                      <w:lang w:val="en-US" w:bidi="zh-CN"/>
                    </w:rPr>
                    <w:t>41</w:t>
                  </w:r>
                  <w:r>
                    <w:rPr>
                      <w:rFonts w:hint="default" w:ascii="Times New Roman" w:hAnsi="Times New Roman" w:cs="Times New Roman"/>
                      <w:color w:val="auto"/>
                      <w:sz w:val="18"/>
                      <w:szCs w:val="18"/>
                      <w:highlight w:val="none"/>
                      <w:lang w:bidi="zh-CN"/>
                    </w:rPr>
                    <w:t>-49</w:t>
                  </w:r>
                </w:p>
              </w:tc>
              <w:tc>
                <w:tcPr>
                  <w:tcW w:w="834" w:type="dxa"/>
                  <w:noWrap w:val="0"/>
                  <w:vAlign w:val="center"/>
                </w:tcPr>
                <w:p w14:paraId="3A52E8DB">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13.122t/a</w:t>
                  </w:r>
                </w:p>
              </w:tc>
              <w:tc>
                <w:tcPr>
                  <w:tcW w:w="707" w:type="dxa"/>
                  <w:vMerge w:val="restart"/>
                  <w:noWrap w:val="0"/>
                  <w:vAlign w:val="center"/>
                </w:tcPr>
                <w:p w14:paraId="4A686D76">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生产车间</w:t>
                  </w:r>
                </w:p>
              </w:tc>
              <w:tc>
                <w:tcPr>
                  <w:tcW w:w="603" w:type="dxa"/>
                  <w:vMerge w:val="continue"/>
                  <w:noWrap w:val="0"/>
                  <w:vAlign w:val="center"/>
                </w:tcPr>
                <w:p w14:paraId="76DE5BAC">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p>
              </w:tc>
              <w:tc>
                <w:tcPr>
                  <w:tcW w:w="557" w:type="dxa"/>
                  <w:noWrap w:val="0"/>
                  <w:vAlign w:val="center"/>
                </w:tcPr>
                <w:p w14:paraId="2257E6B2">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556" w:type="dxa"/>
                  <w:noWrap w:val="0"/>
                  <w:vAlign w:val="center"/>
                </w:tcPr>
                <w:p w14:paraId="00B4C94F">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397" w:type="dxa"/>
                  <w:noWrap w:val="0"/>
                  <w:vAlign w:val="center"/>
                </w:tcPr>
                <w:p w14:paraId="21875FE5">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1年</w:t>
                  </w:r>
                </w:p>
              </w:tc>
              <w:tc>
                <w:tcPr>
                  <w:tcW w:w="518" w:type="dxa"/>
                  <w:noWrap w:val="0"/>
                  <w:vAlign w:val="center"/>
                </w:tcPr>
                <w:p w14:paraId="6D3B00D1">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T</w:t>
                  </w:r>
                  <w:r>
                    <w:rPr>
                      <w:rFonts w:hint="eastAsia" w:cs="Times New Roman"/>
                      <w:color w:val="auto"/>
                      <w:sz w:val="18"/>
                      <w:szCs w:val="18"/>
                      <w:highlight w:val="none"/>
                      <w:lang w:val="en-US" w:eastAsia="zh-CN"/>
                    </w:rPr>
                    <w:t>、I</w:t>
                  </w:r>
                </w:p>
              </w:tc>
              <w:tc>
                <w:tcPr>
                  <w:tcW w:w="816" w:type="dxa"/>
                  <w:vMerge w:val="restart"/>
                  <w:noWrap w:val="0"/>
                  <w:vAlign w:val="center"/>
                </w:tcPr>
                <w:p w14:paraId="28BE7930">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有资质单位进行处置</w:t>
                  </w:r>
                </w:p>
              </w:tc>
            </w:tr>
            <w:tr w14:paraId="369687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40" w:type="dxa"/>
                  <w:noWrap w:val="0"/>
                  <w:vAlign w:val="center"/>
                </w:tcPr>
                <w:p w14:paraId="14245CB0">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853" w:type="dxa"/>
                  <w:noWrap w:val="0"/>
                  <w:vAlign w:val="center"/>
                </w:tcPr>
                <w:p w14:paraId="4E4B8F54">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脱模剂桶</w:t>
                  </w:r>
                </w:p>
              </w:tc>
              <w:tc>
                <w:tcPr>
                  <w:tcW w:w="837" w:type="dxa"/>
                  <w:vMerge w:val="continue"/>
                  <w:noWrap w:val="0"/>
                  <w:vAlign w:val="center"/>
                </w:tcPr>
                <w:p w14:paraId="4E651AD8">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p>
              </w:tc>
              <w:tc>
                <w:tcPr>
                  <w:tcW w:w="819" w:type="dxa"/>
                  <w:vMerge w:val="continue"/>
                  <w:noWrap w:val="0"/>
                  <w:vAlign w:val="center"/>
                </w:tcPr>
                <w:p w14:paraId="65AC6BED">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bidi="zh-CN"/>
                    </w:rPr>
                  </w:pPr>
                </w:p>
              </w:tc>
              <w:tc>
                <w:tcPr>
                  <w:tcW w:w="834" w:type="dxa"/>
                  <w:noWrap w:val="0"/>
                  <w:vAlign w:val="center"/>
                </w:tcPr>
                <w:p w14:paraId="2A6D7172">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0.45t/a</w:t>
                  </w:r>
                </w:p>
              </w:tc>
              <w:tc>
                <w:tcPr>
                  <w:tcW w:w="707" w:type="dxa"/>
                  <w:vMerge w:val="continue"/>
                  <w:noWrap w:val="0"/>
                  <w:vAlign w:val="center"/>
                </w:tcPr>
                <w:p w14:paraId="39891FFD">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eastAsia="zh-CN"/>
                    </w:rPr>
                  </w:pPr>
                </w:p>
              </w:tc>
              <w:tc>
                <w:tcPr>
                  <w:tcW w:w="603" w:type="dxa"/>
                  <w:vMerge w:val="continue"/>
                  <w:noWrap w:val="0"/>
                  <w:vAlign w:val="center"/>
                </w:tcPr>
                <w:p w14:paraId="73AD214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p>
              </w:tc>
              <w:tc>
                <w:tcPr>
                  <w:tcW w:w="557" w:type="dxa"/>
                  <w:noWrap w:val="0"/>
                  <w:vAlign w:val="center"/>
                </w:tcPr>
                <w:p w14:paraId="35FE1936">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556" w:type="dxa"/>
                  <w:noWrap w:val="0"/>
                  <w:vAlign w:val="center"/>
                </w:tcPr>
                <w:p w14:paraId="744D40B9">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397" w:type="dxa"/>
                  <w:noWrap w:val="0"/>
                  <w:vAlign w:val="center"/>
                </w:tcPr>
                <w:p w14:paraId="22F52597">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1年</w:t>
                  </w:r>
                </w:p>
              </w:tc>
              <w:tc>
                <w:tcPr>
                  <w:tcW w:w="518" w:type="dxa"/>
                  <w:noWrap w:val="0"/>
                  <w:vAlign w:val="center"/>
                </w:tcPr>
                <w:p w14:paraId="39962032">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T</w:t>
                  </w:r>
                  <w:r>
                    <w:rPr>
                      <w:rFonts w:hint="eastAsia" w:cs="Times New Roman"/>
                      <w:color w:val="auto"/>
                      <w:sz w:val="18"/>
                      <w:szCs w:val="18"/>
                      <w:highlight w:val="none"/>
                      <w:lang w:val="en-US" w:eastAsia="zh-CN"/>
                    </w:rPr>
                    <w:t>、I</w:t>
                  </w:r>
                </w:p>
              </w:tc>
              <w:tc>
                <w:tcPr>
                  <w:tcW w:w="816" w:type="dxa"/>
                  <w:vMerge w:val="continue"/>
                  <w:noWrap w:val="0"/>
                  <w:vAlign w:val="center"/>
                </w:tcPr>
                <w:p w14:paraId="5C15C948">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p>
              </w:tc>
            </w:tr>
            <w:tr w14:paraId="556E48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440" w:type="dxa"/>
                  <w:noWrap w:val="0"/>
                  <w:vAlign w:val="center"/>
                </w:tcPr>
                <w:p w14:paraId="6C67282E">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c>
                <w:tcPr>
                  <w:tcW w:w="853" w:type="dxa"/>
                  <w:noWrap w:val="0"/>
                  <w:vAlign w:val="center"/>
                </w:tcPr>
                <w:p w14:paraId="6C8B1AAF">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浸泡废水</w:t>
                  </w:r>
                </w:p>
              </w:tc>
              <w:tc>
                <w:tcPr>
                  <w:tcW w:w="837" w:type="dxa"/>
                  <w:noWrap w:val="0"/>
                  <w:vAlign w:val="center"/>
                </w:tcPr>
                <w:p w14:paraId="7C4BA6E8">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HW17</w:t>
                  </w:r>
                </w:p>
              </w:tc>
              <w:tc>
                <w:tcPr>
                  <w:tcW w:w="819" w:type="dxa"/>
                  <w:noWrap w:val="0"/>
                  <w:vAlign w:val="center"/>
                </w:tcPr>
                <w:p w14:paraId="34D6E12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val="en-US" w:bidi="zh-CN"/>
                    </w:rPr>
                  </w:pPr>
                  <w:r>
                    <w:rPr>
                      <w:rFonts w:hint="eastAsia" w:cs="Times New Roman"/>
                      <w:color w:val="auto"/>
                      <w:sz w:val="18"/>
                      <w:szCs w:val="18"/>
                      <w:highlight w:val="none"/>
                      <w:lang w:val="en-US" w:bidi="zh-CN"/>
                    </w:rPr>
                    <w:t>336-064-17</w:t>
                  </w:r>
                </w:p>
              </w:tc>
              <w:tc>
                <w:tcPr>
                  <w:tcW w:w="834" w:type="dxa"/>
                  <w:noWrap w:val="0"/>
                  <w:vAlign w:val="center"/>
                </w:tcPr>
                <w:p w14:paraId="783C1B29">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45.927t/a</w:t>
                  </w:r>
                </w:p>
              </w:tc>
              <w:tc>
                <w:tcPr>
                  <w:tcW w:w="707" w:type="dxa"/>
                  <w:vMerge w:val="continue"/>
                  <w:noWrap w:val="0"/>
                  <w:vAlign w:val="center"/>
                </w:tcPr>
                <w:p w14:paraId="6B450C0D">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eastAsia="zh-CN"/>
                    </w:rPr>
                  </w:pPr>
                </w:p>
              </w:tc>
              <w:tc>
                <w:tcPr>
                  <w:tcW w:w="603" w:type="dxa"/>
                  <w:noWrap w:val="0"/>
                  <w:vAlign w:val="center"/>
                </w:tcPr>
                <w:p w14:paraId="79C3227B">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液态</w:t>
                  </w:r>
                </w:p>
              </w:tc>
              <w:tc>
                <w:tcPr>
                  <w:tcW w:w="557" w:type="dxa"/>
                  <w:noWrap w:val="0"/>
                  <w:vAlign w:val="center"/>
                </w:tcPr>
                <w:p w14:paraId="07994897">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556" w:type="dxa"/>
                  <w:noWrap w:val="0"/>
                  <w:vAlign w:val="center"/>
                </w:tcPr>
                <w:p w14:paraId="4D76A88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397" w:type="dxa"/>
                  <w:noWrap w:val="0"/>
                  <w:vAlign w:val="center"/>
                </w:tcPr>
                <w:p w14:paraId="2F8509B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1年</w:t>
                  </w:r>
                </w:p>
              </w:tc>
              <w:tc>
                <w:tcPr>
                  <w:tcW w:w="518" w:type="dxa"/>
                  <w:noWrap w:val="0"/>
                  <w:vAlign w:val="center"/>
                </w:tcPr>
                <w:p w14:paraId="181289C6">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T、C</w:t>
                  </w:r>
                </w:p>
              </w:tc>
              <w:tc>
                <w:tcPr>
                  <w:tcW w:w="816" w:type="dxa"/>
                  <w:vMerge w:val="continue"/>
                  <w:noWrap w:val="0"/>
                  <w:vAlign w:val="center"/>
                </w:tcPr>
                <w:p w14:paraId="26BB30D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p>
              </w:tc>
            </w:tr>
          </w:tbl>
          <w:p w14:paraId="19EE61FB">
            <w:pPr>
              <w:adjustRightInd w:val="0"/>
              <w:snapToGrid w:val="0"/>
              <w:spacing w:line="360" w:lineRule="auto"/>
              <w:ind w:firstLine="422" w:firstLineChars="200"/>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（3）固废防治措施可行性分析</w:t>
            </w:r>
          </w:p>
          <w:p w14:paraId="56567A4F">
            <w:pPr>
              <w:adjustRightInd w:val="0"/>
              <w:snapToGrid w:val="0"/>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color w:val="auto"/>
                <w:szCs w:val="21"/>
                <w:highlight w:val="none"/>
              </w:rPr>
              <w:t>本项目生活垃圾由市政环卫部门统一清运处理。</w:t>
            </w:r>
            <w:r>
              <w:rPr>
                <w:rFonts w:hint="default" w:ascii="Times New Roman" w:hAnsi="Times New Roman" w:cs="Times New Roman"/>
                <w:color w:val="auto"/>
                <w:sz w:val="21"/>
                <w:szCs w:val="21"/>
                <w:highlight w:val="none"/>
                <w:lang w:val="en-US" w:eastAsia="zh-CN"/>
              </w:rPr>
              <w:t>本项目废布袋更换后由厂家直接带走。</w:t>
            </w:r>
            <w:r>
              <w:rPr>
                <w:rFonts w:hint="default" w:ascii="Times New Roman" w:hAnsi="Times New Roman" w:cs="Times New Roman"/>
                <w:color w:val="auto"/>
                <w:szCs w:val="21"/>
                <w:highlight w:val="none"/>
                <w:lang w:eastAsia="zh-CN"/>
              </w:rPr>
              <w:t>塑料包装带</w:t>
            </w:r>
            <w:r>
              <w:rPr>
                <w:rFonts w:hint="default" w:ascii="Times New Roman" w:hAnsi="Times New Roman" w:cs="Times New Roman"/>
                <w:color w:val="auto"/>
                <w:szCs w:val="21"/>
                <w:highlight w:val="none"/>
                <w:lang w:val="en-US" w:eastAsia="zh-CN"/>
              </w:rPr>
              <w:t>收集后交由市政环卫部门处置</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eastAsia="zh-CN"/>
              </w:rPr>
              <w:t>不合格品、废边角料</w:t>
            </w:r>
            <w:r>
              <w:rPr>
                <w:rFonts w:hint="default" w:ascii="Times New Roman" w:hAnsi="Times New Roman" w:cs="Times New Roman"/>
                <w:color w:val="auto"/>
                <w:szCs w:val="21"/>
                <w:highlight w:val="none"/>
                <w:lang w:val="en-US" w:eastAsia="zh-CN"/>
              </w:rPr>
              <w:t>收集后外售其他水泥制品单位综合利用</w:t>
            </w:r>
            <w:r>
              <w:rPr>
                <w:rFonts w:hint="default" w:ascii="Times New Roman" w:hAnsi="Times New Roman" w:cs="Times New Roman"/>
                <w:color w:val="auto"/>
                <w:szCs w:val="21"/>
                <w:highlight w:val="none"/>
              </w:rPr>
              <w:t>。</w:t>
            </w:r>
            <w:r>
              <w:rPr>
                <w:rFonts w:hint="eastAsia" w:cs="Times New Roman"/>
                <w:color w:val="auto"/>
                <w:szCs w:val="21"/>
                <w:highlight w:val="none"/>
                <w:lang w:eastAsia="zh-CN"/>
              </w:rPr>
              <w:t>浸泡废水、防腐剂桶、脱模剂桶、</w:t>
            </w:r>
            <w:r>
              <w:rPr>
                <w:rFonts w:hint="default" w:ascii="Times New Roman" w:hAnsi="Times New Roman" w:cs="Times New Roman"/>
                <w:color w:val="auto"/>
                <w:szCs w:val="21"/>
                <w:highlight w:val="none"/>
                <w:lang w:eastAsia="zh-CN"/>
              </w:rPr>
              <w:t>废矿物油</w:t>
            </w:r>
            <w:r>
              <w:rPr>
                <w:rFonts w:hint="eastAsia" w:cs="Times New Roman"/>
                <w:color w:val="auto"/>
                <w:szCs w:val="21"/>
                <w:highlight w:val="none"/>
                <w:lang w:eastAsia="zh-CN"/>
              </w:rPr>
              <w:t>、废油桶</w:t>
            </w:r>
            <w:r>
              <w:rPr>
                <w:rFonts w:hint="default" w:ascii="Times New Roman" w:hAnsi="Times New Roman" w:cs="Times New Roman"/>
                <w:color w:val="auto"/>
                <w:szCs w:val="21"/>
                <w:highlight w:val="none"/>
                <w:lang w:val="en-US" w:eastAsia="zh-CN"/>
              </w:rPr>
              <w:t>收集后分类暂存于厂内危废</w:t>
            </w:r>
            <w:r>
              <w:rPr>
                <w:rFonts w:hint="eastAsia" w:cs="Times New Roman"/>
                <w:color w:val="auto"/>
                <w:szCs w:val="21"/>
                <w:highlight w:val="none"/>
                <w:lang w:val="en-US" w:eastAsia="zh-CN"/>
              </w:rPr>
              <w:t>贮存点</w:t>
            </w:r>
            <w:r>
              <w:rPr>
                <w:rFonts w:hint="default" w:ascii="Times New Roman" w:hAnsi="Times New Roman" w:cs="Times New Roman"/>
                <w:color w:val="auto"/>
                <w:szCs w:val="21"/>
                <w:highlight w:val="none"/>
                <w:lang w:val="en-US" w:eastAsia="zh-CN"/>
              </w:rPr>
              <w:t>，定期委托有资质单位处置。</w:t>
            </w:r>
            <w:r>
              <w:rPr>
                <w:rFonts w:hint="default" w:ascii="Times New Roman" w:hAnsi="Times New Roman" w:cs="Times New Roman"/>
                <w:color w:val="auto"/>
                <w:szCs w:val="21"/>
                <w:highlight w:val="none"/>
                <w:lang w:eastAsia="zh-CN"/>
              </w:rPr>
              <w:t>布袋除尘器</w:t>
            </w:r>
            <w:r>
              <w:rPr>
                <w:rFonts w:hint="default" w:ascii="Times New Roman" w:hAnsi="Times New Roman" w:cs="Times New Roman"/>
                <w:color w:val="auto"/>
                <w:szCs w:val="21"/>
                <w:highlight w:val="none"/>
                <w:lang w:val="en-US" w:eastAsia="zh-CN"/>
              </w:rPr>
              <w:t>收集后回用于生产</w:t>
            </w:r>
            <w:r>
              <w:rPr>
                <w:rFonts w:hint="default" w:ascii="Times New Roman" w:hAnsi="Times New Roman" w:cs="Times New Roman"/>
                <w:color w:val="auto"/>
                <w:szCs w:val="21"/>
                <w:highlight w:val="none"/>
              </w:rPr>
              <w:t>。</w:t>
            </w:r>
            <w:r>
              <w:rPr>
                <w:rFonts w:hint="default" w:ascii="Times New Roman" w:hAnsi="Times New Roman" w:eastAsia="宋体" w:cs="Times New Roman"/>
                <w:color w:val="auto"/>
                <w:szCs w:val="21"/>
                <w:highlight w:val="none"/>
                <w:lang w:val="en-US" w:eastAsia="zh-CN"/>
              </w:rPr>
              <w:t>炉渣</w:t>
            </w:r>
            <w:r>
              <w:rPr>
                <w:rFonts w:hint="default" w:ascii="Times New Roman" w:hAnsi="Times New Roman" w:eastAsia="宋体" w:cs="Times New Roman"/>
                <w:color w:val="auto"/>
                <w:sz w:val="21"/>
                <w:szCs w:val="21"/>
                <w:highlight w:val="none"/>
              </w:rPr>
              <w:t>暂存于锅炉</w:t>
            </w:r>
            <w:r>
              <w:rPr>
                <w:rFonts w:hint="default" w:ascii="Times New Roman" w:hAnsi="Times New Roman" w:eastAsia="宋体" w:cs="Times New Roman"/>
                <w:color w:val="auto"/>
                <w:sz w:val="21"/>
                <w:szCs w:val="21"/>
                <w:highlight w:val="none"/>
                <w:lang w:val="en-US" w:eastAsia="zh-CN"/>
              </w:rPr>
              <w:t>房</w:t>
            </w:r>
            <w:r>
              <w:rPr>
                <w:rFonts w:hint="default" w:ascii="Times New Roman" w:hAnsi="Times New Roman" w:eastAsia="宋体" w:cs="Times New Roman"/>
                <w:color w:val="auto"/>
                <w:sz w:val="21"/>
                <w:szCs w:val="21"/>
                <w:highlight w:val="none"/>
              </w:rPr>
              <w:t>内，定期外售综合利用。废离子交换树脂</w:t>
            </w:r>
            <w:r>
              <w:rPr>
                <w:rFonts w:hint="default" w:ascii="Times New Roman" w:hAnsi="Times New Roman" w:eastAsia="宋体" w:cs="Times New Roman"/>
                <w:color w:val="auto"/>
                <w:sz w:val="21"/>
                <w:szCs w:val="21"/>
                <w:highlight w:val="none"/>
                <w:lang w:val="en-US" w:eastAsia="zh-CN"/>
              </w:rPr>
              <w:t>交由厂家回收</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bCs/>
                <w:color w:val="auto"/>
                <w:sz w:val="21"/>
                <w:szCs w:val="21"/>
                <w:highlight w:val="none"/>
                <w:lang w:eastAsia="zh-CN"/>
              </w:rPr>
              <w:t>废活性炭</w:t>
            </w:r>
            <w:r>
              <w:rPr>
                <w:rFonts w:hint="eastAsia" w:cs="Times New Roman"/>
                <w:bCs/>
                <w:color w:val="auto"/>
                <w:sz w:val="21"/>
                <w:szCs w:val="21"/>
                <w:highlight w:val="none"/>
                <w:lang w:eastAsia="zh-CN"/>
              </w:rPr>
              <w:t>暂存于危险废物贮存点内，定期</w:t>
            </w:r>
            <w:r>
              <w:rPr>
                <w:rFonts w:hint="default" w:ascii="Times New Roman" w:hAnsi="Times New Roman" w:eastAsia="宋体" w:cs="Times New Roman"/>
                <w:bCs/>
                <w:color w:val="auto"/>
                <w:sz w:val="21"/>
                <w:szCs w:val="21"/>
                <w:highlight w:val="none"/>
                <w:lang w:val="en-US" w:eastAsia="zh-CN"/>
              </w:rPr>
              <w:t>交由有资质部门统一处理。</w:t>
            </w:r>
          </w:p>
          <w:p w14:paraId="2FF60E5C">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1)一般固废贮存设施污染控制要求：</w:t>
            </w:r>
          </w:p>
          <w:p w14:paraId="73F35FC2">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①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3414581F">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②禁止向生活垃圾收集设施中投放工业固体废物。</w:t>
            </w:r>
          </w:p>
          <w:p w14:paraId="4962AAC7">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③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31009497">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）危险废物</w:t>
            </w:r>
          </w:p>
          <w:p w14:paraId="6F66E1A0">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表4-1</w:t>
            </w:r>
            <w:r>
              <w:rPr>
                <w:rFonts w:hint="eastAsia" w:cs="Times New Roman"/>
                <w:b/>
                <w:bCs/>
                <w:color w:val="auto"/>
                <w:szCs w:val="21"/>
                <w:highlight w:val="none"/>
                <w:lang w:val="en-US" w:eastAsia="zh-CN"/>
              </w:rPr>
              <w:t>9</w:t>
            </w:r>
            <w:r>
              <w:rPr>
                <w:rFonts w:hint="default" w:ascii="Times New Roman" w:hAnsi="Times New Roman" w:cs="Times New Roman"/>
                <w:b/>
                <w:bCs/>
                <w:color w:val="auto"/>
                <w:szCs w:val="21"/>
                <w:highlight w:val="none"/>
              </w:rPr>
              <w:t xml:space="preserve">  建设项目危险废物贮存场所基本情况表</w:t>
            </w:r>
          </w:p>
          <w:tbl>
            <w:tblPr>
              <w:tblStyle w:val="3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213"/>
              <w:gridCol w:w="719"/>
              <w:gridCol w:w="1057"/>
              <w:gridCol w:w="979"/>
              <w:gridCol w:w="1368"/>
              <w:gridCol w:w="788"/>
              <w:gridCol w:w="501"/>
              <w:gridCol w:w="1252"/>
              <w:gridCol w:w="501"/>
              <w:gridCol w:w="437"/>
            </w:tblGrid>
            <w:tr w14:paraId="6D735C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76" w:hRule="atLeast"/>
                <w:jc w:val="center"/>
              </w:trPr>
              <w:tc>
                <w:tcPr>
                  <w:tcW w:w="213" w:type="dxa"/>
                  <w:vAlign w:val="center"/>
                </w:tcPr>
                <w:p w14:paraId="708975BF">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序号</w:t>
                  </w:r>
                </w:p>
              </w:tc>
              <w:tc>
                <w:tcPr>
                  <w:tcW w:w="719" w:type="dxa"/>
                  <w:vAlign w:val="center"/>
                </w:tcPr>
                <w:p w14:paraId="31B51CDA">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贮存场所名称</w:t>
                  </w:r>
                </w:p>
              </w:tc>
              <w:tc>
                <w:tcPr>
                  <w:tcW w:w="1057" w:type="dxa"/>
                  <w:vAlign w:val="center"/>
                </w:tcPr>
                <w:p w14:paraId="6BB2A822">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危险废物名称</w:t>
                  </w:r>
                </w:p>
              </w:tc>
              <w:tc>
                <w:tcPr>
                  <w:tcW w:w="979" w:type="dxa"/>
                  <w:vAlign w:val="center"/>
                </w:tcPr>
                <w:p w14:paraId="7A84AF56">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危险废物类别</w:t>
                  </w:r>
                </w:p>
              </w:tc>
              <w:tc>
                <w:tcPr>
                  <w:tcW w:w="1368" w:type="dxa"/>
                  <w:vAlign w:val="center"/>
                </w:tcPr>
                <w:p w14:paraId="6FC20517">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危险废物代码</w:t>
                  </w:r>
                </w:p>
              </w:tc>
              <w:tc>
                <w:tcPr>
                  <w:tcW w:w="788" w:type="dxa"/>
                  <w:vAlign w:val="center"/>
                </w:tcPr>
                <w:p w14:paraId="6AB46D12">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位置</w:t>
                  </w:r>
                </w:p>
              </w:tc>
              <w:tc>
                <w:tcPr>
                  <w:tcW w:w="501" w:type="dxa"/>
                  <w:vAlign w:val="center"/>
                </w:tcPr>
                <w:p w14:paraId="212D987A">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建筑面积</w:t>
                  </w:r>
                </w:p>
              </w:tc>
              <w:tc>
                <w:tcPr>
                  <w:tcW w:w="1252" w:type="dxa"/>
                  <w:vAlign w:val="center"/>
                </w:tcPr>
                <w:p w14:paraId="615709E4">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贮存方式</w:t>
                  </w:r>
                </w:p>
              </w:tc>
              <w:tc>
                <w:tcPr>
                  <w:tcW w:w="501" w:type="dxa"/>
                  <w:vAlign w:val="center"/>
                </w:tcPr>
                <w:p w14:paraId="73DAE81F">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贮存能力</w:t>
                  </w:r>
                </w:p>
              </w:tc>
              <w:tc>
                <w:tcPr>
                  <w:tcW w:w="437" w:type="dxa"/>
                  <w:vAlign w:val="center"/>
                </w:tcPr>
                <w:p w14:paraId="5AF4395A">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贮存周期</w:t>
                  </w:r>
                </w:p>
              </w:tc>
            </w:tr>
            <w:tr w14:paraId="1CD28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103" w:hRule="atLeast"/>
                <w:jc w:val="center"/>
              </w:trPr>
              <w:tc>
                <w:tcPr>
                  <w:tcW w:w="213" w:type="dxa"/>
                  <w:vAlign w:val="center"/>
                </w:tcPr>
                <w:p w14:paraId="39A387B4">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w:t>
                  </w:r>
                </w:p>
              </w:tc>
              <w:tc>
                <w:tcPr>
                  <w:tcW w:w="719" w:type="dxa"/>
                  <w:vMerge w:val="restart"/>
                  <w:vAlign w:val="center"/>
                </w:tcPr>
                <w:p w14:paraId="1067C5E9">
                  <w:pPr>
                    <w:pStyle w:val="78"/>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危废</w:t>
                  </w:r>
                  <w:r>
                    <w:rPr>
                      <w:rFonts w:hint="eastAsia" w:ascii="Times New Roman" w:hAnsi="Times New Roman" w:cs="Times New Roman"/>
                      <w:color w:val="auto"/>
                      <w:kern w:val="2"/>
                      <w:sz w:val="18"/>
                      <w:szCs w:val="18"/>
                      <w:highlight w:val="none"/>
                      <w:lang w:eastAsia="zh-CN"/>
                    </w:rPr>
                    <w:t>贮存点</w:t>
                  </w:r>
                </w:p>
              </w:tc>
              <w:tc>
                <w:tcPr>
                  <w:tcW w:w="1057" w:type="dxa"/>
                  <w:vAlign w:val="center"/>
                </w:tcPr>
                <w:p w14:paraId="638CD928">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color w:val="auto"/>
                      <w:sz w:val="18"/>
                      <w:szCs w:val="18"/>
                      <w:highlight w:val="none"/>
                      <w:lang w:val="en-US" w:eastAsia="zh-CN"/>
                    </w:rPr>
                    <w:t>废活性炭</w:t>
                  </w:r>
                </w:p>
              </w:tc>
              <w:tc>
                <w:tcPr>
                  <w:tcW w:w="979" w:type="dxa"/>
                  <w:vAlign w:val="center"/>
                </w:tcPr>
                <w:p w14:paraId="0C4BC2DA">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color w:val="auto"/>
                      <w:sz w:val="18"/>
                      <w:szCs w:val="18"/>
                      <w:highlight w:val="none"/>
                      <w:lang w:val="en-US" w:eastAsia="zh-CN"/>
                    </w:rPr>
                    <w:t>HW49</w:t>
                  </w:r>
                </w:p>
              </w:tc>
              <w:tc>
                <w:tcPr>
                  <w:tcW w:w="1368" w:type="dxa"/>
                  <w:vAlign w:val="center"/>
                </w:tcPr>
                <w:p w14:paraId="01BB6143">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color w:val="auto"/>
                      <w:sz w:val="18"/>
                      <w:szCs w:val="18"/>
                      <w:highlight w:val="none"/>
                      <w:lang w:val="en-US" w:eastAsia="zh-CN"/>
                    </w:rPr>
                    <w:t>900-039-49</w:t>
                  </w:r>
                </w:p>
              </w:tc>
              <w:tc>
                <w:tcPr>
                  <w:tcW w:w="788" w:type="dxa"/>
                  <w:vMerge w:val="restart"/>
                  <w:vAlign w:val="center"/>
                </w:tcPr>
                <w:p w14:paraId="22300349">
                  <w:pPr>
                    <w:pStyle w:val="78"/>
                    <w:rPr>
                      <w:rFonts w:hint="default" w:ascii="Times New Roman" w:hAnsi="Times New Roman" w:eastAsia="宋体" w:cs="Times New Roman"/>
                      <w:color w:val="auto"/>
                      <w:kern w:val="2"/>
                      <w:sz w:val="18"/>
                      <w:szCs w:val="18"/>
                      <w:highlight w:val="none"/>
                      <w:lang w:eastAsia="zh-CN"/>
                    </w:rPr>
                  </w:pPr>
                  <w:r>
                    <w:rPr>
                      <w:rFonts w:hint="eastAsia" w:ascii="Times New Roman" w:hAnsi="Times New Roman" w:cs="Times New Roman"/>
                      <w:color w:val="auto"/>
                      <w:kern w:val="2"/>
                      <w:sz w:val="18"/>
                      <w:szCs w:val="18"/>
                      <w:highlight w:val="none"/>
                      <w:lang w:val="en-US" w:eastAsia="zh-CN"/>
                    </w:rPr>
                    <w:t>1#</w:t>
                  </w:r>
                  <w:r>
                    <w:rPr>
                      <w:rFonts w:hint="default" w:ascii="Times New Roman" w:hAnsi="Times New Roman" w:cs="Times New Roman"/>
                      <w:color w:val="auto"/>
                      <w:kern w:val="2"/>
                      <w:sz w:val="18"/>
                      <w:szCs w:val="18"/>
                      <w:highlight w:val="none"/>
                      <w:lang w:eastAsia="zh-CN"/>
                    </w:rPr>
                    <w:t>车间内</w:t>
                  </w:r>
                </w:p>
              </w:tc>
              <w:tc>
                <w:tcPr>
                  <w:tcW w:w="501" w:type="dxa"/>
                  <w:vMerge w:val="restart"/>
                  <w:vAlign w:val="center"/>
                </w:tcPr>
                <w:p w14:paraId="14DC163B">
                  <w:pPr>
                    <w:pStyle w:val="78"/>
                    <w:rPr>
                      <w:rFonts w:hint="default" w:ascii="Times New Roman" w:hAnsi="Times New Roman" w:cs="Times New Roman"/>
                      <w:color w:val="auto"/>
                      <w:kern w:val="2"/>
                      <w:sz w:val="18"/>
                      <w:szCs w:val="18"/>
                      <w:highlight w:val="none"/>
                    </w:rPr>
                  </w:pPr>
                  <w:r>
                    <w:rPr>
                      <w:rFonts w:hint="eastAsia" w:ascii="Times New Roman" w:hAnsi="Times New Roman" w:cs="Times New Roman"/>
                      <w:color w:val="auto"/>
                      <w:kern w:val="2"/>
                      <w:sz w:val="18"/>
                      <w:szCs w:val="18"/>
                      <w:highlight w:val="none"/>
                      <w:lang w:val="en-US" w:eastAsia="zh-CN"/>
                    </w:rPr>
                    <w:t>50</w:t>
                  </w:r>
                  <w:r>
                    <w:rPr>
                      <w:rFonts w:hint="default" w:ascii="Times New Roman" w:hAnsi="Times New Roman" w:cs="Times New Roman"/>
                      <w:color w:val="auto"/>
                      <w:kern w:val="2"/>
                      <w:sz w:val="18"/>
                      <w:szCs w:val="18"/>
                      <w:highlight w:val="none"/>
                    </w:rPr>
                    <w:t>m</w:t>
                  </w:r>
                  <w:r>
                    <w:rPr>
                      <w:rFonts w:hint="default" w:ascii="Times New Roman" w:hAnsi="Times New Roman" w:cs="Times New Roman"/>
                      <w:color w:val="auto"/>
                      <w:kern w:val="2"/>
                      <w:sz w:val="18"/>
                      <w:szCs w:val="18"/>
                      <w:highlight w:val="none"/>
                      <w:vertAlign w:val="superscript"/>
                    </w:rPr>
                    <w:t>2</w:t>
                  </w:r>
                </w:p>
              </w:tc>
              <w:tc>
                <w:tcPr>
                  <w:tcW w:w="1252" w:type="dxa"/>
                  <w:vAlign w:val="center"/>
                </w:tcPr>
                <w:p w14:paraId="2CCC1448">
                  <w:pPr>
                    <w:pStyle w:val="78"/>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w:t>
                  </w:r>
                </w:p>
              </w:tc>
              <w:tc>
                <w:tcPr>
                  <w:tcW w:w="501" w:type="dxa"/>
                  <w:vAlign w:val="center"/>
                </w:tcPr>
                <w:p w14:paraId="47862062">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rPr>
                  </w:pPr>
                  <w:r>
                    <w:rPr>
                      <w:rFonts w:hint="eastAsia" w:cs="Times New Roman"/>
                      <w:color w:val="auto"/>
                      <w:sz w:val="18"/>
                      <w:szCs w:val="18"/>
                      <w:highlight w:val="none"/>
                      <w:lang w:val="en-US" w:eastAsia="zh-CN"/>
                    </w:rPr>
                    <w:t>1.5</w:t>
                  </w:r>
                  <w:r>
                    <w:rPr>
                      <w:rFonts w:hint="default" w:ascii="Times New Roman" w:hAnsi="Times New Roman" w:eastAsia="宋体" w:cs="Times New Roman"/>
                      <w:color w:val="auto"/>
                      <w:sz w:val="18"/>
                      <w:szCs w:val="18"/>
                      <w:highlight w:val="none"/>
                      <w:lang w:val="en-US" w:eastAsia="zh-CN"/>
                    </w:rPr>
                    <w:t>t/a</w:t>
                  </w:r>
                </w:p>
              </w:tc>
              <w:tc>
                <w:tcPr>
                  <w:tcW w:w="437" w:type="dxa"/>
                  <w:vMerge w:val="restart"/>
                  <w:vAlign w:val="center"/>
                </w:tcPr>
                <w:p w14:paraId="5900BDF9">
                  <w:pPr>
                    <w:pStyle w:val="78"/>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rPr>
                    <w:t>＜</w:t>
                  </w:r>
                  <w:r>
                    <w:rPr>
                      <w:rFonts w:hint="default" w:ascii="Times New Roman" w:hAnsi="Times New Roman" w:cs="Times New Roman"/>
                      <w:color w:val="auto"/>
                      <w:kern w:val="2"/>
                      <w:sz w:val="18"/>
                      <w:szCs w:val="18"/>
                      <w:highlight w:val="none"/>
                      <w:lang w:val="en-US" w:eastAsia="zh-CN"/>
                    </w:rPr>
                    <w:t>1年</w:t>
                  </w:r>
                </w:p>
              </w:tc>
            </w:tr>
            <w:tr w14:paraId="6F662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222" w:hRule="atLeast"/>
                <w:jc w:val="center"/>
              </w:trPr>
              <w:tc>
                <w:tcPr>
                  <w:tcW w:w="213" w:type="dxa"/>
                  <w:vAlign w:val="center"/>
                </w:tcPr>
                <w:p w14:paraId="32A910DA">
                  <w:pPr>
                    <w:pStyle w:val="78"/>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2</w:t>
                  </w:r>
                </w:p>
              </w:tc>
              <w:tc>
                <w:tcPr>
                  <w:tcW w:w="719" w:type="dxa"/>
                  <w:vMerge w:val="continue"/>
                  <w:vAlign w:val="center"/>
                </w:tcPr>
                <w:p w14:paraId="08E3C12F">
                  <w:pPr>
                    <w:pStyle w:val="78"/>
                    <w:rPr>
                      <w:rFonts w:hint="default" w:ascii="Times New Roman" w:hAnsi="Times New Roman" w:cs="Times New Roman"/>
                      <w:color w:val="auto"/>
                      <w:kern w:val="2"/>
                      <w:sz w:val="18"/>
                      <w:szCs w:val="18"/>
                      <w:highlight w:val="none"/>
                      <w:lang w:eastAsia="zh-CN"/>
                    </w:rPr>
                  </w:pPr>
                </w:p>
              </w:tc>
              <w:tc>
                <w:tcPr>
                  <w:tcW w:w="1057" w:type="dxa"/>
                  <w:vAlign w:val="center"/>
                </w:tcPr>
                <w:p w14:paraId="6B12FE50">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color w:val="auto"/>
                      <w:sz w:val="18"/>
                      <w:szCs w:val="18"/>
                      <w:highlight w:val="none"/>
                      <w:lang w:val="en-US" w:eastAsia="zh-CN"/>
                    </w:rPr>
                    <w:t>废矿物油</w:t>
                  </w:r>
                </w:p>
              </w:tc>
              <w:tc>
                <w:tcPr>
                  <w:tcW w:w="979" w:type="dxa"/>
                  <w:vAlign w:val="center"/>
                </w:tcPr>
                <w:p w14:paraId="0A808D73">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color w:val="auto"/>
                      <w:sz w:val="18"/>
                      <w:szCs w:val="18"/>
                      <w:highlight w:val="none"/>
                      <w:lang w:eastAsia="zh-CN"/>
                    </w:rPr>
                    <w:t>HW08</w:t>
                  </w:r>
                </w:p>
              </w:tc>
              <w:tc>
                <w:tcPr>
                  <w:tcW w:w="1368" w:type="dxa"/>
                  <w:vAlign w:val="center"/>
                </w:tcPr>
                <w:p w14:paraId="6541E3E0">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18"/>
                      <w:szCs w:val="18"/>
                      <w:highlight w:val="none"/>
                      <w:shd w:val="clear"/>
                      <w:lang w:val="en-US" w:eastAsia="zh-CN"/>
                    </w:rPr>
                  </w:pPr>
                  <w:r>
                    <w:rPr>
                      <w:rFonts w:hint="default" w:ascii="Times New Roman" w:hAnsi="Times New Roman" w:eastAsia="宋体" w:cs="Times New Roman"/>
                      <w:color w:val="auto"/>
                      <w:sz w:val="18"/>
                      <w:szCs w:val="18"/>
                      <w:highlight w:val="none"/>
                      <w:lang w:val="en-US" w:eastAsia="zh-CN"/>
                    </w:rPr>
                    <w:t>900-214-08、900-218-08</w:t>
                  </w:r>
                </w:p>
              </w:tc>
              <w:tc>
                <w:tcPr>
                  <w:tcW w:w="788" w:type="dxa"/>
                  <w:vMerge w:val="continue"/>
                  <w:vAlign w:val="center"/>
                </w:tcPr>
                <w:p w14:paraId="4752CE3F">
                  <w:pPr>
                    <w:pStyle w:val="78"/>
                    <w:rPr>
                      <w:rFonts w:hint="default" w:ascii="Times New Roman" w:hAnsi="Times New Roman" w:cs="Times New Roman"/>
                      <w:color w:val="auto"/>
                      <w:kern w:val="2"/>
                      <w:sz w:val="18"/>
                      <w:szCs w:val="18"/>
                      <w:highlight w:val="none"/>
                      <w:lang w:eastAsia="zh-CN"/>
                    </w:rPr>
                  </w:pPr>
                </w:p>
              </w:tc>
              <w:tc>
                <w:tcPr>
                  <w:tcW w:w="501" w:type="dxa"/>
                  <w:vMerge w:val="continue"/>
                  <w:vAlign w:val="center"/>
                </w:tcPr>
                <w:p w14:paraId="436882B6">
                  <w:pPr>
                    <w:pStyle w:val="78"/>
                    <w:rPr>
                      <w:rFonts w:hint="default" w:ascii="Times New Roman" w:hAnsi="Times New Roman" w:cs="Times New Roman"/>
                      <w:color w:val="auto"/>
                      <w:kern w:val="2"/>
                      <w:sz w:val="18"/>
                      <w:szCs w:val="18"/>
                      <w:highlight w:val="none"/>
                      <w:lang w:val="en-US" w:eastAsia="zh-CN"/>
                    </w:rPr>
                  </w:pPr>
                </w:p>
              </w:tc>
              <w:tc>
                <w:tcPr>
                  <w:tcW w:w="1252" w:type="dxa"/>
                  <w:vAlign w:val="center"/>
                </w:tcPr>
                <w:p w14:paraId="58E782C0">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桶装</w:t>
                  </w:r>
                </w:p>
              </w:tc>
              <w:tc>
                <w:tcPr>
                  <w:tcW w:w="501" w:type="dxa"/>
                  <w:vAlign w:val="center"/>
                </w:tcPr>
                <w:p w14:paraId="24A86050">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0.05t/a</w:t>
                  </w:r>
                </w:p>
              </w:tc>
              <w:tc>
                <w:tcPr>
                  <w:tcW w:w="437" w:type="dxa"/>
                  <w:vMerge w:val="continue"/>
                  <w:vAlign w:val="center"/>
                </w:tcPr>
                <w:p w14:paraId="053F3CC8">
                  <w:pPr>
                    <w:pStyle w:val="78"/>
                    <w:rPr>
                      <w:rFonts w:hint="default" w:ascii="Times New Roman" w:hAnsi="Times New Roman" w:cs="Times New Roman"/>
                      <w:color w:val="auto"/>
                      <w:kern w:val="2"/>
                      <w:sz w:val="18"/>
                      <w:szCs w:val="18"/>
                      <w:highlight w:val="none"/>
                    </w:rPr>
                  </w:pPr>
                </w:p>
              </w:tc>
            </w:tr>
            <w:tr w14:paraId="74200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50" w:hRule="atLeast"/>
                <w:jc w:val="center"/>
              </w:trPr>
              <w:tc>
                <w:tcPr>
                  <w:tcW w:w="213" w:type="dxa"/>
                  <w:vAlign w:val="center"/>
                </w:tcPr>
                <w:p w14:paraId="43AB2F53">
                  <w:pPr>
                    <w:pStyle w:val="78"/>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3</w:t>
                  </w:r>
                </w:p>
              </w:tc>
              <w:tc>
                <w:tcPr>
                  <w:tcW w:w="719" w:type="dxa"/>
                  <w:vMerge w:val="continue"/>
                  <w:vAlign w:val="center"/>
                </w:tcPr>
                <w:p w14:paraId="306A4657">
                  <w:pPr>
                    <w:pStyle w:val="78"/>
                    <w:rPr>
                      <w:rFonts w:hint="default" w:ascii="Times New Roman" w:hAnsi="Times New Roman" w:cs="Times New Roman"/>
                      <w:color w:val="auto"/>
                      <w:kern w:val="2"/>
                      <w:sz w:val="18"/>
                      <w:szCs w:val="18"/>
                      <w:highlight w:val="none"/>
                      <w:lang w:eastAsia="zh-CN"/>
                    </w:rPr>
                  </w:pPr>
                </w:p>
              </w:tc>
              <w:tc>
                <w:tcPr>
                  <w:tcW w:w="1057" w:type="dxa"/>
                  <w:vAlign w:val="center"/>
                </w:tcPr>
                <w:p w14:paraId="0D1E1A62">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rPr>
                  </w:pPr>
                  <w:r>
                    <w:rPr>
                      <w:rFonts w:hint="eastAsia" w:cs="Times New Roman"/>
                      <w:color w:val="auto"/>
                      <w:sz w:val="18"/>
                      <w:szCs w:val="18"/>
                      <w:highlight w:val="none"/>
                      <w:lang w:val="en-US" w:eastAsia="zh-CN"/>
                    </w:rPr>
                    <w:t>废油桶</w:t>
                  </w:r>
                </w:p>
              </w:tc>
              <w:tc>
                <w:tcPr>
                  <w:tcW w:w="979" w:type="dxa"/>
                  <w:vAlign w:val="center"/>
                </w:tcPr>
                <w:p w14:paraId="097243ED">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color w:val="auto"/>
                      <w:sz w:val="18"/>
                      <w:szCs w:val="18"/>
                      <w:highlight w:val="none"/>
                    </w:rPr>
                    <w:t>HW</w:t>
                  </w:r>
                  <w:r>
                    <w:rPr>
                      <w:rFonts w:hint="default" w:ascii="Times New Roman" w:hAnsi="Times New Roman" w:eastAsia="宋体" w:cs="Times New Roman"/>
                      <w:color w:val="auto"/>
                      <w:sz w:val="18"/>
                      <w:szCs w:val="18"/>
                      <w:highlight w:val="none"/>
                      <w:lang w:val="en-US" w:eastAsia="zh-CN"/>
                    </w:rPr>
                    <w:t>08</w:t>
                  </w:r>
                </w:p>
              </w:tc>
              <w:tc>
                <w:tcPr>
                  <w:tcW w:w="1368" w:type="dxa"/>
                  <w:vAlign w:val="center"/>
                </w:tcPr>
                <w:p w14:paraId="791B63A4">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18"/>
                      <w:szCs w:val="18"/>
                      <w:highlight w:val="none"/>
                      <w:shd w:val="clear"/>
                      <w:lang w:val="en-US" w:eastAsia="zh-CN"/>
                    </w:rPr>
                  </w:pPr>
                  <w:r>
                    <w:rPr>
                      <w:rFonts w:hint="default" w:ascii="Times New Roman" w:hAnsi="Times New Roman" w:eastAsia="宋体" w:cs="Times New Roman"/>
                      <w:color w:val="auto"/>
                      <w:sz w:val="18"/>
                      <w:szCs w:val="18"/>
                      <w:highlight w:val="none"/>
                      <w:lang w:eastAsia="zh-CN"/>
                    </w:rPr>
                    <w:t>900-2</w:t>
                  </w:r>
                  <w:r>
                    <w:rPr>
                      <w:rFonts w:hint="eastAsia" w:cs="Times New Roman"/>
                      <w:color w:val="auto"/>
                      <w:sz w:val="18"/>
                      <w:szCs w:val="18"/>
                      <w:highlight w:val="none"/>
                      <w:lang w:val="en-US" w:eastAsia="zh-CN"/>
                    </w:rPr>
                    <w:t>49</w:t>
                  </w:r>
                  <w:r>
                    <w:rPr>
                      <w:rFonts w:hint="default" w:ascii="Times New Roman" w:hAnsi="Times New Roman" w:eastAsia="宋体" w:cs="Times New Roman"/>
                      <w:color w:val="auto"/>
                      <w:sz w:val="18"/>
                      <w:szCs w:val="18"/>
                      <w:highlight w:val="none"/>
                      <w:lang w:eastAsia="zh-CN"/>
                    </w:rPr>
                    <w:t>-08</w:t>
                  </w:r>
                </w:p>
              </w:tc>
              <w:tc>
                <w:tcPr>
                  <w:tcW w:w="788" w:type="dxa"/>
                  <w:vMerge w:val="continue"/>
                  <w:vAlign w:val="center"/>
                </w:tcPr>
                <w:p w14:paraId="3C515B06">
                  <w:pPr>
                    <w:pStyle w:val="78"/>
                    <w:rPr>
                      <w:rFonts w:hint="default" w:ascii="Times New Roman" w:hAnsi="Times New Roman" w:cs="Times New Roman"/>
                      <w:color w:val="auto"/>
                      <w:kern w:val="2"/>
                      <w:sz w:val="18"/>
                      <w:szCs w:val="18"/>
                      <w:highlight w:val="none"/>
                      <w:lang w:eastAsia="zh-CN"/>
                    </w:rPr>
                  </w:pPr>
                </w:p>
              </w:tc>
              <w:tc>
                <w:tcPr>
                  <w:tcW w:w="501" w:type="dxa"/>
                  <w:vMerge w:val="continue"/>
                  <w:vAlign w:val="center"/>
                </w:tcPr>
                <w:p w14:paraId="72460F14">
                  <w:pPr>
                    <w:pStyle w:val="78"/>
                    <w:rPr>
                      <w:rFonts w:hint="default" w:ascii="Times New Roman" w:hAnsi="Times New Roman" w:cs="Times New Roman"/>
                      <w:color w:val="auto"/>
                      <w:kern w:val="2"/>
                      <w:sz w:val="18"/>
                      <w:szCs w:val="18"/>
                      <w:highlight w:val="none"/>
                      <w:lang w:val="en-US" w:eastAsia="zh-CN"/>
                    </w:rPr>
                  </w:pPr>
                </w:p>
              </w:tc>
              <w:tc>
                <w:tcPr>
                  <w:tcW w:w="1252" w:type="dxa"/>
                  <w:vAlign w:val="center"/>
                </w:tcPr>
                <w:p w14:paraId="4CBCCF7A">
                  <w:pPr>
                    <w:pStyle w:val="78"/>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w:t>
                  </w:r>
                </w:p>
              </w:tc>
              <w:tc>
                <w:tcPr>
                  <w:tcW w:w="501" w:type="dxa"/>
                  <w:vAlign w:val="center"/>
                </w:tcPr>
                <w:p w14:paraId="164DE373">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lang w:val="en-US" w:eastAsia="zh-CN"/>
                    </w:rPr>
                  </w:pPr>
                  <w:r>
                    <w:rPr>
                      <w:rFonts w:hint="eastAsia" w:cs="Times New Roman"/>
                      <w:color w:val="auto"/>
                      <w:sz w:val="18"/>
                      <w:szCs w:val="18"/>
                      <w:highlight w:val="none"/>
                      <w:lang w:val="en-US" w:eastAsia="zh-CN"/>
                    </w:rPr>
                    <w:t>0.01t/a</w:t>
                  </w:r>
                </w:p>
              </w:tc>
              <w:tc>
                <w:tcPr>
                  <w:tcW w:w="437" w:type="dxa"/>
                  <w:vMerge w:val="continue"/>
                  <w:vAlign w:val="center"/>
                </w:tcPr>
                <w:p w14:paraId="09963F6E">
                  <w:pPr>
                    <w:pStyle w:val="78"/>
                    <w:rPr>
                      <w:rFonts w:hint="default" w:ascii="Times New Roman" w:hAnsi="Times New Roman" w:cs="Times New Roman"/>
                      <w:color w:val="auto"/>
                      <w:kern w:val="2"/>
                      <w:sz w:val="18"/>
                      <w:szCs w:val="18"/>
                      <w:highlight w:val="none"/>
                    </w:rPr>
                  </w:pPr>
                </w:p>
              </w:tc>
            </w:tr>
            <w:tr w14:paraId="11394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37" w:hRule="atLeast"/>
                <w:jc w:val="center"/>
              </w:trPr>
              <w:tc>
                <w:tcPr>
                  <w:tcW w:w="213" w:type="dxa"/>
                  <w:vAlign w:val="center"/>
                </w:tcPr>
                <w:p w14:paraId="3765C155">
                  <w:pPr>
                    <w:pStyle w:val="78"/>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w:t>
                  </w:r>
                </w:p>
              </w:tc>
              <w:tc>
                <w:tcPr>
                  <w:tcW w:w="719" w:type="dxa"/>
                  <w:vMerge w:val="continue"/>
                  <w:vAlign w:val="center"/>
                </w:tcPr>
                <w:p w14:paraId="7B4FDAED">
                  <w:pPr>
                    <w:pStyle w:val="78"/>
                    <w:rPr>
                      <w:rFonts w:hint="default" w:ascii="Times New Roman" w:hAnsi="Times New Roman" w:cs="Times New Roman"/>
                      <w:color w:val="auto"/>
                      <w:kern w:val="2"/>
                      <w:sz w:val="18"/>
                      <w:szCs w:val="18"/>
                      <w:highlight w:val="none"/>
                      <w:lang w:eastAsia="zh-CN"/>
                    </w:rPr>
                  </w:pPr>
                </w:p>
              </w:tc>
              <w:tc>
                <w:tcPr>
                  <w:tcW w:w="1057" w:type="dxa"/>
                  <w:vAlign w:val="center"/>
                </w:tcPr>
                <w:p w14:paraId="1E807864">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lang w:val="en-US"/>
                    </w:rPr>
                  </w:pPr>
                  <w:r>
                    <w:rPr>
                      <w:rFonts w:hint="eastAsia" w:cs="Times New Roman"/>
                      <w:color w:val="auto"/>
                      <w:sz w:val="18"/>
                      <w:szCs w:val="18"/>
                      <w:highlight w:val="none"/>
                      <w:lang w:val="en-US" w:eastAsia="zh-CN"/>
                    </w:rPr>
                    <w:t>防腐剂桶、脱模剂桶</w:t>
                  </w:r>
                </w:p>
              </w:tc>
              <w:tc>
                <w:tcPr>
                  <w:tcW w:w="979" w:type="dxa"/>
                  <w:vAlign w:val="center"/>
                </w:tcPr>
                <w:p w14:paraId="7B5131B8">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rPr>
                  </w:pPr>
                  <w:r>
                    <w:rPr>
                      <w:rFonts w:hint="default" w:ascii="Times New Roman" w:hAnsi="Times New Roman" w:eastAsia="宋体" w:cs="Times New Roman"/>
                      <w:color w:val="auto"/>
                      <w:sz w:val="18"/>
                      <w:szCs w:val="18"/>
                      <w:highlight w:val="none"/>
                    </w:rPr>
                    <w:t>HW49</w:t>
                  </w:r>
                </w:p>
              </w:tc>
              <w:tc>
                <w:tcPr>
                  <w:tcW w:w="1368" w:type="dxa"/>
                  <w:vAlign w:val="center"/>
                </w:tcPr>
                <w:p w14:paraId="2728FE60">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18"/>
                      <w:szCs w:val="18"/>
                      <w:highlight w:val="none"/>
                      <w:shd w:val="clear"/>
                      <w:lang w:val="en-US" w:eastAsia="zh-CN"/>
                    </w:rPr>
                  </w:pPr>
                  <w:r>
                    <w:rPr>
                      <w:rFonts w:hint="default" w:ascii="Times New Roman" w:hAnsi="Times New Roman" w:cs="Times New Roman"/>
                      <w:color w:val="auto"/>
                      <w:sz w:val="18"/>
                      <w:szCs w:val="18"/>
                      <w:highlight w:val="none"/>
                      <w:lang w:bidi="zh-CN"/>
                    </w:rPr>
                    <w:t>900-0</w:t>
                  </w:r>
                  <w:r>
                    <w:rPr>
                      <w:rFonts w:hint="eastAsia" w:cs="Times New Roman"/>
                      <w:color w:val="auto"/>
                      <w:sz w:val="18"/>
                      <w:szCs w:val="18"/>
                      <w:highlight w:val="none"/>
                      <w:lang w:val="en-US" w:bidi="zh-CN"/>
                    </w:rPr>
                    <w:t>41</w:t>
                  </w:r>
                  <w:r>
                    <w:rPr>
                      <w:rFonts w:hint="default" w:ascii="Times New Roman" w:hAnsi="Times New Roman" w:cs="Times New Roman"/>
                      <w:color w:val="auto"/>
                      <w:sz w:val="18"/>
                      <w:szCs w:val="18"/>
                      <w:highlight w:val="none"/>
                      <w:lang w:bidi="zh-CN"/>
                    </w:rPr>
                    <w:t>-49</w:t>
                  </w:r>
                </w:p>
              </w:tc>
              <w:tc>
                <w:tcPr>
                  <w:tcW w:w="788" w:type="dxa"/>
                  <w:vMerge w:val="continue"/>
                  <w:vAlign w:val="center"/>
                </w:tcPr>
                <w:p w14:paraId="5414536E">
                  <w:pPr>
                    <w:pStyle w:val="78"/>
                    <w:rPr>
                      <w:rFonts w:hint="default" w:ascii="Times New Roman" w:hAnsi="Times New Roman" w:cs="Times New Roman"/>
                      <w:color w:val="auto"/>
                      <w:kern w:val="2"/>
                      <w:sz w:val="18"/>
                      <w:szCs w:val="18"/>
                      <w:highlight w:val="none"/>
                      <w:lang w:eastAsia="zh-CN"/>
                    </w:rPr>
                  </w:pPr>
                </w:p>
              </w:tc>
              <w:tc>
                <w:tcPr>
                  <w:tcW w:w="501" w:type="dxa"/>
                  <w:vMerge w:val="continue"/>
                  <w:vAlign w:val="center"/>
                </w:tcPr>
                <w:p w14:paraId="2AE4BD32">
                  <w:pPr>
                    <w:pStyle w:val="78"/>
                    <w:rPr>
                      <w:rFonts w:hint="default" w:ascii="Times New Roman" w:hAnsi="Times New Roman" w:cs="Times New Roman"/>
                      <w:color w:val="auto"/>
                      <w:kern w:val="2"/>
                      <w:sz w:val="18"/>
                      <w:szCs w:val="18"/>
                      <w:highlight w:val="none"/>
                      <w:lang w:val="en-US" w:eastAsia="zh-CN"/>
                    </w:rPr>
                  </w:pPr>
                </w:p>
              </w:tc>
              <w:tc>
                <w:tcPr>
                  <w:tcW w:w="1252" w:type="dxa"/>
                  <w:vAlign w:val="center"/>
                </w:tcPr>
                <w:p w14:paraId="491134D0">
                  <w:pPr>
                    <w:pStyle w:val="78"/>
                    <w:rPr>
                      <w:rFonts w:hint="eastAsia"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w:t>
                  </w:r>
                </w:p>
              </w:tc>
              <w:tc>
                <w:tcPr>
                  <w:tcW w:w="501" w:type="dxa"/>
                  <w:vAlign w:val="center"/>
                </w:tcPr>
                <w:p w14:paraId="213236AD">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lang w:val="en-US" w:eastAsia="zh-CN"/>
                    </w:rPr>
                  </w:pPr>
                  <w:r>
                    <w:rPr>
                      <w:rFonts w:hint="eastAsia" w:cs="Times New Roman"/>
                      <w:color w:val="auto"/>
                      <w:sz w:val="18"/>
                      <w:szCs w:val="18"/>
                      <w:highlight w:val="none"/>
                      <w:lang w:val="en-US" w:eastAsia="zh-CN"/>
                    </w:rPr>
                    <w:t>0.2t/a</w:t>
                  </w:r>
                </w:p>
              </w:tc>
              <w:tc>
                <w:tcPr>
                  <w:tcW w:w="437" w:type="dxa"/>
                  <w:vMerge w:val="continue"/>
                  <w:vAlign w:val="center"/>
                </w:tcPr>
                <w:p w14:paraId="32ECA44D">
                  <w:pPr>
                    <w:pStyle w:val="78"/>
                    <w:rPr>
                      <w:rFonts w:hint="default" w:ascii="Times New Roman" w:hAnsi="Times New Roman" w:cs="Times New Roman"/>
                      <w:color w:val="auto"/>
                      <w:kern w:val="2"/>
                      <w:sz w:val="18"/>
                      <w:szCs w:val="18"/>
                      <w:highlight w:val="none"/>
                    </w:rPr>
                  </w:pPr>
                </w:p>
              </w:tc>
            </w:tr>
            <w:tr w14:paraId="2E7750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37" w:hRule="atLeast"/>
                <w:jc w:val="center"/>
              </w:trPr>
              <w:tc>
                <w:tcPr>
                  <w:tcW w:w="213" w:type="dxa"/>
                  <w:vAlign w:val="center"/>
                </w:tcPr>
                <w:p w14:paraId="2FF05A64">
                  <w:pPr>
                    <w:pStyle w:val="78"/>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5</w:t>
                  </w:r>
                </w:p>
              </w:tc>
              <w:tc>
                <w:tcPr>
                  <w:tcW w:w="719" w:type="dxa"/>
                  <w:vMerge w:val="continue"/>
                  <w:vAlign w:val="center"/>
                </w:tcPr>
                <w:p w14:paraId="0EB1103E">
                  <w:pPr>
                    <w:pStyle w:val="78"/>
                    <w:rPr>
                      <w:rFonts w:hint="default" w:ascii="Times New Roman" w:hAnsi="Times New Roman" w:cs="Times New Roman"/>
                      <w:color w:val="auto"/>
                      <w:kern w:val="2"/>
                      <w:sz w:val="18"/>
                      <w:szCs w:val="18"/>
                      <w:highlight w:val="none"/>
                      <w:lang w:eastAsia="zh-CN"/>
                    </w:rPr>
                  </w:pPr>
                </w:p>
              </w:tc>
              <w:tc>
                <w:tcPr>
                  <w:tcW w:w="1057" w:type="dxa"/>
                  <w:vAlign w:val="center"/>
                </w:tcPr>
                <w:p w14:paraId="7285ACA1">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浸泡废水</w:t>
                  </w:r>
                </w:p>
              </w:tc>
              <w:tc>
                <w:tcPr>
                  <w:tcW w:w="979" w:type="dxa"/>
                  <w:vAlign w:val="center"/>
                </w:tcPr>
                <w:p w14:paraId="06FFB4DE">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HW17</w:t>
                  </w:r>
                </w:p>
              </w:tc>
              <w:tc>
                <w:tcPr>
                  <w:tcW w:w="1368" w:type="dxa"/>
                  <w:vAlign w:val="center"/>
                </w:tcPr>
                <w:p w14:paraId="5EEF3586">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bidi="zh-CN"/>
                    </w:rPr>
                  </w:pPr>
                  <w:r>
                    <w:rPr>
                      <w:rFonts w:hint="eastAsia" w:cs="Times New Roman"/>
                      <w:color w:val="auto"/>
                      <w:sz w:val="18"/>
                      <w:szCs w:val="18"/>
                      <w:highlight w:val="none"/>
                      <w:lang w:val="en-US" w:bidi="zh-CN"/>
                    </w:rPr>
                    <w:t>336-064-17</w:t>
                  </w:r>
                </w:p>
              </w:tc>
              <w:tc>
                <w:tcPr>
                  <w:tcW w:w="788" w:type="dxa"/>
                  <w:vMerge w:val="continue"/>
                  <w:vAlign w:val="center"/>
                </w:tcPr>
                <w:p w14:paraId="7BDAA4B4">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18"/>
                      <w:szCs w:val="18"/>
                      <w:highlight w:val="none"/>
                      <w:lang w:eastAsia="zh-CN"/>
                    </w:rPr>
                  </w:pPr>
                </w:p>
              </w:tc>
              <w:tc>
                <w:tcPr>
                  <w:tcW w:w="501" w:type="dxa"/>
                  <w:vMerge w:val="continue"/>
                  <w:vAlign w:val="center"/>
                </w:tcPr>
                <w:p w14:paraId="58FD7EEA">
                  <w:pPr>
                    <w:pStyle w:val="78"/>
                    <w:rPr>
                      <w:rFonts w:hint="default" w:ascii="Times New Roman" w:hAnsi="Times New Roman" w:cs="Times New Roman"/>
                      <w:color w:val="auto"/>
                      <w:kern w:val="2"/>
                      <w:sz w:val="18"/>
                      <w:szCs w:val="18"/>
                      <w:highlight w:val="none"/>
                      <w:lang w:val="en-US" w:eastAsia="zh-CN"/>
                    </w:rPr>
                  </w:pPr>
                </w:p>
              </w:tc>
              <w:tc>
                <w:tcPr>
                  <w:tcW w:w="1252" w:type="dxa"/>
                  <w:vAlign w:val="center"/>
                </w:tcPr>
                <w:p w14:paraId="3357114D">
                  <w:pPr>
                    <w:pStyle w:val="78"/>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耐腐蚀的容器收集</w:t>
                  </w:r>
                </w:p>
              </w:tc>
              <w:tc>
                <w:tcPr>
                  <w:tcW w:w="501" w:type="dxa"/>
                  <w:vAlign w:val="center"/>
                </w:tcPr>
                <w:p w14:paraId="2B33AF6C">
                  <w:pPr>
                    <w:pStyle w:val="10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1t/a</w:t>
                  </w:r>
                </w:p>
              </w:tc>
              <w:tc>
                <w:tcPr>
                  <w:tcW w:w="437" w:type="dxa"/>
                  <w:vMerge w:val="continue"/>
                  <w:vAlign w:val="center"/>
                </w:tcPr>
                <w:p w14:paraId="5EC2C466">
                  <w:pPr>
                    <w:pStyle w:val="78"/>
                    <w:rPr>
                      <w:rFonts w:hint="default" w:ascii="Times New Roman" w:hAnsi="Times New Roman" w:cs="Times New Roman"/>
                      <w:color w:val="auto"/>
                      <w:kern w:val="2"/>
                      <w:sz w:val="18"/>
                      <w:szCs w:val="18"/>
                      <w:highlight w:val="none"/>
                    </w:rPr>
                  </w:pPr>
                </w:p>
              </w:tc>
            </w:tr>
          </w:tbl>
          <w:p w14:paraId="68AE30E8">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①</w:t>
            </w:r>
            <w:r>
              <w:rPr>
                <w:rFonts w:hint="default" w:ascii="Times New Roman" w:hAnsi="Times New Roman" w:cs="Times New Roman"/>
                <w:bCs/>
                <w:color w:val="auto"/>
                <w:szCs w:val="21"/>
                <w:highlight w:val="none"/>
                <w:lang w:eastAsia="zh-CN"/>
              </w:rPr>
              <w:t>危废</w:t>
            </w:r>
            <w:r>
              <w:rPr>
                <w:rFonts w:hint="eastAsia" w:cs="Times New Roman"/>
                <w:bCs/>
                <w:color w:val="auto"/>
                <w:szCs w:val="21"/>
                <w:highlight w:val="none"/>
                <w:lang w:eastAsia="zh-CN"/>
              </w:rPr>
              <w:t>贮存点</w:t>
            </w:r>
            <w:r>
              <w:rPr>
                <w:rFonts w:hint="default" w:ascii="Times New Roman" w:hAnsi="Times New Roman" w:cs="Times New Roman"/>
                <w:bCs/>
                <w:color w:val="auto"/>
                <w:szCs w:val="21"/>
                <w:highlight w:val="none"/>
              </w:rPr>
              <w:t>设置要求</w:t>
            </w:r>
          </w:p>
          <w:p w14:paraId="2A0F7FC4">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为了减小废物储运风险，防止危废流失污染环境，本项目专门设置</w:t>
            </w:r>
            <w:r>
              <w:rPr>
                <w:rFonts w:hint="default" w:ascii="Times New Roman" w:hAnsi="Times New Roman" w:cs="Times New Roman"/>
                <w:bCs/>
                <w:color w:val="auto"/>
                <w:szCs w:val="21"/>
                <w:highlight w:val="none"/>
                <w:lang w:eastAsia="zh-CN"/>
              </w:rPr>
              <w:t>危废</w:t>
            </w:r>
            <w:r>
              <w:rPr>
                <w:rFonts w:hint="eastAsia" w:cs="Times New Roman"/>
                <w:bCs/>
                <w:color w:val="auto"/>
                <w:szCs w:val="21"/>
                <w:highlight w:val="none"/>
                <w:lang w:eastAsia="zh-CN"/>
              </w:rPr>
              <w:t>贮存点</w:t>
            </w:r>
            <w:r>
              <w:rPr>
                <w:rFonts w:hint="default" w:ascii="Times New Roman" w:hAnsi="Times New Roman" w:cs="Times New Roman"/>
                <w:bCs/>
                <w:color w:val="auto"/>
                <w:szCs w:val="21"/>
                <w:highlight w:val="none"/>
              </w:rPr>
              <w:t>，专门用于临时存放危险废物，不得过量存储，存储间内不得存储其他普通垃圾，并应设置醒目的标牌，易于识别；</w:t>
            </w:r>
            <w:r>
              <w:rPr>
                <w:rFonts w:hint="default" w:ascii="Times New Roman" w:hAnsi="Times New Roman" w:cs="Times New Roman"/>
                <w:bCs/>
                <w:color w:val="auto"/>
                <w:szCs w:val="21"/>
                <w:highlight w:val="none"/>
                <w:lang w:eastAsia="zh-CN"/>
              </w:rPr>
              <w:t>危废</w:t>
            </w:r>
            <w:r>
              <w:rPr>
                <w:rFonts w:hint="eastAsia" w:cs="Times New Roman"/>
                <w:bCs/>
                <w:color w:val="auto"/>
                <w:szCs w:val="21"/>
                <w:highlight w:val="none"/>
                <w:lang w:eastAsia="zh-CN"/>
              </w:rPr>
              <w:t>贮存点</w:t>
            </w:r>
            <w:r>
              <w:rPr>
                <w:rFonts w:hint="default" w:ascii="Times New Roman" w:hAnsi="Times New Roman" w:cs="Times New Roman"/>
                <w:bCs/>
                <w:color w:val="auto"/>
                <w:szCs w:val="21"/>
                <w:highlight w:val="none"/>
              </w:rPr>
              <w:t>将严格按照</w:t>
            </w:r>
            <w:r>
              <w:rPr>
                <w:rFonts w:hint="eastAsia" w:cs="Times New Roman"/>
                <w:bCs/>
                <w:color w:val="auto"/>
                <w:szCs w:val="21"/>
                <w:highlight w:val="none"/>
                <w:lang w:eastAsia="zh-CN"/>
              </w:rPr>
              <w:t>《建设项目危险废物环境影响评价指南》及</w:t>
            </w:r>
            <w:r>
              <w:rPr>
                <w:rFonts w:hint="default" w:ascii="Times New Roman" w:hAnsi="Times New Roman" w:cs="Times New Roman"/>
                <w:bCs/>
                <w:color w:val="auto"/>
                <w:szCs w:val="21"/>
                <w:highlight w:val="none"/>
              </w:rPr>
              <w:t>《危险废物贮存污染控制标准》（GB18597-2023）要求贮存点应具有固定的区域边界，并应采取与其他区域进行隔离的措施。贮存点应采取防风、防雨、防晒和防止危险废物流失、扬散等措施。贮存点贮存的危险废物应置于容器或包装物中，不应直接散堆</w:t>
            </w:r>
            <w:r>
              <w:rPr>
                <w:rFonts w:hint="eastAsia" w:cs="Times New Roman"/>
                <w:bCs/>
                <w:color w:val="auto"/>
                <w:szCs w:val="21"/>
                <w:highlight w:val="none"/>
                <w:lang w:eastAsia="zh-CN"/>
              </w:rPr>
              <w:t>。</w:t>
            </w:r>
            <w:r>
              <w:rPr>
                <w:rFonts w:hint="default" w:ascii="Times New Roman" w:hAnsi="Times New Roman" w:cs="Times New Roman"/>
                <w:bCs/>
                <w:color w:val="auto"/>
                <w:szCs w:val="21"/>
                <w:highlight w:val="none"/>
              </w:rPr>
              <w:t>贮存点应根据危险废物的形态、物理化学性质、包装形式等，采取防渗、防漏等污染防治措施</w:t>
            </w:r>
            <w:r>
              <w:rPr>
                <w:rFonts w:hint="eastAsia" w:cs="Times New Roman"/>
                <w:bCs/>
                <w:color w:val="auto"/>
                <w:szCs w:val="21"/>
                <w:highlight w:val="none"/>
                <w:lang w:eastAsia="zh-CN"/>
              </w:rPr>
              <w:t>或采用具有相应功能的装置。贮存点应及时清运贮存的危险废物，实时贮存量不应超过3吨。</w:t>
            </w:r>
          </w:p>
          <w:p w14:paraId="5B595898">
            <w:pPr>
              <w:adjustRightInd w:val="0"/>
              <w:snapToGrid w:val="0"/>
              <w:spacing w:line="360" w:lineRule="auto"/>
              <w:ind w:firstLine="420" w:firstLineChars="200"/>
              <w:rPr>
                <w:rFonts w:hint="default" w:ascii="Times New Roman" w:hAnsi="Times New Roman" w:eastAsia="宋体" w:cs="Times New Roman"/>
                <w:bCs/>
                <w:color w:val="auto"/>
                <w:szCs w:val="21"/>
                <w:highlight w:val="none"/>
                <w:lang w:val="en-US" w:eastAsia="zh-CN"/>
              </w:rPr>
            </w:pPr>
            <w:r>
              <w:rPr>
                <w:rFonts w:hint="default" w:ascii="Times New Roman" w:hAnsi="Times New Roman" w:cs="Times New Roman"/>
                <w:bCs/>
                <w:color w:val="auto"/>
                <w:szCs w:val="21"/>
                <w:highlight w:val="none"/>
              </w:rPr>
              <w:t>②</w:t>
            </w:r>
            <w:r>
              <w:rPr>
                <w:rFonts w:hint="eastAsia" w:cs="Times New Roman"/>
                <w:bCs/>
                <w:color w:val="auto"/>
                <w:szCs w:val="21"/>
                <w:highlight w:val="none"/>
                <w:lang w:val="en-US" w:eastAsia="zh-CN"/>
              </w:rPr>
              <w:t>贮存设施污染控制要求</w:t>
            </w:r>
          </w:p>
          <w:p w14:paraId="7A32EB72">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eastAsia" w:ascii="Times New Roman" w:hAnsi="Times New Roman" w:cs="Times New Roman"/>
                <w:bCs/>
                <w:color w:val="auto"/>
                <w:szCs w:val="21"/>
                <w:highlight w:val="none"/>
                <w:lang w:val="en-US" w:eastAsia="zh-CN"/>
              </w:rPr>
              <w:t>a</w:t>
            </w:r>
            <w:r>
              <w:rPr>
                <w:rFonts w:hint="default" w:ascii="Times New Roman" w:hAnsi="Times New Roman" w:cs="Times New Roman"/>
                <w:bCs/>
                <w:color w:val="auto"/>
                <w:szCs w:val="21"/>
                <w:highlight w:val="none"/>
              </w:rPr>
              <w:t>贮存设施应根据危险废物的形态、物理化学性质、包装形式和污染物迁移途径，采取必要的防风、防晒、防雨、防漏、防渣、防腐以及其他环境污染防治措施，不应露天堆存危险废物。</w:t>
            </w:r>
          </w:p>
          <w:p w14:paraId="638BCD23">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eastAsia" w:ascii="Times New Roman" w:hAnsi="Times New Roman" w:cs="Times New Roman"/>
                <w:bCs/>
                <w:color w:val="auto"/>
                <w:szCs w:val="21"/>
                <w:highlight w:val="none"/>
                <w:lang w:val="en-US" w:eastAsia="zh-CN"/>
              </w:rPr>
              <w:t>b</w:t>
            </w:r>
            <w:r>
              <w:rPr>
                <w:rFonts w:hint="default" w:ascii="Times New Roman" w:hAnsi="Times New Roman" w:cs="Times New Roman"/>
                <w:bCs/>
                <w:color w:val="auto"/>
                <w:szCs w:val="21"/>
                <w:highlight w:val="none"/>
              </w:rPr>
              <w:t>贮存设施应根据危险废物的类别、数量、形态、物理化学性质和污染防治等要求设置必要的贮存分区，避免不相容的危险废物接触、混合。</w:t>
            </w:r>
          </w:p>
          <w:p w14:paraId="37F7B310">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eastAsia" w:ascii="Times New Roman" w:hAnsi="Times New Roman" w:cs="Times New Roman"/>
                <w:bCs/>
                <w:color w:val="auto"/>
                <w:szCs w:val="21"/>
                <w:highlight w:val="none"/>
                <w:lang w:val="en-US" w:eastAsia="zh-CN"/>
              </w:rPr>
              <w:t>c</w:t>
            </w:r>
            <w:r>
              <w:rPr>
                <w:rFonts w:hint="default" w:ascii="Times New Roman" w:hAnsi="Times New Roman" w:cs="Times New Roman"/>
                <w:bCs/>
                <w:color w:val="auto"/>
                <w:szCs w:val="21"/>
                <w:highlight w:val="none"/>
              </w:rPr>
              <w:t>贮存设施或贮存分区内地面、墙面裙脚、堵截泄漏的围堰、接触危险废物的隔板和墙体等应采用坚固的材料建造，表面无裂缝。</w:t>
            </w:r>
          </w:p>
          <w:p w14:paraId="00A29B79">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eastAsia" w:ascii="Times New Roman" w:hAnsi="Times New Roman" w:cs="Times New Roman"/>
                <w:bCs/>
                <w:color w:val="auto"/>
                <w:szCs w:val="21"/>
                <w:highlight w:val="none"/>
                <w:lang w:val="en-US" w:eastAsia="zh-CN"/>
              </w:rPr>
              <w:t>d</w:t>
            </w:r>
            <w:r>
              <w:rPr>
                <w:rFonts w:hint="default" w:ascii="Times New Roman" w:hAnsi="Times New Roman" w:cs="Times New Roman"/>
                <w:bCs/>
                <w:color w:val="auto"/>
                <w:szCs w:val="21"/>
                <w:highlight w:val="none"/>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cs="Times New Roman"/>
                <w:bCs/>
                <w:color w:val="auto"/>
                <w:szCs w:val="21"/>
                <w:highlight w:val="none"/>
                <w:vertAlign w:val="superscript"/>
              </w:rPr>
              <w:t>-7</w:t>
            </w:r>
            <w:r>
              <w:rPr>
                <w:rFonts w:hint="default" w:ascii="Times New Roman" w:hAnsi="Times New Roman" w:cs="Times New Roman"/>
                <w:bCs/>
                <w:color w:val="auto"/>
                <w:szCs w:val="21"/>
                <w:highlight w:val="none"/>
              </w:rPr>
              <w:t>cm/s)</w:t>
            </w:r>
            <w:r>
              <w:rPr>
                <w:rFonts w:hint="eastAsia"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或至少2mm厚高密度聚乙烯膜等人工防渗材料(渗透系数不大于10</w:t>
            </w:r>
            <w:r>
              <w:rPr>
                <w:rFonts w:hint="default" w:ascii="Times New Roman" w:hAnsi="Times New Roman" w:cs="Times New Roman"/>
                <w:bCs/>
                <w:color w:val="auto"/>
                <w:szCs w:val="21"/>
                <w:highlight w:val="none"/>
                <w:vertAlign w:val="superscript"/>
              </w:rPr>
              <w:t>-</w:t>
            </w:r>
            <w:r>
              <w:rPr>
                <w:rFonts w:hint="eastAsia" w:ascii="Times New Roman" w:hAnsi="Times New Roman" w:cs="Times New Roman"/>
                <w:bCs/>
                <w:color w:val="auto"/>
                <w:szCs w:val="21"/>
                <w:highlight w:val="none"/>
                <w:vertAlign w:val="superscript"/>
                <w:lang w:val="en-US" w:eastAsia="zh-CN"/>
              </w:rPr>
              <w:t>10</w:t>
            </w:r>
            <w:r>
              <w:rPr>
                <w:rFonts w:hint="default" w:ascii="Times New Roman" w:hAnsi="Times New Roman" w:cs="Times New Roman"/>
                <w:bCs/>
                <w:color w:val="auto"/>
                <w:szCs w:val="21"/>
                <w:highlight w:val="none"/>
              </w:rPr>
              <w:t>cm/s)</w:t>
            </w:r>
            <w:r>
              <w:rPr>
                <w:rFonts w:hint="eastAsia"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或其他防渗性能等效的材料。</w:t>
            </w:r>
          </w:p>
          <w:p w14:paraId="60BBEC86">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eastAsia" w:ascii="Times New Roman" w:hAnsi="Times New Roman" w:cs="Times New Roman"/>
                <w:bCs/>
                <w:color w:val="auto"/>
                <w:szCs w:val="21"/>
                <w:highlight w:val="none"/>
                <w:lang w:val="en-US" w:eastAsia="zh-CN"/>
              </w:rPr>
              <w:t>e</w:t>
            </w:r>
            <w:r>
              <w:rPr>
                <w:rFonts w:hint="default" w:ascii="Times New Roman" w:hAnsi="Times New Roman" w:cs="Times New Roman"/>
                <w:bCs/>
                <w:color w:val="auto"/>
                <w:szCs w:val="21"/>
                <w:highlight w:val="none"/>
              </w:rPr>
              <w:t>同一贮存设施宜采用相同的防渗、防腐工艺(包括防渗、防腐结构或材料)</w:t>
            </w:r>
            <w:r>
              <w:rPr>
                <w:rFonts w:hint="eastAsia"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防渗、防腐材料应覆盖所有可能与废物及其渗滤液、渗漏液等接触的构筑物表面；采用不同防渗、防腐工艺应分别建设贮存分区。</w:t>
            </w:r>
          </w:p>
          <w:p w14:paraId="08EA8361">
            <w:pPr>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eastAsia" w:ascii="Times New Roman" w:hAnsi="Times New Roman" w:cs="Times New Roman"/>
                <w:bCs/>
                <w:color w:val="auto"/>
                <w:szCs w:val="21"/>
                <w:highlight w:val="none"/>
                <w:lang w:val="en-US" w:eastAsia="zh-CN"/>
              </w:rPr>
              <w:t>f</w:t>
            </w:r>
            <w:r>
              <w:rPr>
                <w:rFonts w:hint="default" w:ascii="Times New Roman" w:hAnsi="Times New Roman" w:cs="Times New Roman"/>
                <w:bCs/>
                <w:color w:val="auto"/>
                <w:szCs w:val="21"/>
                <w:highlight w:val="none"/>
              </w:rPr>
              <w:t>贮存设施应采取技术和管理措施防止无关人员进入。</w:t>
            </w:r>
          </w:p>
          <w:p w14:paraId="18EBD4E0">
            <w:pPr>
              <w:adjustRightInd w:val="0"/>
              <w:snapToGrid w:val="0"/>
              <w:spacing w:line="360" w:lineRule="auto"/>
              <w:ind w:firstLine="420" w:firstLineChars="200"/>
              <w:rPr>
                <w:rFonts w:hint="default" w:ascii="Times New Roman" w:hAnsi="Times New Roman" w:eastAsia="宋体" w:cs="Times New Roman"/>
                <w:bCs/>
                <w:color w:val="auto"/>
                <w:szCs w:val="21"/>
                <w:highlight w:val="none"/>
              </w:rPr>
            </w:pPr>
            <w:r>
              <w:rPr>
                <w:rFonts w:hint="eastAsia" w:ascii="微软雅黑" w:hAnsi="微软雅黑" w:eastAsia="微软雅黑" w:cs="微软雅黑"/>
                <w:bCs/>
                <w:color w:val="auto"/>
                <w:szCs w:val="21"/>
                <w:highlight w:val="none"/>
              </w:rPr>
              <w:t>③</w:t>
            </w:r>
            <w:r>
              <w:rPr>
                <w:rFonts w:hint="eastAsia" w:ascii="Times New Roman" w:hAnsi="Times New Roman" w:eastAsia="宋体" w:cs="Times New Roman"/>
                <w:bCs/>
                <w:color w:val="auto"/>
                <w:szCs w:val="21"/>
                <w:highlight w:val="none"/>
                <w:lang w:val="en-US" w:eastAsia="zh-CN"/>
              </w:rPr>
              <w:t>贮存设施运行</w:t>
            </w:r>
            <w:r>
              <w:rPr>
                <w:rFonts w:hint="default" w:ascii="Times New Roman" w:hAnsi="Times New Roman" w:eastAsia="宋体" w:cs="Times New Roman"/>
                <w:bCs/>
                <w:color w:val="auto"/>
                <w:szCs w:val="21"/>
                <w:highlight w:val="none"/>
              </w:rPr>
              <w:t>环境管理要求</w:t>
            </w:r>
          </w:p>
          <w:p w14:paraId="4DDB0F7E">
            <w:pPr>
              <w:adjustRightInd w:val="0"/>
              <w:snapToGrid w:val="0"/>
              <w:spacing w:line="360" w:lineRule="auto"/>
              <w:ind w:firstLine="420" w:firstLineChars="200"/>
              <w:rPr>
                <w:rFonts w:hint="default" w:ascii="Times New Roman" w:hAnsi="Times New Roman" w:cs="Times New Roman"/>
                <w:b w:val="0"/>
                <w:bCs w:val="0"/>
                <w:color w:val="auto"/>
                <w:szCs w:val="21"/>
                <w:highlight w:val="none"/>
              </w:rPr>
            </w:pPr>
            <w:r>
              <w:rPr>
                <w:rFonts w:hint="eastAsia" w:cs="Times New Roman"/>
                <w:b w:val="0"/>
                <w:bCs w:val="0"/>
                <w:color w:val="auto"/>
                <w:szCs w:val="21"/>
                <w:highlight w:val="none"/>
                <w:lang w:val="en-US" w:eastAsia="zh-CN"/>
              </w:rPr>
              <w:t>a</w:t>
            </w:r>
            <w:r>
              <w:rPr>
                <w:rFonts w:hint="default" w:ascii="Times New Roman" w:hAnsi="Times New Roman" w:cs="Times New Roman"/>
                <w:b w:val="0"/>
                <w:bCs w:val="0"/>
                <w:color w:val="auto"/>
                <w:szCs w:val="21"/>
                <w:highlight w:val="none"/>
              </w:rPr>
              <w:t>危险废物存入贮存设施前应对危险废物类别和特性与危险废物标签等危险废物识别标志的一致性进行核验，不一致的或类别、特性不明的不应存入。</w:t>
            </w:r>
          </w:p>
          <w:p w14:paraId="7D2EC4DB">
            <w:pPr>
              <w:adjustRightInd w:val="0"/>
              <w:snapToGrid w:val="0"/>
              <w:spacing w:line="360" w:lineRule="auto"/>
              <w:ind w:firstLine="420" w:firstLineChars="200"/>
              <w:rPr>
                <w:rFonts w:hint="default" w:ascii="Times New Roman" w:hAnsi="Times New Roman" w:cs="Times New Roman"/>
                <w:b w:val="0"/>
                <w:bCs w:val="0"/>
                <w:color w:val="auto"/>
                <w:szCs w:val="21"/>
                <w:highlight w:val="none"/>
              </w:rPr>
            </w:pPr>
            <w:r>
              <w:rPr>
                <w:rFonts w:hint="eastAsia" w:cs="Times New Roman"/>
                <w:b w:val="0"/>
                <w:bCs w:val="0"/>
                <w:color w:val="auto"/>
                <w:szCs w:val="21"/>
                <w:highlight w:val="none"/>
                <w:lang w:val="en-US" w:eastAsia="zh-CN"/>
              </w:rPr>
              <w:t>b</w:t>
            </w:r>
            <w:r>
              <w:rPr>
                <w:rFonts w:hint="default" w:ascii="Times New Roman" w:hAnsi="Times New Roman" w:cs="Times New Roman"/>
                <w:b w:val="0"/>
                <w:bCs w:val="0"/>
                <w:color w:val="auto"/>
                <w:szCs w:val="21"/>
                <w:highlight w:val="none"/>
              </w:rPr>
              <w:t>应定期检查危险废物的贮存状况，及时清理贮存设施地面，更换破损泄漏的危险废物贮存容器和包装物，保证堆存危险废物的防雨、防风、防扬尘等设施功能完好。</w:t>
            </w:r>
          </w:p>
          <w:p w14:paraId="39D7B66B">
            <w:pPr>
              <w:adjustRightInd w:val="0"/>
              <w:snapToGrid w:val="0"/>
              <w:spacing w:line="360" w:lineRule="auto"/>
              <w:ind w:firstLine="420" w:firstLineChars="200"/>
              <w:rPr>
                <w:rFonts w:hint="default" w:ascii="Times New Roman" w:hAnsi="Times New Roman" w:cs="Times New Roman"/>
                <w:b w:val="0"/>
                <w:bCs w:val="0"/>
                <w:color w:val="auto"/>
                <w:szCs w:val="21"/>
                <w:highlight w:val="none"/>
              </w:rPr>
            </w:pPr>
            <w:r>
              <w:rPr>
                <w:rFonts w:hint="eastAsia" w:cs="Times New Roman"/>
                <w:b w:val="0"/>
                <w:bCs w:val="0"/>
                <w:color w:val="auto"/>
                <w:szCs w:val="21"/>
                <w:highlight w:val="none"/>
                <w:lang w:val="en-US" w:eastAsia="zh-CN"/>
              </w:rPr>
              <w:t>c</w:t>
            </w:r>
            <w:r>
              <w:rPr>
                <w:rFonts w:hint="default" w:ascii="Times New Roman" w:hAnsi="Times New Roman" w:cs="Times New Roman"/>
                <w:b w:val="0"/>
                <w:bCs w:val="0"/>
                <w:color w:val="auto"/>
                <w:szCs w:val="21"/>
                <w:highlight w:val="none"/>
              </w:rPr>
              <w:t>作业设备及车辆等结束作业离开贮存设施时，应对其残留的危险废物进行清理，清理的废物或清洗废水应收集处理。</w:t>
            </w:r>
          </w:p>
          <w:p w14:paraId="11EC326A">
            <w:pPr>
              <w:adjustRightInd w:val="0"/>
              <w:snapToGrid w:val="0"/>
              <w:spacing w:line="360" w:lineRule="auto"/>
              <w:ind w:firstLine="420" w:firstLineChars="200"/>
              <w:rPr>
                <w:rFonts w:hint="default" w:ascii="Times New Roman" w:hAnsi="Times New Roman" w:cs="Times New Roman"/>
                <w:b w:val="0"/>
                <w:bCs w:val="0"/>
                <w:color w:val="auto"/>
                <w:szCs w:val="21"/>
                <w:highlight w:val="none"/>
              </w:rPr>
            </w:pPr>
            <w:r>
              <w:rPr>
                <w:rFonts w:hint="eastAsia" w:cs="Times New Roman"/>
                <w:b w:val="0"/>
                <w:bCs w:val="0"/>
                <w:color w:val="auto"/>
                <w:szCs w:val="21"/>
                <w:highlight w:val="none"/>
                <w:lang w:val="en-US" w:eastAsia="zh-CN"/>
              </w:rPr>
              <w:t>d</w:t>
            </w:r>
            <w:r>
              <w:rPr>
                <w:rFonts w:hint="default" w:ascii="Times New Roman" w:hAnsi="Times New Roman" w:cs="Times New Roman"/>
                <w:b w:val="0"/>
                <w:bCs w:val="0"/>
                <w:color w:val="auto"/>
                <w:szCs w:val="21"/>
                <w:highlight w:val="none"/>
              </w:rPr>
              <w:t>贮存设施运行期间，应按国家有关标准和规定建立危险废物管理台账并保存。</w:t>
            </w:r>
          </w:p>
          <w:p w14:paraId="3F989F7F">
            <w:pPr>
              <w:adjustRightInd w:val="0"/>
              <w:snapToGrid w:val="0"/>
              <w:spacing w:line="360" w:lineRule="auto"/>
              <w:ind w:firstLine="420" w:firstLineChars="200"/>
              <w:rPr>
                <w:rFonts w:hint="default" w:ascii="Times New Roman" w:hAnsi="Times New Roman" w:cs="Times New Roman"/>
                <w:b w:val="0"/>
                <w:bCs w:val="0"/>
                <w:color w:val="auto"/>
                <w:szCs w:val="21"/>
                <w:highlight w:val="none"/>
              </w:rPr>
            </w:pPr>
            <w:r>
              <w:rPr>
                <w:rFonts w:hint="eastAsia" w:cs="Times New Roman"/>
                <w:b w:val="0"/>
                <w:bCs w:val="0"/>
                <w:color w:val="auto"/>
                <w:szCs w:val="21"/>
                <w:highlight w:val="none"/>
                <w:lang w:val="en-US" w:eastAsia="zh-CN"/>
              </w:rPr>
              <w:t>e</w:t>
            </w:r>
            <w:r>
              <w:rPr>
                <w:rFonts w:hint="default" w:ascii="Times New Roman" w:hAnsi="Times New Roman" w:cs="Times New Roman"/>
                <w:b w:val="0"/>
                <w:bCs w:val="0"/>
                <w:color w:val="auto"/>
                <w:szCs w:val="21"/>
                <w:highlight w:val="none"/>
              </w:rPr>
              <w:t>贮存设施所有者或运营者应建立贮存设施环境管理制度、管理人员岗位职责制度、设施运行操作制度、人员岗位培训制度等。</w:t>
            </w:r>
          </w:p>
          <w:p w14:paraId="4E910CB6">
            <w:pPr>
              <w:adjustRightInd w:val="0"/>
              <w:snapToGrid w:val="0"/>
              <w:spacing w:line="360" w:lineRule="auto"/>
              <w:ind w:firstLine="420" w:firstLineChars="200"/>
              <w:rPr>
                <w:rFonts w:hint="default" w:ascii="Times New Roman" w:hAnsi="Times New Roman" w:cs="Times New Roman"/>
                <w:b w:val="0"/>
                <w:bCs w:val="0"/>
                <w:color w:val="auto"/>
                <w:szCs w:val="21"/>
                <w:highlight w:val="none"/>
              </w:rPr>
            </w:pPr>
            <w:r>
              <w:rPr>
                <w:rFonts w:hint="eastAsia" w:cs="Times New Roman"/>
                <w:b w:val="0"/>
                <w:bCs w:val="0"/>
                <w:color w:val="auto"/>
                <w:szCs w:val="21"/>
                <w:highlight w:val="none"/>
                <w:lang w:val="en-US" w:eastAsia="zh-CN"/>
              </w:rPr>
              <w:t>f</w:t>
            </w:r>
            <w:r>
              <w:rPr>
                <w:rFonts w:hint="default" w:ascii="Times New Roman" w:hAnsi="Times New Roman" w:cs="Times New Roman"/>
                <w:b w:val="0"/>
                <w:bCs w:val="0"/>
                <w:color w:val="auto"/>
                <w:szCs w:val="21"/>
                <w:highlight w:val="none"/>
              </w:rPr>
              <w:t>贮存设施所有者或运营者应依据国家土壤和地下水污染防治的有关规定，结合贮存设施特点建立土壤和地下水污染隐患排查制度，并定期开展隐患排查；发现隐患应及时采取措施消除隐患，并建立档案。</w:t>
            </w:r>
          </w:p>
          <w:p w14:paraId="6D02DDC4">
            <w:pPr>
              <w:adjustRightInd w:val="0"/>
              <w:snapToGrid w:val="0"/>
              <w:spacing w:line="360" w:lineRule="auto"/>
              <w:ind w:firstLine="420" w:firstLineChars="200"/>
              <w:rPr>
                <w:rFonts w:hint="default" w:ascii="Times New Roman" w:hAnsi="Times New Roman" w:cs="Times New Roman"/>
                <w:b w:val="0"/>
                <w:bCs w:val="0"/>
                <w:color w:val="auto"/>
                <w:szCs w:val="21"/>
                <w:highlight w:val="none"/>
              </w:rPr>
            </w:pPr>
            <w:r>
              <w:rPr>
                <w:rFonts w:hint="eastAsia" w:cs="Times New Roman"/>
                <w:b w:val="0"/>
                <w:bCs w:val="0"/>
                <w:color w:val="auto"/>
                <w:szCs w:val="21"/>
                <w:highlight w:val="none"/>
                <w:lang w:val="en-US" w:eastAsia="zh-CN"/>
              </w:rPr>
              <w:t>g</w:t>
            </w:r>
            <w:r>
              <w:rPr>
                <w:rFonts w:hint="default" w:ascii="Times New Roman" w:hAnsi="Times New Roman" w:cs="Times New Roman"/>
                <w:b w:val="0"/>
                <w:bCs w:val="0"/>
                <w:color w:val="auto"/>
                <w:szCs w:val="21"/>
                <w:highlight w:val="none"/>
              </w:rPr>
              <w:t>贮存设施所有者或运营者应建立贮存设施全部档案，包括设计、施工、验收、运行、监测和环境应急等，应按国家有关档案管理的法律法规进行整理和归档。</w:t>
            </w:r>
          </w:p>
          <w:p w14:paraId="3E1D4DAD">
            <w:pPr>
              <w:adjustRightInd w:val="0"/>
              <w:snapToGrid w:val="0"/>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五</w:t>
            </w:r>
            <w:r>
              <w:rPr>
                <w:rFonts w:hint="eastAsia" w:cs="Times New Roman"/>
                <w:b/>
                <w:bCs/>
                <w:color w:val="auto"/>
                <w:szCs w:val="21"/>
                <w:highlight w:val="none"/>
                <w:lang w:val="en-US" w:eastAsia="zh-CN"/>
              </w:rPr>
              <w:t>.</w:t>
            </w:r>
            <w:r>
              <w:rPr>
                <w:rFonts w:hint="default" w:ascii="Times New Roman" w:hAnsi="Times New Roman" w:cs="Times New Roman"/>
                <w:b/>
                <w:bCs/>
                <w:color w:val="auto"/>
                <w:szCs w:val="21"/>
                <w:highlight w:val="none"/>
              </w:rPr>
              <w:t>土壤、地下水污染防治措施</w:t>
            </w:r>
          </w:p>
          <w:p w14:paraId="2A5E8783">
            <w:pPr>
              <w:adjustRightInd w:val="0"/>
              <w:snapToGrid w:val="0"/>
              <w:spacing w:line="360" w:lineRule="auto"/>
              <w:ind w:firstLine="412" w:firstLineChars="200"/>
              <w:rPr>
                <w:rFonts w:hint="default" w:ascii="Times New Roman" w:hAnsi="Times New Roman" w:cs="Times New Roman"/>
                <w:color w:val="auto"/>
                <w:spacing w:val="-2"/>
                <w:szCs w:val="21"/>
                <w:highlight w:val="none"/>
                <w:lang w:eastAsia="zh-CN"/>
              </w:rPr>
            </w:pPr>
            <w:r>
              <w:rPr>
                <w:rFonts w:hint="default" w:ascii="Times New Roman" w:hAnsi="Times New Roman" w:cs="Times New Roman"/>
                <w:color w:val="auto"/>
                <w:spacing w:val="-2"/>
                <w:szCs w:val="21"/>
                <w:highlight w:val="none"/>
              </w:rPr>
              <w:t>本项目采取“分区防渗”的原则，</w:t>
            </w:r>
            <w:r>
              <w:rPr>
                <w:rFonts w:hint="default" w:ascii="Times New Roman" w:hAnsi="Times New Roman" w:cs="Times New Roman"/>
                <w:color w:val="auto"/>
                <w:spacing w:val="-2"/>
                <w:szCs w:val="21"/>
                <w:highlight w:val="none"/>
                <w:lang w:eastAsia="zh-CN"/>
              </w:rPr>
              <w:t>依据《环境影响评价技术导则地下水环境》(HJ610-2016)相关要求，本次评价将厂区按各功能单元所处的位置划分为重点防渗区、一般防渗区、简单防渗区三类地下水污染防治区域。</w:t>
            </w:r>
          </w:p>
          <w:p w14:paraId="7FDF1D59">
            <w:pPr>
              <w:adjustRightInd w:val="0"/>
              <w:snapToGrid w:val="0"/>
              <w:spacing w:line="360" w:lineRule="auto"/>
              <w:ind w:firstLine="412" w:firstLineChars="200"/>
              <w:rPr>
                <w:rFonts w:hint="default" w:ascii="Times New Roman" w:hAnsi="Times New Roman" w:cs="Times New Roman"/>
                <w:color w:val="auto"/>
                <w:spacing w:val="-2"/>
                <w:szCs w:val="21"/>
                <w:highlight w:val="none"/>
                <w:lang w:eastAsia="zh-CN"/>
              </w:rPr>
            </w:pPr>
            <w:r>
              <w:rPr>
                <w:rFonts w:hint="default" w:ascii="Times New Roman" w:hAnsi="Times New Roman" w:cs="Times New Roman"/>
                <w:color w:val="auto"/>
                <w:spacing w:val="-2"/>
                <w:szCs w:val="21"/>
                <w:highlight w:val="none"/>
                <w:lang w:eastAsia="zh-CN"/>
              </w:rPr>
              <w:t>①重点防渗区：</w:t>
            </w:r>
          </w:p>
          <w:p w14:paraId="5C3EA699">
            <w:pPr>
              <w:adjustRightInd w:val="0"/>
              <w:snapToGrid w:val="0"/>
              <w:spacing w:line="360" w:lineRule="auto"/>
              <w:ind w:firstLine="412" w:firstLineChars="200"/>
              <w:rPr>
                <w:rFonts w:hint="default" w:ascii="Times New Roman" w:hAnsi="Times New Roman" w:cs="Times New Roman"/>
                <w:color w:val="auto"/>
                <w:spacing w:val="-2"/>
                <w:szCs w:val="21"/>
                <w:highlight w:val="none"/>
                <w:lang w:eastAsia="zh-CN"/>
              </w:rPr>
            </w:pPr>
            <w:r>
              <w:rPr>
                <w:rFonts w:hint="default" w:ascii="Times New Roman" w:hAnsi="Times New Roman" w:cs="Times New Roman"/>
                <w:color w:val="auto"/>
                <w:spacing w:val="-2"/>
                <w:szCs w:val="21"/>
                <w:highlight w:val="none"/>
                <w:lang w:eastAsia="zh-CN"/>
              </w:rPr>
              <w:t>包括</w:t>
            </w:r>
            <w:r>
              <w:rPr>
                <w:rFonts w:hint="eastAsia" w:cs="Times New Roman"/>
                <w:color w:val="auto"/>
                <w:spacing w:val="-2"/>
                <w:szCs w:val="21"/>
                <w:highlight w:val="none"/>
                <w:lang w:val="en-US" w:eastAsia="zh-CN"/>
              </w:rPr>
              <w:t>为</w:t>
            </w:r>
            <w:r>
              <w:rPr>
                <w:rFonts w:hint="default" w:ascii="Times New Roman" w:hAnsi="Times New Roman" w:cs="Times New Roman"/>
                <w:color w:val="auto"/>
                <w:spacing w:val="-2"/>
                <w:szCs w:val="21"/>
                <w:highlight w:val="none"/>
                <w:lang w:eastAsia="zh-CN"/>
              </w:rPr>
              <w:t>危废</w:t>
            </w:r>
            <w:r>
              <w:rPr>
                <w:rFonts w:hint="eastAsia" w:cs="Times New Roman"/>
                <w:color w:val="auto"/>
                <w:spacing w:val="-2"/>
                <w:szCs w:val="21"/>
                <w:highlight w:val="none"/>
                <w:lang w:eastAsia="zh-CN"/>
              </w:rPr>
              <w:t>贮存点</w:t>
            </w:r>
            <w:r>
              <w:rPr>
                <w:rFonts w:hint="default" w:ascii="Times New Roman" w:hAnsi="Times New Roman" w:cs="Times New Roman"/>
                <w:color w:val="auto"/>
                <w:spacing w:val="-2"/>
                <w:szCs w:val="21"/>
                <w:highlight w:val="none"/>
                <w:lang w:eastAsia="zh-CN"/>
              </w:rPr>
              <w:t>。采取抗渗钢纤维混凝土或高密度聚乙烯膜(HDPE)进行防渗，防渗技术要求达到等效黏土防渗层Mb≥6.0m</w:t>
            </w:r>
            <w:r>
              <w:rPr>
                <w:rFonts w:hint="eastAsia" w:cs="Times New Roman"/>
                <w:color w:val="auto"/>
                <w:spacing w:val="-2"/>
                <w:szCs w:val="21"/>
                <w:highlight w:val="none"/>
                <w:lang w:eastAsia="zh-CN"/>
              </w:rPr>
              <w:t>，</w:t>
            </w:r>
            <w:r>
              <w:rPr>
                <w:rFonts w:hint="default" w:ascii="Times New Roman" w:hAnsi="Times New Roman" w:cs="Times New Roman"/>
                <w:color w:val="auto"/>
                <w:spacing w:val="-2"/>
                <w:szCs w:val="21"/>
                <w:highlight w:val="none"/>
                <w:lang w:eastAsia="zh-CN"/>
              </w:rPr>
              <w:t>K≤1×10</w:t>
            </w:r>
            <w:r>
              <w:rPr>
                <w:rFonts w:hint="default" w:ascii="Times New Roman" w:hAnsi="Times New Roman" w:cs="Times New Roman"/>
                <w:color w:val="auto"/>
                <w:spacing w:val="-2"/>
                <w:szCs w:val="21"/>
                <w:highlight w:val="none"/>
                <w:vertAlign w:val="superscript"/>
                <w:lang w:eastAsia="zh-CN"/>
              </w:rPr>
              <w:t>-7</w:t>
            </w:r>
            <w:r>
              <w:rPr>
                <w:rFonts w:hint="default" w:ascii="Times New Roman" w:hAnsi="Times New Roman" w:cs="Times New Roman"/>
                <w:color w:val="auto"/>
                <w:spacing w:val="-2"/>
                <w:szCs w:val="21"/>
                <w:highlight w:val="none"/>
                <w:lang w:eastAsia="zh-CN"/>
              </w:rPr>
              <w:t>cm/s的要求；危险废物贮库建设严格按照《危险废物贮存污染控制标准》(GB18597-2023)中相关规定进行设置，地面防渗、裙脚防渗，防渗层为至少1米厚粘土层(渗透系数≤10</w:t>
            </w:r>
            <w:r>
              <w:rPr>
                <w:rFonts w:hint="default" w:ascii="Times New Roman" w:hAnsi="Times New Roman" w:cs="Times New Roman"/>
                <w:color w:val="auto"/>
                <w:spacing w:val="-2"/>
                <w:szCs w:val="21"/>
                <w:highlight w:val="none"/>
                <w:vertAlign w:val="superscript"/>
                <w:lang w:eastAsia="zh-CN"/>
              </w:rPr>
              <w:t>-7</w:t>
            </w:r>
            <w:r>
              <w:rPr>
                <w:rFonts w:hint="default" w:ascii="Times New Roman" w:hAnsi="Times New Roman" w:cs="Times New Roman"/>
                <w:color w:val="auto"/>
                <w:spacing w:val="-2"/>
                <w:szCs w:val="21"/>
                <w:highlight w:val="none"/>
                <w:lang w:eastAsia="zh-CN"/>
              </w:rPr>
              <w:t>cm/s)</w:t>
            </w:r>
            <w:r>
              <w:rPr>
                <w:rFonts w:hint="eastAsia" w:cs="Times New Roman"/>
                <w:color w:val="auto"/>
                <w:spacing w:val="-2"/>
                <w:szCs w:val="21"/>
                <w:highlight w:val="none"/>
                <w:lang w:eastAsia="zh-CN"/>
              </w:rPr>
              <w:t>，</w:t>
            </w:r>
            <w:r>
              <w:rPr>
                <w:rFonts w:hint="default" w:ascii="Times New Roman" w:hAnsi="Times New Roman" w:cs="Times New Roman"/>
                <w:color w:val="auto"/>
                <w:spacing w:val="-2"/>
                <w:szCs w:val="21"/>
                <w:highlight w:val="none"/>
                <w:lang w:eastAsia="zh-CN"/>
              </w:rPr>
              <w:t>或2mm厚高密度聚乙烯膜等人工防渗材料(渗透系数≤10</w:t>
            </w:r>
            <w:r>
              <w:rPr>
                <w:rFonts w:hint="default" w:ascii="Times New Roman" w:hAnsi="Times New Roman" w:cs="Times New Roman"/>
                <w:color w:val="auto"/>
                <w:spacing w:val="-2"/>
                <w:szCs w:val="21"/>
                <w:highlight w:val="none"/>
                <w:vertAlign w:val="superscript"/>
                <w:lang w:eastAsia="zh-CN"/>
              </w:rPr>
              <w:t>-10</w:t>
            </w:r>
            <w:r>
              <w:rPr>
                <w:rFonts w:hint="default" w:ascii="Times New Roman" w:hAnsi="Times New Roman" w:cs="Times New Roman"/>
                <w:color w:val="auto"/>
                <w:spacing w:val="-2"/>
                <w:szCs w:val="21"/>
                <w:highlight w:val="none"/>
                <w:lang w:eastAsia="zh-CN"/>
              </w:rPr>
              <w:t>cm/s)</w:t>
            </w:r>
            <w:r>
              <w:rPr>
                <w:rFonts w:hint="eastAsia" w:cs="Times New Roman"/>
                <w:color w:val="auto"/>
                <w:spacing w:val="-2"/>
                <w:szCs w:val="21"/>
                <w:highlight w:val="none"/>
                <w:lang w:eastAsia="zh-CN"/>
              </w:rPr>
              <w:t>，</w:t>
            </w:r>
            <w:r>
              <w:rPr>
                <w:rFonts w:hint="default" w:ascii="Times New Roman" w:hAnsi="Times New Roman" w:cs="Times New Roman"/>
                <w:color w:val="auto"/>
                <w:spacing w:val="-2"/>
                <w:szCs w:val="21"/>
                <w:highlight w:val="none"/>
                <w:lang w:eastAsia="zh-CN"/>
              </w:rPr>
              <w:t>并设置20cm高围堰。</w:t>
            </w:r>
          </w:p>
          <w:p w14:paraId="69F4B486">
            <w:pPr>
              <w:adjustRightInd w:val="0"/>
              <w:snapToGrid w:val="0"/>
              <w:spacing w:line="360" w:lineRule="auto"/>
              <w:ind w:firstLine="412" w:firstLineChars="200"/>
              <w:rPr>
                <w:rFonts w:hint="default" w:ascii="Times New Roman" w:hAnsi="Times New Roman" w:cs="Times New Roman"/>
                <w:color w:val="auto"/>
                <w:spacing w:val="-2"/>
                <w:szCs w:val="21"/>
                <w:highlight w:val="none"/>
                <w:lang w:eastAsia="zh-CN"/>
              </w:rPr>
            </w:pPr>
            <w:r>
              <w:rPr>
                <w:rFonts w:hint="default" w:ascii="Times New Roman" w:hAnsi="Times New Roman" w:cs="Times New Roman"/>
                <w:color w:val="auto"/>
                <w:spacing w:val="-2"/>
                <w:szCs w:val="21"/>
                <w:highlight w:val="none"/>
                <w:lang w:eastAsia="zh-CN"/>
              </w:rPr>
              <w:t>②一般防渗区：</w:t>
            </w:r>
          </w:p>
          <w:p w14:paraId="52568A1C">
            <w:pPr>
              <w:adjustRightInd w:val="0"/>
              <w:snapToGrid w:val="0"/>
              <w:spacing w:line="360" w:lineRule="auto"/>
              <w:ind w:firstLine="412" w:firstLineChars="200"/>
              <w:rPr>
                <w:rFonts w:hint="default" w:ascii="Times New Roman" w:hAnsi="Times New Roman" w:cs="Times New Roman"/>
                <w:color w:val="auto"/>
                <w:spacing w:val="-2"/>
                <w:szCs w:val="21"/>
                <w:highlight w:val="none"/>
                <w:lang w:eastAsia="zh-CN"/>
              </w:rPr>
            </w:pPr>
            <w:r>
              <w:rPr>
                <w:rFonts w:hint="default" w:ascii="Times New Roman" w:hAnsi="Times New Roman" w:cs="Times New Roman"/>
                <w:color w:val="auto"/>
                <w:spacing w:val="-2"/>
                <w:szCs w:val="21"/>
                <w:highlight w:val="none"/>
                <w:lang w:eastAsia="zh-CN"/>
              </w:rPr>
              <w:t>包括</w:t>
            </w:r>
            <w:r>
              <w:rPr>
                <w:rFonts w:hint="eastAsia" w:cs="Times New Roman"/>
                <w:color w:val="auto"/>
                <w:spacing w:val="-2"/>
                <w:szCs w:val="21"/>
                <w:highlight w:val="none"/>
                <w:lang w:eastAsia="zh-CN"/>
              </w:rPr>
              <w:t>生产车间、粉煤灰库、沉淀池、</w:t>
            </w:r>
            <w:r>
              <w:rPr>
                <w:rFonts w:hint="default" w:ascii="Times New Roman" w:hAnsi="Times New Roman" w:cs="Times New Roman"/>
                <w:color w:val="auto"/>
                <w:spacing w:val="-2"/>
                <w:szCs w:val="21"/>
                <w:highlight w:val="none"/>
                <w:lang w:eastAsia="zh-CN"/>
              </w:rPr>
              <w:t>初期雨水池等。沉淀池、初期雨水池、废浆池、废浆搅拌池等池底和池壁采用抗渗混凝土，且池体和池壁厚度不小于250mm，建议在水池外侧加做高密度聚乙烯土工膜、防水卷材或涂刷有机玻璃钢聚氨酯等高渗透系数的人造材料防渗层，厚度不宜小于2mm。</w:t>
            </w:r>
            <w:r>
              <w:rPr>
                <w:rFonts w:hint="eastAsia" w:cs="Times New Roman"/>
                <w:color w:val="auto"/>
                <w:spacing w:val="-2"/>
                <w:szCs w:val="21"/>
                <w:highlight w:val="none"/>
                <w:lang w:eastAsia="zh-CN"/>
              </w:rPr>
              <w:t>生产车间</w:t>
            </w:r>
            <w:r>
              <w:rPr>
                <w:rFonts w:hint="eastAsia" w:cs="Times New Roman"/>
                <w:color w:val="auto"/>
                <w:spacing w:val="-2"/>
                <w:szCs w:val="21"/>
                <w:highlight w:val="none"/>
                <w:lang w:val="en-US" w:eastAsia="zh-CN"/>
              </w:rPr>
              <w:t>及</w:t>
            </w:r>
            <w:r>
              <w:rPr>
                <w:rFonts w:hint="eastAsia" w:cs="Times New Roman"/>
                <w:color w:val="auto"/>
                <w:spacing w:val="-2"/>
                <w:szCs w:val="21"/>
                <w:highlight w:val="none"/>
                <w:lang w:eastAsia="zh-CN"/>
              </w:rPr>
              <w:t>粉煤灰库</w:t>
            </w:r>
            <w:r>
              <w:rPr>
                <w:rFonts w:hint="default" w:ascii="Times New Roman" w:hAnsi="Times New Roman" w:cs="Times New Roman"/>
                <w:color w:val="auto"/>
                <w:spacing w:val="-2"/>
                <w:szCs w:val="21"/>
                <w:highlight w:val="none"/>
                <w:lang w:eastAsia="zh-CN"/>
              </w:rPr>
              <w:t>采用防渗混凝土或HDPE膜进行防渗，其防渗技术要求可满足等效黏土防渗层Mb≥1.5m</w:t>
            </w:r>
            <w:r>
              <w:rPr>
                <w:rFonts w:hint="eastAsia" w:cs="Times New Roman"/>
                <w:color w:val="auto"/>
                <w:spacing w:val="-2"/>
                <w:szCs w:val="21"/>
                <w:highlight w:val="none"/>
                <w:lang w:eastAsia="zh-CN"/>
              </w:rPr>
              <w:t>，</w:t>
            </w:r>
            <w:r>
              <w:rPr>
                <w:rFonts w:hint="default" w:ascii="Times New Roman" w:hAnsi="Times New Roman" w:cs="Times New Roman"/>
                <w:color w:val="auto"/>
                <w:spacing w:val="-2"/>
                <w:szCs w:val="21"/>
                <w:highlight w:val="none"/>
                <w:lang w:eastAsia="zh-CN"/>
              </w:rPr>
              <w:t>K≤1×10</w:t>
            </w:r>
            <w:r>
              <w:rPr>
                <w:rFonts w:hint="default" w:ascii="Times New Roman" w:hAnsi="Times New Roman" w:cs="Times New Roman"/>
                <w:color w:val="auto"/>
                <w:spacing w:val="-2"/>
                <w:szCs w:val="21"/>
                <w:highlight w:val="none"/>
                <w:vertAlign w:val="superscript"/>
                <w:lang w:eastAsia="zh-CN"/>
              </w:rPr>
              <w:t>-7</w:t>
            </w:r>
            <w:r>
              <w:rPr>
                <w:rFonts w:hint="default" w:ascii="Times New Roman" w:hAnsi="Times New Roman" w:cs="Times New Roman"/>
                <w:color w:val="auto"/>
                <w:spacing w:val="-2"/>
                <w:szCs w:val="21"/>
                <w:highlight w:val="none"/>
                <w:lang w:eastAsia="zh-CN"/>
              </w:rPr>
              <w:t>cm/s的要求。</w:t>
            </w:r>
          </w:p>
          <w:p w14:paraId="2FADAE7F">
            <w:pPr>
              <w:adjustRightInd w:val="0"/>
              <w:snapToGrid w:val="0"/>
              <w:spacing w:line="360" w:lineRule="auto"/>
              <w:ind w:firstLine="412" w:firstLineChars="200"/>
              <w:rPr>
                <w:rFonts w:hint="default" w:ascii="Times New Roman" w:hAnsi="Times New Roman" w:cs="Times New Roman"/>
                <w:color w:val="auto"/>
                <w:spacing w:val="-2"/>
                <w:szCs w:val="21"/>
                <w:highlight w:val="none"/>
                <w:lang w:eastAsia="zh-CN"/>
              </w:rPr>
            </w:pPr>
            <w:r>
              <w:rPr>
                <w:rFonts w:hint="default" w:ascii="Times New Roman" w:hAnsi="Times New Roman" w:cs="Times New Roman"/>
                <w:color w:val="auto"/>
                <w:spacing w:val="-2"/>
                <w:szCs w:val="21"/>
                <w:highlight w:val="none"/>
                <w:lang w:eastAsia="zh-CN"/>
              </w:rPr>
              <w:t>③简单防渗区：</w:t>
            </w:r>
          </w:p>
          <w:p w14:paraId="58EABE42">
            <w:pPr>
              <w:adjustRightInd w:val="0"/>
              <w:snapToGrid w:val="0"/>
              <w:spacing w:line="360" w:lineRule="auto"/>
              <w:ind w:firstLine="412" w:firstLineChars="200"/>
              <w:rPr>
                <w:rFonts w:hint="default" w:ascii="Times New Roman" w:hAnsi="Times New Roman" w:cs="Times New Roman"/>
                <w:color w:val="auto"/>
                <w:spacing w:val="-2"/>
                <w:szCs w:val="21"/>
                <w:highlight w:val="none"/>
                <w:lang w:eastAsia="zh-CN"/>
              </w:rPr>
            </w:pPr>
            <w:r>
              <w:rPr>
                <w:rFonts w:hint="default" w:ascii="Times New Roman" w:hAnsi="Times New Roman" w:cs="Times New Roman"/>
                <w:color w:val="auto"/>
                <w:spacing w:val="-2"/>
                <w:szCs w:val="21"/>
                <w:highlight w:val="none"/>
                <w:lang w:eastAsia="zh-CN"/>
              </w:rPr>
              <w:t>包括办公区、厂区道路。进行一般地面水泥硬化。</w:t>
            </w:r>
          </w:p>
          <w:p w14:paraId="14D8638A">
            <w:pPr>
              <w:adjustRightInd w:val="0"/>
              <w:snapToGrid w:val="0"/>
              <w:spacing w:line="360" w:lineRule="auto"/>
              <w:ind w:firstLine="412" w:firstLineChars="200"/>
              <w:rPr>
                <w:rFonts w:hint="default" w:ascii="Times New Roman" w:hAnsi="Times New Roman" w:cs="Times New Roman"/>
                <w:color w:val="auto"/>
                <w:spacing w:val="-2"/>
                <w:szCs w:val="21"/>
                <w:highlight w:val="none"/>
                <w:lang w:eastAsia="zh-CN"/>
              </w:rPr>
            </w:pPr>
            <w:r>
              <w:rPr>
                <w:rFonts w:hint="default" w:ascii="Times New Roman" w:hAnsi="Times New Roman" w:cs="Times New Roman"/>
                <w:color w:val="auto"/>
                <w:spacing w:val="-2"/>
                <w:szCs w:val="21"/>
                <w:highlight w:val="none"/>
                <w:lang w:eastAsia="zh-CN"/>
              </w:rPr>
              <w:t>企业需要在严格落实本环评提出的减缓措施的基础上，加强污染物源头控制，做好事故风险防范工作，做好厂内地面的硬化、防腐、防渗工作，特别是原料贮存、生产废水处理设施各单元、固废堆场的地面防渗工作，可有效控制厂区内废水污染物的下渗现象，则企业污染物不会对区域地下水、土壤环境造成明显影响。</w:t>
            </w:r>
          </w:p>
          <w:p w14:paraId="367589FB">
            <w:pPr>
              <w:adjustRightInd w:val="0"/>
              <w:snapToGrid w:val="0"/>
              <w:spacing w:line="360" w:lineRule="auto"/>
              <w:ind w:firstLine="412" w:firstLineChars="200"/>
              <w:rPr>
                <w:rFonts w:hint="default" w:ascii="Times New Roman" w:hAnsi="Times New Roman" w:cs="Times New Roman"/>
                <w:color w:val="auto"/>
                <w:spacing w:val="-2"/>
                <w:szCs w:val="21"/>
                <w:highlight w:val="none"/>
                <w:lang w:eastAsia="zh-CN"/>
              </w:rPr>
            </w:pPr>
            <w:r>
              <w:rPr>
                <w:rFonts w:hint="default" w:ascii="Times New Roman" w:hAnsi="Times New Roman" w:cs="Times New Roman"/>
                <w:color w:val="auto"/>
                <w:spacing w:val="-2"/>
                <w:szCs w:val="21"/>
                <w:highlight w:val="none"/>
                <w:lang w:eastAsia="zh-CN"/>
              </w:rPr>
              <w:t>在采取以上措施后，本项目对周围地下水、土壤环境影响较小。</w:t>
            </w:r>
          </w:p>
          <w:p w14:paraId="1C3B51FA">
            <w:pPr>
              <w:spacing w:line="360" w:lineRule="auto"/>
              <w:ind w:firstLine="422" w:firstLineChars="200"/>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六</w:t>
            </w:r>
            <w:r>
              <w:rPr>
                <w:rFonts w:hint="eastAsia" w:cs="Times New Roman"/>
                <w:b/>
                <w:bCs/>
                <w:color w:val="auto"/>
                <w:szCs w:val="21"/>
                <w:highlight w:val="none"/>
                <w:lang w:val="en-US" w:eastAsia="zh-CN"/>
              </w:rPr>
              <w:t>.</w:t>
            </w:r>
            <w:r>
              <w:rPr>
                <w:rFonts w:hint="default" w:ascii="Times New Roman" w:hAnsi="Times New Roman" w:cs="Times New Roman"/>
                <w:b/>
                <w:bCs/>
                <w:color w:val="auto"/>
                <w:szCs w:val="21"/>
                <w:highlight w:val="none"/>
              </w:rPr>
              <w:t>环境风险</w:t>
            </w:r>
          </w:p>
          <w:p w14:paraId="2E52E0EB">
            <w:pPr>
              <w:spacing w:line="360" w:lineRule="auto"/>
              <w:ind w:firstLine="422" w:firstLineChars="200"/>
              <w:rPr>
                <w:rFonts w:hint="default" w:ascii="Times New Roman" w:hAnsi="Times New Roman" w:cs="Times New Roman"/>
                <w:b/>
                <w:bCs/>
                <w:color w:val="auto"/>
                <w:kern w:val="18"/>
                <w:szCs w:val="21"/>
                <w:highlight w:val="none"/>
              </w:rPr>
            </w:pPr>
            <w:r>
              <w:rPr>
                <w:rFonts w:hint="default" w:ascii="Times New Roman" w:hAnsi="Times New Roman" w:cs="Times New Roman"/>
                <w:b/>
                <w:bCs/>
                <w:color w:val="auto"/>
                <w:kern w:val="18"/>
                <w:szCs w:val="21"/>
                <w:highlight w:val="none"/>
              </w:rPr>
              <w:t>1、风险潜势及风险评价等级</w:t>
            </w:r>
          </w:p>
          <w:p w14:paraId="2A94AC08">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根据《建设项目环境风险评价技术导则》（HJ169-2018），环境风险评价工作等级划分为一级、二级、三级。根据建设项目涉及的物质及工艺系统危险性和所在地的环境敏感性确定环境风险潜势，按照表4-</w:t>
            </w:r>
            <w:r>
              <w:rPr>
                <w:rFonts w:hint="eastAsia" w:cs="Times New Roman"/>
                <w:color w:val="auto"/>
                <w:kern w:val="18"/>
                <w:szCs w:val="21"/>
                <w:highlight w:val="none"/>
                <w:lang w:val="en-US" w:eastAsia="zh-CN"/>
              </w:rPr>
              <w:t>20</w:t>
            </w:r>
            <w:r>
              <w:rPr>
                <w:rFonts w:hint="default" w:ascii="Times New Roman" w:hAnsi="Times New Roman" w:cs="Times New Roman"/>
                <w:color w:val="auto"/>
                <w:kern w:val="18"/>
                <w:szCs w:val="21"/>
                <w:highlight w:val="none"/>
              </w:rPr>
              <w:t>确定评价工作等级。风险潜势为Ⅳ及以上，进行一级评价；风险潜势为Ⅲ，进行二级评价；风险潜势为Ⅱ，进行三级评价；风险潜势为Ⅰ，可开展简单分析。</w:t>
            </w:r>
          </w:p>
          <w:p w14:paraId="31920E98">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表4-</w:t>
            </w:r>
            <w:r>
              <w:rPr>
                <w:rFonts w:hint="eastAsia" w:cs="Times New Roman"/>
                <w:b/>
                <w:bCs/>
                <w:color w:val="auto"/>
                <w:szCs w:val="21"/>
                <w:highlight w:val="none"/>
                <w:lang w:val="en-US" w:eastAsia="zh-CN"/>
              </w:rPr>
              <w:t>20</w:t>
            </w:r>
            <w:r>
              <w:rPr>
                <w:rFonts w:hint="default" w:ascii="Times New Roman" w:hAnsi="Times New Roman" w:cs="Times New Roman"/>
                <w:b/>
                <w:bCs/>
                <w:color w:val="auto"/>
                <w:szCs w:val="21"/>
                <w:highlight w:val="none"/>
              </w:rPr>
              <w:t xml:space="preserve">  评价工作等级划分</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98"/>
              <w:gridCol w:w="1478"/>
              <w:gridCol w:w="1658"/>
              <w:gridCol w:w="2034"/>
              <w:gridCol w:w="1478"/>
            </w:tblGrid>
            <w:tr w14:paraId="5AF04D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17" w:type="pct"/>
                  <w:tcMar>
                    <w:left w:w="0" w:type="dxa"/>
                    <w:right w:w="0" w:type="dxa"/>
                  </w:tcMar>
                  <w:vAlign w:val="center"/>
                </w:tcPr>
                <w:p w14:paraId="7987C354">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环境风险潜势</w:t>
                  </w:r>
                </w:p>
              </w:tc>
              <w:tc>
                <w:tcPr>
                  <w:tcW w:w="930" w:type="pct"/>
                  <w:tcMar>
                    <w:left w:w="0" w:type="dxa"/>
                    <w:right w:w="0" w:type="dxa"/>
                  </w:tcMar>
                  <w:vAlign w:val="center"/>
                </w:tcPr>
                <w:p w14:paraId="684B6E26">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Ⅳ、Ⅳ+</w:t>
                  </w:r>
                </w:p>
              </w:tc>
              <w:tc>
                <w:tcPr>
                  <w:tcW w:w="1043" w:type="pct"/>
                  <w:tcMar>
                    <w:left w:w="0" w:type="dxa"/>
                    <w:right w:w="0" w:type="dxa"/>
                  </w:tcMar>
                  <w:vAlign w:val="center"/>
                </w:tcPr>
                <w:p w14:paraId="521AE959">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Ⅲ</w:t>
                  </w:r>
                </w:p>
              </w:tc>
              <w:tc>
                <w:tcPr>
                  <w:tcW w:w="1280" w:type="pct"/>
                  <w:tcMar>
                    <w:left w:w="0" w:type="dxa"/>
                    <w:right w:w="0" w:type="dxa"/>
                  </w:tcMar>
                  <w:vAlign w:val="center"/>
                </w:tcPr>
                <w:p w14:paraId="07364FF3">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Ⅱ</w:t>
                  </w:r>
                </w:p>
              </w:tc>
              <w:tc>
                <w:tcPr>
                  <w:tcW w:w="930" w:type="pct"/>
                  <w:tcMar>
                    <w:left w:w="0" w:type="dxa"/>
                    <w:right w:w="0" w:type="dxa"/>
                  </w:tcMar>
                  <w:vAlign w:val="center"/>
                </w:tcPr>
                <w:p w14:paraId="15846A7A">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Ⅰ</w:t>
                  </w:r>
                </w:p>
              </w:tc>
            </w:tr>
            <w:tr w14:paraId="6D25E7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817" w:type="pct"/>
                  <w:tcMar>
                    <w:left w:w="0" w:type="dxa"/>
                    <w:right w:w="0" w:type="dxa"/>
                  </w:tcMar>
                  <w:vAlign w:val="center"/>
                </w:tcPr>
                <w:p w14:paraId="127889D5">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评价工作等级</w:t>
                  </w:r>
                </w:p>
              </w:tc>
              <w:tc>
                <w:tcPr>
                  <w:tcW w:w="930" w:type="pct"/>
                  <w:tcMar>
                    <w:left w:w="0" w:type="dxa"/>
                    <w:right w:w="0" w:type="dxa"/>
                  </w:tcMar>
                  <w:vAlign w:val="center"/>
                </w:tcPr>
                <w:p w14:paraId="1D0CAA2E">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一</w:t>
                  </w:r>
                </w:p>
              </w:tc>
              <w:tc>
                <w:tcPr>
                  <w:tcW w:w="1043" w:type="pct"/>
                  <w:tcMar>
                    <w:left w:w="0" w:type="dxa"/>
                    <w:right w:w="0" w:type="dxa"/>
                  </w:tcMar>
                  <w:vAlign w:val="center"/>
                </w:tcPr>
                <w:p w14:paraId="42DE3484">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二</w:t>
                  </w:r>
                </w:p>
              </w:tc>
              <w:tc>
                <w:tcPr>
                  <w:tcW w:w="1280" w:type="pct"/>
                  <w:tcMar>
                    <w:left w:w="0" w:type="dxa"/>
                    <w:right w:w="0" w:type="dxa"/>
                  </w:tcMar>
                  <w:vAlign w:val="center"/>
                </w:tcPr>
                <w:p w14:paraId="5EADE483">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三</w:t>
                  </w:r>
                </w:p>
              </w:tc>
              <w:tc>
                <w:tcPr>
                  <w:tcW w:w="930" w:type="pct"/>
                  <w:tcMar>
                    <w:left w:w="0" w:type="dxa"/>
                    <w:right w:w="0" w:type="dxa"/>
                  </w:tcMar>
                  <w:vAlign w:val="center"/>
                </w:tcPr>
                <w:p w14:paraId="725167D3">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简单分析</w:t>
                  </w:r>
                </w:p>
              </w:tc>
            </w:tr>
          </w:tbl>
          <w:p w14:paraId="0142A342">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表4-</w:t>
            </w:r>
            <w:r>
              <w:rPr>
                <w:rFonts w:hint="default" w:ascii="Times New Roman" w:hAnsi="Times New Roman" w:cs="Times New Roman"/>
                <w:b/>
                <w:bCs/>
                <w:color w:val="auto"/>
                <w:szCs w:val="21"/>
                <w:highlight w:val="none"/>
                <w:lang w:val="en-US" w:eastAsia="zh-CN"/>
              </w:rPr>
              <w:t>2</w:t>
            </w:r>
            <w:r>
              <w:rPr>
                <w:rFonts w:hint="eastAsia" w:cs="Times New Roman"/>
                <w:b/>
                <w:bCs/>
                <w:color w:val="auto"/>
                <w:szCs w:val="21"/>
                <w:highlight w:val="none"/>
                <w:lang w:val="en-US" w:eastAsia="zh-CN"/>
              </w:rPr>
              <w:t>1</w:t>
            </w:r>
            <w:r>
              <w:rPr>
                <w:rFonts w:hint="default" w:ascii="Times New Roman" w:hAnsi="Times New Roman" w:cs="Times New Roman"/>
                <w:b/>
                <w:bCs/>
                <w:color w:val="auto"/>
                <w:szCs w:val="21"/>
                <w:highlight w:val="none"/>
              </w:rPr>
              <w:t xml:space="preserve">  建设项目环境风险潜势划分</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1526"/>
              <w:gridCol w:w="1526"/>
              <w:gridCol w:w="1604"/>
              <w:gridCol w:w="1481"/>
            </w:tblGrid>
            <w:tr w14:paraId="051991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39" w:type="pct"/>
                  <w:vMerge w:val="restart"/>
                  <w:tcMar>
                    <w:left w:w="0" w:type="dxa"/>
                    <w:right w:w="0" w:type="dxa"/>
                  </w:tcMar>
                  <w:vAlign w:val="center"/>
                </w:tcPr>
                <w:p w14:paraId="033FF4BD">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环境敏感程度（E）</w:t>
                  </w:r>
                </w:p>
              </w:tc>
              <w:tc>
                <w:tcPr>
                  <w:tcW w:w="3861" w:type="pct"/>
                  <w:gridSpan w:val="4"/>
                  <w:tcMar>
                    <w:left w:w="0" w:type="dxa"/>
                    <w:right w:w="0" w:type="dxa"/>
                  </w:tcMar>
                  <w:vAlign w:val="center"/>
                </w:tcPr>
                <w:p w14:paraId="1CC3CECB">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危险物质及工艺系统危险性（P）</w:t>
                  </w:r>
                </w:p>
              </w:tc>
            </w:tr>
            <w:tr w14:paraId="523822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39" w:type="pct"/>
                  <w:vMerge w:val="continue"/>
                  <w:tcMar>
                    <w:left w:w="0" w:type="dxa"/>
                    <w:right w:w="0" w:type="dxa"/>
                  </w:tcMar>
                  <w:vAlign w:val="center"/>
                </w:tcPr>
                <w:p w14:paraId="41FFFBD8">
                  <w:pPr>
                    <w:pStyle w:val="78"/>
                    <w:rPr>
                      <w:rFonts w:hint="default" w:ascii="Times New Roman" w:hAnsi="Times New Roman" w:cs="Times New Roman"/>
                      <w:color w:val="auto"/>
                      <w:kern w:val="2"/>
                      <w:sz w:val="18"/>
                      <w:szCs w:val="18"/>
                      <w:highlight w:val="none"/>
                    </w:rPr>
                  </w:pPr>
                </w:p>
              </w:tc>
              <w:tc>
                <w:tcPr>
                  <w:tcW w:w="960" w:type="pct"/>
                  <w:tcMar>
                    <w:left w:w="0" w:type="dxa"/>
                    <w:right w:w="0" w:type="dxa"/>
                  </w:tcMar>
                  <w:vAlign w:val="center"/>
                </w:tcPr>
                <w:p w14:paraId="53DEA03C">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极高危害（P1）</w:t>
                  </w:r>
                </w:p>
              </w:tc>
              <w:tc>
                <w:tcPr>
                  <w:tcW w:w="960" w:type="pct"/>
                  <w:tcMar>
                    <w:left w:w="0" w:type="dxa"/>
                    <w:right w:w="0" w:type="dxa"/>
                  </w:tcMar>
                  <w:vAlign w:val="center"/>
                </w:tcPr>
                <w:p w14:paraId="0A5E4495">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高度危害（P2）</w:t>
                  </w:r>
                </w:p>
              </w:tc>
              <w:tc>
                <w:tcPr>
                  <w:tcW w:w="1009" w:type="pct"/>
                  <w:tcMar>
                    <w:left w:w="0" w:type="dxa"/>
                    <w:right w:w="0" w:type="dxa"/>
                  </w:tcMar>
                  <w:vAlign w:val="center"/>
                </w:tcPr>
                <w:p w14:paraId="0E461D15">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中度危害（P3）</w:t>
                  </w:r>
                </w:p>
              </w:tc>
              <w:tc>
                <w:tcPr>
                  <w:tcW w:w="932" w:type="pct"/>
                  <w:tcMar>
                    <w:left w:w="0" w:type="dxa"/>
                    <w:right w:w="0" w:type="dxa"/>
                  </w:tcMar>
                  <w:vAlign w:val="center"/>
                </w:tcPr>
                <w:p w14:paraId="64F1830D">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轻度危害（P4）</w:t>
                  </w:r>
                </w:p>
              </w:tc>
            </w:tr>
            <w:tr w14:paraId="36E0FA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39" w:type="pct"/>
                  <w:tcMar>
                    <w:left w:w="0" w:type="dxa"/>
                    <w:right w:w="0" w:type="dxa"/>
                  </w:tcMar>
                  <w:vAlign w:val="center"/>
                </w:tcPr>
                <w:p w14:paraId="372E7318">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环境高度敏感区（E1）</w:t>
                  </w:r>
                </w:p>
              </w:tc>
              <w:tc>
                <w:tcPr>
                  <w:tcW w:w="960" w:type="pct"/>
                  <w:tcMar>
                    <w:left w:w="0" w:type="dxa"/>
                    <w:right w:w="0" w:type="dxa"/>
                  </w:tcMar>
                  <w:vAlign w:val="center"/>
                </w:tcPr>
                <w:p w14:paraId="2DF6B7C1">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Ⅳ+</w:t>
                  </w:r>
                </w:p>
              </w:tc>
              <w:tc>
                <w:tcPr>
                  <w:tcW w:w="960" w:type="pct"/>
                  <w:tcMar>
                    <w:left w:w="0" w:type="dxa"/>
                    <w:right w:w="0" w:type="dxa"/>
                  </w:tcMar>
                  <w:vAlign w:val="center"/>
                </w:tcPr>
                <w:p w14:paraId="59BD3700">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Ⅳ</w:t>
                  </w:r>
                </w:p>
              </w:tc>
              <w:tc>
                <w:tcPr>
                  <w:tcW w:w="1009" w:type="pct"/>
                  <w:tcMar>
                    <w:left w:w="0" w:type="dxa"/>
                    <w:right w:w="0" w:type="dxa"/>
                  </w:tcMar>
                  <w:vAlign w:val="center"/>
                </w:tcPr>
                <w:p w14:paraId="6416549D">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Ⅲ</w:t>
                  </w:r>
                </w:p>
              </w:tc>
              <w:tc>
                <w:tcPr>
                  <w:tcW w:w="932" w:type="pct"/>
                  <w:tcMar>
                    <w:left w:w="0" w:type="dxa"/>
                    <w:right w:w="0" w:type="dxa"/>
                  </w:tcMar>
                  <w:vAlign w:val="center"/>
                </w:tcPr>
                <w:p w14:paraId="284E9917">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Ⅲ</w:t>
                  </w:r>
                </w:p>
              </w:tc>
            </w:tr>
            <w:tr w14:paraId="19814C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39" w:type="pct"/>
                  <w:tcMar>
                    <w:left w:w="0" w:type="dxa"/>
                    <w:right w:w="0" w:type="dxa"/>
                  </w:tcMar>
                  <w:vAlign w:val="center"/>
                </w:tcPr>
                <w:p w14:paraId="2B1BDAB1">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环境中度敏感区（E2）</w:t>
                  </w:r>
                </w:p>
              </w:tc>
              <w:tc>
                <w:tcPr>
                  <w:tcW w:w="960" w:type="pct"/>
                  <w:tcMar>
                    <w:left w:w="0" w:type="dxa"/>
                    <w:right w:w="0" w:type="dxa"/>
                  </w:tcMar>
                  <w:vAlign w:val="center"/>
                </w:tcPr>
                <w:p w14:paraId="13AAF990">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Ⅳ</w:t>
                  </w:r>
                </w:p>
              </w:tc>
              <w:tc>
                <w:tcPr>
                  <w:tcW w:w="960" w:type="pct"/>
                  <w:tcMar>
                    <w:left w:w="0" w:type="dxa"/>
                    <w:right w:w="0" w:type="dxa"/>
                  </w:tcMar>
                  <w:vAlign w:val="center"/>
                </w:tcPr>
                <w:p w14:paraId="66921284">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Ⅲ</w:t>
                  </w:r>
                </w:p>
              </w:tc>
              <w:tc>
                <w:tcPr>
                  <w:tcW w:w="1009" w:type="pct"/>
                  <w:tcMar>
                    <w:left w:w="0" w:type="dxa"/>
                    <w:right w:w="0" w:type="dxa"/>
                  </w:tcMar>
                  <w:vAlign w:val="center"/>
                </w:tcPr>
                <w:p w14:paraId="7020C623">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Ⅲ</w:t>
                  </w:r>
                </w:p>
              </w:tc>
              <w:tc>
                <w:tcPr>
                  <w:tcW w:w="932" w:type="pct"/>
                  <w:tcMar>
                    <w:left w:w="0" w:type="dxa"/>
                    <w:right w:w="0" w:type="dxa"/>
                  </w:tcMar>
                  <w:vAlign w:val="center"/>
                </w:tcPr>
                <w:p w14:paraId="6EC6DDF3">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Ⅱ</w:t>
                  </w:r>
                </w:p>
              </w:tc>
            </w:tr>
            <w:tr w14:paraId="01EACB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139" w:type="pct"/>
                  <w:tcMar>
                    <w:left w:w="0" w:type="dxa"/>
                    <w:right w:w="0" w:type="dxa"/>
                  </w:tcMar>
                  <w:vAlign w:val="center"/>
                </w:tcPr>
                <w:p w14:paraId="6A2F226A">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环境低度敏感区（E3）</w:t>
                  </w:r>
                </w:p>
              </w:tc>
              <w:tc>
                <w:tcPr>
                  <w:tcW w:w="960" w:type="pct"/>
                  <w:tcMar>
                    <w:left w:w="0" w:type="dxa"/>
                    <w:right w:w="0" w:type="dxa"/>
                  </w:tcMar>
                  <w:vAlign w:val="center"/>
                </w:tcPr>
                <w:p w14:paraId="7D4386B0">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Ⅲ</w:t>
                  </w:r>
                </w:p>
              </w:tc>
              <w:tc>
                <w:tcPr>
                  <w:tcW w:w="960" w:type="pct"/>
                  <w:tcMar>
                    <w:left w:w="0" w:type="dxa"/>
                    <w:right w:w="0" w:type="dxa"/>
                  </w:tcMar>
                  <w:vAlign w:val="center"/>
                </w:tcPr>
                <w:p w14:paraId="733E61B5">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Ⅲ</w:t>
                  </w:r>
                </w:p>
              </w:tc>
              <w:tc>
                <w:tcPr>
                  <w:tcW w:w="1009" w:type="pct"/>
                  <w:tcMar>
                    <w:left w:w="0" w:type="dxa"/>
                    <w:right w:w="0" w:type="dxa"/>
                  </w:tcMar>
                  <w:vAlign w:val="center"/>
                </w:tcPr>
                <w:p w14:paraId="0BD47BDB">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Ⅱ</w:t>
                  </w:r>
                </w:p>
              </w:tc>
              <w:tc>
                <w:tcPr>
                  <w:tcW w:w="932" w:type="pct"/>
                  <w:tcMar>
                    <w:left w:w="0" w:type="dxa"/>
                    <w:right w:w="0" w:type="dxa"/>
                  </w:tcMar>
                  <w:vAlign w:val="center"/>
                </w:tcPr>
                <w:p w14:paraId="5BBCAE67">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Ⅰ</w:t>
                  </w:r>
                </w:p>
              </w:tc>
            </w:tr>
          </w:tbl>
          <w:p w14:paraId="1A795AD0">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根据《建设项目环境风险评价技术导则》（HJ169-2018）中附录B重点关注的危险物质的临界量，以及附录C对危险物质及工艺系统危险性（P），判断本项目危险物质及工艺系统危险性（P）判断环境风险潜势。</w:t>
            </w:r>
          </w:p>
          <w:p w14:paraId="54C1A318">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当只涉及一种危险物质时，计算该物质的总量与其临界量比值，即为Q；</w:t>
            </w:r>
          </w:p>
          <w:p w14:paraId="0213129C">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当存在多种危险物质时，则按式（C.1）计算物质总量与其临界量比值（Q）</w:t>
            </w:r>
          </w:p>
          <w:p w14:paraId="57C3174F">
            <w:pPr>
              <w:spacing w:line="360" w:lineRule="auto"/>
              <w:ind w:firstLine="420" w:firstLineChars="200"/>
              <w:rPr>
                <w:rFonts w:hint="default" w:ascii="Times New Roman" w:hAnsi="Times New Roman" w:cs="Times New Roman"/>
                <w:color w:val="auto"/>
                <w:kern w:val="18"/>
                <w:szCs w:val="21"/>
                <w:highlight w:val="none"/>
              </w:rPr>
            </w:pPr>
            <m:oMathPara>
              <m:oMath>
                <m:r>
                  <m:rPr>
                    <m:nor/>
                  </m:rPr>
                  <w:rPr>
                    <w:rFonts w:hint="default" w:ascii="Times New Roman" w:hAnsi="Times New Roman" w:cs="Times New Roman"/>
                    <w:i/>
                    <w:color w:val="auto"/>
                    <w:highlight w:val="none"/>
                  </w:rPr>
                  <m:t>Q</m:t>
                </m:r>
                <m:r>
                  <m:rPr>
                    <m:nor/>
                    <m:sty m:val="p"/>
                  </m:rPr>
                  <w:rPr>
                    <w:rFonts w:hint="default" w:ascii="Times New Roman" w:hAnsi="Times New Roman" w:cs="Times New Roman"/>
                    <w:b w:val="0"/>
                    <w:i w:val="0"/>
                    <w:color w:val="auto"/>
                    <w:highlight w:val="none"/>
                  </w:rPr>
                  <m:t>=</m:t>
                </m:r>
                <m:f>
                  <m:fPr>
                    <m:ctrlPr>
                      <w:rPr>
                        <w:rFonts w:hint="default" w:ascii="Cambria Math" w:hAnsi="Cambria Math" w:cs="Times New Roman"/>
                        <w:color w:val="auto"/>
                        <w:highlight w:val="none"/>
                      </w:rPr>
                    </m:ctrlPr>
                  </m:fPr>
                  <m:num>
                    <m:sSub>
                      <m:sSubPr>
                        <m:ctrlPr>
                          <w:rPr>
                            <w:rFonts w:hint="default" w:ascii="Cambria Math" w:hAnsi="Cambria Math" w:cs="Times New Roman"/>
                            <w:i/>
                            <w:color w:val="auto"/>
                            <w:highlight w:val="none"/>
                          </w:rPr>
                        </m:ctrlPr>
                      </m:sSubPr>
                      <m:e>
                        <m:r>
                          <m:rPr>
                            <m:nor/>
                          </m:rPr>
                          <w:rPr>
                            <w:rFonts w:hint="default" w:ascii="Times New Roman" w:hAnsi="Times New Roman" w:cs="Times New Roman"/>
                            <w:i/>
                            <w:color w:val="auto"/>
                            <w:highlight w:val="none"/>
                          </w:rPr>
                          <m:t>q</m:t>
                        </m:r>
                        <m:ctrlPr>
                          <w:rPr>
                            <w:rFonts w:hint="default" w:ascii="Cambria Math" w:hAnsi="Cambria Math" w:cs="Times New Roman"/>
                            <w:i/>
                            <w:color w:val="auto"/>
                            <w:highlight w:val="none"/>
                          </w:rPr>
                        </m:ctrlPr>
                      </m:e>
                      <m:sub>
                        <m:r>
                          <m:rPr>
                            <m:nor/>
                            <m:sty m:val="p"/>
                          </m:rPr>
                          <w:rPr>
                            <w:rFonts w:hint="default" w:ascii="Times New Roman" w:hAnsi="Times New Roman" w:cs="Times New Roman"/>
                            <w:b w:val="0"/>
                            <w:i w:val="0"/>
                            <w:color w:val="auto"/>
                            <w:highlight w:val="none"/>
                          </w:rPr>
                          <m:t>1</m:t>
                        </m:r>
                        <m:ctrlPr>
                          <w:rPr>
                            <w:rFonts w:hint="default" w:ascii="Cambria Math" w:hAnsi="Cambria Math" w:cs="Times New Roman"/>
                            <w:i/>
                            <w:color w:val="auto"/>
                            <w:highlight w:val="none"/>
                          </w:rPr>
                        </m:ctrlPr>
                      </m:sub>
                    </m:sSub>
                    <m:ctrlPr>
                      <w:rPr>
                        <w:rFonts w:hint="default" w:ascii="Cambria Math" w:hAnsi="Cambria Math" w:cs="Times New Roman"/>
                        <w:color w:val="auto"/>
                        <w:highlight w:val="none"/>
                      </w:rPr>
                    </m:ctrlPr>
                  </m:num>
                  <m:den>
                    <m:sSub>
                      <m:sSubPr>
                        <m:ctrlPr>
                          <w:rPr>
                            <w:rFonts w:hint="default" w:ascii="Cambria Math" w:hAnsi="Cambria Math" w:cs="Times New Roman"/>
                            <w:i/>
                            <w:color w:val="auto"/>
                            <w:highlight w:val="none"/>
                          </w:rPr>
                        </m:ctrlPr>
                      </m:sSubPr>
                      <m:e>
                        <m:r>
                          <m:rPr>
                            <m:nor/>
                          </m:rPr>
                          <w:rPr>
                            <w:rFonts w:hint="default" w:ascii="Times New Roman" w:hAnsi="Times New Roman" w:cs="Times New Roman"/>
                            <w:i/>
                            <w:color w:val="auto"/>
                            <w:highlight w:val="none"/>
                          </w:rPr>
                          <m:t>Q</m:t>
                        </m:r>
                        <m:ctrlPr>
                          <w:rPr>
                            <w:rFonts w:hint="default" w:ascii="Cambria Math" w:hAnsi="Cambria Math" w:cs="Times New Roman"/>
                            <w:i/>
                            <w:color w:val="auto"/>
                            <w:highlight w:val="none"/>
                          </w:rPr>
                        </m:ctrlPr>
                      </m:e>
                      <m:sub>
                        <m:r>
                          <m:rPr>
                            <m:nor/>
                            <m:sty m:val="p"/>
                          </m:rPr>
                          <w:rPr>
                            <w:rFonts w:hint="default" w:ascii="Times New Roman" w:hAnsi="Times New Roman" w:cs="Times New Roman"/>
                            <w:b w:val="0"/>
                            <w:i w:val="0"/>
                            <w:color w:val="auto"/>
                            <w:highlight w:val="none"/>
                          </w:rPr>
                          <m:t>1</m:t>
                        </m:r>
                        <m:ctrlPr>
                          <w:rPr>
                            <w:rFonts w:hint="default" w:ascii="Cambria Math" w:hAnsi="Cambria Math" w:cs="Times New Roman"/>
                            <w:i/>
                            <w:color w:val="auto"/>
                            <w:highlight w:val="none"/>
                          </w:rPr>
                        </m:ctrlPr>
                      </m:sub>
                    </m:sSub>
                    <m:ctrlPr>
                      <w:rPr>
                        <w:rFonts w:hint="default" w:ascii="Cambria Math" w:hAnsi="Cambria Math" w:cs="Times New Roman"/>
                        <w:color w:val="auto"/>
                        <w:highlight w:val="none"/>
                      </w:rPr>
                    </m:ctrlPr>
                  </m:den>
                </m:f>
                <m:r>
                  <m:rPr>
                    <m:nor/>
                    <m:sty m:val="p"/>
                  </m:rPr>
                  <w:rPr>
                    <w:rFonts w:hint="default" w:ascii="Times New Roman" w:hAnsi="Times New Roman" w:cs="Times New Roman"/>
                    <w:b w:val="0"/>
                    <w:i w:val="0"/>
                    <w:color w:val="auto"/>
                    <w:highlight w:val="none"/>
                  </w:rPr>
                  <m:t>+</m:t>
                </m:r>
                <m:f>
                  <m:fPr>
                    <m:ctrlPr>
                      <w:rPr>
                        <w:rFonts w:hint="default" w:ascii="Cambria Math" w:hAnsi="Cambria Math" w:cs="Times New Roman"/>
                        <w:i/>
                        <w:color w:val="auto"/>
                        <w:highlight w:val="none"/>
                      </w:rPr>
                    </m:ctrlPr>
                  </m:fPr>
                  <m:num>
                    <m:sSub>
                      <m:sSubPr>
                        <m:ctrlPr>
                          <w:rPr>
                            <w:rFonts w:hint="default" w:ascii="Cambria Math" w:hAnsi="Cambria Math" w:cs="Times New Roman"/>
                            <w:i/>
                            <w:color w:val="auto"/>
                            <w:highlight w:val="none"/>
                          </w:rPr>
                        </m:ctrlPr>
                      </m:sSubPr>
                      <m:e>
                        <m:r>
                          <m:rPr>
                            <m:nor/>
                          </m:rPr>
                          <w:rPr>
                            <w:rFonts w:hint="default" w:ascii="Times New Roman" w:hAnsi="Times New Roman" w:cs="Times New Roman"/>
                            <w:i/>
                            <w:color w:val="auto"/>
                            <w:highlight w:val="none"/>
                          </w:rPr>
                          <m:t>q</m:t>
                        </m:r>
                        <m:ctrlPr>
                          <w:rPr>
                            <w:rFonts w:hint="default" w:ascii="Cambria Math" w:hAnsi="Cambria Math" w:cs="Times New Roman"/>
                            <w:i/>
                            <w:color w:val="auto"/>
                            <w:highlight w:val="none"/>
                          </w:rPr>
                        </m:ctrlPr>
                      </m:e>
                      <m:sub>
                        <m:r>
                          <m:rPr>
                            <m:nor/>
                            <m:sty m:val="p"/>
                          </m:rPr>
                          <w:rPr>
                            <w:rFonts w:hint="default" w:ascii="Times New Roman" w:hAnsi="Times New Roman" w:cs="Times New Roman"/>
                            <w:b w:val="0"/>
                            <w:i w:val="0"/>
                            <w:color w:val="auto"/>
                            <w:highlight w:val="none"/>
                          </w:rPr>
                          <m:t>2</m:t>
                        </m:r>
                        <m:ctrlPr>
                          <w:rPr>
                            <w:rFonts w:hint="default" w:ascii="Cambria Math" w:hAnsi="Cambria Math" w:cs="Times New Roman"/>
                            <w:i/>
                            <w:color w:val="auto"/>
                            <w:highlight w:val="none"/>
                          </w:rPr>
                        </m:ctrlPr>
                      </m:sub>
                    </m:sSub>
                    <m:ctrlPr>
                      <w:rPr>
                        <w:rFonts w:hint="default" w:ascii="Cambria Math" w:hAnsi="Cambria Math" w:cs="Times New Roman"/>
                        <w:i/>
                        <w:color w:val="auto"/>
                        <w:highlight w:val="none"/>
                      </w:rPr>
                    </m:ctrlPr>
                  </m:num>
                  <m:den>
                    <m:sSub>
                      <m:sSubPr>
                        <m:ctrlPr>
                          <w:rPr>
                            <w:rFonts w:hint="default" w:ascii="Cambria Math" w:hAnsi="Cambria Math" w:cs="Times New Roman"/>
                            <w:i/>
                            <w:color w:val="auto"/>
                            <w:highlight w:val="none"/>
                          </w:rPr>
                        </m:ctrlPr>
                      </m:sSubPr>
                      <m:e>
                        <m:r>
                          <m:rPr>
                            <m:nor/>
                          </m:rPr>
                          <w:rPr>
                            <w:rFonts w:hint="default" w:ascii="Times New Roman" w:hAnsi="Times New Roman" w:cs="Times New Roman"/>
                            <w:i/>
                            <w:color w:val="auto"/>
                            <w:highlight w:val="none"/>
                          </w:rPr>
                          <m:t>Q</m:t>
                        </m:r>
                        <m:ctrlPr>
                          <w:rPr>
                            <w:rFonts w:hint="default" w:ascii="Cambria Math" w:hAnsi="Cambria Math" w:cs="Times New Roman"/>
                            <w:i/>
                            <w:color w:val="auto"/>
                            <w:highlight w:val="none"/>
                          </w:rPr>
                        </m:ctrlPr>
                      </m:e>
                      <m:sub>
                        <m:r>
                          <m:rPr>
                            <m:nor/>
                            <m:sty m:val="p"/>
                          </m:rPr>
                          <w:rPr>
                            <w:rFonts w:hint="default" w:ascii="Times New Roman" w:hAnsi="Times New Roman" w:cs="Times New Roman"/>
                            <w:b w:val="0"/>
                            <w:i w:val="0"/>
                            <w:color w:val="auto"/>
                            <w:highlight w:val="none"/>
                          </w:rPr>
                          <m:t>2</m:t>
                        </m:r>
                        <m:ctrlPr>
                          <w:rPr>
                            <w:rFonts w:hint="default" w:ascii="Cambria Math" w:hAnsi="Cambria Math" w:cs="Times New Roman"/>
                            <w:i/>
                            <w:color w:val="auto"/>
                            <w:highlight w:val="none"/>
                          </w:rPr>
                        </m:ctrlPr>
                      </m:sub>
                    </m:sSub>
                    <m:ctrlPr>
                      <w:rPr>
                        <w:rFonts w:hint="default" w:ascii="Cambria Math" w:hAnsi="Cambria Math" w:cs="Times New Roman"/>
                        <w:i/>
                        <w:color w:val="auto"/>
                        <w:highlight w:val="none"/>
                      </w:rPr>
                    </m:ctrlPr>
                  </m:den>
                </m:f>
                <m:r>
                  <m:rPr>
                    <m:nor/>
                    <m:sty m:val="p"/>
                  </m:rPr>
                  <w:rPr>
                    <w:rFonts w:hint="default" w:ascii="Times New Roman" w:hAnsi="Times New Roman" w:cs="Times New Roman"/>
                    <w:b w:val="0"/>
                    <w:i w:val="0"/>
                    <w:color w:val="auto"/>
                    <w:highlight w:val="none"/>
                  </w:rPr>
                  <m:t>+…</m:t>
                </m:r>
                <m:f>
                  <m:fPr>
                    <m:ctrlPr>
                      <w:rPr>
                        <w:rFonts w:hint="default" w:ascii="Cambria Math" w:hAnsi="Cambria Math" w:cs="Times New Roman"/>
                        <w:i/>
                        <w:color w:val="auto"/>
                        <w:highlight w:val="none"/>
                      </w:rPr>
                    </m:ctrlPr>
                  </m:fPr>
                  <m:num>
                    <m:sSub>
                      <m:sSubPr>
                        <m:ctrlPr>
                          <w:rPr>
                            <w:rFonts w:hint="default" w:ascii="Cambria Math" w:hAnsi="Cambria Math" w:cs="Times New Roman"/>
                            <w:i/>
                            <w:color w:val="auto"/>
                            <w:highlight w:val="none"/>
                          </w:rPr>
                        </m:ctrlPr>
                      </m:sSubPr>
                      <m:e>
                        <m:r>
                          <m:rPr>
                            <m:nor/>
                          </m:rPr>
                          <w:rPr>
                            <w:rFonts w:hint="default" w:ascii="Times New Roman" w:hAnsi="Times New Roman" w:cs="Times New Roman"/>
                            <w:i/>
                            <w:color w:val="auto"/>
                            <w:highlight w:val="none"/>
                          </w:rPr>
                          <m:t>q</m:t>
                        </m:r>
                        <m:ctrlPr>
                          <w:rPr>
                            <w:rFonts w:hint="default" w:ascii="Cambria Math" w:hAnsi="Cambria Math" w:cs="Times New Roman"/>
                            <w:i/>
                            <w:color w:val="auto"/>
                            <w:highlight w:val="none"/>
                          </w:rPr>
                        </m:ctrlPr>
                      </m:e>
                      <m:sub>
                        <m:r>
                          <m:rPr>
                            <m:nor/>
                          </m:rPr>
                          <w:rPr>
                            <w:rFonts w:hint="default" w:ascii="Times New Roman" w:hAnsi="Times New Roman" w:cs="Times New Roman"/>
                            <w:i/>
                            <w:color w:val="auto"/>
                            <w:highlight w:val="none"/>
                          </w:rPr>
                          <m:t>n</m:t>
                        </m:r>
                        <m:ctrlPr>
                          <w:rPr>
                            <w:rFonts w:hint="default" w:ascii="Cambria Math" w:hAnsi="Cambria Math" w:cs="Times New Roman"/>
                            <w:i/>
                            <w:color w:val="auto"/>
                            <w:highlight w:val="none"/>
                          </w:rPr>
                        </m:ctrlPr>
                      </m:sub>
                    </m:sSub>
                    <m:ctrlPr>
                      <w:rPr>
                        <w:rFonts w:hint="default" w:ascii="Cambria Math" w:hAnsi="Cambria Math" w:cs="Times New Roman"/>
                        <w:i/>
                        <w:color w:val="auto"/>
                        <w:highlight w:val="none"/>
                      </w:rPr>
                    </m:ctrlPr>
                  </m:num>
                  <m:den>
                    <m:sSub>
                      <m:sSubPr>
                        <m:ctrlPr>
                          <w:rPr>
                            <w:rFonts w:hint="default" w:ascii="Cambria Math" w:hAnsi="Cambria Math" w:cs="Times New Roman"/>
                            <w:i/>
                            <w:color w:val="auto"/>
                            <w:highlight w:val="none"/>
                          </w:rPr>
                        </m:ctrlPr>
                      </m:sSubPr>
                      <m:e>
                        <m:r>
                          <m:rPr>
                            <m:nor/>
                          </m:rPr>
                          <w:rPr>
                            <w:rFonts w:hint="default" w:ascii="Times New Roman" w:hAnsi="Times New Roman" w:cs="Times New Roman"/>
                            <w:i/>
                            <w:color w:val="auto"/>
                            <w:highlight w:val="none"/>
                          </w:rPr>
                          <m:t>Q</m:t>
                        </m:r>
                        <m:ctrlPr>
                          <w:rPr>
                            <w:rFonts w:hint="default" w:ascii="Cambria Math" w:hAnsi="Cambria Math" w:cs="Times New Roman"/>
                            <w:i/>
                            <w:color w:val="auto"/>
                            <w:highlight w:val="none"/>
                          </w:rPr>
                        </m:ctrlPr>
                      </m:e>
                      <m:sub>
                        <m:r>
                          <m:rPr>
                            <m:nor/>
                          </m:rPr>
                          <w:rPr>
                            <w:rFonts w:hint="default" w:ascii="Times New Roman" w:hAnsi="Times New Roman" w:cs="Times New Roman"/>
                            <w:i/>
                            <w:color w:val="auto"/>
                            <w:highlight w:val="none"/>
                          </w:rPr>
                          <m:t>n</m:t>
                        </m:r>
                        <m:ctrlPr>
                          <w:rPr>
                            <w:rFonts w:hint="default" w:ascii="Cambria Math" w:hAnsi="Cambria Math" w:cs="Times New Roman"/>
                            <w:i/>
                            <w:color w:val="auto"/>
                            <w:highlight w:val="none"/>
                          </w:rPr>
                        </m:ctrlPr>
                      </m:sub>
                    </m:sSub>
                    <m:ctrlPr>
                      <w:rPr>
                        <w:rFonts w:hint="default" w:ascii="Cambria Math" w:hAnsi="Cambria Math" w:cs="Times New Roman"/>
                        <w:i/>
                        <w:color w:val="auto"/>
                        <w:highlight w:val="none"/>
                      </w:rPr>
                    </m:ctrlPr>
                  </m:den>
                </m:f>
              </m:oMath>
            </m:oMathPara>
          </w:p>
          <w:p w14:paraId="2D1C6B12">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式中：q1，q2，…，qn——每种危险物质的最大存在总量，t；</w:t>
            </w:r>
          </w:p>
          <w:p w14:paraId="183E9769">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Q1，Q2，…，Qn——每种危险物质的临界量，t。</w:t>
            </w:r>
          </w:p>
          <w:p w14:paraId="3D8A9607">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当Q＜1时，该项目环境风险潜势为Ⅰ。</w:t>
            </w:r>
          </w:p>
          <w:p w14:paraId="32F1C955">
            <w:pPr>
              <w:spacing w:line="360" w:lineRule="auto"/>
              <w:ind w:left="420" w:left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当Q≥1时，将Q值划分为：（1）1≤Q＜10；（2）10≤Q＜100；（3）Q≥100。</w:t>
            </w:r>
          </w:p>
          <w:p w14:paraId="5814805B">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本项目涉及的风险物质主要为废矿物油。本项目风险Q值见下表。</w:t>
            </w:r>
          </w:p>
          <w:p w14:paraId="3CB67597">
            <w:pPr>
              <w:adjustRightInd w:val="0"/>
              <w:snapToGrid w:val="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表4-</w:t>
            </w:r>
            <w:r>
              <w:rPr>
                <w:rFonts w:hint="default" w:ascii="Times New Roman" w:hAnsi="Times New Roman" w:cs="Times New Roman"/>
                <w:b/>
                <w:bCs/>
                <w:color w:val="auto"/>
                <w:szCs w:val="21"/>
                <w:highlight w:val="none"/>
                <w:lang w:val="en-US" w:eastAsia="zh-CN"/>
              </w:rPr>
              <w:t>2</w:t>
            </w:r>
            <w:r>
              <w:rPr>
                <w:rFonts w:hint="eastAsia" w:cs="Times New Roman"/>
                <w:b/>
                <w:bCs/>
                <w:color w:val="auto"/>
                <w:szCs w:val="21"/>
                <w:highlight w:val="none"/>
                <w:lang w:val="en-US" w:eastAsia="zh-CN"/>
              </w:rPr>
              <w:t>2</w:t>
            </w:r>
            <w:r>
              <w:rPr>
                <w:rFonts w:hint="default" w:ascii="Times New Roman" w:hAnsi="Times New Roman" w:cs="Times New Roman"/>
                <w:b/>
                <w:bCs/>
                <w:color w:val="auto"/>
                <w:szCs w:val="21"/>
                <w:highlight w:val="none"/>
              </w:rPr>
              <w:t xml:space="preserve">  建设项目环境风险Q值</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9"/>
              <w:gridCol w:w="1702"/>
              <w:gridCol w:w="1006"/>
              <w:gridCol w:w="1902"/>
              <w:gridCol w:w="1492"/>
              <w:gridCol w:w="1165"/>
            </w:tblGrid>
            <w:tr w14:paraId="408121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7" w:type="pct"/>
                  <w:tcBorders>
                    <w:tl2br w:val="nil"/>
                    <w:tr2bl w:val="nil"/>
                  </w:tcBorders>
                  <w:vAlign w:val="center"/>
                </w:tcPr>
                <w:p w14:paraId="7974E86C">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序号</w:t>
                  </w:r>
                </w:p>
              </w:tc>
              <w:tc>
                <w:tcPr>
                  <w:tcW w:w="1070" w:type="pct"/>
                  <w:tcBorders>
                    <w:tl2br w:val="nil"/>
                    <w:tr2bl w:val="nil"/>
                  </w:tcBorders>
                  <w:vAlign w:val="center"/>
                </w:tcPr>
                <w:p w14:paraId="50145257">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物质名称</w:t>
                  </w:r>
                </w:p>
              </w:tc>
              <w:tc>
                <w:tcPr>
                  <w:tcW w:w="633" w:type="pct"/>
                  <w:tcBorders>
                    <w:tl2br w:val="nil"/>
                    <w:tr2bl w:val="nil"/>
                  </w:tcBorders>
                  <w:vAlign w:val="center"/>
                </w:tcPr>
                <w:p w14:paraId="2C8F84DD">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CAS号</w:t>
                  </w:r>
                </w:p>
              </w:tc>
              <w:tc>
                <w:tcPr>
                  <w:tcW w:w="1196" w:type="pct"/>
                  <w:tcBorders>
                    <w:tl2br w:val="nil"/>
                    <w:tr2bl w:val="nil"/>
                  </w:tcBorders>
                  <w:vAlign w:val="center"/>
                </w:tcPr>
                <w:p w14:paraId="05E634A2">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最大存在量（t）</w:t>
                  </w:r>
                </w:p>
              </w:tc>
              <w:tc>
                <w:tcPr>
                  <w:tcW w:w="938" w:type="pct"/>
                  <w:tcBorders>
                    <w:tl2br w:val="nil"/>
                    <w:tr2bl w:val="nil"/>
                  </w:tcBorders>
                  <w:vAlign w:val="center"/>
                </w:tcPr>
                <w:p w14:paraId="0DEC0B7A">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临界量（t）</w:t>
                  </w:r>
                </w:p>
              </w:tc>
              <w:tc>
                <w:tcPr>
                  <w:tcW w:w="733" w:type="pct"/>
                  <w:tcBorders>
                    <w:tl2br w:val="nil"/>
                    <w:tr2bl w:val="nil"/>
                  </w:tcBorders>
                  <w:vAlign w:val="center"/>
                </w:tcPr>
                <w:p w14:paraId="24CAF0E6">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Q值</w:t>
                  </w:r>
                </w:p>
              </w:tc>
            </w:tr>
            <w:tr w14:paraId="6C18C9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427" w:type="pct"/>
                  <w:tcBorders>
                    <w:tl2br w:val="nil"/>
                    <w:tr2bl w:val="nil"/>
                  </w:tcBorders>
                  <w:vAlign w:val="center"/>
                </w:tcPr>
                <w:p w14:paraId="0F4A973F">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w:t>
                  </w:r>
                </w:p>
              </w:tc>
              <w:tc>
                <w:tcPr>
                  <w:tcW w:w="1070" w:type="pct"/>
                  <w:tcBorders>
                    <w:tl2br w:val="nil"/>
                    <w:tr2bl w:val="nil"/>
                  </w:tcBorders>
                  <w:vAlign w:val="center"/>
                </w:tcPr>
                <w:p w14:paraId="4E575061">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废矿物油</w:t>
                  </w:r>
                </w:p>
              </w:tc>
              <w:tc>
                <w:tcPr>
                  <w:tcW w:w="633" w:type="pct"/>
                  <w:tcBorders>
                    <w:tl2br w:val="nil"/>
                    <w:tr2bl w:val="nil"/>
                  </w:tcBorders>
                  <w:vAlign w:val="center"/>
                </w:tcPr>
                <w:p w14:paraId="25B74EA9">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w:t>
                  </w:r>
                </w:p>
              </w:tc>
              <w:tc>
                <w:tcPr>
                  <w:tcW w:w="1196" w:type="pct"/>
                  <w:tcBorders>
                    <w:tl2br w:val="nil"/>
                    <w:tr2bl w:val="nil"/>
                  </w:tcBorders>
                  <w:vAlign w:val="center"/>
                </w:tcPr>
                <w:p w14:paraId="7F22331C">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0.05</w:t>
                  </w:r>
                </w:p>
              </w:tc>
              <w:tc>
                <w:tcPr>
                  <w:tcW w:w="938" w:type="pct"/>
                  <w:tcBorders>
                    <w:tl2br w:val="nil"/>
                    <w:tr2bl w:val="nil"/>
                  </w:tcBorders>
                  <w:vAlign w:val="center"/>
                </w:tcPr>
                <w:p w14:paraId="682565A8">
                  <w:pPr>
                    <w:pStyle w:val="78"/>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2500</w:t>
                  </w:r>
                </w:p>
              </w:tc>
              <w:tc>
                <w:tcPr>
                  <w:tcW w:w="733" w:type="pct"/>
                  <w:tcBorders>
                    <w:tl2br w:val="nil"/>
                    <w:tr2bl w:val="nil"/>
                  </w:tcBorders>
                  <w:vAlign w:val="center"/>
                </w:tcPr>
                <w:p w14:paraId="177054E9">
                  <w:pPr>
                    <w:pStyle w:val="78"/>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rPr>
                    <w:t>0.00</w:t>
                  </w:r>
                  <w:r>
                    <w:rPr>
                      <w:rFonts w:hint="default" w:ascii="Times New Roman" w:hAnsi="Times New Roman" w:cs="Times New Roman"/>
                      <w:color w:val="auto"/>
                      <w:kern w:val="2"/>
                      <w:sz w:val="18"/>
                      <w:szCs w:val="18"/>
                      <w:highlight w:val="none"/>
                      <w:lang w:val="en-US" w:eastAsia="zh-CN"/>
                    </w:rPr>
                    <w:t>002</w:t>
                  </w:r>
                </w:p>
              </w:tc>
            </w:tr>
          </w:tbl>
          <w:p w14:paraId="41F561D8">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本项目Q为0.0</w:t>
            </w:r>
            <w:r>
              <w:rPr>
                <w:rFonts w:hint="default" w:ascii="Times New Roman" w:hAnsi="Times New Roman" w:cs="Times New Roman"/>
                <w:color w:val="auto"/>
                <w:kern w:val="18"/>
                <w:szCs w:val="21"/>
                <w:highlight w:val="none"/>
                <w:lang w:val="en-US" w:eastAsia="zh-CN"/>
              </w:rPr>
              <w:t>0002</w:t>
            </w:r>
            <w:r>
              <w:rPr>
                <w:rFonts w:hint="default" w:ascii="Times New Roman" w:hAnsi="Times New Roman" w:cs="Times New Roman"/>
                <w:color w:val="auto"/>
                <w:kern w:val="18"/>
                <w:szCs w:val="21"/>
                <w:highlight w:val="none"/>
              </w:rPr>
              <w:t>＜1，根据《建设项目环境风险评价技术导则》（HJ169-2018）中表1的评价分级原则，风险潜势为I，可开展简单分析。</w:t>
            </w:r>
          </w:p>
          <w:p w14:paraId="47822FC9">
            <w:pPr>
              <w:spacing w:line="360" w:lineRule="auto"/>
              <w:ind w:firstLine="422" w:firstLineChars="200"/>
              <w:rPr>
                <w:rFonts w:hint="default" w:ascii="Times New Roman" w:hAnsi="Times New Roman" w:cs="Times New Roman"/>
                <w:b/>
                <w:bCs/>
                <w:color w:val="auto"/>
                <w:kern w:val="18"/>
                <w:szCs w:val="21"/>
                <w:highlight w:val="none"/>
              </w:rPr>
            </w:pPr>
            <w:r>
              <w:rPr>
                <w:rFonts w:hint="default" w:ascii="Times New Roman" w:hAnsi="Times New Roman" w:cs="Times New Roman"/>
                <w:b/>
                <w:bCs/>
                <w:color w:val="auto"/>
                <w:kern w:val="18"/>
                <w:szCs w:val="21"/>
                <w:highlight w:val="none"/>
              </w:rPr>
              <w:t>2、环境风险因素识别</w:t>
            </w:r>
          </w:p>
          <w:p w14:paraId="5B92D7B5">
            <w:pPr>
              <w:spacing w:line="360" w:lineRule="auto"/>
              <w:ind w:firstLine="422" w:firstLineChars="200"/>
              <w:rPr>
                <w:rFonts w:hint="default" w:ascii="Times New Roman" w:hAnsi="Times New Roman" w:cs="Times New Roman"/>
                <w:b/>
                <w:bCs/>
                <w:color w:val="auto"/>
                <w:kern w:val="18"/>
                <w:szCs w:val="21"/>
                <w:highlight w:val="none"/>
              </w:rPr>
            </w:pPr>
            <w:r>
              <w:rPr>
                <w:rFonts w:hint="default" w:ascii="Times New Roman" w:hAnsi="Times New Roman" w:cs="Times New Roman"/>
                <w:b/>
                <w:bCs/>
                <w:color w:val="auto"/>
                <w:kern w:val="18"/>
                <w:szCs w:val="21"/>
                <w:highlight w:val="none"/>
              </w:rPr>
              <w:t>（2）建设项目风险物质分布情况及主要影响途径</w:t>
            </w:r>
          </w:p>
          <w:p w14:paraId="18D4E465">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危险物质分布：本项目危险物质主要为废矿物油，暂存于</w:t>
            </w:r>
            <w:r>
              <w:rPr>
                <w:rFonts w:hint="default" w:ascii="Times New Roman" w:hAnsi="Times New Roman" w:cs="Times New Roman"/>
                <w:color w:val="auto"/>
                <w:kern w:val="18"/>
                <w:szCs w:val="21"/>
                <w:highlight w:val="none"/>
                <w:lang w:eastAsia="zh-CN"/>
              </w:rPr>
              <w:t>危废</w:t>
            </w:r>
            <w:r>
              <w:rPr>
                <w:rFonts w:hint="eastAsia" w:cs="Times New Roman"/>
                <w:color w:val="auto"/>
                <w:kern w:val="18"/>
                <w:szCs w:val="21"/>
                <w:highlight w:val="none"/>
                <w:lang w:eastAsia="zh-CN"/>
              </w:rPr>
              <w:t>贮存点</w:t>
            </w:r>
            <w:r>
              <w:rPr>
                <w:rFonts w:hint="default" w:ascii="Times New Roman" w:hAnsi="Times New Roman" w:cs="Times New Roman"/>
                <w:color w:val="auto"/>
                <w:kern w:val="18"/>
                <w:szCs w:val="21"/>
                <w:highlight w:val="none"/>
              </w:rPr>
              <w:t>。由于其燃、爆性，存在泄漏、爆炸、火灾等风险，主要原因是</w:t>
            </w:r>
            <w:r>
              <w:rPr>
                <w:rFonts w:hint="default" w:ascii="Times New Roman" w:hAnsi="Times New Roman" w:cs="Times New Roman"/>
                <w:color w:val="auto"/>
                <w:kern w:val="18"/>
                <w:szCs w:val="21"/>
                <w:highlight w:val="none"/>
                <w:lang w:eastAsia="zh-CN"/>
              </w:rPr>
              <w:t>危废</w:t>
            </w:r>
            <w:r>
              <w:rPr>
                <w:rFonts w:hint="eastAsia" w:cs="Times New Roman"/>
                <w:color w:val="auto"/>
                <w:kern w:val="18"/>
                <w:szCs w:val="21"/>
                <w:highlight w:val="none"/>
                <w:lang w:eastAsia="zh-CN"/>
              </w:rPr>
              <w:t>贮存点</w:t>
            </w:r>
            <w:r>
              <w:rPr>
                <w:rFonts w:hint="default" w:ascii="Times New Roman" w:hAnsi="Times New Roman" w:cs="Times New Roman"/>
                <w:color w:val="auto"/>
                <w:kern w:val="18"/>
                <w:szCs w:val="21"/>
                <w:highlight w:val="none"/>
              </w:rPr>
              <w:t>发生泄露，基础工程不合格，地面腐蚀及违规操作、管理不善、自然灾害等。一旦发生泄漏、爆炸、火灾等风险，将对大气和地下水造成影响。</w:t>
            </w:r>
          </w:p>
          <w:p w14:paraId="61BC740E">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可能影响途径：对于突发性的泄漏，影响其挥发速度的主要因素为蒸汽压、现场风速、溢出面积等。项目废矿物油暂存于</w:t>
            </w:r>
            <w:r>
              <w:rPr>
                <w:rFonts w:hint="default" w:ascii="Times New Roman" w:hAnsi="Times New Roman" w:cs="Times New Roman"/>
                <w:color w:val="auto"/>
                <w:kern w:val="18"/>
                <w:szCs w:val="21"/>
                <w:highlight w:val="none"/>
                <w:lang w:eastAsia="zh-CN"/>
              </w:rPr>
              <w:t>危废</w:t>
            </w:r>
            <w:r>
              <w:rPr>
                <w:rFonts w:hint="eastAsia" w:cs="Times New Roman"/>
                <w:color w:val="auto"/>
                <w:kern w:val="18"/>
                <w:szCs w:val="21"/>
                <w:highlight w:val="none"/>
                <w:lang w:eastAsia="zh-CN"/>
              </w:rPr>
              <w:t>贮存点</w:t>
            </w:r>
            <w:r>
              <w:rPr>
                <w:rFonts w:hint="default" w:ascii="Times New Roman" w:hAnsi="Times New Roman" w:cs="Times New Roman"/>
                <w:color w:val="auto"/>
                <w:kern w:val="18"/>
                <w:szCs w:val="21"/>
                <w:highlight w:val="none"/>
              </w:rPr>
              <w:t>内，一旦发生渗漏与溢出事故时，由于设置管理人员，可及时发现，渗漏量较小，再由于受</w:t>
            </w:r>
            <w:r>
              <w:rPr>
                <w:rFonts w:hint="default" w:ascii="Times New Roman" w:hAnsi="Times New Roman" w:cs="Times New Roman"/>
                <w:color w:val="auto"/>
                <w:kern w:val="18"/>
                <w:szCs w:val="21"/>
                <w:highlight w:val="none"/>
                <w:lang w:eastAsia="zh-CN"/>
              </w:rPr>
              <w:t>地面</w:t>
            </w:r>
            <w:r>
              <w:rPr>
                <w:rFonts w:hint="default" w:ascii="Times New Roman" w:hAnsi="Times New Roman" w:cs="Times New Roman"/>
                <w:color w:val="auto"/>
                <w:kern w:val="18"/>
                <w:szCs w:val="21"/>
                <w:highlight w:val="none"/>
              </w:rPr>
              <w:t>防渗层的保护，渗漏出的原料将积聚在车间内。不会造成大面积的扩散，对大气环境影响较小，同时应禁止明火。</w:t>
            </w:r>
          </w:p>
          <w:p w14:paraId="5E42E9F9">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防渗层破损导致原料泄漏对地下水的污染较为严重，地下水一旦遭到污染，将使地下水产生影响，根本无法饮用。又由于这种渗漏必然穿过较厚的土壤层，使土壤层中吸附的有机污染物还会随着地表水的下渗对土壤层的冲刷作用补充到地下水，这样即便污染源得到及时控制，地下水要完全恢复也需几十年甚至上百年的时间。</w:t>
            </w:r>
          </w:p>
          <w:p w14:paraId="32111DC5">
            <w:pPr>
              <w:spacing w:line="360" w:lineRule="auto"/>
              <w:ind w:firstLine="422" w:firstLineChars="200"/>
              <w:rPr>
                <w:rFonts w:hint="default" w:ascii="Times New Roman" w:hAnsi="Times New Roman" w:cs="Times New Roman"/>
                <w:b/>
                <w:bCs/>
                <w:color w:val="auto"/>
                <w:kern w:val="18"/>
                <w:szCs w:val="21"/>
                <w:highlight w:val="none"/>
              </w:rPr>
            </w:pPr>
            <w:r>
              <w:rPr>
                <w:rFonts w:hint="default" w:ascii="Times New Roman" w:hAnsi="Times New Roman" w:cs="Times New Roman"/>
                <w:b/>
                <w:bCs/>
                <w:color w:val="auto"/>
                <w:kern w:val="18"/>
                <w:szCs w:val="21"/>
                <w:highlight w:val="none"/>
              </w:rPr>
              <w:t>（3）环境风险防范措施及管控要求</w:t>
            </w:r>
          </w:p>
          <w:p w14:paraId="02EADD8F">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本项目</w:t>
            </w:r>
            <w:r>
              <w:rPr>
                <w:rFonts w:hint="default" w:ascii="Times New Roman" w:hAnsi="Times New Roman" w:cs="Times New Roman"/>
                <w:color w:val="auto"/>
                <w:kern w:val="18"/>
                <w:szCs w:val="21"/>
                <w:highlight w:val="none"/>
                <w:lang w:eastAsia="zh-CN"/>
              </w:rPr>
              <w:t>危废</w:t>
            </w:r>
            <w:r>
              <w:rPr>
                <w:rFonts w:hint="eastAsia" w:cs="Times New Roman"/>
                <w:color w:val="auto"/>
                <w:kern w:val="18"/>
                <w:szCs w:val="21"/>
                <w:highlight w:val="none"/>
                <w:lang w:eastAsia="zh-CN"/>
              </w:rPr>
              <w:t>贮存点</w:t>
            </w:r>
            <w:r>
              <w:rPr>
                <w:rFonts w:hint="default" w:ascii="Times New Roman" w:hAnsi="Times New Roman" w:cs="Times New Roman"/>
                <w:color w:val="auto"/>
                <w:kern w:val="18"/>
                <w:szCs w:val="21"/>
                <w:highlight w:val="none"/>
              </w:rPr>
              <w:t>采取重点防渗措施，</w:t>
            </w:r>
            <w:r>
              <w:rPr>
                <w:rFonts w:hint="default" w:ascii="Times New Roman" w:hAnsi="Times New Roman" w:cs="Times New Roman"/>
                <w:color w:val="auto"/>
                <w:spacing w:val="-2"/>
                <w:szCs w:val="21"/>
                <w:highlight w:val="none"/>
                <w:lang w:eastAsia="zh-CN"/>
              </w:rPr>
              <w:t>采取抗渗钢纤维混凝土或高密度聚乙烯膜(HDPE)进行防渗，防渗技术要求达到等效黏土防渗层Mb≥6.0m</w:t>
            </w:r>
            <w:r>
              <w:rPr>
                <w:rFonts w:hint="eastAsia" w:cs="Times New Roman"/>
                <w:color w:val="auto"/>
                <w:spacing w:val="-2"/>
                <w:szCs w:val="21"/>
                <w:highlight w:val="none"/>
                <w:lang w:eastAsia="zh-CN"/>
              </w:rPr>
              <w:t>，</w:t>
            </w:r>
            <w:r>
              <w:rPr>
                <w:rFonts w:hint="default" w:ascii="Times New Roman" w:hAnsi="Times New Roman" w:cs="Times New Roman"/>
                <w:color w:val="auto"/>
                <w:spacing w:val="-2"/>
                <w:szCs w:val="21"/>
                <w:highlight w:val="none"/>
                <w:lang w:eastAsia="zh-CN"/>
              </w:rPr>
              <w:t>K≤1×10</w:t>
            </w:r>
            <w:r>
              <w:rPr>
                <w:rFonts w:hint="default" w:ascii="Times New Roman" w:hAnsi="Times New Roman" w:cs="Times New Roman"/>
                <w:color w:val="auto"/>
                <w:spacing w:val="-2"/>
                <w:szCs w:val="21"/>
                <w:highlight w:val="none"/>
                <w:vertAlign w:val="superscript"/>
                <w:lang w:eastAsia="zh-CN"/>
              </w:rPr>
              <w:t>-7</w:t>
            </w:r>
            <w:r>
              <w:rPr>
                <w:rFonts w:hint="default" w:ascii="Times New Roman" w:hAnsi="Times New Roman" w:cs="Times New Roman"/>
                <w:color w:val="auto"/>
                <w:spacing w:val="-2"/>
                <w:szCs w:val="21"/>
                <w:highlight w:val="none"/>
                <w:lang w:eastAsia="zh-CN"/>
              </w:rPr>
              <w:t>cm/s的要求；危险废物贮库建设严格按照《危险废物贮存污染控制标准》(GB18597-2023)中相关规定进行设置，地面防渗、裙脚防渗，防渗层为至少1米厚粘土层(渗透系数≤10</w:t>
            </w:r>
            <w:r>
              <w:rPr>
                <w:rFonts w:hint="default" w:ascii="Times New Roman" w:hAnsi="Times New Roman" w:cs="Times New Roman"/>
                <w:color w:val="auto"/>
                <w:spacing w:val="-2"/>
                <w:szCs w:val="21"/>
                <w:highlight w:val="none"/>
                <w:vertAlign w:val="superscript"/>
                <w:lang w:eastAsia="zh-CN"/>
              </w:rPr>
              <w:t>-7</w:t>
            </w:r>
            <w:r>
              <w:rPr>
                <w:rFonts w:hint="default" w:ascii="Times New Roman" w:hAnsi="Times New Roman" w:cs="Times New Roman"/>
                <w:color w:val="auto"/>
                <w:spacing w:val="-2"/>
                <w:szCs w:val="21"/>
                <w:highlight w:val="none"/>
                <w:lang w:eastAsia="zh-CN"/>
              </w:rPr>
              <w:t>cm/s)</w:t>
            </w:r>
            <w:r>
              <w:rPr>
                <w:rFonts w:hint="eastAsia" w:cs="Times New Roman"/>
                <w:color w:val="auto"/>
                <w:spacing w:val="-2"/>
                <w:szCs w:val="21"/>
                <w:highlight w:val="none"/>
                <w:lang w:eastAsia="zh-CN"/>
              </w:rPr>
              <w:t>，</w:t>
            </w:r>
            <w:r>
              <w:rPr>
                <w:rFonts w:hint="default" w:ascii="Times New Roman" w:hAnsi="Times New Roman" w:cs="Times New Roman"/>
                <w:color w:val="auto"/>
                <w:spacing w:val="-2"/>
                <w:szCs w:val="21"/>
                <w:highlight w:val="none"/>
                <w:lang w:eastAsia="zh-CN"/>
              </w:rPr>
              <w:t>或2mm厚高密度聚乙烯膜等人工防渗材料(渗透系数≤10</w:t>
            </w:r>
            <w:r>
              <w:rPr>
                <w:rFonts w:hint="default" w:ascii="Times New Roman" w:hAnsi="Times New Roman" w:cs="Times New Roman"/>
                <w:color w:val="auto"/>
                <w:spacing w:val="-2"/>
                <w:szCs w:val="21"/>
                <w:highlight w:val="none"/>
                <w:vertAlign w:val="superscript"/>
                <w:lang w:eastAsia="zh-CN"/>
              </w:rPr>
              <w:t>-10</w:t>
            </w:r>
            <w:r>
              <w:rPr>
                <w:rFonts w:hint="default" w:ascii="Times New Roman" w:hAnsi="Times New Roman" w:cs="Times New Roman"/>
                <w:color w:val="auto"/>
                <w:spacing w:val="-2"/>
                <w:szCs w:val="21"/>
                <w:highlight w:val="none"/>
                <w:lang w:eastAsia="zh-CN"/>
              </w:rPr>
              <w:t>cm/s)</w:t>
            </w:r>
            <w:r>
              <w:rPr>
                <w:rFonts w:hint="eastAsia" w:cs="Times New Roman"/>
                <w:color w:val="auto"/>
                <w:spacing w:val="-2"/>
                <w:szCs w:val="21"/>
                <w:highlight w:val="none"/>
                <w:lang w:eastAsia="zh-CN"/>
              </w:rPr>
              <w:t>，</w:t>
            </w:r>
            <w:r>
              <w:rPr>
                <w:rFonts w:hint="default" w:ascii="Times New Roman" w:hAnsi="Times New Roman" w:cs="Times New Roman"/>
                <w:color w:val="auto"/>
                <w:spacing w:val="-2"/>
                <w:szCs w:val="21"/>
                <w:highlight w:val="none"/>
                <w:lang w:eastAsia="zh-CN"/>
              </w:rPr>
              <w:t>并设置20cm高围堰。</w:t>
            </w:r>
            <w:r>
              <w:rPr>
                <w:rFonts w:hint="default" w:ascii="Times New Roman" w:hAnsi="Times New Roman" w:cs="Times New Roman"/>
                <w:color w:val="auto"/>
                <w:kern w:val="18"/>
                <w:szCs w:val="21"/>
                <w:highlight w:val="none"/>
              </w:rPr>
              <w:t>不同类型的危险废物不能混合贮存。不相容危险废物要分别存放或存放在不渗透间隔分开的区域内，每个部分都应有防漏裙角，地面与裙角要用坚固、防渗材料建造，且必须与危险废物相容，地面与裙角所围建的容积不低于堵截最大容器的最大储量或总储量的1/5，并设置警示标识。危险废物采用专用包装物包装后暂存在专用库房中；设置危险废物管理档案，详细记录出、入库情况，做到“责任落实到个人”；设置专人负责危险废物的收集、厂内运输、入库和出库。同时</w:t>
            </w:r>
            <w:r>
              <w:rPr>
                <w:rFonts w:hint="default" w:ascii="Times New Roman" w:hAnsi="Times New Roman" w:cs="Times New Roman"/>
                <w:color w:val="auto"/>
                <w:kern w:val="18"/>
                <w:szCs w:val="21"/>
                <w:highlight w:val="none"/>
                <w:lang w:eastAsia="zh-CN"/>
              </w:rPr>
              <w:t>危废</w:t>
            </w:r>
            <w:r>
              <w:rPr>
                <w:rFonts w:hint="eastAsia" w:cs="Times New Roman"/>
                <w:color w:val="auto"/>
                <w:kern w:val="18"/>
                <w:szCs w:val="21"/>
                <w:highlight w:val="none"/>
                <w:lang w:eastAsia="zh-CN"/>
              </w:rPr>
              <w:t>贮存点</w:t>
            </w:r>
            <w:r>
              <w:rPr>
                <w:rFonts w:hint="default" w:ascii="Times New Roman" w:hAnsi="Times New Roman" w:cs="Times New Roman"/>
                <w:color w:val="auto"/>
                <w:kern w:val="18"/>
                <w:szCs w:val="21"/>
                <w:highlight w:val="none"/>
              </w:rPr>
              <w:t>注意加强管理，禁止明火。</w:t>
            </w:r>
          </w:p>
          <w:p w14:paraId="32951172">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泄漏事故应急措施：</w:t>
            </w:r>
          </w:p>
          <w:p w14:paraId="0A87CE2E">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迅速撤离泄漏污染区人员至安全区，并进行隔离，严格限制出入。切断火源。建议应急处理人员戴自给正压式呼吸器，穿防毒服。尽可能切断泄漏源。防止流入下水道、排洪沟等限制性空间。小量泄漏：用砂土、蛭石或其它惰性材料吸收。</w:t>
            </w:r>
          </w:p>
          <w:p w14:paraId="6A3DEEDB">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大量泄漏：</w:t>
            </w:r>
          </w:p>
          <w:p w14:paraId="6E034CAE">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构筑围堤或挖坑收容。撒湿冰或冰水冷却。用防爆泵转移至槽车或专用收集器内，回收或运至废物处理场所处置。</w:t>
            </w:r>
          </w:p>
          <w:p w14:paraId="3CEDF243">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风险管控措施：</w:t>
            </w:r>
          </w:p>
          <w:p w14:paraId="759C241D">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环境安全管理制度：制定日常环境安全检查管理制度，要求分工明确，定期进行隐患排查，形成规章制度，落实到人；</w:t>
            </w:r>
          </w:p>
          <w:p w14:paraId="0C8FF362">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重要设施检测维护制度：</w:t>
            </w:r>
          </w:p>
          <w:p w14:paraId="201DF51B">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对供水、供电、火灾报警、监控等设施进行日常检查，填写检查记录，发现问题</w:t>
            </w:r>
          </w:p>
          <w:p w14:paraId="1E74FE7E">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及时上报，限时整改；对事故处置装备、设施、物资进行定期巡查、补充。</w:t>
            </w:r>
          </w:p>
          <w:p w14:paraId="0575EAB4">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环境风险评估制度：</w:t>
            </w:r>
          </w:p>
          <w:p w14:paraId="4B14A264">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定期进行场内环境风险评估，制定突发环境事件应急预案。</w:t>
            </w:r>
          </w:p>
          <w:p w14:paraId="16579FCA">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日常环境监测制度：</w:t>
            </w:r>
          </w:p>
          <w:p w14:paraId="74B07B74">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进行定期的环境监测，保证各设备的环保达标排放。</w:t>
            </w:r>
          </w:p>
          <w:p w14:paraId="21615DE0">
            <w:pPr>
              <w:spacing w:line="360" w:lineRule="auto"/>
              <w:ind w:firstLine="422" w:firstLineChars="200"/>
              <w:rPr>
                <w:rFonts w:hint="default" w:ascii="Times New Roman" w:hAnsi="Times New Roman" w:cs="Times New Roman"/>
                <w:b/>
                <w:bCs/>
                <w:color w:val="auto"/>
                <w:kern w:val="18"/>
                <w:szCs w:val="21"/>
                <w:highlight w:val="none"/>
              </w:rPr>
            </w:pPr>
            <w:r>
              <w:rPr>
                <w:rFonts w:hint="default" w:ascii="Times New Roman" w:hAnsi="Times New Roman" w:cs="Times New Roman"/>
                <w:b/>
                <w:bCs/>
                <w:color w:val="auto"/>
                <w:kern w:val="18"/>
                <w:szCs w:val="21"/>
                <w:highlight w:val="none"/>
              </w:rPr>
              <w:t>（4）环境风险分析</w:t>
            </w:r>
          </w:p>
          <w:p w14:paraId="078AAD9B">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1）对大气环境的污染</w:t>
            </w:r>
          </w:p>
          <w:p w14:paraId="66F1279F">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废矿物油暂存于</w:t>
            </w:r>
            <w:r>
              <w:rPr>
                <w:rFonts w:hint="default" w:ascii="Times New Roman" w:hAnsi="Times New Roman" w:cs="Times New Roman"/>
                <w:color w:val="auto"/>
                <w:kern w:val="18"/>
                <w:szCs w:val="21"/>
                <w:highlight w:val="none"/>
                <w:lang w:eastAsia="zh-CN"/>
              </w:rPr>
              <w:t>危废</w:t>
            </w:r>
            <w:r>
              <w:rPr>
                <w:rFonts w:hint="eastAsia" w:cs="Times New Roman"/>
                <w:color w:val="auto"/>
                <w:kern w:val="18"/>
                <w:szCs w:val="21"/>
                <w:highlight w:val="none"/>
                <w:lang w:eastAsia="zh-CN"/>
              </w:rPr>
              <w:t>贮存点</w:t>
            </w:r>
            <w:r>
              <w:rPr>
                <w:rFonts w:hint="default" w:ascii="Times New Roman" w:hAnsi="Times New Roman" w:cs="Times New Roman"/>
                <w:color w:val="auto"/>
                <w:kern w:val="18"/>
                <w:szCs w:val="21"/>
                <w:highlight w:val="none"/>
              </w:rPr>
              <w:t>，一旦发生渗漏与溢出事故时，由于设置管理人员，可及时发现渗漏，渗漏量较小，再由于受</w:t>
            </w:r>
            <w:r>
              <w:rPr>
                <w:rFonts w:hint="default" w:ascii="Times New Roman" w:hAnsi="Times New Roman" w:cs="Times New Roman"/>
                <w:color w:val="auto"/>
                <w:kern w:val="18"/>
                <w:szCs w:val="21"/>
                <w:highlight w:val="none"/>
                <w:lang w:eastAsia="zh-CN"/>
              </w:rPr>
              <w:t>危废</w:t>
            </w:r>
            <w:r>
              <w:rPr>
                <w:rFonts w:hint="eastAsia" w:cs="Times New Roman"/>
                <w:color w:val="auto"/>
                <w:kern w:val="18"/>
                <w:szCs w:val="21"/>
                <w:highlight w:val="none"/>
                <w:lang w:eastAsia="zh-CN"/>
              </w:rPr>
              <w:t>贮存点</w:t>
            </w:r>
            <w:r>
              <w:rPr>
                <w:rFonts w:hint="default" w:ascii="Times New Roman" w:hAnsi="Times New Roman" w:cs="Times New Roman"/>
                <w:color w:val="auto"/>
                <w:kern w:val="18"/>
                <w:szCs w:val="21"/>
                <w:highlight w:val="none"/>
              </w:rPr>
              <w:t>的的保护，渗漏出的废机油将积聚在</w:t>
            </w:r>
            <w:r>
              <w:rPr>
                <w:rFonts w:hint="default" w:ascii="Times New Roman" w:hAnsi="Times New Roman" w:cs="Times New Roman"/>
                <w:color w:val="auto"/>
                <w:kern w:val="18"/>
                <w:szCs w:val="21"/>
                <w:highlight w:val="none"/>
                <w:lang w:eastAsia="zh-CN"/>
              </w:rPr>
              <w:t>危废</w:t>
            </w:r>
            <w:r>
              <w:rPr>
                <w:rFonts w:hint="eastAsia" w:cs="Times New Roman"/>
                <w:color w:val="auto"/>
                <w:kern w:val="18"/>
                <w:szCs w:val="21"/>
                <w:highlight w:val="none"/>
                <w:lang w:eastAsia="zh-CN"/>
              </w:rPr>
              <w:t>贮存点</w:t>
            </w:r>
            <w:r>
              <w:rPr>
                <w:rFonts w:hint="default" w:ascii="Times New Roman" w:hAnsi="Times New Roman" w:cs="Times New Roman"/>
                <w:color w:val="auto"/>
                <w:kern w:val="18"/>
                <w:szCs w:val="21"/>
                <w:highlight w:val="none"/>
              </w:rPr>
              <w:t>。</w:t>
            </w:r>
            <w:r>
              <w:rPr>
                <w:rFonts w:hint="default" w:ascii="Times New Roman" w:hAnsi="Times New Roman" w:cs="Times New Roman"/>
                <w:color w:val="auto"/>
                <w:spacing w:val="-2"/>
                <w:szCs w:val="21"/>
                <w:highlight w:val="none"/>
                <w:lang w:eastAsia="zh-CN"/>
              </w:rPr>
              <w:t>危险废物贮库建设严格按照《危险废物贮存污染控制标准》(GB18597-2023)中相关规定进行设置，地面防渗、裙脚防渗，防渗层为至少1米厚粘土层(渗透系数≤10</w:t>
            </w:r>
            <w:r>
              <w:rPr>
                <w:rFonts w:hint="default" w:ascii="Times New Roman" w:hAnsi="Times New Roman" w:cs="Times New Roman"/>
                <w:color w:val="auto"/>
                <w:spacing w:val="-2"/>
                <w:szCs w:val="21"/>
                <w:highlight w:val="none"/>
                <w:vertAlign w:val="superscript"/>
                <w:lang w:eastAsia="zh-CN"/>
              </w:rPr>
              <w:t>-7</w:t>
            </w:r>
            <w:r>
              <w:rPr>
                <w:rFonts w:hint="default" w:ascii="Times New Roman" w:hAnsi="Times New Roman" w:cs="Times New Roman"/>
                <w:color w:val="auto"/>
                <w:spacing w:val="-2"/>
                <w:szCs w:val="21"/>
                <w:highlight w:val="none"/>
                <w:lang w:eastAsia="zh-CN"/>
              </w:rPr>
              <w:t>cm/s)</w:t>
            </w:r>
            <w:r>
              <w:rPr>
                <w:rFonts w:hint="eastAsia" w:cs="Times New Roman"/>
                <w:color w:val="auto"/>
                <w:spacing w:val="-2"/>
                <w:szCs w:val="21"/>
                <w:highlight w:val="none"/>
                <w:lang w:eastAsia="zh-CN"/>
              </w:rPr>
              <w:t>，</w:t>
            </w:r>
            <w:r>
              <w:rPr>
                <w:rFonts w:hint="default" w:ascii="Times New Roman" w:hAnsi="Times New Roman" w:cs="Times New Roman"/>
                <w:color w:val="auto"/>
                <w:spacing w:val="-2"/>
                <w:szCs w:val="21"/>
                <w:highlight w:val="none"/>
                <w:lang w:eastAsia="zh-CN"/>
              </w:rPr>
              <w:t>或2mm厚高密度聚乙烯膜等人工防渗材料(渗透系数≤10</w:t>
            </w:r>
            <w:r>
              <w:rPr>
                <w:rFonts w:hint="default" w:ascii="Times New Roman" w:hAnsi="Times New Roman" w:cs="Times New Roman"/>
                <w:color w:val="auto"/>
                <w:spacing w:val="-2"/>
                <w:szCs w:val="21"/>
                <w:highlight w:val="none"/>
                <w:vertAlign w:val="superscript"/>
                <w:lang w:eastAsia="zh-CN"/>
              </w:rPr>
              <w:t>-10</w:t>
            </w:r>
            <w:r>
              <w:rPr>
                <w:rFonts w:hint="default" w:ascii="Times New Roman" w:hAnsi="Times New Roman" w:cs="Times New Roman"/>
                <w:color w:val="auto"/>
                <w:spacing w:val="-2"/>
                <w:szCs w:val="21"/>
                <w:highlight w:val="none"/>
                <w:lang w:eastAsia="zh-CN"/>
              </w:rPr>
              <w:t>cm/s)</w:t>
            </w:r>
            <w:r>
              <w:rPr>
                <w:rFonts w:hint="eastAsia" w:cs="Times New Roman"/>
                <w:color w:val="auto"/>
                <w:spacing w:val="-2"/>
                <w:szCs w:val="21"/>
                <w:highlight w:val="none"/>
                <w:lang w:eastAsia="zh-CN"/>
              </w:rPr>
              <w:t>，</w:t>
            </w:r>
            <w:r>
              <w:rPr>
                <w:rFonts w:hint="default" w:ascii="Times New Roman" w:hAnsi="Times New Roman" w:cs="Times New Roman"/>
                <w:color w:val="auto"/>
                <w:spacing w:val="-2"/>
                <w:szCs w:val="21"/>
                <w:highlight w:val="none"/>
                <w:lang w:eastAsia="zh-CN"/>
              </w:rPr>
              <w:t>并设置20cm高围堰。</w:t>
            </w:r>
            <w:r>
              <w:rPr>
                <w:rFonts w:hint="default" w:ascii="Times New Roman" w:hAnsi="Times New Roman" w:cs="Times New Roman"/>
                <w:color w:val="auto"/>
                <w:kern w:val="18"/>
                <w:szCs w:val="21"/>
                <w:highlight w:val="none"/>
              </w:rPr>
              <w:t>较为密闭，不会造成大面积的扩散，对大气环境影响较小，同时</w:t>
            </w:r>
            <w:r>
              <w:rPr>
                <w:rFonts w:hint="default" w:ascii="Times New Roman" w:hAnsi="Times New Roman" w:cs="Times New Roman"/>
                <w:color w:val="auto"/>
                <w:kern w:val="18"/>
                <w:szCs w:val="21"/>
                <w:highlight w:val="none"/>
                <w:lang w:eastAsia="zh-CN"/>
              </w:rPr>
              <w:t>危废</w:t>
            </w:r>
            <w:r>
              <w:rPr>
                <w:rFonts w:hint="eastAsia" w:cs="Times New Roman"/>
                <w:color w:val="auto"/>
                <w:kern w:val="18"/>
                <w:szCs w:val="21"/>
                <w:highlight w:val="none"/>
                <w:lang w:eastAsia="zh-CN"/>
              </w:rPr>
              <w:t>贮存点</w:t>
            </w:r>
            <w:r>
              <w:rPr>
                <w:rFonts w:hint="default" w:ascii="Times New Roman" w:hAnsi="Times New Roman" w:cs="Times New Roman"/>
                <w:color w:val="auto"/>
                <w:kern w:val="18"/>
                <w:szCs w:val="21"/>
                <w:highlight w:val="none"/>
              </w:rPr>
              <w:t>应禁止明火。</w:t>
            </w:r>
          </w:p>
          <w:p w14:paraId="31D3D0DB">
            <w:pPr>
              <w:spacing w:line="360" w:lineRule="auto"/>
              <w:ind w:firstLine="420" w:firstLineChars="200"/>
              <w:rPr>
                <w:rFonts w:hint="default" w:ascii="Times New Roman" w:hAnsi="Times New Roman" w:cs="Times New Roman"/>
                <w:color w:val="auto"/>
                <w:kern w:val="18"/>
                <w:szCs w:val="21"/>
                <w:highlight w:val="none"/>
              </w:rPr>
            </w:pPr>
            <w:r>
              <w:rPr>
                <w:rFonts w:hint="default" w:ascii="Times New Roman" w:hAnsi="Times New Roman" w:cs="Times New Roman"/>
                <w:color w:val="auto"/>
                <w:kern w:val="18"/>
                <w:szCs w:val="21"/>
                <w:highlight w:val="none"/>
              </w:rPr>
              <w:t>2）对地下水的污染</w:t>
            </w:r>
          </w:p>
          <w:p w14:paraId="782FAE30">
            <w:pPr>
              <w:spacing w:line="360" w:lineRule="auto"/>
              <w:ind w:firstLine="420" w:firstLineChars="200"/>
              <w:rPr>
                <w:rFonts w:hint="default" w:ascii="Times New Roman" w:hAnsi="Times New Roman" w:cs="Times New Roman"/>
                <w:color w:val="auto"/>
                <w:kern w:val="18"/>
                <w:szCs w:val="21"/>
                <w:highlight w:val="none"/>
                <w:lang w:val="en-US" w:eastAsia="zh-CN"/>
              </w:rPr>
            </w:pPr>
            <w:r>
              <w:rPr>
                <w:rFonts w:hint="default" w:ascii="Times New Roman" w:hAnsi="Times New Roman" w:cs="Times New Roman"/>
                <w:color w:val="auto"/>
                <w:kern w:val="18"/>
                <w:szCs w:val="21"/>
                <w:highlight w:val="none"/>
                <w:lang w:eastAsia="zh-CN"/>
              </w:rPr>
              <w:t>危废</w:t>
            </w:r>
            <w:r>
              <w:rPr>
                <w:rFonts w:hint="eastAsia" w:cs="Times New Roman"/>
                <w:color w:val="auto"/>
                <w:kern w:val="18"/>
                <w:szCs w:val="21"/>
                <w:highlight w:val="none"/>
                <w:lang w:eastAsia="zh-CN"/>
              </w:rPr>
              <w:t>贮存点</w:t>
            </w:r>
            <w:r>
              <w:rPr>
                <w:rFonts w:hint="default" w:ascii="Times New Roman" w:hAnsi="Times New Roman" w:cs="Times New Roman"/>
                <w:color w:val="auto"/>
                <w:kern w:val="18"/>
                <w:szCs w:val="21"/>
                <w:highlight w:val="none"/>
              </w:rPr>
              <w:t>防渗层破损导致废矿物油液泄露对地下水的污染较为严重，地下水一旦遭到废矿物油液的污染，将使地下水具有较强的致畸致癌性，根本无法饮用。又由于这种渗漏必然穿过较厚的土壤层，使土壤层中吸附的油还会随着地表水的下渗对土壤层的冲刷作用补充到地下水，这样即便污染源得到及时控制，地下水要完全恢复也需几十年甚至上百年的时间。</w:t>
            </w:r>
          </w:p>
          <w:p w14:paraId="526BD4B7">
            <w:pPr>
              <w:pStyle w:val="11"/>
              <w:rPr>
                <w:rFonts w:hint="default" w:ascii="Times New Roman" w:hAnsi="Times New Roman" w:cs="Times New Roman"/>
                <w:color w:val="auto"/>
                <w:highlight w:val="none"/>
                <w:lang w:val="en-US" w:bidi="ar-SA"/>
              </w:rPr>
            </w:pPr>
          </w:p>
        </w:tc>
      </w:tr>
    </w:tbl>
    <w:p w14:paraId="3DF8C5F8">
      <w:pPr>
        <w:adjustRightInd w:val="0"/>
        <w:snapToGrid w:val="0"/>
        <w:spacing w:line="360" w:lineRule="auto"/>
        <w:rPr>
          <w:rFonts w:hint="default" w:ascii="Times New Roman" w:hAnsi="Times New Roman" w:cs="Times New Roman"/>
          <w:b/>
          <w:color w:val="auto"/>
          <w:kern w:val="0"/>
          <w:sz w:val="28"/>
          <w:szCs w:val="28"/>
          <w:highlight w:val="none"/>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263C12AE">
      <w:pPr>
        <w:pStyle w:val="3"/>
        <w:bidi w:val="0"/>
        <w:jc w:val="center"/>
        <w:rPr>
          <w:rFonts w:hint="default" w:ascii="Times New Roman" w:hAnsi="Times New Roman" w:cs="Times New Roman"/>
          <w:color w:val="auto"/>
          <w:highlight w:val="none"/>
        </w:rPr>
      </w:pPr>
      <w:bookmarkStart w:id="7" w:name="_Toc21948"/>
      <w:r>
        <w:rPr>
          <w:rFonts w:hint="default" w:ascii="Times New Roman" w:hAnsi="Times New Roman" w:cs="Times New Roman"/>
          <w:color w:val="auto"/>
          <w:highlight w:val="none"/>
        </w:rPr>
        <w:t>五、</w:t>
      </w:r>
      <w:bookmarkStart w:id="8" w:name="_Hlk54167917"/>
      <w:r>
        <w:rPr>
          <w:rFonts w:hint="default" w:ascii="Times New Roman" w:hAnsi="Times New Roman" w:cs="Times New Roman"/>
          <w:color w:val="auto"/>
          <w:highlight w:val="none"/>
        </w:rPr>
        <w:t>环境保护措施监督检查清单</w:t>
      </w:r>
      <w:bookmarkEnd w:id="7"/>
      <w:bookmarkEnd w:id="8"/>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3"/>
        <w:gridCol w:w="1701"/>
        <w:gridCol w:w="1417"/>
        <w:gridCol w:w="2206"/>
        <w:gridCol w:w="2493"/>
      </w:tblGrid>
      <w:tr w14:paraId="4DBC7D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83" w:type="dxa"/>
            <w:tcBorders>
              <w:tl2br w:val="single" w:color="auto" w:sz="4" w:space="0"/>
            </w:tcBorders>
          </w:tcPr>
          <w:p w14:paraId="03EA5A08">
            <w:pPr>
              <w:adjustRightInd w:val="0"/>
              <w:snapToGrid w:val="0"/>
              <w:jc w:val="right"/>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内容</w:t>
            </w:r>
          </w:p>
          <w:p w14:paraId="7105CE31">
            <w:pPr>
              <w:adjustRightInd w:val="0"/>
              <w:snapToGrid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要素</w:t>
            </w:r>
          </w:p>
        </w:tc>
        <w:tc>
          <w:tcPr>
            <w:tcW w:w="1701" w:type="dxa"/>
            <w:vAlign w:val="center"/>
          </w:tcPr>
          <w:p w14:paraId="7DAEB02E">
            <w:pPr>
              <w:adjustRightInd w:val="0"/>
              <w:snapToGrid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排放口(编号、名称)/污染源</w:t>
            </w:r>
          </w:p>
        </w:tc>
        <w:tc>
          <w:tcPr>
            <w:tcW w:w="1417" w:type="dxa"/>
            <w:vAlign w:val="center"/>
          </w:tcPr>
          <w:p w14:paraId="5CC9BC51">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污染物项目</w:t>
            </w:r>
          </w:p>
        </w:tc>
        <w:tc>
          <w:tcPr>
            <w:tcW w:w="2206" w:type="dxa"/>
            <w:vAlign w:val="center"/>
          </w:tcPr>
          <w:p w14:paraId="2E99F1A4">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环境保护措施</w:t>
            </w:r>
          </w:p>
        </w:tc>
        <w:tc>
          <w:tcPr>
            <w:tcW w:w="2493" w:type="dxa"/>
            <w:vAlign w:val="center"/>
          </w:tcPr>
          <w:p w14:paraId="61D303A5">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执行标准</w:t>
            </w:r>
          </w:p>
        </w:tc>
      </w:tr>
      <w:tr w14:paraId="2435F3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5" w:hRule="atLeast"/>
          <w:jc w:val="center"/>
        </w:trPr>
        <w:tc>
          <w:tcPr>
            <w:tcW w:w="983" w:type="dxa"/>
            <w:vMerge w:val="restart"/>
            <w:vAlign w:val="center"/>
          </w:tcPr>
          <w:p w14:paraId="17DB8E2A">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大气环境</w:t>
            </w:r>
          </w:p>
        </w:tc>
        <w:tc>
          <w:tcPr>
            <w:tcW w:w="1701" w:type="dxa"/>
            <w:vAlign w:val="center"/>
          </w:tcPr>
          <w:p w14:paraId="1C2D6467">
            <w:pPr>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eastAsia="zh-CN"/>
              </w:rPr>
              <w:t>生产车间</w:t>
            </w:r>
            <w:r>
              <w:rPr>
                <w:rFonts w:hint="default" w:ascii="Times New Roman" w:hAnsi="Times New Roman" w:cs="Times New Roman"/>
                <w:color w:val="auto"/>
                <w:sz w:val="18"/>
                <w:szCs w:val="18"/>
                <w:highlight w:val="none"/>
              </w:rPr>
              <w:t>排气筒</w:t>
            </w:r>
            <w:r>
              <w:rPr>
                <w:rFonts w:hint="eastAsia" w:cs="Times New Roman"/>
                <w:color w:val="auto"/>
                <w:sz w:val="18"/>
                <w:szCs w:val="18"/>
                <w:highlight w:val="none"/>
                <w:lang w:val="en-US" w:eastAsia="zh-CN"/>
              </w:rPr>
              <w:t>DA003</w:t>
            </w:r>
          </w:p>
        </w:tc>
        <w:tc>
          <w:tcPr>
            <w:tcW w:w="1417" w:type="dxa"/>
            <w:vAlign w:val="center"/>
          </w:tcPr>
          <w:p w14:paraId="58CFAF9B">
            <w:pPr>
              <w:jc w:val="center"/>
              <w:textAlignment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颗粒物</w:t>
            </w:r>
          </w:p>
        </w:tc>
        <w:tc>
          <w:tcPr>
            <w:tcW w:w="2206" w:type="dxa"/>
            <w:vAlign w:val="center"/>
          </w:tcPr>
          <w:p w14:paraId="2032F59E">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eastAsia="zh-CN"/>
              </w:rPr>
              <w:t>集气罩</w:t>
            </w:r>
            <w:r>
              <w:rPr>
                <w:rFonts w:hint="default" w:ascii="Times New Roman" w:hAnsi="Times New Roman" w:cs="Times New Roman"/>
                <w:color w:val="auto"/>
                <w:sz w:val="18"/>
                <w:szCs w:val="18"/>
                <w:highlight w:val="none"/>
                <w:lang w:val="en-US" w:eastAsia="zh-CN"/>
              </w:rPr>
              <w:t>+布袋除尘器+1</w:t>
            </w:r>
            <w:r>
              <w:rPr>
                <w:rFonts w:hint="eastAsia" w:cs="Times New Roman"/>
                <w:color w:val="auto"/>
                <w:sz w:val="18"/>
                <w:szCs w:val="18"/>
                <w:highlight w:val="none"/>
                <w:lang w:val="en-US" w:eastAsia="zh-CN"/>
              </w:rPr>
              <w:t>7</w:t>
            </w:r>
            <w:r>
              <w:rPr>
                <w:rFonts w:hint="default" w:ascii="Times New Roman" w:hAnsi="Times New Roman" w:cs="Times New Roman"/>
                <w:color w:val="auto"/>
                <w:sz w:val="18"/>
                <w:szCs w:val="18"/>
                <w:highlight w:val="none"/>
                <w:lang w:val="en-US" w:eastAsia="zh-CN"/>
              </w:rPr>
              <w:t>m高排气筒</w:t>
            </w:r>
          </w:p>
        </w:tc>
        <w:tc>
          <w:tcPr>
            <w:tcW w:w="2493" w:type="dxa"/>
            <w:vAlign w:val="center"/>
          </w:tcPr>
          <w:p w14:paraId="7E8E3E1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《砖瓦工业大气污染物排放标准》（GB29620-2013）及修改单中表2新建企业大气污染物排放限值</w:t>
            </w:r>
          </w:p>
        </w:tc>
      </w:tr>
      <w:tr w14:paraId="131B0F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1" w:hRule="atLeast"/>
          <w:jc w:val="center"/>
        </w:trPr>
        <w:tc>
          <w:tcPr>
            <w:tcW w:w="983" w:type="dxa"/>
            <w:vMerge w:val="continue"/>
            <w:vAlign w:val="center"/>
          </w:tcPr>
          <w:p w14:paraId="3299CE6E">
            <w:pPr>
              <w:adjustRightInd w:val="0"/>
              <w:snapToGrid w:val="0"/>
              <w:jc w:val="center"/>
              <w:rPr>
                <w:rFonts w:hint="default" w:ascii="Times New Roman" w:hAnsi="Times New Roman" w:cs="Times New Roman"/>
                <w:color w:val="auto"/>
                <w:sz w:val="18"/>
                <w:szCs w:val="18"/>
                <w:highlight w:val="none"/>
              </w:rPr>
            </w:pPr>
          </w:p>
        </w:tc>
        <w:tc>
          <w:tcPr>
            <w:tcW w:w="1701" w:type="dxa"/>
            <w:vAlign w:val="center"/>
          </w:tcPr>
          <w:p w14:paraId="341428BD">
            <w:pPr>
              <w:jc w:val="center"/>
              <w:rPr>
                <w:rFonts w:hint="eastAsia"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lang w:eastAsia="zh-CN"/>
              </w:rPr>
              <w:t>生产车间</w:t>
            </w:r>
            <w:r>
              <w:rPr>
                <w:rFonts w:hint="default" w:ascii="Times New Roman" w:hAnsi="Times New Roman" w:cs="Times New Roman"/>
                <w:color w:val="auto"/>
                <w:sz w:val="18"/>
                <w:szCs w:val="18"/>
                <w:highlight w:val="none"/>
              </w:rPr>
              <w:t>排气筒</w:t>
            </w:r>
            <w:r>
              <w:rPr>
                <w:rFonts w:hint="eastAsia" w:cs="Times New Roman"/>
                <w:color w:val="auto"/>
                <w:sz w:val="18"/>
                <w:szCs w:val="18"/>
                <w:highlight w:val="none"/>
                <w:lang w:val="en-US" w:eastAsia="zh-CN"/>
              </w:rPr>
              <w:t>DA004</w:t>
            </w:r>
          </w:p>
        </w:tc>
        <w:tc>
          <w:tcPr>
            <w:tcW w:w="1417" w:type="dxa"/>
            <w:vAlign w:val="center"/>
          </w:tcPr>
          <w:p w14:paraId="32A338D5">
            <w:pPr>
              <w:jc w:val="center"/>
              <w:textAlignment w:val="center"/>
              <w:rPr>
                <w:rFonts w:hint="default" w:ascii="Times New Roman" w:hAnsi="Times New Roman" w:cs="Times New Roman"/>
                <w:bCs w:val="0"/>
                <w:color w:val="auto"/>
                <w:sz w:val="18"/>
                <w:szCs w:val="18"/>
                <w:highlight w:val="none"/>
                <w:lang w:eastAsia="zh-CN"/>
              </w:rPr>
            </w:pPr>
            <w:r>
              <w:rPr>
                <w:rFonts w:hint="default" w:ascii="Times New Roman" w:hAnsi="Times New Roman" w:cs="Times New Roman"/>
                <w:color w:val="auto"/>
                <w:sz w:val="18"/>
                <w:szCs w:val="18"/>
                <w:highlight w:val="none"/>
                <w:lang w:eastAsia="zh-CN"/>
              </w:rPr>
              <w:t>颗粒物</w:t>
            </w:r>
          </w:p>
        </w:tc>
        <w:tc>
          <w:tcPr>
            <w:tcW w:w="2206" w:type="dxa"/>
            <w:vAlign w:val="center"/>
          </w:tcPr>
          <w:p w14:paraId="6D5DB2B0">
            <w:pPr>
              <w:jc w:val="center"/>
              <w:rPr>
                <w:rFonts w:hint="eastAsia"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集气罩</w:t>
            </w:r>
            <w:r>
              <w:rPr>
                <w:rFonts w:hint="default" w:ascii="Times New Roman" w:hAnsi="Times New Roman" w:cs="Times New Roman"/>
                <w:color w:val="auto"/>
                <w:sz w:val="18"/>
                <w:szCs w:val="18"/>
                <w:highlight w:val="none"/>
                <w:lang w:val="en-US" w:eastAsia="zh-CN"/>
              </w:rPr>
              <w:t>+布袋除尘器+1</w:t>
            </w:r>
            <w:r>
              <w:rPr>
                <w:rFonts w:hint="eastAsia" w:cs="Times New Roman"/>
                <w:color w:val="auto"/>
                <w:sz w:val="18"/>
                <w:szCs w:val="18"/>
                <w:highlight w:val="none"/>
                <w:lang w:val="en-US" w:eastAsia="zh-CN"/>
              </w:rPr>
              <w:t>7</w:t>
            </w:r>
            <w:r>
              <w:rPr>
                <w:rFonts w:hint="default" w:ascii="Times New Roman" w:hAnsi="Times New Roman" w:cs="Times New Roman"/>
                <w:color w:val="auto"/>
                <w:sz w:val="18"/>
                <w:szCs w:val="18"/>
                <w:highlight w:val="none"/>
                <w:lang w:val="en-US" w:eastAsia="zh-CN"/>
              </w:rPr>
              <w:t>m高排气筒</w:t>
            </w:r>
          </w:p>
        </w:tc>
        <w:tc>
          <w:tcPr>
            <w:tcW w:w="2493" w:type="dxa"/>
            <w:vAlign w:val="center"/>
          </w:tcPr>
          <w:p w14:paraId="11C34A5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《水泥工业大气污染物排放标准》（GB4915-2013）及修改单</w:t>
            </w:r>
            <w:r>
              <w:rPr>
                <w:rFonts w:hint="eastAsia" w:cs="Times New Roman"/>
                <w:color w:val="auto"/>
                <w:sz w:val="18"/>
                <w:szCs w:val="18"/>
                <w:highlight w:val="none"/>
                <w:lang w:val="en-US" w:eastAsia="zh-CN"/>
              </w:rPr>
              <w:t>中表1现有和新建企业</w:t>
            </w:r>
            <w:r>
              <w:rPr>
                <w:rFonts w:hint="default" w:ascii="Times New Roman" w:hAnsi="Times New Roman" w:cs="Times New Roman"/>
                <w:color w:val="auto"/>
                <w:sz w:val="18"/>
                <w:szCs w:val="18"/>
                <w:highlight w:val="none"/>
              </w:rPr>
              <w:t>大气污染物排放限值</w:t>
            </w:r>
          </w:p>
        </w:tc>
      </w:tr>
      <w:tr w14:paraId="71701C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1" w:hRule="atLeast"/>
          <w:jc w:val="center"/>
        </w:trPr>
        <w:tc>
          <w:tcPr>
            <w:tcW w:w="983" w:type="dxa"/>
            <w:vMerge w:val="continue"/>
            <w:vAlign w:val="center"/>
          </w:tcPr>
          <w:p w14:paraId="07A59DAA">
            <w:pPr>
              <w:adjustRightInd w:val="0"/>
              <w:snapToGrid w:val="0"/>
              <w:jc w:val="center"/>
              <w:rPr>
                <w:rFonts w:hint="default" w:ascii="Times New Roman" w:hAnsi="Times New Roman" w:cs="Times New Roman"/>
                <w:color w:val="auto"/>
                <w:sz w:val="18"/>
                <w:szCs w:val="18"/>
                <w:highlight w:val="none"/>
              </w:rPr>
            </w:pPr>
          </w:p>
        </w:tc>
        <w:tc>
          <w:tcPr>
            <w:tcW w:w="1701" w:type="dxa"/>
            <w:vAlign w:val="center"/>
          </w:tcPr>
          <w:p w14:paraId="0EB4DB0D">
            <w:pPr>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生物质</w:t>
            </w:r>
            <w:r>
              <w:rPr>
                <w:rFonts w:hint="default" w:ascii="Times New Roman" w:hAnsi="Times New Roman" w:cs="Times New Roman"/>
                <w:color w:val="auto"/>
                <w:sz w:val="18"/>
                <w:szCs w:val="18"/>
                <w:highlight w:val="none"/>
                <w:lang w:eastAsia="zh-CN"/>
              </w:rPr>
              <w:t>锅炉</w:t>
            </w:r>
            <w:r>
              <w:rPr>
                <w:rFonts w:hint="eastAsia" w:cs="Times New Roman"/>
                <w:color w:val="auto"/>
                <w:sz w:val="18"/>
                <w:szCs w:val="18"/>
                <w:highlight w:val="none"/>
                <w:lang w:val="en-US" w:eastAsia="zh-CN"/>
              </w:rPr>
              <w:t>烟囱DA002</w:t>
            </w:r>
          </w:p>
        </w:tc>
        <w:tc>
          <w:tcPr>
            <w:tcW w:w="1417" w:type="dxa"/>
            <w:vAlign w:val="center"/>
          </w:tcPr>
          <w:p w14:paraId="73B2D470">
            <w:pPr>
              <w:jc w:val="center"/>
              <w:textAlignment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bCs w:val="0"/>
                <w:color w:val="auto"/>
                <w:sz w:val="18"/>
                <w:szCs w:val="18"/>
                <w:highlight w:val="none"/>
                <w:lang w:eastAsia="zh-CN"/>
              </w:rPr>
              <w:t>颗粒物、二氧化硫、氮氧化物、汞及其化合物</w:t>
            </w:r>
          </w:p>
        </w:tc>
        <w:tc>
          <w:tcPr>
            <w:tcW w:w="2206" w:type="dxa"/>
            <w:vAlign w:val="center"/>
          </w:tcPr>
          <w:p w14:paraId="2FF4D604">
            <w:pPr>
              <w:jc w:val="center"/>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eastAsia="zh-CN"/>
              </w:rPr>
              <w:t>低氮燃烧</w:t>
            </w:r>
            <w:r>
              <w:rPr>
                <w:rFonts w:hint="default" w:ascii="Times New Roman" w:hAnsi="Times New Roman" w:cs="Times New Roman"/>
                <w:color w:val="auto"/>
                <w:sz w:val="18"/>
                <w:szCs w:val="18"/>
                <w:highlight w:val="none"/>
                <w:lang w:eastAsia="zh-CN"/>
              </w:rPr>
              <w:t>+</w:t>
            </w:r>
            <w:r>
              <w:rPr>
                <w:rFonts w:hint="eastAsia" w:cs="Times New Roman"/>
                <w:color w:val="auto"/>
                <w:sz w:val="18"/>
                <w:szCs w:val="18"/>
                <w:highlight w:val="none"/>
                <w:lang w:eastAsia="zh-CN"/>
              </w:rPr>
              <w:t>旋风除尘+</w:t>
            </w:r>
            <w:r>
              <w:rPr>
                <w:rFonts w:hint="default" w:ascii="Times New Roman" w:hAnsi="Times New Roman" w:cs="Times New Roman"/>
                <w:color w:val="auto"/>
                <w:sz w:val="18"/>
                <w:szCs w:val="18"/>
                <w:highlight w:val="none"/>
                <w:lang w:eastAsia="zh-CN"/>
              </w:rPr>
              <w:t>布袋除尘器+40m高排气筒</w:t>
            </w:r>
          </w:p>
        </w:tc>
        <w:tc>
          <w:tcPr>
            <w:tcW w:w="2493" w:type="dxa"/>
            <w:vAlign w:val="center"/>
          </w:tcPr>
          <w:p w14:paraId="0A662B07">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《锅炉大气污染物排放标准》 （GB13271-2014）燃煤锅炉排放控制要求</w:t>
            </w:r>
          </w:p>
        </w:tc>
      </w:tr>
      <w:tr w14:paraId="44EDAA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6" w:hRule="atLeast"/>
          <w:jc w:val="center"/>
        </w:trPr>
        <w:tc>
          <w:tcPr>
            <w:tcW w:w="983" w:type="dxa"/>
            <w:vMerge w:val="continue"/>
            <w:vAlign w:val="center"/>
          </w:tcPr>
          <w:p w14:paraId="1BED8FDD">
            <w:pPr>
              <w:adjustRightInd w:val="0"/>
              <w:snapToGrid w:val="0"/>
              <w:jc w:val="center"/>
              <w:rPr>
                <w:rFonts w:hint="default" w:ascii="Times New Roman" w:hAnsi="Times New Roman" w:cs="Times New Roman"/>
                <w:color w:val="auto"/>
                <w:sz w:val="18"/>
                <w:szCs w:val="18"/>
                <w:highlight w:val="none"/>
              </w:rPr>
            </w:pPr>
          </w:p>
        </w:tc>
        <w:tc>
          <w:tcPr>
            <w:tcW w:w="1701" w:type="dxa"/>
            <w:vAlign w:val="center"/>
          </w:tcPr>
          <w:p w14:paraId="5B233FF4">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钢筋防腐浸泡、</w:t>
            </w:r>
            <w:r>
              <w:rPr>
                <w:rFonts w:hint="eastAsia" w:cs="Times New Roman"/>
                <w:bCs w:val="0"/>
                <w:color w:val="auto"/>
                <w:sz w:val="18"/>
                <w:szCs w:val="18"/>
                <w:highlight w:val="none"/>
                <w:lang w:val="en-US" w:eastAsia="zh-CN"/>
              </w:rPr>
              <w:t>烘干排气筒DA001</w:t>
            </w:r>
          </w:p>
        </w:tc>
        <w:tc>
          <w:tcPr>
            <w:tcW w:w="1417" w:type="dxa"/>
            <w:vAlign w:val="center"/>
          </w:tcPr>
          <w:p w14:paraId="69A02EA0">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eastAsia="宋体" w:cs="Times New Roman"/>
                <w:bCs w:val="0"/>
                <w:color w:val="auto"/>
                <w:sz w:val="18"/>
                <w:szCs w:val="18"/>
                <w:highlight w:val="none"/>
                <w:lang w:eastAsia="zh-CN"/>
              </w:rPr>
              <w:t>非甲烷总烃</w:t>
            </w:r>
          </w:p>
        </w:tc>
        <w:tc>
          <w:tcPr>
            <w:tcW w:w="2206" w:type="dxa"/>
            <w:vAlign w:val="center"/>
          </w:tcPr>
          <w:p w14:paraId="66A5853F">
            <w:pPr>
              <w:keepNext w:val="0"/>
              <w:keepLines w:val="0"/>
              <w:pageBreakBefore w:val="0"/>
              <w:kinsoku/>
              <w:wordWrap/>
              <w:overflowPunct/>
              <w:topLinePunct w:val="0"/>
              <w:autoSpaceDE/>
              <w:autoSpaceDN/>
              <w:bidi w:val="0"/>
              <w:snapToGrid/>
              <w:spacing w:line="240" w:lineRule="auto"/>
              <w:ind w:left="0" w:leftChars="0" w:right="0" w:rightChars="0" w:firstLine="0" w:firstLineChars="0"/>
              <w:jc w:val="center"/>
              <w:textAlignment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bCs w:val="0"/>
                <w:color w:val="auto"/>
                <w:sz w:val="18"/>
                <w:szCs w:val="18"/>
                <w:highlight w:val="none"/>
                <w:lang w:val="en-US" w:eastAsia="zh-CN"/>
              </w:rPr>
              <w:t>活性炭吸附装置+15m排气筒</w:t>
            </w:r>
          </w:p>
        </w:tc>
        <w:tc>
          <w:tcPr>
            <w:tcW w:w="2493" w:type="dxa"/>
            <w:vAlign w:val="center"/>
          </w:tcPr>
          <w:p w14:paraId="19C12120">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《大气污染物综合排放标准》 （GB16297</w:t>
            </w:r>
            <w:r>
              <w:rPr>
                <w:rFonts w:hint="default"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1996）表2中二级排放限值</w:t>
            </w:r>
          </w:p>
        </w:tc>
      </w:tr>
      <w:tr w14:paraId="69BDF8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983" w:type="dxa"/>
            <w:vMerge w:val="continue"/>
            <w:vAlign w:val="center"/>
          </w:tcPr>
          <w:p w14:paraId="756EBA69">
            <w:pPr>
              <w:jc w:val="center"/>
              <w:rPr>
                <w:rFonts w:hint="default" w:ascii="Times New Roman" w:hAnsi="Times New Roman" w:cs="Times New Roman"/>
                <w:color w:val="auto"/>
                <w:sz w:val="18"/>
                <w:szCs w:val="18"/>
                <w:highlight w:val="none"/>
              </w:rPr>
            </w:pPr>
          </w:p>
        </w:tc>
        <w:tc>
          <w:tcPr>
            <w:tcW w:w="1701" w:type="dxa"/>
            <w:vMerge w:val="restart"/>
            <w:vAlign w:val="center"/>
          </w:tcPr>
          <w:p w14:paraId="64D201F1">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厂界</w:t>
            </w:r>
          </w:p>
        </w:tc>
        <w:tc>
          <w:tcPr>
            <w:tcW w:w="1417" w:type="dxa"/>
            <w:vAlign w:val="center"/>
          </w:tcPr>
          <w:p w14:paraId="04FFF95C">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NMHC</w:t>
            </w:r>
          </w:p>
        </w:tc>
        <w:tc>
          <w:tcPr>
            <w:tcW w:w="2206" w:type="dxa"/>
            <w:vMerge w:val="restart"/>
            <w:vAlign w:val="center"/>
          </w:tcPr>
          <w:p w14:paraId="026879DE">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2493" w:type="dxa"/>
            <w:vAlign w:val="center"/>
          </w:tcPr>
          <w:p w14:paraId="6DD8994F">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厂界非甲烷总烃执行《大气污染物综合排放标准》（GB16297- 1996）表 2中无组织排放监控浓度限值；厂内执行《挥发性有机物无组织排放控制标准》（GB37822-2019）标准要求</w:t>
            </w:r>
          </w:p>
        </w:tc>
      </w:tr>
      <w:tr w14:paraId="31DA53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983" w:type="dxa"/>
            <w:vMerge w:val="continue"/>
            <w:vAlign w:val="center"/>
          </w:tcPr>
          <w:p w14:paraId="30E6C002">
            <w:pPr>
              <w:jc w:val="center"/>
              <w:rPr>
                <w:rFonts w:hint="default" w:ascii="Times New Roman" w:hAnsi="Times New Roman" w:cs="Times New Roman"/>
                <w:color w:val="auto"/>
                <w:sz w:val="18"/>
                <w:szCs w:val="18"/>
                <w:highlight w:val="none"/>
              </w:rPr>
            </w:pPr>
          </w:p>
        </w:tc>
        <w:tc>
          <w:tcPr>
            <w:tcW w:w="1701" w:type="dxa"/>
            <w:vMerge w:val="continue"/>
            <w:vAlign w:val="center"/>
          </w:tcPr>
          <w:p w14:paraId="4125ED51">
            <w:pPr>
              <w:jc w:val="center"/>
              <w:rPr>
                <w:rFonts w:hint="default" w:ascii="Times New Roman" w:hAnsi="Times New Roman" w:cs="Times New Roman"/>
                <w:color w:val="auto"/>
                <w:sz w:val="18"/>
                <w:szCs w:val="18"/>
                <w:highlight w:val="none"/>
              </w:rPr>
            </w:pPr>
          </w:p>
        </w:tc>
        <w:tc>
          <w:tcPr>
            <w:tcW w:w="1417" w:type="dxa"/>
            <w:vAlign w:val="center"/>
          </w:tcPr>
          <w:p w14:paraId="0C466A72">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颗粒物</w:t>
            </w:r>
          </w:p>
        </w:tc>
        <w:tc>
          <w:tcPr>
            <w:tcW w:w="2206" w:type="dxa"/>
            <w:vMerge w:val="continue"/>
            <w:vAlign w:val="center"/>
          </w:tcPr>
          <w:p w14:paraId="672393D5">
            <w:pPr>
              <w:pStyle w:val="103"/>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eastAsia="zh-CN"/>
              </w:rPr>
            </w:pPr>
          </w:p>
        </w:tc>
        <w:tc>
          <w:tcPr>
            <w:tcW w:w="2493" w:type="dxa"/>
            <w:vAlign w:val="center"/>
          </w:tcPr>
          <w:p w14:paraId="1388A67F">
            <w:pPr>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rPr>
              <w:t>《水泥工业大气污染物排放标准》（GB4915-2013）及修改单</w:t>
            </w:r>
            <w:r>
              <w:rPr>
                <w:rFonts w:hint="eastAsia" w:cs="Times New Roman"/>
                <w:color w:val="auto"/>
                <w:sz w:val="18"/>
                <w:szCs w:val="18"/>
                <w:highlight w:val="none"/>
                <w:lang w:val="en-US" w:eastAsia="zh-CN"/>
              </w:rPr>
              <w:t>中表3</w:t>
            </w:r>
            <w:r>
              <w:rPr>
                <w:rFonts w:hint="default" w:ascii="Times New Roman" w:hAnsi="Times New Roman" w:cs="Times New Roman"/>
                <w:color w:val="auto"/>
                <w:sz w:val="18"/>
                <w:szCs w:val="18"/>
                <w:highlight w:val="none"/>
              </w:rPr>
              <w:t>大气污染物</w:t>
            </w:r>
            <w:r>
              <w:rPr>
                <w:rFonts w:hint="eastAsia" w:cs="Times New Roman"/>
                <w:color w:val="auto"/>
                <w:sz w:val="18"/>
                <w:szCs w:val="18"/>
                <w:highlight w:val="none"/>
                <w:lang w:val="en-US" w:eastAsia="zh-CN"/>
              </w:rPr>
              <w:t>无组织</w:t>
            </w:r>
            <w:r>
              <w:rPr>
                <w:rFonts w:hint="default" w:ascii="Times New Roman" w:hAnsi="Times New Roman" w:cs="Times New Roman"/>
                <w:color w:val="auto"/>
                <w:sz w:val="18"/>
                <w:szCs w:val="18"/>
                <w:highlight w:val="none"/>
              </w:rPr>
              <w:t>排放限值</w:t>
            </w:r>
          </w:p>
        </w:tc>
      </w:tr>
      <w:tr w14:paraId="0EF0D4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983" w:type="dxa"/>
            <w:vMerge w:val="continue"/>
            <w:vAlign w:val="center"/>
          </w:tcPr>
          <w:p w14:paraId="77013DFA">
            <w:pPr>
              <w:jc w:val="center"/>
              <w:rPr>
                <w:rFonts w:hint="default" w:ascii="Times New Roman" w:hAnsi="Times New Roman" w:cs="Times New Roman"/>
                <w:color w:val="auto"/>
                <w:sz w:val="18"/>
                <w:szCs w:val="18"/>
                <w:highlight w:val="none"/>
              </w:rPr>
            </w:pPr>
          </w:p>
        </w:tc>
        <w:tc>
          <w:tcPr>
            <w:tcW w:w="1701" w:type="dxa"/>
            <w:shd w:val="clear" w:color="auto" w:fill="auto"/>
            <w:vAlign w:val="center"/>
          </w:tcPr>
          <w:p w14:paraId="451CE3BD">
            <w:pPr>
              <w:keepNext w:val="0"/>
              <w:keepLines w:val="0"/>
              <w:pageBreakBefore w:val="0"/>
              <w:widowControl w:val="0"/>
              <w:wordWrap/>
              <w:topLinePunct w:val="0"/>
              <w:autoSpaceDE/>
              <w:autoSpaceDN/>
              <w:bidi w:val="0"/>
              <w:spacing w:before="0" w:beforeLines="0" w:after="0" w:afterLines="0"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bCs w:val="0"/>
                <w:color w:val="auto"/>
                <w:kern w:val="2"/>
                <w:sz w:val="18"/>
                <w:szCs w:val="18"/>
                <w:highlight w:val="none"/>
                <w:lang w:val="en-US" w:eastAsia="zh-CN" w:bidi="ar-SA"/>
              </w:rPr>
              <w:t>焊接</w:t>
            </w:r>
          </w:p>
        </w:tc>
        <w:tc>
          <w:tcPr>
            <w:tcW w:w="1417" w:type="dxa"/>
            <w:shd w:val="clear" w:color="auto" w:fill="auto"/>
            <w:vAlign w:val="center"/>
          </w:tcPr>
          <w:p w14:paraId="0762435A">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颗粒物</w:t>
            </w:r>
          </w:p>
        </w:tc>
        <w:tc>
          <w:tcPr>
            <w:tcW w:w="2206" w:type="dxa"/>
            <w:shd w:val="clear" w:color="auto" w:fill="auto"/>
            <w:vAlign w:val="center"/>
          </w:tcPr>
          <w:p w14:paraId="1E4ADE71">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bCs w:val="0"/>
                <w:color w:val="auto"/>
                <w:sz w:val="18"/>
                <w:szCs w:val="18"/>
                <w:highlight w:val="none"/>
                <w:lang w:val="en-US" w:eastAsia="zh-CN"/>
              </w:rPr>
              <w:t>移动式焊接烟尘净化器</w:t>
            </w:r>
          </w:p>
        </w:tc>
        <w:tc>
          <w:tcPr>
            <w:tcW w:w="2493" w:type="dxa"/>
            <w:vAlign w:val="center"/>
          </w:tcPr>
          <w:p w14:paraId="4F320DAD">
            <w:pPr>
              <w:jc w:val="center"/>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rPr>
              <w:t>《水泥工业大气污染物排放标准》（GB4915-2013）及修改单</w:t>
            </w:r>
            <w:r>
              <w:rPr>
                <w:rFonts w:hint="eastAsia" w:cs="Times New Roman"/>
                <w:color w:val="auto"/>
                <w:sz w:val="18"/>
                <w:szCs w:val="18"/>
                <w:highlight w:val="none"/>
                <w:lang w:val="en-US" w:eastAsia="zh-CN"/>
              </w:rPr>
              <w:t>中表3</w:t>
            </w:r>
            <w:r>
              <w:rPr>
                <w:rFonts w:hint="default" w:ascii="Times New Roman" w:hAnsi="Times New Roman" w:cs="Times New Roman"/>
                <w:color w:val="auto"/>
                <w:sz w:val="18"/>
                <w:szCs w:val="18"/>
                <w:highlight w:val="none"/>
              </w:rPr>
              <w:t>大气污染物</w:t>
            </w:r>
            <w:r>
              <w:rPr>
                <w:rFonts w:hint="eastAsia" w:cs="Times New Roman"/>
                <w:color w:val="auto"/>
                <w:sz w:val="18"/>
                <w:szCs w:val="18"/>
                <w:highlight w:val="none"/>
                <w:lang w:val="en-US" w:eastAsia="zh-CN"/>
              </w:rPr>
              <w:t>无组织</w:t>
            </w:r>
            <w:r>
              <w:rPr>
                <w:rFonts w:hint="default" w:ascii="Times New Roman" w:hAnsi="Times New Roman" w:cs="Times New Roman"/>
                <w:color w:val="auto"/>
                <w:sz w:val="18"/>
                <w:szCs w:val="18"/>
                <w:highlight w:val="none"/>
              </w:rPr>
              <w:t>排放限值</w:t>
            </w:r>
          </w:p>
        </w:tc>
      </w:tr>
      <w:tr w14:paraId="549553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3" w:type="dxa"/>
            <w:vMerge w:val="restart"/>
            <w:vAlign w:val="center"/>
          </w:tcPr>
          <w:p w14:paraId="3369B42B">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地表水环境</w:t>
            </w:r>
          </w:p>
        </w:tc>
        <w:tc>
          <w:tcPr>
            <w:tcW w:w="1701" w:type="dxa"/>
            <w:vAlign w:val="center"/>
          </w:tcPr>
          <w:p w14:paraId="7C112ACA">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生活污水</w:t>
            </w:r>
          </w:p>
        </w:tc>
        <w:tc>
          <w:tcPr>
            <w:tcW w:w="1417" w:type="dxa"/>
            <w:vAlign w:val="center"/>
          </w:tcPr>
          <w:p w14:paraId="7C7362D1">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COD、SS、氨氮、BOD</w:t>
            </w:r>
            <w:r>
              <w:rPr>
                <w:rFonts w:hint="default" w:ascii="Times New Roman" w:hAnsi="Times New Roman" w:cs="Times New Roman"/>
                <w:color w:val="auto"/>
                <w:sz w:val="18"/>
                <w:szCs w:val="18"/>
                <w:highlight w:val="none"/>
                <w:vertAlign w:val="subscript"/>
              </w:rPr>
              <w:t>5</w:t>
            </w:r>
          </w:p>
        </w:tc>
        <w:tc>
          <w:tcPr>
            <w:tcW w:w="2206" w:type="dxa"/>
            <w:vAlign w:val="center"/>
          </w:tcPr>
          <w:p w14:paraId="7AD2FBB7">
            <w:pPr>
              <w:adjustRightInd w:val="0"/>
              <w:snapToGrid w:val="0"/>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排入厂区化粪池后经排入园区污水管网排入铁力市</w:t>
            </w:r>
            <w:r>
              <w:rPr>
                <w:rFonts w:hint="eastAsia" w:cs="Times New Roman"/>
                <w:color w:val="auto"/>
                <w:sz w:val="18"/>
                <w:szCs w:val="18"/>
                <w:highlight w:val="none"/>
                <w:lang w:eastAsia="zh-CN"/>
              </w:rPr>
              <w:t>依吉</w:t>
            </w:r>
            <w:r>
              <w:rPr>
                <w:rFonts w:hint="default" w:ascii="Times New Roman" w:hAnsi="Times New Roman" w:eastAsia="宋体" w:cs="Times New Roman"/>
                <w:color w:val="auto"/>
                <w:sz w:val="18"/>
                <w:szCs w:val="18"/>
                <w:highlight w:val="none"/>
                <w:lang w:eastAsia="zh-CN"/>
              </w:rPr>
              <w:t>污水处理厂深度处理</w:t>
            </w:r>
          </w:p>
        </w:tc>
        <w:tc>
          <w:tcPr>
            <w:tcW w:w="2493" w:type="dxa"/>
            <w:vAlign w:val="center"/>
          </w:tcPr>
          <w:p w14:paraId="053F28DE">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《污水综合排放标准》（GB8978-1996）表4中三级标准</w:t>
            </w:r>
          </w:p>
        </w:tc>
      </w:tr>
      <w:tr w14:paraId="698B28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983" w:type="dxa"/>
            <w:vMerge w:val="continue"/>
            <w:vAlign w:val="center"/>
          </w:tcPr>
          <w:p w14:paraId="161B7337">
            <w:pPr>
              <w:adjustRightInd w:val="0"/>
              <w:snapToGrid w:val="0"/>
              <w:jc w:val="center"/>
              <w:rPr>
                <w:rFonts w:hint="default" w:ascii="Times New Roman" w:hAnsi="Times New Roman" w:cs="Times New Roman"/>
                <w:color w:val="auto"/>
                <w:sz w:val="18"/>
                <w:szCs w:val="21"/>
                <w:highlight w:val="none"/>
              </w:rPr>
            </w:pPr>
          </w:p>
        </w:tc>
        <w:tc>
          <w:tcPr>
            <w:tcW w:w="1701" w:type="dxa"/>
            <w:vAlign w:val="center"/>
          </w:tcPr>
          <w:p w14:paraId="01515EEA">
            <w:pPr>
              <w:adjustRightInd w:val="0"/>
              <w:snapToGrid w:val="0"/>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生产废水</w:t>
            </w:r>
          </w:p>
        </w:tc>
        <w:tc>
          <w:tcPr>
            <w:tcW w:w="1417" w:type="dxa"/>
            <w:vAlign w:val="center"/>
          </w:tcPr>
          <w:p w14:paraId="20F3D0F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SS</w:t>
            </w:r>
          </w:p>
        </w:tc>
        <w:tc>
          <w:tcPr>
            <w:tcW w:w="2206" w:type="dxa"/>
            <w:vAlign w:val="center"/>
          </w:tcPr>
          <w:p w14:paraId="7D86F838">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简易沉淀后回用生产</w:t>
            </w:r>
          </w:p>
        </w:tc>
        <w:tc>
          <w:tcPr>
            <w:tcW w:w="2493" w:type="dxa"/>
            <w:vMerge w:val="restart"/>
            <w:vAlign w:val="center"/>
          </w:tcPr>
          <w:p w14:paraId="70B7F40B">
            <w:pPr>
              <w:adjustRightInd w:val="0"/>
              <w:snapToGrid w:val="0"/>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2B24B8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983" w:type="dxa"/>
            <w:vMerge w:val="continue"/>
            <w:vAlign w:val="center"/>
          </w:tcPr>
          <w:p w14:paraId="3FBBD6E7">
            <w:pPr>
              <w:adjustRightInd w:val="0"/>
              <w:snapToGrid w:val="0"/>
              <w:jc w:val="center"/>
              <w:rPr>
                <w:rFonts w:hint="default" w:ascii="Times New Roman" w:hAnsi="Times New Roman" w:cs="Times New Roman"/>
                <w:color w:val="auto"/>
                <w:sz w:val="18"/>
                <w:szCs w:val="21"/>
                <w:highlight w:val="none"/>
              </w:rPr>
            </w:pPr>
          </w:p>
        </w:tc>
        <w:tc>
          <w:tcPr>
            <w:tcW w:w="1701" w:type="dxa"/>
            <w:vAlign w:val="center"/>
          </w:tcPr>
          <w:p w14:paraId="206C2F77">
            <w:pPr>
              <w:adjustRightInd w:val="0"/>
              <w:snapToGrid w:val="0"/>
              <w:jc w:val="center"/>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eastAsia="zh-CN"/>
              </w:rPr>
              <w:t>锅炉排污水及软化水制备废水</w:t>
            </w:r>
          </w:p>
        </w:tc>
        <w:tc>
          <w:tcPr>
            <w:tcW w:w="1417" w:type="dxa"/>
            <w:vAlign w:val="center"/>
          </w:tcPr>
          <w:p w14:paraId="4992BA1A">
            <w:pPr>
              <w:adjustRightInd w:val="0"/>
              <w:snapToGrid w:val="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COD、SS</w:t>
            </w:r>
          </w:p>
        </w:tc>
        <w:tc>
          <w:tcPr>
            <w:tcW w:w="2206" w:type="dxa"/>
            <w:vAlign w:val="center"/>
          </w:tcPr>
          <w:p w14:paraId="15A92D3F">
            <w:pPr>
              <w:adjustRightInd w:val="0"/>
              <w:snapToGrid w:val="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夏季作为厂区及锅炉房抑尘用水。冬季回用于生产</w:t>
            </w:r>
          </w:p>
        </w:tc>
        <w:tc>
          <w:tcPr>
            <w:tcW w:w="2493" w:type="dxa"/>
            <w:vMerge w:val="continue"/>
            <w:vAlign w:val="center"/>
          </w:tcPr>
          <w:p w14:paraId="6C0A9B7C">
            <w:pPr>
              <w:adjustRightInd w:val="0"/>
              <w:snapToGrid w:val="0"/>
              <w:jc w:val="center"/>
              <w:rPr>
                <w:rFonts w:hint="default" w:ascii="Times New Roman" w:hAnsi="Times New Roman" w:cs="Times New Roman"/>
                <w:color w:val="auto"/>
                <w:sz w:val="18"/>
                <w:szCs w:val="18"/>
                <w:highlight w:val="none"/>
              </w:rPr>
            </w:pPr>
          </w:p>
        </w:tc>
      </w:tr>
      <w:tr w14:paraId="21E4FA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83" w:type="dxa"/>
            <w:vAlign w:val="center"/>
          </w:tcPr>
          <w:p w14:paraId="5C0668C4">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声环境</w:t>
            </w:r>
          </w:p>
        </w:tc>
        <w:tc>
          <w:tcPr>
            <w:tcW w:w="1701" w:type="dxa"/>
            <w:vAlign w:val="center"/>
          </w:tcPr>
          <w:p w14:paraId="05413F26">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设备噪声</w:t>
            </w:r>
          </w:p>
        </w:tc>
        <w:tc>
          <w:tcPr>
            <w:tcW w:w="1417" w:type="dxa"/>
            <w:vAlign w:val="center"/>
          </w:tcPr>
          <w:p w14:paraId="2CCE0F3F">
            <w:pPr>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w:t>
            </w:r>
          </w:p>
        </w:tc>
        <w:tc>
          <w:tcPr>
            <w:tcW w:w="2206" w:type="dxa"/>
            <w:vAlign w:val="center"/>
          </w:tcPr>
          <w:p w14:paraId="2804AC47">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采取隔声、基础减振、</w:t>
            </w:r>
          </w:p>
          <w:p w14:paraId="5F3EF554">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衰减措施</w:t>
            </w:r>
          </w:p>
        </w:tc>
        <w:tc>
          <w:tcPr>
            <w:tcW w:w="2493" w:type="dxa"/>
            <w:vAlign w:val="center"/>
          </w:tcPr>
          <w:p w14:paraId="44B5C48E">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《工业企业厂界环境噪声排放标准》（GB12348-2008）表1中</w:t>
            </w:r>
            <w:r>
              <w:rPr>
                <w:rFonts w:hint="default" w:ascii="Times New Roman" w:hAnsi="Times New Roman" w:cs="Times New Roman"/>
                <w:color w:val="auto"/>
                <w:sz w:val="18"/>
                <w:szCs w:val="18"/>
                <w:highlight w:val="none"/>
                <w:lang w:val="en-US" w:eastAsia="zh-CN"/>
              </w:rPr>
              <w:t>3</w:t>
            </w:r>
            <w:r>
              <w:rPr>
                <w:rFonts w:hint="default" w:ascii="Times New Roman" w:hAnsi="Times New Roman" w:cs="Times New Roman"/>
                <w:color w:val="auto"/>
                <w:sz w:val="18"/>
                <w:szCs w:val="18"/>
                <w:highlight w:val="none"/>
              </w:rPr>
              <w:t>类标准</w:t>
            </w:r>
          </w:p>
        </w:tc>
      </w:tr>
      <w:tr w14:paraId="748B9E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83" w:type="dxa"/>
            <w:vAlign w:val="center"/>
          </w:tcPr>
          <w:p w14:paraId="44D88EB6">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电磁辐射</w:t>
            </w:r>
          </w:p>
        </w:tc>
        <w:tc>
          <w:tcPr>
            <w:tcW w:w="1701" w:type="dxa"/>
            <w:vAlign w:val="center"/>
          </w:tcPr>
          <w:p w14:paraId="1C57FDDB">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1417" w:type="dxa"/>
            <w:vAlign w:val="center"/>
          </w:tcPr>
          <w:p w14:paraId="1A0F1952">
            <w:pPr>
              <w:jc w:val="center"/>
              <w:textAlignment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206" w:type="dxa"/>
            <w:vAlign w:val="center"/>
          </w:tcPr>
          <w:p w14:paraId="3B8C0B57">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2493" w:type="dxa"/>
            <w:vAlign w:val="center"/>
          </w:tcPr>
          <w:p w14:paraId="04E35EAB">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12E8D5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983" w:type="dxa"/>
            <w:vMerge w:val="restart"/>
            <w:vAlign w:val="center"/>
          </w:tcPr>
          <w:p w14:paraId="226FB777">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固体废物</w:t>
            </w:r>
          </w:p>
        </w:tc>
        <w:tc>
          <w:tcPr>
            <w:tcW w:w="3118" w:type="dxa"/>
            <w:gridSpan w:val="2"/>
            <w:vAlign w:val="center"/>
          </w:tcPr>
          <w:p w14:paraId="2EED63AF">
            <w:pPr>
              <w:pStyle w:val="78"/>
              <w:rPr>
                <w:rFonts w:hint="default" w:ascii="Times New Roman" w:hAnsi="Times New Roman" w:cs="Times New Roman"/>
                <w:color w:val="auto"/>
                <w:sz w:val="18"/>
                <w:szCs w:val="18"/>
                <w:highlight w:val="none"/>
              </w:rPr>
            </w:pPr>
            <w:r>
              <w:rPr>
                <w:rFonts w:hint="default" w:ascii="Times New Roman" w:hAnsi="Times New Roman" w:cs="Times New Roman"/>
                <w:color w:val="auto"/>
                <w:kern w:val="2"/>
                <w:sz w:val="18"/>
                <w:szCs w:val="18"/>
                <w:highlight w:val="none"/>
              </w:rPr>
              <w:t>生活垃圾</w:t>
            </w:r>
          </w:p>
        </w:tc>
        <w:tc>
          <w:tcPr>
            <w:tcW w:w="2206" w:type="dxa"/>
            <w:vAlign w:val="center"/>
          </w:tcPr>
          <w:p w14:paraId="5403CD83">
            <w:pPr>
              <w:pStyle w:val="78"/>
              <w:rPr>
                <w:rFonts w:hint="default" w:ascii="Times New Roman" w:hAnsi="Times New Roman" w:cs="Times New Roman"/>
                <w:color w:val="auto"/>
                <w:sz w:val="18"/>
                <w:szCs w:val="18"/>
                <w:highlight w:val="none"/>
              </w:rPr>
            </w:pPr>
            <w:r>
              <w:rPr>
                <w:rFonts w:hint="default" w:ascii="Times New Roman" w:hAnsi="Times New Roman" w:cs="Times New Roman"/>
                <w:color w:val="auto"/>
                <w:kern w:val="2"/>
                <w:sz w:val="18"/>
                <w:szCs w:val="18"/>
                <w:highlight w:val="none"/>
              </w:rPr>
              <w:t>由市政部门统一处理</w:t>
            </w:r>
          </w:p>
        </w:tc>
        <w:tc>
          <w:tcPr>
            <w:tcW w:w="2493" w:type="dxa"/>
            <w:vMerge w:val="restart"/>
            <w:vAlign w:val="center"/>
          </w:tcPr>
          <w:p w14:paraId="684886DA">
            <w:pPr>
              <w:widowControl/>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处置率100%</w:t>
            </w:r>
          </w:p>
        </w:tc>
      </w:tr>
      <w:tr w14:paraId="7093BD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983" w:type="dxa"/>
            <w:vMerge w:val="continue"/>
            <w:vAlign w:val="center"/>
          </w:tcPr>
          <w:p w14:paraId="2C8BC02B">
            <w:pPr>
              <w:adjustRightInd w:val="0"/>
              <w:snapToGrid w:val="0"/>
              <w:jc w:val="center"/>
              <w:rPr>
                <w:rFonts w:hint="default" w:ascii="Times New Roman" w:hAnsi="Times New Roman" w:cs="Times New Roman"/>
                <w:color w:val="auto"/>
                <w:highlight w:val="none"/>
              </w:rPr>
            </w:pPr>
          </w:p>
        </w:tc>
        <w:tc>
          <w:tcPr>
            <w:tcW w:w="3118" w:type="dxa"/>
            <w:gridSpan w:val="2"/>
            <w:vAlign w:val="center"/>
          </w:tcPr>
          <w:p w14:paraId="1068EADC">
            <w:pPr>
              <w:pStyle w:val="78"/>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kern w:val="2"/>
                <w:sz w:val="18"/>
                <w:szCs w:val="18"/>
                <w:highlight w:val="none"/>
                <w:lang w:eastAsia="zh-CN"/>
              </w:rPr>
              <w:t>不合格品</w:t>
            </w:r>
            <w:r>
              <w:rPr>
                <w:rFonts w:hint="eastAsia" w:ascii="Times New Roman" w:hAnsi="Times New Roman" w:cs="Times New Roman"/>
                <w:color w:val="auto"/>
                <w:kern w:val="2"/>
                <w:sz w:val="18"/>
                <w:szCs w:val="18"/>
                <w:highlight w:val="none"/>
                <w:lang w:eastAsia="zh-CN"/>
              </w:rPr>
              <w:t>、</w:t>
            </w:r>
            <w:r>
              <w:rPr>
                <w:rFonts w:hint="eastAsia" w:ascii="Times New Roman" w:hAnsi="Times New Roman" w:cs="Times New Roman"/>
                <w:color w:val="auto"/>
                <w:kern w:val="2"/>
                <w:sz w:val="18"/>
                <w:szCs w:val="18"/>
                <w:highlight w:val="none"/>
                <w:lang w:val="en-US" w:eastAsia="zh-CN"/>
              </w:rPr>
              <w:t>废边角料</w:t>
            </w:r>
          </w:p>
        </w:tc>
        <w:tc>
          <w:tcPr>
            <w:tcW w:w="2206" w:type="dxa"/>
            <w:vAlign w:val="center"/>
          </w:tcPr>
          <w:p w14:paraId="258B8DC8">
            <w:pPr>
              <w:pStyle w:val="78"/>
              <w:rPr>
                <w:rFonts w:hint="default" w:ascii="Times New Roman" w:hAnsi="Times New Roman" w:cs="Times New Roman"/>
                <w:color w:val="auto"/>
                <w:sz w:val="18"/>
                <w:szCs w:val="18"/>
                <w:highlight w:val="none"/>
              </w:rPr>
            </w:pPr>
            <w:r>
              <w:rPr>
                <w:rFonts w:hint="default" w:ascii="Times New Roman" w:hAnsi="Times New Roman" w:cs="Times New Roman"/>
                <w:color w:val="auto"/>
                <w:kern w:val="2"/>
                <w:sz w:val="18"/>
                <w:szCs w:val="18"/>
                <w:highlight w:val="none"/>
                <w:lang w:eastAsia="zh-CN"/>
              </w:rPr>
              <w:t>外售综合利用</w:t>
            </w:r>
          </w:p>
        </w:tc>
        <w:tc>
          <w:tcPr>
            <w:tcW w:w="2493" w:type="dxa"/>
            <w:vMerge w:val="continue"/>
            <w:vAlign w:val="center"/>
          </w:tcPr>
          <w:p w14:paraId="31B24664">
            <w:pPr>
              <w:adjustRightInd w:val="0"/>
              <w:snapToGrid w:val="0"/>
              <w:jc w:val="center"/>
              <w:rPr>
                <w:rFonts w:hint="default" w:ascii="Times New Roman" w:hAnsi="Times New Roman" w:cs="Times New Roman"/>
                <w:color w:val="auto"/>
                <w:sz w:val="18"/>
                <w:szCs w:val="18"/>
                <w:highlight w:val="none"/>
              </w:rPr>
            </w:pPr>
          </w:p>
        </w:tc>
      </w:tr>
      <w:tr w14:paraId="3C0FAC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983" w:type="dxa"/>
            <w:vMerge w:val="continue"/>
            <w:vAlign w:val="center"/>
          </w:tcPr>
          <w:p w14:paraId="4C557F18">
            <w:pPr>
              <w:adjustRightInd w:val="0"/>
              <w:snapToGrid w:val="0"/>
              <w:jc w:val="center"/>
              <w:rPr>
                <w:rFonts w:hint="default" w:ascii="Times New Roman" w:hAnsi="Times New Roman" w:cs="Times New Roman"/>
                <w:color w:val="auto"/>
                <w:highlight w:val="none"/>
              </w:rPr>
            </w:pPr>
          </w:p>
        </w:tc>
        <w:tc>
          <w:tcPr>
            <w:tcW w:w="3118" w:type="dxa"/>
            <w:gridSpan w:val="2"/>
            <w:vAlign w:val="center"/>
          </w:tcPr>
          <w:p w14:paraId="7ED497A6">
            <w:pPr>
              <w:pStyle w:val="78"/>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kern w:val="2"/>
                <w:sz w:val="18"/>
                <w:szCs w:val="18"/>
                <w:highlight w:val="none"/>
                <w:lang w:eastAsia="zh-CN"/>
              </w:rPr>
              <w:t>废包装带</w:t>
            </w:r>
          </w:p>
        </w:tc>
        <w:tc>
          <w:tcPr>
            <w:tcW w:w="2206" w:type="dxa"/>
            <w:vAlign w:val="center"/>
          </w:tcPr>
          <w:p w14:paraId="186E74C6">
            <w:pPr>
              <w:pStyle w:val="78"/>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kern w:val="2"/>
                <w:sz w:val="18"/>
                <w:szCs w:val="18"/>
                <w:highlight w:val="none"/>
              </w:rPr>
              <w:t>由市政部门统一处理</w:t>
            </w:r>
          </w:p>
        </w:tc>
        <w:tc>
          <w:tcPr>
            <w:tcW w:w="2493" w:type="dxa"/>
            <w:vMerge w:val="continue"/>
            <w:vAlign w:val="center"/>
          </w:tcPr>
          <w:p w14:paraId="0B5BB370">
            <w:pPr>
              <w:adjustRightInd w:val="0"/>
              <w:snapToGrid w:val="0"/>
              <w:jc w:val="center"/>
              <w:rPr>
                <w:rFonts w:hint="default" w:ascii="Times New Roman" w:hAnsi="Times New Roman" w:cs="Times New Roman"/>
                <w:color w:val="auto"/>
                <w:sz w:val="18"/>
                <w:szCs w:val="18"/>
                <w:highlight w:val="none"/>
              </w:rPr>
            </w:pPr>
          </w:p>
        </w:tc>
      </w:tr>
      <w:tr w14:paraId="3700AF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983" w:type="dxa"/>
            <w:vMerge w:val="continue"/>
            <w:vAlign w:val="center"/>
          </w:tcPr>
          <w:p w14:paraId="009BB461">
            <w:pPr>
              <w:adjustRightInd w:val="0"/>
              <w:snapToGrid w:val="0"/>
              <w:jc w:val="center"/>
              <w:rPr>
                <w:rFonts w:hint="default" w:ascii="Times New Roman" w:hAnsi="Times New Roman" w:cs="Times New Roman"/>
                <w:color w:val="auto"/>
                <w:sz w:val="18"/>
                <w:szCs w:val="18"/>
                <w:highlight w:val="none"/>
              </w:rPr>
            </w:pPr>
          </w:p>
        </w:tc>
        <w:tc>
          <w:tcPr>
            <w:tcW w:w="3118" w:type="dxa"/>
            <w:gridSpan w:val="2"/>
            <w:vAlign w:val="center"/>
          </w:tcPr>
          <w:p w14:paraId="32820050">
            <w:pPr>
              <w:pStyle w:val="78"/>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kern w:val="2"/>
                <w:sz w:val="18"/>
                <w:szCs w:val="18"/>
                <w:highlight w:val="none"/>
                <w:lang w:eastAsia="zh-CN"/>
              </w:rPr>
              <w:t>废布袋</w:t>
            </w:r>
          </w:p>
        </w:tc>
        <w:tc>
          <w:tcPr>
            <w:tcW w:w="2206" w:type="dxa"/>
            <w:vAlign w:val="center"/>
          </w:tcPr>
          <w:p w14:paraId="3BF56B31">
            <w:pPr>
              <w:pStyle w:val="78"/>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kern w:val="2"/>
                <w:sz w:val="18"/>
                <w:szCs w:val="18"/>
                <w:highlight w:val="none"/>
                <w:lang w:eastAsia="zh-CN"/>
              </w:rPr>
              <w:t>更换后由厂家直接带走</w:t>
            </w:r>
          </w:p>
        </w:tc>
        <w:tc>
          <w:tcPr>
            <w:tcW w:w="2493" w:type="dxa"/>
            <w:vMerge w:val="continue"/>
            <w:vAlign w:val="center"/>
          </w:tcPr>
          <w:p w14:paraId="79F1F332">
            <w:pPr>
              <w:adjustRightInd w:val="0"/>
              <w:snapToGrid w:val="0"/>
              <w:jc w:val="center"/>
              <w:rPr>
                <w:rFonts w:hint="default" w:ascii="Times New Roman" w:hAnsi="Times New Roman" w:cs="Times New Roman"/>
                <w:color w:val="auto"/>
                <w:sz w:val="18"/>
                <w:szCs w:val="18"/>
                <w:highlight w:val="none"/>
              </w:rPr>
            </w:pPr>
          </w:p>
        </w:tc>
      </w:tr>
      <w:tr w14:paraId="45BC22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983" w:type="dxa"/>
            <w:vMerge w:val="continue"/>
            <w:vAlign w:val="center"/>
          </w:tcPr>
          <w:p w14:paraId="5B597EEF">
            <w:pPr>
              <w:adjustRightInd w:val="0"/>
              <w:snapToGrid w:val="0"/>
              <w:jc w:val="center"/>
              <w:rPr>
                <w:rFonts w:hint="default" w:ascii="Times New Roman" w:hAnsi="Times New Roman" w:cs="Times New Roman"/>
                <w:color w:val="auto"/>
                <w:sz w:val="18"/>
                <w:szCs w:val="18"/>
                <w:highlight w:val="none"/>
              </w:rPr>
            </w:pPr>
          </w:p>
        </w:tc>
        <w:tc>
          <w:tcPr>
            <w:tcW w:w="3118" w:type="dxa"/>
            <w:gridSpan w:val="2"/>
            <w:vAlign w:val="center"/>
          </w:tcPr>
          <w:p w14:paraId="74CD6995">
            <w:pPr>
              <w:pStyle w:val="78"/>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kern w:val="2"/>
                <w:sz w:val="18"/>
                <w:szCs w:val="18"/>
                <w:highlight w:val="none"/>
                <w:lang w:eastAsia="zh-CN"/>
              </w:rPr>
              <w:t>除尘器收集粉尘</w:t>
            </w:r>
          </w:p>
        </w:tc>
        <w:tc>
          <w:tcPr>
            <w:tcW w:w="2206" w:type="dxa"/>
            <w:vAlign w:val="center"/>
          </w:tcPr>
          <w:p w14:paraId="173FB4A1">
            <w:pPr>
              <w:pStyle w:val="78"/>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kern w:val="2"/>
                <w:sz w:val="18"/>
                <w:szCs w:val="18"/>
                <w:highlight w:val="none"/>
                <w:lang w:eastAsia="zh-CN"/>
              </w:rPr>
              <w:t>回用于生产</w:t>
            </w:r>
          </w:p>
        </w:tc>
        <w:tc>
          <w:tcPr>
            <w:tcW w:w="2493" w:type="dxa"/>
            <w:vMerge w:val="continue"/>
            <w:vAlign w:val="center"/>
          </w:tcPr>
          <w:p w14:paraId="50B970AE">
            <w:pPr>
              <w:adjustRightInd w:val="0"/>
              <w:snapToGrid w:val="0"/>
              <w:jc w:val="center"/>
              <w:rPr>
                <w:rFonts w:hint="default" w:ascii="Times New Roman" w:hAnsi="Times New Roman" w:cs="Times New Roman"/>
                <w:color w:val="auto"/>
                <w:sz w:val="18"/>
                <w:szCs w:val="18"/>
                <w:highlight w:val="none"/>
              </w:rPr>
            </w:pPr>
          </w:p>
        </w:tc>
      </w:tr>
      <w:tr w14:paraId="531271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983" w:type="dxa"/>
            <w:vMerge w:val="continue"/>
            <w:vAlign w:val="center"/>
          </w:tcPr>
          <w:p w14:paraId="27CC0D7F">
            <w:pPr>
              <w:adjustRightInd w:val="0"/>
              <w:snapToGrid w:val="0"/>
              <w:jc w:val="center"/>
              <w:rPr>
                <w:rFonts w:hint="default" w:ascii="Times New Roman" w:hAnsi="Times New Roman" w:cs="Times New Roman"/>
                <w:color w:val="auto"/>
                <w:sz w:val="18"/>
                <w:szCs w:val="18"/>
                <w:highlight w:val="none"/>
              </w:rPr>
            </w:pPr>
          </w:p>
        </w:tc>
        <w:tc>
          <w:tcPr>
            <w:tcW w:w="3118" w:type="dxa"/>
            <w:gridSpan w:val="2"/>
            <w:vAlign w:val="center"/>
          </w:tcPr>
          <w:p w14:paraId="26DDEBDC">
            <w:pPr>
              <w:pStyle w:val="78"/>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炉渣</w:t>
            </w:r>
          </w:p>
        </w:tc>
        <w:tc>
          <w:tcPr>
            <w:tcW w:w="2206" w:type="dxa"/>
            <w:vAlign w:val="center"/>
          </w:tcPr>
          <w:p w14:paraId="5843BFE9">
            <w:pPr>
              <w:pStyle w:val="78"/>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kern w:val="2"/>
                <w:sz w:val="18"/>
                <w:szCs w:val="18"/>
                <w:highlight w:val="none"/>
                <w:lang w:eastAsia="zh-CN"/>
              </w:rPr>
              <w:t>暂存于锅炉房内，定期外售综合利用</w:t>
            </w:r>
          </w:p>
        </w:tc>
        <w:tc>
          <w:tcPr>
            <w:tcW w:w="2493" w:type="dxa"/>
            <w:vMerge w:val="continue"/>
            <w:vAlign w:val="center"/>
          </w:tcPr>
          <w:p w14:paraId="66C5DA3B">
            <w:pPr>
              <w:adjustRightInd w:val="0"/>
              <w:snapToGrid w:val="0"/>
              <w:jc w:val="center"/>
              <w:rPr>
                <w:rFonts w:hint="default" w:ascii="Times New Roman" w:hAnsi="Times New Roman" w:cs="Times New Roman"/>
                <w:color w:val="auto"/>
                <w:sz w:val="18"/>
                <w:szCs w:val="18"/>
                <w:highlight w:val="none"/>
              </w:rPr>
            </w:pPr>
          </w:p>
        </w:tc>
      </w:tr>
      <w:tr w14:paraId="0A0835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83" w:type="dxa"/>
            <w:vMerge w:val="continue"/>
            <w:vAlign w:val="center"/>
          </w:tcPr>
          <w:p w14:paraId="6BE0E737">
            <w:pPr>
              <w:adjustRightInd w:val="0"/>
              <w:snapToGrid w:val="0"/>
              <w:jc w:val="center"/>
              <w:rPr>
                <w:rFonts w:hint="default" w:ascii="Times New Roman" w:hAnsi="Times New Roman" w:cs="Times New Roman"/>
                <w:color w:val="auto"/>
                <w:sz w:val="18"/>
                <w:szCs w:val="18"/>
                <w:highlight w:val="none"/>
              </w:rPr>
            </w:pPr>
          </w:p>
        </w:tc>
        <w:tc>
          <w:tcPr>
            <w:tcW w:w="3118" w:type="dxa"/>
            <w:gridSpan w:val="2"/>
            <w:vAlign w:val="center"/>
          </w:tcPr>
          <w:p w14:paraId="6C664135">
            <w:pPr>
              <w:pStyle w:val="78"/>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废离子交换树脂</w:t>
            </w:r>
          </w:p>
        </w:tc>
        <w:tc>
          <w:tcPr>
            <w:tcW w:w="2206" w:type="dxa"/>
            <w:vAlign w:val="center"/>
          </w:tcPr>
          <w:p w14:paraId="445F0CC6">
            <w:pPr>
              <w:pStyle w:val="78"/>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kern w:val="2"/>
                <w:sz w:val="18"/>
                <w:szCs w:val="18"/>
                <w:highlight w:val="none"/>
                <w:lang w:val="en-US" w:eastAsia="zh-CN"/>
              </w:rPr>
              <w:t>厂家回收</w:t>
            </w:r>
          </w:p>
        </w:tc>
        <w:tc>
          <w:tcPr>
            <w:tcW w:w="2493" w:type="dxa"/>
            <w:vMerge w:val="continue"/>
            <w:vAlign w:val="center"/>
          </w:tcPr>
          <w:p w14:paraId="0BF9531D">
            <w:pPr>
              <w:adjustRightInd w:val="0"/>
              <w:snapToGrid w:val="0"/>
              <w:jc w:val="center"/>
              <w:rPr>
                <w:rFonts w:hint="default" w:ascii="Times New Roman" w:hAnsi="Times New Roman" w:cs="Times New Roman"/>
                <w:color w:val="auto"/>
                <w:sz w:val="18"/>
                <w:szCs w:val="18"/>
                <w:highlight w:val="none"/>
              </w:rPr>
            </w:pPr>
          </w:p>
        </w:tc>
      </w:tr>
      <w:tr w14:paraId="4DFEDC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983" w:type="dxa"/>
            <w:vMerge w:val="continue"/>
            <w:vAlign w:val="center"/>
          </w:tcPr>
          <w:p w14:paraId="223684A5">
            <w:pPr>
              <w:adjustRightInd w:val="0"/>
              <w:snapToGrid w:val="0"/>
              <w:jc w:val="center"/>
              <w:rPr>
                <w:rFonts w:hint="default" w:ascii="Times New Roman" w:hAnsi="Times New Roman" w:cs="Times New Roman"/>
                <w:color w:val="auto"/>
                <w:sz w:val="18"/>
                <w:szCs w:val="18"/>
                <w:highlight w:val="none"/>
              </w:rPr>
            </w:pPr>
          </w:p>
        </w:tc>
        <w:tc>
          <w:tcPr>
            <w:tcW w:w="3118" w:type="dxa"/>
            <w:gridSpan w:val="2"/>
            <w:vAlign w:val="center"/>
          </w:tcPr>
          <w:p w14:paraId="555F0494">
            <w:pPr>
              <w:pStyle w:val="78"/>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kern w:val="2"/>
                <w:sz w:val="18"/>
                <w:szCs w:val="18"/>
                <w:highlight w:val="none"/>
                <w:lang w:val="en-US" w:eastAsia="zh-CN"/>
              </w:rPr>
              <w:t>废活性炭</w:t>
            </w:r>
            <w:r>
              <w:rPr>
                <w:rFonts w:hint="eastAsia" w:ascii="Times New Roman" w:hAnsi="Times New Roman" w:cs="Times New Roman"/>
                <w:color w:val="auto"/>
                <w:kern w:val="2"/>
                <w:sz w:val="18"/>
                <w:szCs w:val="18"/>
                <w:highlight w:val="none"/>
                <w:lang w:val="en-US" w:eastAsia="zh-CN"/>
              </w:rPr>
              <w:t>、浸泡废水、防腐剂桶、脱模剂桶</w:t>
            </w:r>
          </w:p>
        </w:tc>
        <w:tc>
          <w:tcPr>
            <w:tcW w:w="2206" w:type="dxa"/>
            <w:vMerge w:val="restart"/>
            <w:vAlign w:val="center"/>
          </w:tcPr>
          <w:p w14:paraId="4F36E9ED">
            <w:pPr>
              <w:pStyle w:val="78"/>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kern w:val="2"/>
                <w:sz w:val="18"/>
                <w:szCs w:val="18"/>
                <w:highlight w:val="none"/>
                <w:lang w:val="en-US" w:eastAsia="zh-CN"/>
              </w:rPr>
              <w:t>危废</w:t>
            </w:r>
            <w:r>
              <w:rPr>
                <w:rFonts w:hint="eastAsia" w:ascii="Times New Roman" w:hAnsi="Times New Roman" w:cs="Times New Roman"/>
                <w:color w:val="auto"/>
                <w:kern w:val="2"/>
                <w:sz w:val="18"/>
                <w:szCs w:val="18"/>
                <w:highlight w:val="none"/>
                <w:lang w:val="en-US" w:eastAsia="zh-CN"/>
              </w:rPr>
              <w:t>贮存点</w:t>
            </w:r>
            <w:r>
              <w:rPr>
                <w:rFonts w:hint="default" w:ascii="Times New Roman" w:hAnsi="Times New Roman" w:eastAsia="宋体" w:cs="Times New Roman"/>
                <w:color w:val="auto"/>
                <w:kern w:val="2"/>
                <w:sz w:val="18"/>
                <w:szCs w:val="18"/>
                <w:highlight w:val="none"/>
                <w:lang w:val="en-US" w:eastAsia="zh-CN"/>
              </w:rPr>
              <w:t>暂存，定期委托有资质单位处置</w:t>
            </w:r>
          </w:p>
        </w:tc>
        <w:tc>
          <w:tcPr>
            <w:tcW w:w="2493" w:type="dxa"/>
            <w:vMerge w:val="continue"/>
            <w:vAlign w:val="center"/>
          </w:tcPr>
          <w:p w14:paraId="730DAECC">
            <w:pPr>
              <w:adjustRightInd w:val="0"/>
              <w:snapToGrid w:val="0"/>
              <w:jc w:val="center"/>
              <w:rPr>
                <w:rFonts w:hint="default" w:ascii="Times New Roman" w:hAnsi="Times New Roman" w:cs="Times New Roman"/>
                <w:color w:val="auto"/>
                <w:sz w:val="18"/>
                <w:szCs w:val="18"/>
                <w:highlight w:val="none"/>
              </w:rPr>
            </w:pPr>
          </w:p>
        </w:tc>
      </w:tr>
      <w:tr w14:paraId="2E71D1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983" w:type="dxa"/>
            <w:vMerge w:val="continue"/>
            <w:vAlign w:val="center"/>
          </w:tcPr>
          <w:p w14:paraId="2FC7A6E1">
            <w:pPr>
              <w:adjustRightInd w:val="0"/>
              <w:snapToGrid w:val="0"/>
              <w:jc w:val="center"/>
              <w:rPr>
                <w:rFonts w:hint="default" w:ascii="Times New Roman" w:hAnsi="Times New Roman" w:cs="Times New Roman"/>
                <w:color w:val="auto"/>
                <w:sz w:val="18"/>
                <w:szCs w:val="18"/>
                <w:highlight w:val="none"/>
              </w:rPr>
            </w:pPr>
          </w:p>
        </w:tc>
        <w:tc>
          <w:tcPr>
            <w:tcW w:w="3118" w:type="dxa"/>
            <w:gridSpan w:val="2"/>
            <w:vAlign w:val="center"/>
          </w:tcPr>
          <w:p w14:paraId="34BF50B0">
            <w:pPr>
              <w:pStyle w:val="78"/>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kern w:val="2"/>
                <w:sz w:val="18"/>
                <w:szCs w:val="18"/>
                <w:highlight w:val="none"/>
                <w:lang w:val="en-US" w:eastAsia="zh-CN"/>
              </w:rPr>
              <w:t>废矿物油</w:t>
            </w:r>
            <w:r>
              <w:rPr>
                <w:rFonts w:hint="eastAsia" w:ascii="Times New Roman" w:hAnsi="Times New Roman" w:cs="Times New Roman"/>
                <w:color w:val="auto"/>
                <w:kern w:val="2"/>
                <w:sz w:val="18"/>
                <w:szCs w:val="18"/>
                <w:highlight w:val="none"/>
                <w:lang w:val="en-US" w:eastAsia="zh-CN"/>
              </w:rPr>
              <w:t>、废油桶</w:t>
            </w:r>
          </w:p>
        </w:tc>
        <w:tc>
          <w:tcPr>
            <w:tcW w:w="2206" w:type="dxa"/>
            <w:vMerge w:val="continue"/>
            <w:vAlign w:val="center"/>
          </w:tcPr>
          <w:p w14:paraId="33D9E90F">
            <w:pPr>
              <w:pStyle w:val="78"/>
              <w:rPr>
                <w:rFonts w:hint="default" w:ascii="Times New Roman" w:hAnsi="Times New Roman" w:eastAsia="宋体" w:cs="Times New Roman"/>
                <w:color w:val="auto"/>
                <w:sz w:val="18"/>
                <w:szCs w:val="18"/>
                <w:highlight w:val="none"/>
                <w:lang w:eastAsia="zh-CN"/>
              </w:rPr>
            </w:pPr>
          </w:p>
        </w:tc>
        <w:tc>
          <w:tcPr>
            <w:tcW w:w="2493" w:type="dxa"/>
            <w:vMerge w:val="continue"/>
            <w:vAlign w:val="center"/>
          </w:tcPr>
          <w:p w14:paraId="2CFCB913">
            <w:pPr>
              <w:adjustRightInd w:val="0"/>
              <w:snapToGrid w:val="0"/>
              <w:jc w:val="center"/>
              <w:rPr>
                <w:rFonts w:hint="default" w:ascii="Times New Roman" w:hAnsi="Times New Roman" w:cs="Times New Roman"/>
                <w:color w:val="auto"/>
                <w:sz w:val="18"/>
                <w:szCs w:val="18"/>
                <w:highlight w:val="none"/>
              </w:rPr>
            </w:pPr>
          </w:p>
        </w:tc>
      </w:tr>
      <w:tr w14:paraId="6D6AED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05" w:hRule="atLeast"/>
          <w:jc w:val="center"/>
        </w:trPr>
        <w:tc>
          <w:tcPr>
            <w:tcW w:w="983" w:type="dxa"/>
            <w:vAlign w:val="center"/>
          </w:tcPr>
          <w:p w14:paraId="09EB5B42">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土壤及地下水</w:t>
            </w:r>
          </w:p>
          <w:p w14:paraId="0A61F012">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污染防治措施</w:t>
            </w:r>
          </w:p>
        </w:tc>
        <w:tc>
          <w:tcPr>
            <w:tcW w:w="7817" w:type="dxa"/>
            <w:gridSpan w:val="4"/>
            <w:vAlign w:val="center"/>
          </w:tcPr>
          <w:p w14:paraId="5B053C1B">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eastAsia="zh-CN"/>
              </w:rPr>
              <w:t>本项目采取“分区防渗”的原则，危废</w:t>
            </w:r>
            <w:r>
              <w:rPr>
                <w:rFonts w:hint="eastAsia" w:cs="Times New Roman"/>
                <w:color w:val="auto"/>
                <w:sz w:val="18"/>
                <w:szCs w:val="18"/>
                <w:highlight w:val="none"/>
                <w:lang w:eastAsia="zh-CN"/>
              </w:rPr>
              <w:t>贮存点</w:t>
            </w:r>
            <w:r>
              <w:rPr>
                <w:rFonts w:hint="default" w:ascii="Times New Roman" w:hAnsi="Times New Roman" w:cs="Times New Roman"/>
                <w:color w:val="auto"/>
                <w:sz w:val="18"/>
                <w:szCs w:val="18"/>
                <w:highlight w:val="none"/>
                <w:lang w:eastAsia="zh-CN"/>
              </w:rPr>
              <w:t>为重点防渗区，生产车间、粉煤灰库、沉淀池、初期雨水池均为一般防渗区，其余区域为简单防渗，做地面硬化。</w:t>
            </w:r>
            <w:r>
              <w:rPr>
                <w:rFonts w:hint="default" w:ascii="Times New Roman" w:hAnsi="Times New Roman" w:cs="Times New Roman"/>
                <w:color w:val="auto"/>
                <w:spacing w:val="-2"/>
                <w:sz w:val="18"/>
                <w:szCs w:val="18"/>
                <w:highlight w:val="none"/>
                <w:lang w:eastAsia="zh-CN"/>
              </w:rPr>
              <w:t>危险废物贮</w:t>
            </w:r>
            <w:r>
              <w:rPr>
                <w:rFonts w:hint="eastAsia" w:cs="Times New Roman"/>
                <w:color w:val="auto"/>
                <w:spacing w:val="-2"/>
                <w:sz w:val="18"/>
                <w:szCs w:val="18"/>
                <w:highlight w:val="none"/>
                <w:lang w:val="en-US" w:eastAsia="zh-CN"/>
              </w:rPr>
              <w:t>存点</w:t>
            </w:r>
            <w:r>
              <w:rPr>
                <w:rFonts w:hint="default" w:ascii="Times New Roman" w:hAnsi="Times New Roman" w:cs="Times New Roman"/>
                <w:color w:val="auto"/>
                <w:spacing w:val="-2"/>
                <w:sz w:val="18"/>
                <w:szCs w:val="18"/>
                <w:highlight w:val="none"/>
                <w:lang w:eastAsia="zh-CN"/>
              </w:rPr>
              <w:t>建设严格按照《危险废物贮存污染控制标准》(GB18597-2023)中相关规定进行设置，地面防渗、裙脚防渗，防渗层为至少1米厚粘土层(渗透系数≤10</w:t>
            </w:r>
            <w:r>
              <w:rPr>
                <w:rFonts w:hint="default" w:ascii="Times New Roman" w:hAnsi="Times New Roman" w:cs="Times New Roman"/>
                <w:color w:val="auto"/>
                <w:spacing w:val="-2"/>
                <w:sz w:val="18"/>
                <w:szCs w:val="18"/>
                <w:highlight w:val="none"/>
                <w:vertAlign w:val="superscript"/>
                <w:lang w:eastAsia="zh-CN"/>
              </w:rPr>
              <w:t>-7</w:t>
            </w:r>
            <w:r>
              <w:rPr>
                <w:rFonts w:hint="default" w:ascii="Times New Roman" w:hAnsi="Times New Roman" w:cs="Times New Roman"/>
                <w:color w:val="auto"/>
                <w:spacing w:val="-2"/>
                <w:sz w:val="18"/>
                <w:szCs w:val="18"/>
                <w:highlight w:val="none"/>
                <w:lang w:eastAsia="zh-CN"/>
              </w:rPr>
              <w:t>cm/s)</w:t>
            </w:r>
            <w:r>
              <w:rPr>
                <w:rFonts w:hint="eastAsia" w:cs="Times New Roman"/>
                <w:color w:val="auto"/>
                <w:spacing w:val="-2"/>
                <w:sz w:val="18"/>
                <w:szCs w:val="18"/>
                <w:highlight w:val="none"/>
                <w:lang w:eastAsia="zh-CN"/>
              </w:rPr>
              <w:t>，</w:t>
            </w:r>
            <w:r>
              <w:rPr>
                <w:rFonts w:hint="default" w:ascii="Times New Roman" w:hAnsi="Times New Roman" w:cs="Times New Roman"/>
                <w:color w:val="auto"/>
                <w:spacing w:val="-2"/>
                <w:sz w:val="18"/>
                <w:szCs w:val="18"/>
                <w:highlight w:val="none"/>
                <w:lang w:eastAsia="zh-CN"/>
              </w:rPr>
              <w:t>或2mm厚高密度聚乙烯膜等人工防渗材料(渗透系数≤10</w:t>
            </w:r>
            <w:r>
              <w:rPr>
                <w:rFonts w:hint="default" w:ascii="Times New Roman" w:hAnsi="Times New Roman" w:cs="Times New Roman"/>
                <w:color w:val="auto"/>
                <w:spacing w:val="-2"/>
                <w:sz w:val="18"/>
                <w:szCs w:val="18"/>
                <w:highlight w:val="none"/>
                <w:vertAlign w:val="superscript"/>
                <w:lang w:eastAsia="zh-CN"/>
              </w:rPr>
              <w:t>-10</w:t>
            </w:r>
            <w:r>
              <w:rPr>
                <w:rFonts w:hint="default" w:ascii="Times New Roman" w:hAnsi="Times New Roman" w:cs="Times New Roman"/>
                <w:color w:val="auto"/>
                <w:spacing w:val="-2"/>
                <w:sz w:val="18"/>
                <w:szCs w:val="18"/>
                <w:highlight w:val="none"/>
                <w:lang w:eastAsia="zh-CN"/>
              </w:rPr>
              <w:t>cm/s)</w:t>
            </w:r>
            <w:r>
              <w:rPr>
                <w:rFonts w:hint="eastAsia" w:cs="Times New Roman"/>
                <w:color w:val="auto"/>
                <w:spacing w:val="-2"/>
                <w:sz w:val="18"/>
                <w:szCs w:val="18"/>
                <w:highlight w:val="none"/>
                <w:lang w:eastAsia="zh-CN"/>
              </w:rPr>
              <w:t>，</w:t>
            </w:r>
            <w:r>
              <w:rPr>
                <w:rFonts w:hint="default" w:ascii="Times New Roman" w:hAnsi="Times New Roman" w:cs="Times New Roman"/>
                <w:color w:val="auto"/>
                <w:spacing w:val="-2"/>
                <w:sz w:val="18"/>
                <w:szCs w:val="18"/>
                <w:highlight w:val="none"/>
                <w:lang w:eastAsia="zh-CN"/>
              </w:rPr>
              <w:t>并设置20cm高围堰。</w:t>
            </w:r>
          </w:p>
        </w:tc>
      </w:tr>
      <w:tr w14:paraId="10EC0B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47" w:hRule="atLeast"/>
          <w:jc w:val="center"/>
        </w:trPr>
        <w:tc>
          <w:tcPr>
            <w:tcW w:w="983" w:type="dxa"/>
            <w:vAlign w:val="center"/>
          </w:tcPr>
          <w:p w14:paraId="1A6BE43F">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生态保护措施</w:t>
            </w:r>
          </w:p>
        </w:tc>
        <w:tc>
          <w:tcPr>
            <w:tcW w:w="7817" w:type="dxa"/>
            <w:gridSpan w:val="4"/>
            <w:vAlign w:val="center"/>
          </w:tcPr>
          <w:p w14:paraId="0D507FD1">
            <w:pPr>
              <w:adjustRightInd w:val="0"/>
              <w:snapToGrid w:val="0"/>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厂区内绿化</w:t>
            </w:r>
          </w:p>
        </w:tc>
      </w:tr>
      <w:tr w14:paraId="6E197F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81" w:hRule="atLeast"/>
          <w:jc w:val="center"/>
        </w:trPr>
        <w:tc>
          <w:tcPr>
            <w:tcW w:w="983" w:type="dxa"/>
            <w:vAlign w:val="center"/>
          </w:tcPr>
          <w:p w14:paraId="4CCB6B70">
            <w:pPr>
              <w:adjustRightInd w:val="0"/>
              <w:snapToGrid w:val="0"/>
              <w:jc w:val="center"/>
              <w:rPr>
                <w:rFonts w:hint="default" w:ascii="Times New Roman" w:hAnsi="Times New Roman" w:cs="Times New Roman"/>
                <w:color w:val="auto"/>
                <w:spacing w:val="-8"/>
                <w:sz w:val="18"/>
                <w:szCs w:val="18"/>
                <w:highlight w:val="none"/>
              </w:rPr>
            </w:pPr>
            <w:r>
              <w:rPr>
                <w:rFonts w:hint="default" w:ascii="Times New Roman" w:hAnsi="Times New Roman" w:cs="Times New Roman"/>
                <w:color w:val="auto"/>
                <w:spacing w:val="-8"/>
                <w:sz w:val="18"/>
                <w:szCs w:val="18"/>
                <w:highlight w:val="none"/>
              </w:rPr>
              <w:t>环境风险</w:t>
            </w:r>
          </w:p>
          <w:p w14:paraId="0399FAE3">
            <w:pPr>
              <w:adjustRightInd w:val="0"/>
              <w:snapToGrid w:val="0"/>
              <w:jc w:val="center"/>
              <w:rPr>
                <w:rFonts w:hint="default" w:ascii="Times New Roman" w:hAnsi="Times New Roman" w:cs="Times New Roman"/>
                <w:color w:val="auto"/>
                <w:spacing w:val="-8"/>
                <w:sz w:val="18"/>
                <w:szCs w:val="18"/>
                <w:highlight w:val="none"/>
              </w:rPr>
            </w:pPr>
            <w:r>
              <w:rPr>
                <w:rFonts w:hint="default" w:ascii="Times New Roman" w:hAnsi="Times New Roman" w:cs="Times New Roman"/>
                <w:color w:val="auto"/>
                <w:spacing w:val="-8"/>
                <w:sz w:val="18"/>
                <w:szCs w:val="18"/>
                <w:highlight w:val="none"/>
              </w:rPr>
              <w:t>防范措施</w:t>
            </w:r>
          </w:p>
        </w:tc>
        <w:tc>
          <w:tcPr>
            <w:tcW w:w="7817" w:type="dxa"/>
            <w:gridSpan w:val="4"/>
            <w:vAlign w:val="center"/>
          </w:tcPr>
          <w:p w14:paraId="1B254F12">
            <w:pPr>
              <w:widowControl/>
              <w:spacing w:line="360" w:lineRule="auto"/>
              <w:ind w:firstLine="360" w:firstLineChars="200"/>
              <w:rPr>
                <w:rFonts w:hint="default" w:ascii="Times New Roman" w:hAnsi="Times New Roman" w:cs="Times New Roman"/>
                <w:color w:val="auto"/>
                <w:kern w:val="18"/>
                <w:sz w:val="18"/>
                <w:szCs w:val="18"/>
                <w:highlight w:val="none"/>
              </w:rPr>
            </w:pPr>
            <w:r>
              <w:rPr>
                <w:rFonts w:hint="default" w:ascii="Times New Roman" w:hAnsi="Times New Roman" w:cs="Times New Roman"/>
                <w:color w:val="auto"/>
                <w:sz w:val="18"/>
                <w:szCs w:val="18"/>
                <w:highlight w:val="none"/>
              </w:rPr>
              <w:t>①地面与地面与裙脚要用坚固、防渗的材料建造，建筑材料必须与危险废物相容。②设施内要有安全照明设施和观察窗口。③</w:t>
            </w:r>
            <w:r>
              <w:rPr>
                <w:rFonts w:hint="default" w:ascii="Times New Roman" w:hAnsi="Times New Roman" w:cs="Times New Roman"/>
                <w:color w:val="auto"/>
                <w:sz w:val="18"/>
                <w:szCs w:val="18"/>
                <w:highlight w:val="none"/>
                <w:lang w:eastAsia="zh-CN"/>
              </w:rPr>
              <w:t>存放区</w:t>
            </w:r>
            <w:r>
              <w:rPr>
                <w:rFonts w:hint="default" w:ascii="Times New Roman" w:hAnsi="Times New Roman" w:cs="Times New Roman"/>
                <w:color w:val="auto"/>
                <w:sz w:val="18"/>
                <w:szCs w:val="18"/>
                <w:highlight w:val="none"/>
              </w:rPr>
              <w:t>必须有耐腐蚀的硬化地面，且表面无裂隙。④应设计堵截泄漏的裙脚，地面与裙脚所围建的容积不低于堵截最大容器的最大储量或总储量的五分之一。项目危险废物对周围环境影响主要是土壤与地下水，故本项目要求</w:t>
            </w:r>
            <w:r>
              <w:rPr>
                <w:rFonts w:hint="default" w:ascii="Times New Roman" w:hAnsi="Times New Roman" w:cs="Times New Roman"/>
                <w:color w:val="auto"/>
                <w:sz w:val="18"/>
                <w:szCs w:val="18"/>
                <w:highlight w:val="none"/>
                <w:lang w:eastAsia="zh-CN"/>
              </w:rPr>
              <w:t>危废</w:t>
            </w:r>
            <w:r>
              <w:rPr>
                <w:rFonts w:hint="eastAsia" w:cs="Times New Roman"/>
                <w:color w:val="auto"/>
                <w:sz w:val="18"/>
                <w:szCs w:val="18"/>
                <w:highlight w:val="none"/>
                <w:lang w:eastAsia="zh-CN"/>
              </w:rPr>
              <w:t>贮存点</w:t>
            </w:r>
            <w:r>
              <w:rPr>
                <w:rFonts w:hint="default" w:ascii="Times New Roman" w:hAnsi="Times New Roman" w:cs="Times New Roman"/>
                <w:color w:val="auto"/>
                <w:sz w:val="18"/>
                <w:szCs w:val="18"/>
                <w:highlight w:val="none"/>
              </w:rPr>
              <w:t>做好防渗措施，避免产生环境不利影响。⑤厂区内应有醒目的严禁烟火标志；采取有效措施防止电气线路和电气设施在开关断开、接触不良、短路、漏电时产生火花，防止静电放电火花；采取防雷接地措施，防止雷电放电火花。建立应急救援组织或者配备应急救援人员，配备必要的应急救援器材、设备，对消防措施定期检查，保证消防措施的有效性，并定期组织演练。</w:t>
            </w:r>
          </w:p>
        </w:tc>
      </w:tr>
      <w:tr w14:paraId="17A8BD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21" w:hRule="atLeast"/>
          <w:jc w:val="center"/>
        </w:trPr>
        <w:tc>
          <w:tcPr>
            <w:tcW w:w="983" w:type="dxa"/>
            <w:vAlign w:val="center"/>
          </w:tcPr>
          <w:p w14:paraId="701C016A">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其他环境管理要求</w:t>
            </w:r>
          </w:p>
        </w:tc>
        <w:tc>
          <w:tcPr>
            <w:tcW w:w="7817" w:type="dxa"/>
            <w:gridSpan w:val="4"/>
            <w:vAlign w:val="center"/>
          </w:tcPr>
          <w:p w14:paraId="67FF17EA">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根据《关于做好环境影响评价制度与排污许可制衔接相关工作的通知》（环办环评[2017]84号），建设单位应根据本项目污染物产生及排放情况，依据《固定污染源排污许可分类管理名录（2019年版）》，及时办理排污许可相关手续。项目</w:t>
            </w:r>
            <w:r>
              <w:rPr>
                <w:rFonts w:hint="eastAsia" w:cs="Times New Roman"/>
                <w:color w:val="auto"/>
                <w:sz w:val="18"/>
                <w:szCs w:val="18"/>
                <w:highlight w:val="none"/>
                <w:lang w:val="en-US" w:eastAsia="zh-CN"/>
              </w:rPr>
              <w:t>按</w:t>
            </w:r>
            <w:r>
              <w:rPr>
                <w:rFonts w:hint="default" w:ascii="Times New Roman" w:hAnsi="Times New Roman" w:cs="Times New Roman"/>
                <w:color w:val="auto"/>
                <w:sz w:val="18"/>
                <w:szCs w:val="18"/>
                <w:highlight w:val="none"/>
              </w:rPr>
              <w:t>照《环填保护图形标志一排放口(源)》(GB15562.1-1995)、《环填 保护图形标志一固体废物贮存(处置)场》(GB15562.2-1995)中有关规定，</w:t>
            </w:r>
            <w:r>
              <w:rPr>
                <w:rFonts w:hint="eastAsia" w:cs="Times New Roman"/>
                <w:color w:val="auto"/>
                <w:sz w:val="18"/>
                <w:szCs w:val="18"/>
                <w:highlight w:val="none"/>
                <w:lang w:val="en-US" w:eastAsia="zh-CN"/>
              </w:rPr>
              <w:t>规范</w:t>
            </w:r>
            <w:r>
              <w:rPr>
                <w:rFonts w:hint="default" w:ascii="Times New Roman" w:hAnsi="Times New Roman" w:cs="Times New Roman"/>
                <w:color w:val="auto"/>
                <w:sz w:val="18"/>
                <w:szCs w:val="18"/>
                <w:highlight w:val="none"/>
              </w:rPr>
              <w:t>排放口设置标示。</w:t>
            </w:r>
          </w:p>
        </w:tc>
      </w:tr>
    </w:tbl>
    <w:p w14:paraId="3E0C3D2E">
      <w:pPr>
        <w:pStyle w:val="3"/>
        <w:bidi w:val="0"/>
        <w:jc w:val="center"/>
        <w:rPr>
          <w:rFonts w:hint="default" w:ascii="Times New Roman" w:hAnsi="Times New Roman" w:eastAsia="黑体" w:cs="Times New Roman"/>
          <w:snapToGrid w:val="0"/>
          <w:color w:val="auto"/>
          <w:sz w:val="30"/>
          <w:szCs w:val="30"/>
          <w:highlight w:val="none"/>
        </w:rPr>
      </w:pPr>
      <w:r>
        <w:rPr>
          <w:rFonts w:hint="default" w:ascii="Times New Roman" w:hAnsi="Times New Roman" w:cs="Times New Roman"/>
          <w:snapToGrid w:val="0"/>
          <w:color w:val="auto"/>
          <w:highlight w:val="none"/>
        </w:rPr>
        <w:br w:type="page"/>
      </w:r>
      <w:bookmarkStart w:id="9" w:name="_Toc9608"/>
      <w:r>
        <w:rPr>
          <w:rFonts w:hint="default" w:ascii="Times New Roman" w:hAnsi="Times New Roman" w:cs="Times New Roman"/>
          <w:color w:val="auto"/>
          <w:highlight w:val="none"/>
        </w:rPr>
        <w:t>六、结论</w:t>
      </w:r>
      <w:bookmarkEnd w:id="9"/>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7C836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tcPr>
          <w:p w14:paraId="05AA8418">
            <w:pPr>
              <w:pStyle w:val="63"/>
              <w:ind w:firstLine="420"/>
              <w:rPr>
                <w:rFonts w:hint="default" w:ascii="Times New Roman" w:hAnsi="Times New Roman" w:cs="Times New Roman"/>
                <w:color w:val="auto"/>
                <w:highlight w:val="none"/>
              </w:rPr>
            </w:pPr>
            <w:r>
              <w:rPr>
                <w:rFonts w:hint="default" w:ascii="Times New Roman" w:hAnsi="Times New Roman" w:cs="Times New Roman"/>
                <w:color w:val="auto"/>
                <w:highlight w:val="none"/>
              </w:rPr>
              <w:t>综上所述，项目在运营期产生废水、废气、噪声及固体废物污染等，在严格采取本报告表所提出的各项环境保护措施后，能保证各种污染物稳定达标排放，污染物的排放符合总量控制的要求。在确保污染防治措施全面实施并正常运行的前提下，通过加强环境管理，拟建项目的环境影响可被周围环境所接受。因此，该项目建设从环境保护角度分析是可行的。</w:t>
            </w:r>
          </w:p>
        </w:tc>
      </w:tr>
    </w:tbl>
    <w:p w14:paraId="56439A49">
      <w:pP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1CD4322">
      <w:pPr>
        <w:pStyle w:val="3"/>
        <w:bidi w:val="0"/>
        <w:rPr>
          <w:rFonts w:hint="default" w:ascii="Times New Roman" w:hAnsi="Times New Roman" w:cs="Times New Roman"/>
          <w:color w:val="auto"/>
          <w:highlight w:val="none"/>
        </w:rPr>
      </w:pPr>
      <w:bookmarkStart w:id="10" w:name="_Toc20810"/>
      <w:bookmarkStart w:id="11" w:name="_Toc25447"/>
      <w:bookmarkStart w:id="12" w:name="_Toc5625"/>
      <w:r>
        <w:rPr>
          <w:rFonts w:hint="default" w:ascii="Times New Roman" w:hAnsi="Times New Roman" w:cs="Times New Roman"/>
          <w:color w:val="auto"/>
          <w:highlight w:val="none"/>
        </w:rPr>
        <w:t>附表1</w:t>
      </w:r>
      <w:bookmarkEnd w:id="10"/>
      <w:bookmarkEnd w:id="11"/>
      <w:bookmarkEnd w:id="12"/>
    </w:p>
    <w:p w14:paraId="7381238B">
      <w:pPr>
        <w:pStyle w:val="3"/>
        <w:bidi w:val="0"/>
        <w:ind w:left="0" w:leftChars="0" w:right="0" w:rightChars="0" w:firstLine="0" w:firstLineChars="0"/>
        <w:jc w:val="center"/>
        <w:rPr>
          <w:rFonts w:hint="default" w:ascii="Times New Roman" w:hAnsi="Times New Roman" w:cs="Times New Roman"/>
          <w:color w:val="auto"/>
          <w:highlight w:val="none"/>
        </w:rPr>
      </w:pPr>
      <w:bookmarkStart w:id="13" w:name="_Toc10098"/>
      <w:bookmarkStart w:id="14" w:name="_Toc1382"/>
      <w:r>
        <w:rPr>
          <w:rFonts w:hint="default" w:ascii="Times New Roman" w:hAnsi="Times New Roman" w:cs="Times New Roman"/>
          <w:color w:val="auto"/>
          <w:highlight w:val="none"/>
        </w:rPr>
        <w:t>建设项目污染物排放量汇总表</w:t>
      </w:r>
      <w:bookmarkEnd w:id="13"/>
      <w:bookmarkEnd w:id="14"/>
    </w:p>
    <w:tbl>
      <w:tblPr>
        <w:tblStyle w:val="32"/>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778"/>
        <w:gridCol w:w="1512"/>
        <w:gridCol w:w="1104"/>
        <w:gridCol w:w="1701"/>
        <w:gridCol w:w="1382"/>
        <w:gridCol w:w="1637"/>
        <w:gridCol w:w="1684"/>
        <w:gridCol w:w="1402"/>
      </w:tblGrid>
      <w:tr w14:paraId="2937E7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9" w:hRule="atLeast"/>
          <w:jc w:val="center"/>
        </w:trPr>
        <w:tc>
          <w:tcPr>
            <w:tcW w:w="1588" w:type="dxa"/>
            <w:tcBorders>
              <w:tl2br w:val="single" w:color="auto" w:sz="4" w:space="0"/>
            </w:tcBorders>
            <w:tcMar>
              <w:left w:w="28" w:type="dxa"/>
              <w:right w:w="28" w:type="dxa"/>
            </w:tcMar>
            <w:vAlign w:val="center"/>
          </w:tcPr>
          <w:p w14:paraId="41104A8B">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rPr>
              <w:t>项目</w:t>
            </w:r>
          </w:p>
          <w:p w14:paraId="09E5E17C">
            <w:pPr>
              <w:bidi w:val="0"/>
              <w:ind w:left="0" w:leftChars="0" w:right="0" w:rightChars="0" w:firstLine="0" w:firstLineChars="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分类</w:t>
            </w:r>
          </w:p>
        </w:tc>
        <w:tc>
          <w:tcPr>
            <w:tcW w:w="1778" w:type="dxa"/>
            <w:tcMar>
              <w:left w:w="28" w:type="dxa"/>
              <w:right w:w="28" w:type="dxa"/>
            </w:tcMar>
            <w:vAlign w:val="center"/>
          </w:tcPr>
          <w:p w14:paraId="43982D54">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污染物名称</w:t>
            </w:r>
          </w:p>
        </w:tc>
        <w:tc>
          <w:tcPr>
            <w:tcW w:w="1512" w:type="dxa"/>
            <w:tcMar>
              <w:left w:w="28" w:type="dxa"/>
              <w:right w:w="28" w:type="dxa"/>
            </w:tcMar>
            <w:vAlign w:val="center"/>
          </w:tcPr>
          <w:p w14:paraId="170B6E6D">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现有工程排放量（固体废物产生量）</w:t>
            </w:r>
          </w:p>
          <w:p w14:paraId="424899D4">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①</w:t>
            </w:r>
            <w:r>
              <w:rPr>
                <w:rFonts w:hint="default" w:ascii="Times New Roman" w:hAnsi="Times New Roman" w:cs="Times New Roman"/>
                <w:color w:val="auto"/>
                <w:highlight w:val="none"/>
              </w:rPr>
              <w:fldChar w:fldCharType="end"/>
            </w:r>
          </w:p>
        </w:tc>
        <w:tc>
          <w:tcPr>
            <w:tcW w:w="1104" w:type="dxa"/>
            <w:tcMar>
              <w:left w:w="28" w:type="dxa"/>
              <w:right w:w="28" w:type="dxa"/>
            </w:tcMar>
            <w:vAlign w:val="center"/>
          </w:tcPr>
          <w:p w14:paraId="27C707EC">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现有工程</w:t>
            </w:r>
          </w:p>
          <w:p w14:paraId="5BEFEF66">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许可排放量</w:t>
            </w:r>
          </w:p>
          <w:p w14:paraId="6FE04713">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GB3 \* MERGEFORMAT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②</w:t>
            </w:r>
            <w:r>
              <w:rPr>
                <w:rFonts w:hint="default" w:ascii="Times New Roman" w:hAnsi="Times New Roman" w:cs="Times New Roman"/>
                <w:color w:val="auto"/>
                <w:highlight w:val="none"/>
              </w:rPr>
              <w:fldChar w:fldCharType="end"/>
            </w:r>
          </w:p>
        </w:tc>
        <w:tc>
          <w:tcPr>
            <w:tcW w:w="1701" w:type="dxa"/>
            <w:tcMar>
              <w:left w:w="28" w:type="dxa"/>
              <w:right w:w="28" w:type="dxa"/>
            </w:tcMar>
            <w:vAlign w:val="center"/>
          </w:tcPr>
          <w:p w14:paraId="198B9F8A">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在建工程</w:t>
            </w:r>
          </w:p>
          <w:p w14:paraId="517F9408">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排放量（固体废物产生量）</w:t>
            </w:r>
          </w:p>
          <w:p w14:paraId="33FD3180">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③</w:t>
            </w:r>
          </w:p>
        </w:tc>
        <w:tc>
          <w:tcPr>
            <w:tcW w:w="1382" w:type="dxa"/>
            <w:tcMar>
              <w:left w:w="28" w:type="dxa"/>
              <w:right w:w="28" w:type="dxa"/>
            </w:tcMar>
            <w:vAlign w:val="center"/>
          </w:tcPr>
          <w:p w14:paraId="40EED8DE">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p>
          <w:p w14:paraId="4F9E91C6">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排放量（固体废物产生量）④</w:t>
            </w:r>
          </w:p>
        </w:tc>
        <w:tc>
          <w:tcPr>
            <w:tcW w:w="1637" w:type="dxa"/>
            <w:tcMar>
              <w:left w:w="28" w:type="dxa"/>
              <w:right w:w="28" w:type="dxa"/>
            </w:tcMar>
            <w:vAlign w:val="center"/>
          </w:tcPr>
          <w:p w14:paraId="48BCD0B0">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以新带老削减量</w:t>
            </w:r>
          </w:p>
          <w:p w14:paraId="3E7DC553">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（新建项目不填）⑤</w:t>
            </w:r>
          </w:p>
        </w:tc>
        <w:tc>
          <w:tcPr>
            <w:tcW w:w="1684" w:type="dxa"/>
            <w:tcMar>
              <w:left w:w="28" w:type="dxa"/>
              <w:right w:w="28" w:type="dxa"/>
            </w:tcMar>
            <w:vAlign w:val="center"/>
          </w:tcPr>
          <w:p w14:paraId="74B9A914">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本项目建成后</w:t>
            </w:r>
          </w:p>
          <w:p w14:paraId="0BDEB691">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全厂排放量（固体废物产生量）</w:t>
            </w:r>
          </w:p>
          <w:p w14:paraId="60CFD757">
            <w:pPr>
              <w:pStyle w:val="24"/>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p>
        </w:tc>
        <w:tc>
          <w:tcPr>
            <w:tcW w:w="1402" w:type="dxa"/>
            <w:tcMar>
              <w:left w:w="28" w:type="dxa"/>
              <w:right w:w="28" w:type="dxa"/>
            </w:tcMar>
            <w:vAlign w:val="center"/>
          </w:tcPr>
          <w:p w14:paraId="0619A24D">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变化量</w:t>
            </w:r>
          </w:p>
          <w:p w14:paraId="4D24F8D6">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⑦</w:t>
            </w:r>
          </w:p>
        </w:tc>
      </w:tr>
      <w:tr w14:paraId="3FCCDB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588" w:type="dxa"/>
            <w:vMerge w:val="restart"/>
            <w:vAlign w:val="center"/>
          </w:tcPr>
          <w:p w14:paraId="7905CDA4">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1778" w:type="dxa"/>
            <w:vAlign w:val="center"/>
          </w:tcPr>
          <w:p w14:paraId="06D90E1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highlight w:val="none"/>
              </w:rPr>
            </w:pPr>
            <w:r>
              <w:rPr>
                <w:rFonts w:hint="default" w:ascii="Times New Roman" w:hAnsi="Times New Roman" w:cs="Times New Roman"/>
                <w:bCs w:val="0"/>
                <w:color w:val="auto"/>
                <w:sz w:val="18"/>
                <w:szCs w:val="18"/>
                <w:highlight w:val="none"/>
                <w:lang w:eastAsia="zh-CN"/>
              </w:rPr>
              <w:t>颗粒物</w:t>
            </w:r>
          </w:p>
        </w:tc>
        <w:tc>
          <w:tcPr>
            <w:tcW w:w="1512" w:type="dxa"/>
            <w:vAlign w:val="center"/>
          </w:tcPr>
          <w:p w14:paraId="5FE7C03F">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04" w:type="dxa"/>
            <w:vAlign w:val="center"/>
          </w:tcPr>
          <w:p w14:paraId="3BDD5D36">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01" w:type="dxa"/>
            <w:vAlign w:val="center"/>
          </w:tcPr>
          <w:p w14:paraId="47DE84FA">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382" w:type="dxa"/>
            <w:vAlign w:val="center"/>
          </w:tcPr>
          <w:p w14:paraId="528D568B">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highlight w:val="none"/>
                <w:lang w:val="en-US"/>
              </w:rPr>
            </w:pPr>
            <w:r>
              <w:rPr>
                <w:rFonts w:hint="eastAsia" w:cs="Times New Roman"/>
                <w:color w:val="auto"/>
                <w:sz w:val="18"/>
                <w:szCs w:val="18"/>
                <w:highlight w:val="none"/>
                <w:lang w:val="en-US" w:eastAsia="zh-CN"/>
              </w:rPr>
              <w:t>1.74</w:t>
            </w:r>
            <w:r>
              <w:rPr>
                <w:rFonts w:hint="default" w:ascii="Times New Roman" w:hAnsi="Times New Roman" w:cs="Times New Roman"/>
                <w:color w:val="auto"/>
                <w:sz w:val="18"/>
                <w:szCs w:val="18"/>
                <w:highlight w:val="none"/>
                <w:lang w:val="en-US" w:eastAsia="zh-CN"/>
              </w:rPr>
              <w:t>t/a</w:t>
            </w:r>
          </w:p>
        </w:tc>
        <w:tc>
          <w:tcPr>
            <w:tcW w:w="1637" w:type="dxa"/>
            <w:vAlign w:val="center"/>
          </w:tcPr>
          <w:p w14:paraId="6C4B4E04">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684" w:type="dxa"/>
            <w:vAlign w:val="center"/>
          </w:tcPr>
          <w:p w14:paraId="46EC439B">
            <w:pPr>
              <w:keepNext w:val="0"/>
              <w:keepLines w:val="0"/>
              <w:pageBreakBefore w:val="0"/>
              <w:widowControl w:val="0"/>
              <w:kinsoku w:val="0"/>
              <w:wordWrap/>
              <w:overflowPunct w:val="0"/>
              <w:topLinePunct w:val="0"/>
              <w:autoSpaceDE/>
              <w:autoSpaceDN/>
              <w:bidi w:val="0"/>
              <w:adjustRightInd/>
              <w:snapToGrid/>
              <w:spacing w:line="240" w:lineRule="atLeast"/>
              <w:jc w:val="center"/>
              <w:textAlignment w:val="auto"/>
              <w:rPr>
                <w:rFonts w:hint="default" w:ascii="Times New Roman" w:hAnsi="Times New Roman" w:cs="Times New Roman"/>
                <w:color w:val="auto"/>
                <w:highlight w:val="none"/>
              </w:rPr>
            </w:pPr>
            <w:r>
              <w:rPr>
                <w:rFonts w:hint="eastAsia" w:cs="Times New Roman"/>
                <w:color w:val="auto"/>
                <w:sz w:val="18"/>
                <w:szCs w:val="18"/>
                <w:highlight w:val="none"/>
                <w:lang w:val="en-US" w:eastAsia="zh-CN"/>
              </w:rPr>
              <w:t>1.74</w:t>
            </w:r>
            <w:r>
              <w:rPr>
                <w:rFonts w:hint="default" w:ascii="Times New Roman" w:hAnsi="Times New Roman" w:cs="Times New Roman"/>
                <w:color w:val="auto"/>
                <w:sz w:val="18"/>
                <w:szCs w:val="18"/>
                <w:highlight w:val="none"/>
                <w:lang w:val="en-US" w:eastAsia="zh-CN"/>
              </w:rPr>
              <w:t>t/a</w:t>
            </w:r>
          </w:p>
        </w:tc>
        <w:tc>
          <w:tcPr>
            <w:tcW w:w="1402" w:type="dxa"/>
            <w:vAlign w:val="center"/>
          </w:tcPr>
          <w:p w14:paraId="368FE77E">
            <w:pPr>
              <w:keepNext w:val="0"/>
              <w:keepLines w:val="0"/>
              <w:pageBreakBefore w:val="0"/>
              <w:widowControl w:val="0"/>
              <w:kinsoku w:val="0"/>
              <w:wordWrap/>
              <w:overflowPunct w:val="0"/>
              <w:topLinePunct w:val="0"/>
              <w:autoSpaceDE/>
              <w:autoSpaceDN/>
              <w:bidi w:val="0"/>
              <w:adjustRightInd/>
              <w:snapToGrid/>
              <w:spacing w:line="240" w:lineRule="atLeast"/>
              <w:jc w:val="center"/>
              <w:textAlignment w:val="auto"/>
              <w:rPr>
                <w:rFonts w:hint="default" w:ascii="Times New Roman" w:hAnsi="Times New Roman" w:cs="Times New Roman"/>
                <w:color w:val="auto"/>
                <w:highlight w:val="none"/>
              </w:rPr>
            </w:pPr>
            <w:r>
              <w:rPr>
                <w:rFonts w:hint="eastAsia" w:cs="Times New Roman"/>
                <w:color w:val="auto"/>
                <w:sz w:val="18"/>
                <w:szCs w:val="18"/>
                <w:highlight w:val="none"/>
                <w:lang w:val="en-US" w:eastAsia="zh-CN"/>
              </w:rPr>
              <w:t>1.74</w:t>
            </w:r>
            <w:r>
              <w:rPr>
                <w:rFonts w:hint="default" w:ascii="Times New Roman" w:hAnsi="Times New Roman" w:cs="Times New Roman"/>
                <w:color w:val="auto"/>
                <w:sz w:val="18"/>
                <w:szCs w:val="18"/>
                <w:highlight w:val="none"/>
                <w:lang w:val="en-US" w:eastAsia="zh-CN"/>
              </w:rPr>
              <w:t>t/a</w:t>
            </w:r>
          </w:p>
        </w:tc>
      </w:tr>
      <w:tr w14:paraId="045505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1588" w:type="dxa"/>
            <w:vMerge w:val="continue"/>
            <w:vAlign w:val="center"/>
          </w:tcPr>
          <w:p w14:paraId="0015DFC4">
            <w:pPr>
              <w:bidi w:val="0"/>
              <w:ind w:left="0" w:leftChars="0" w:right="0" w:rightChars="0" w:firstLine="0" w:firstLineChars="0"/>
              <w:jc w:val="center"/>
              <w:rPr>
                <w:rFonts w:hint="default" w:ascii="Times New Roman" w:hAnsi="Times New Roman" w:cs="Times New Roman"/>
                <w:color w:val="auto"/>
                <w:highlight w:val="none"/>
              </w:rPr>
            </w:pPr>
          </w:p>
        </w:tc>
        <w:tc>
          <w:tcPr>
            <w:tcW w:w="1778" w:type="dxa"/>
            <w:vAlign w:val="center"/>
          </w:tcPr>
          <w:p w14:paraId="5FE0BAE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val="en-US" w:eastAsia="zh-CN"/>
              </w:rPr>
              <w:t>二氧化硫</w:t>
            </w:r>
          </w:p>
        </w:tc>
        <w:tc>
          <w:tcPr>
            <w:tcW w:w="1512" w:type="dxa"/>
            <w:vAlign w:val="center"/>
          </w:tcPr>
          <w:p w14:paraId="2F6D6609">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04" w:type="dxa"/>
            <w:vAlign w:val="center"/>
          </w:tcPr>
          <w:p w14:paraId="122035E8">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01" w:type="dxa"/>
            <w:vAlign w:val="center"/>
          </w:tcPr>
          <w:p w14:paraId="469F0416">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382" w:type="dxa"/>
            <w:vAlign w:val="center"/>
          </w:tcPr>
          <w:p w14:paraId="24D5AE1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highlight w:val="none"/>
                <w:lang w:eastAsia="zh-CN"/>
              </w:rPr>
            </w:pPr>
            <w:r>
              <w:rPr>
                <w:rFonts w:hint="eastAsia" w:cs="Times New Roman"/>
                <w:color w:val="auto"/>
                <w:sz w:val="18"/>
                <w:szCs w:val="18"/>
                <w:highlight w:val="none"/>
                <w:lang w:val="en-US" w:eastAsia="zh-CN"/>
              </w:rPr>
              <w:t>7.08</w:t>
            </w:r>
            <w:r>
              <w:rPr>
                <w:rFonts w:hint="default" w:ascii="Times New Roman" w:hAnsi="Times New Roman" w:cs="Times New Roman"/>
                <w:color w:val="auto"/>
                <w:sz w:val="18"/>
                <w:szCs w:val="18"/>
                <w:highlight w:val="none"/>
                <w:lang w:val="en-US" w:eastAsia="zh-CN"/>
              </w:rPr>
              <w:t>t/a</w:t>
            </w:r>
          </w:p>
        </w:tc>
        <w:tc>
          <w:tcPr>
            <w:tcW w:w="1637" w:type="dxa"/>
            <w:vAlign w:val="center"/>
          </w:tcPr>
          <w:p w14:paraId="1185EF74">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684" w:type="dxa"/>
            <w:vAlign w:val="center"/>
          </w:tcPr>
          <w:p w14:paraId="130D5F5A">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highlight w:val="none"/>
                <w:lang w:eastAsia="zh-CN"/>
              </w:rPr>
            </w:pPr>
            <w:r>
              <w:rPr>
                <w:rFonts w:hint="eastAsia" w:cs="Times New Roman"/>
                <w:color w:val="auto"/>
                <w:sz w:val="18"/>
                <w:szCs w:val="18"/>
                <w:highlight w:val="none"/>
                <w:lang w:val="en-US" w:eastAsia="zh-CN"/>
              </w:rPr>
              <w:t>7.08</w:t>
            </w:r>
            <w:r>
              <w:rPr>
                <w:rFonts w:hint="default" w:ascii="Times New Roman" w:hAnsi="Times New Roman" w:cs="Times New Roman"/>
                <w:color w:val="auto"/>
                <w:sz w:val="18"/>
                <w:szCs w:val="18"/>
                <w:highlight w:val="none"/>
                <w:lang w:val="en-US" w:eastAsia="zh-CN"/>
              </w:rPr>
              <w:t>t/a</w:t>
            </w:r>
          </w:p>
        </w:tc>
        <w:tc>
          <w:tcPr>
            <w:tcW w:w="1402" w:type="dxa"/>
            <w:vAlign w:val="center"/>
          </w:tcPr>
          <w:p w14:paraId="0859C27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highlight w:val="none"/>
              </w:rPr>
            </w:pPr>
            <w:r>
              <w:rPr>
                <w:rFonts w:hint="eastAsia" w:cs="Times New Roman"/>
                <w:color w:val="auto"/>
                <w:sz w:val="18"/>
                <w:szCs w:val="18"/>
                <w:highlight w:val="none"/>
                <w:lang w:val="en-US" w:eastAsia="zh-CN"/>
              </w:rPr>
              <w:t>7.08</w:t>
            </w:r>
            <w:r>
              <w:rPr>
                <w:rFonts w:hint="default" w:ascii="Times New Roman" w:hAnsi="Times New Roman" w:cs="Times New Roman"/>
                <w:color w:val="auto"/>
                <w:sz w:val="18"/>
                <w:szCs w:val="18"/>
                <w:highlight w:val="none"/>
                <w:lang w:val="en-US" w:eastAsia="zh-CN"/>
              </w:rPr>
              <w:t>t/a</w:t>
            </w:r>
          </w:p>
        </w:tc>
      </w:tr>
      <w:tr w14:paraId="6DC335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1588" w:type="dxa"/>
            <w:vMerge w:val="continue"/>
            <w:vAlign w:val="center"/>
          </w:tcPr>
          <w:p w14:paraId="0CCB7DB5">
            <w:pPr>
              <w:bidi w:val="0"/>
              <w:ind w:left="0" w:leftChars="0" w:right="0" w:rightChars="0" w:firstLine="0" w:firstLineChars="0"/>
              <w:jc w:val="center"/>
              <w:rPr>
                <w:rFonts w:hint="default" w:ascii="Times New Roman" w:hAnsi="Times New Roman" w:cs="Times New Roman"/>
                <w:color w:val="auto"/>
                <w:highlight w:val="none"/>
              </w:rPr>
            </w:pPr>
          </w:p>
        </w:tc>
        <w:tc>
          <w:tcPr>
            <w:tcW w:w="1778" w:type="dxa"/>
            <w:vAlign w:val="center"/>
          </w:tcPr>
          <w:p w14:paraId="46D65A6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val="en-US" w:eastAsia="zh-CN"/>
              </w:rPr>
              <w:t>氮氧化物</w:t>
            </w:r>
          </w:p>
        </w:tc>
        <w:tc>
          <w:tcPr>
            <w:tcW w:w="1512" w:type="dxa"/>
            <w:vAlign w:val="center"/>
          </w:tcPr>
          <w:p w14:paraId="26720DCD">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04" w:type="dxa"/>
            <w:vAlign w:val="center"/>
          </w:tcPr>
          <w:p w14:paraId="78DD9EC1">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01" w:type="dxa"/>
            <w:vAlign w:val="center"/>
          </w:tcPr>
          <w:p w14:paraId="13423ED0">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382" w:type="dxa"/>
            <w:vAlign w:val="center"/>
          </w:tcPr>
          <w:p w14:paraId="22ABA0CE">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highlight w:val="none"/>
                <w:lang w:eastAsia="zh-CN"/>
              </w:rPr>
            </w:pPr>
            <w:r>
              <w:rPr>
                <w:rFonts w:hint="eastAsia" w:cs="Times New Roman"/>
                <w:color w:val="auto"/>
                <w:sz w:val="18"/>
                <w:szCs w:val="18"/>
                <w:highlight w:val="none"/>
                <w:lang w:val="en-US" w:eastAsia="zh-CN"/>
              </w:rPr>
              <w:t>8.45</w:t>
            </w:r>
            <w:r>
              <w:rPr>
                <w:rFonts w:hint="default" w:ascii="Times New Roman" w:hAnsi="Times New Roman" w:cs="Times New Roman"/>
                <w:color w:val="auto"/>
                <w:sz w:val="18"/>
                <w:szCs w:val="18"/>
                <w:highlight w:val="none"/>
                <w:lang w:val="en-US" w:eastAsia="zh-CN"/>
              </w:rPr>
              <w:t>t/a</w:t>
            </w:r>
          </w:p>
        </w:tc>
        <w:tc>
          <w:tcPr>
            <w:tcW w:w="1637" w:type="dxa"/>
            <w:vAlign w:val="center"/>
          </w:tcPr>
          <w:p w14:paraId="5E59E7EB">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684" w:type="dxa"/>
            <w:vAlign w:val="center"/>
          </w:tcPr>
          <w:p w14:paraId="35C9FE2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highlight w:val="none"/>
                <w:lang w:eastAsia="zh-CN"/>
              </w:rPr>
            </w:pPr>
            <w:r>
              <w:rPr>
                <w:rFonts w:hint="eastAsia" w:cs="Times New Roman"/>
                <w:color w:val="auto"/>
                <w:sz w:val="18"/>
                <w:szCs w:val="18"/>
                <w:highlight w:val="none"/>
                <w:lang w:val="en-US" w:eastAsia="zh-CN"/>
              </w:rPr>
              <w:t>8.45</w:t>
            </w:r>
            <w:r>
              <w:rPr>
                <w:rFonts w:hint="default" w:ascii="Times New Roman" w:hAnsi="Times New Roman" w:cs="Times New Roman"/>
                <w:color w:val="auto"/>
                <w:sz w:val="18"/>
                <w:szCs w:val="18"/>
                <w:highlight w:val="none"/>
                <w:lang w:val="en-US" w:eastAsia="zh-CN"/>
              </w:rPr>
              <w:t>t/a</w:t>
            </w:r>
          </w:p>
        </w:tc>
        <w:tc>
          <w:tcPr>
            <w:tcW w:w="1402" w:type="dxa"/>
            <w:vAlign w:val="center"/>
          </w:tcPr>
          <w:p w14:paraId="4966E9C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highlight w:val="none"/>
              </w:rPr>
            </w:pPr>
            <w:r>
              <w:rPr>
                <w:rFonts w:hint="eastAsia" w:cs="Times New Roman"/>
                <w:color w:val="auto"/>
                <w:sz w:val="18"/>
                <w:szCs w:val="18"/>
                <w:highlight w:val="none"/>
                <w:lang w:val="en-US" w:eastAsia="zh-CN"/>
              </w:rPr>
              <w:t>8.45</w:t>
            </w:r>
            <w:r>
              <w:rPr>
                <w:rFonts w:hint="default" w:ascii="Times New Roman" w:hAnsi="Times New Roman" w:cs="Times New Roman"/>
                <w:color w:val="auto"/>
                <w:sz w:val="18"/>
                <w:szCs w:val="18"/>
                <w:highlight w:val="none"/>
                <w:lang w:val="en-US" w:eastAsia="zh-CN"/>
              </w:rPr>
              <w:t>t/a</w:t>
            </w:r>
          </w:p>
        </w:tc>
      </w:tr>
      <w:tr w14:paraId="3AA953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 w:hRule="atLeast"/>
          <w:jc w:val="center"/>
        </w:trPr>
        <w:tc>
          <w:tcPr>
            <w:tcW w:w="1588" w:type="dxa"/>
            <w:vMerge w:val="continue"/>
            <w:vAlign w:val="center"/>
          </w:tcPr>
          <w:p w14:paraId="52A1C65D">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p>
        </w:tc>
        <w:tc>
          <w:tcPr>
            <w:tcW w:w="1778" w:type="dxa"/>
            <w:vAlign w:val="center"/>
          </w:tcPr>
          <w:p w14:paraId="69B6419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非甲烷总烃</w:t>
            </w:r>
          </w:p>
        </w:tc>
        <w:tc>
          <w:tcPr>
            <w:tcW w:w="1512" w:type="dxa"/>
            <w:vAlign w:val="center"/>
          </w:tcPr>
          <w:p w14:paraId="261EA4F0">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1104" w:type="dxa"/>
            <w:vAlign w:val="center"/>
          </w:tcPr>
          <w:p w14:paraId="1A8A073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1701" w:type="dxa"/>
            <w:vAlign w:val="center"/>
          </w:tcPr>
          <w:p w14:paraId="54C1F211">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1382" w:type="dxa"/>
            <w:vAlign w:val="center"/>
          </w:tcPr>
          <w:p w14:paraId="356203F8">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0.035t/a</w:t>
            </w:r>
          </w:p>
        </w:tc>
        <w:tc>
          <w:tcPr>
            <w:tcW w:w="1637" w:type="dxa"/>
            <w:vAlign w:val="center"/>
          </w:tcPr>
          <w:p w14:paraId="4191213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1684" w:type="dxa"/>
            <w:vAlign w:val="center"/>
          </w:tcPr>
          <w:p w14:paraId="0528F23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0.035t/a</w:t>
            </w:r>
          </w:p>
        </w:tc>
        <w:tc>
          <w:tcPr>
            <w:tcW w:w="1402" w:type="dxa"/>
            <w:vAlign w:val="center"/>
          </w:tcPr>
          <w:p w14:paraId="0F49F2FF">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0.035t/a</w:t>
            </w:r>
          </w:p>
        </w:tc>
      </w:tr>
      <w:tr w14:paraId="5C22E7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8" w:type="dxa"/>
            <w:vMerge w:val="restart"/>
            <w:vAlign w:val="center"/>
          </w:tcPr>
          <w:p w14:paraId="2045A19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废水</w:t>
            </w:r>
          </w:p>
        </w:tc>
        <w:tc>
          <w:tcPr>
            <w:tcW w:w="1778" w:type="dxa"/>
            <w:vAlign w:val="center"/>
          </w:tcPr>
          <w:p w14:paraId="17E7968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COD</w:t>
            </w:r>
          </w:p>
        </w:tc>
        <w:tc>
          <w:tcPr>
            <w:tcW w:w="1512" w:type="dxa"/>
            <w:vAlign w:val="center"/>
          </w:tcPr>
          <w:p w14:paraId="36970F03">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1104" w:type="dxa"/>
            <w:vAlign w:val="center"/>
          </w:tcPr>
          <w:p w14:paraId="119444F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1701" w:type="dxa"/>
            <w:vAlign w:val="center"/>
          </w:tcPr>
          <w:p w14:paraId="1627362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1382" w:type="dxa"/>
            <w:vAlign w:val="center"/>
          </w:tcPr>
          <w:p w14:paraId="598757B4">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0.509</w:t>
            </w:r>
            <w:r>
              <w:rPr>
                <w:rFonts w:hint="default" w:ascii="Times New Roman" w:hAnsi="Times New Roman" w:eastAsia="宋体" w:cs="Times New Roman"/>
                <w:color w:val="auto"/>
                <w:sz w:val="18"/>
                <w:szCs w:val="18"/>
                <w:highlight w:val="none"/>
                <w:lang w:val="en-US" w:eastAsia="zh-CN"/>
              </w:rPr>
              <w:t>t/a</w:t>
            </w:r>
          </w:p>
        </w:tc>
        <w:tc>
          <w:tcPr>
            <w:tcW w:w="1637" w:type="dxa"/>
            <w:vAlign w:val="center"/>
          </w:tcPr>
          <w:p w14:paraId="7E6361A6">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1684" w:type="dxa"/>
            <w:vAlign w:val="center"/>
          </w:tcPr>
          <w:p w14:paraId="3856A749">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0.509</w:t>
            </w:r>
            <w:r>
              <w:rPr>
                <w:rFonts w:hint="default" w:ascii="Times New Roman" w:hAnsi="Times New Roman" w:eastAsia="宋体" w:cs="Times New Roman"/>
                <w:color w:val="auto"/>
                <w:sz w:val="18"/>
                <w:szCs w:val="18"/>
                <w:highlight w:val="none"/>
                <w:lang w:val="en-US" w:eastAsia="zh-CN"/>
              </w:rPr>
              <w:t>t/a</w:t>
            </w:r>
          </w:p>
        </w:tc>
        <w:tc>
          <w:tcPr>
            <w:tcW w:w="1402" w:type="dxa"/>
            <w:vAlign w:val="center"/>
          </w:tcPr>
          <w:p w14:paraId="6719EEAA">
            <w:pPr>
              <w:pStyle w:val="103"/>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0.509</w:t>
            </w:r>
            <w:r>
              <w:rPr>
                <w:rFonts w:hint="default" w:ascii="Times New Roman" w:hAnsi="Times New Roman" w:eastAsia="宋体" w:cs="Times New Roman"/>
                <w:color w:val="auto"/>
                <w:sz w:val="18"/>
                <w:szCs w:val="18"/>
                <w:highlight w:val="none"/>
                <w:lang w:val="en-US" w:eastAsia="zh-CN"/>
              </w:rPr>
              <w:t>t/a</w:t>
            </w:r>
          </w:p>
        </w:tc>
      </w:tr>
      <w:tr w14:paraId="30B5B9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8" w:type="dxa"/>
            <w:vMerge w:val="continue"/>
            <w:vAlign w:val="center"/>
          </w:tcPr>
          <w:p w14:paraId="572D4F84">
            <w:pPr>
              <w:bidi w:val="0"/>
              <w:ind w:left="0" w:leftChars="0" w:right="0" w:rightChars="0" w:firstLine="0" w:firstLineChars="0"/>
              <w:jc w:val="center"/>
              <w:rPr>
                <w:rFonts w:hint="default" w:ascii="Times New Roman" w:hAnsi="Times New Roman" w:cs="Times New Roman"/>
                <w:color w:val="auto"/>
                <w:highlight w:val="none"/>
              </w:rPr>
            </w:pPr>
          </w:p>
        </w:tc>
        <w:tc>
          <w:tcPr>
            <w:tcW w:w="1778" w:type="dxa"/>
            <w:vAlign w:val="center"/>
          </w:tcPr>
          <w:p w14:paraId="42527ADD">
            <w:pPr>
              <w:bidi w:val="0"/>
              <w:ind w:left="0" w:leftChars="0" w:right="0" w:righ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BOD</w:t>
            </w:r>
            <w:r>
              <w:rPr>
                <w:rFonts w:hint="default" w:ascii="Times New Roman" w:hAnsi="Times New Roman" w:cs="Times New Roman"/>
                <w:color w:val="auto"/>
                <w:sz w:val="18"/>
                <w:szCs w:val="18"/>
                <w:highlight w:val="none"/>
                <w:vertAlign w:val="subscript"/>
              </w:rPr>
              <w:t>5</w:t>
            </w:r>
          </w:p>
        </w:tc>
        <w:tc>
          <w:tcPr>
            <w:tcW w:w="1512" w:type="dxa"/>
            <w:vAlign w:val="center"/>
          </w:tcPr>
          <w:p w14:paraId="2F9C3032">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04" w:type="dxa"/>
            <w:vAlign w:val="center"/>
          </w:tcPr>
          <w:p w14:paraId="35114429">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01" w:type="dxa"/>
            <w:vAlign w:val="center"/>
          </w:tcPr>
          <w:p w14:paraId="0297D137">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382" w:type="dxa"/>
            <w:vAlign w:val="center"/>
          </w:tcPr>
          <w:p w14:paraId="4E50BE3C">
            <w:pPr>
              <w:jc w:val="center"/>
              <w:rPr>
                <w:rFonts w:hint="default" w:ascii="Times New Roman" w:hAnsi="Times New Roman" w:cs="Times New Roman"/>
                <w:color w:val="auto"/>
                <w:highlight w:val="none"/>
                <w:lang w:val="en-US" w:eastAsia="zh-CN"/>
              </w:rPr>
            </w:pPr>
            <w:r>
              <w:rPr>
                <w:rFonts w:hint="eastAsia" w:cs="Times New Roman"/>
                <w:color w:val="auto"/>
                <w:sz w:val="18"/>
                <w:szCs w:val="18"/>
                <w:highlight w:val="none"/>
                <w:lang w:val="en-US" w:eastAsia="zh-CN"/>
              </w:rPr>
              <w:t>0.339</w:t>
            </w:r>
            <w:r>
              <w:rPr>
                <w:rFonts w:hint="default" w:ascii="Times New Roman" w:hAnsi="Times New Roman" w:cs="Times New Roman"/>
                <w:color w:val="auto"/>
                <w:sz w:val="18"/>
                <w:szCs w:val="18"/>
                <w:highlight w:val="none"/>
                <w:lang w:val="en-US" w:eastAsia="zh-CN"/>
              </w:rPr>
              <w:t>t/a</w:t>
            </w:r>
          </w:p>
        </w:tc>
        <w:tc>
          <w:tcPr>
            <w:tcW w:w="1637" w:type="dxa"/>
            <w:vAlign w:val="center"/>
          </w:tcPr>
          <w:p w14:paraId="0CEBDABC">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684" w:type="dxa"/>
            <w:vAlign w:val="center"/>
          </w:tcPr>
          <w:p w14:paraId="0988BC34">
            <w:pPr>
              <w:jc w:val="center"/>
              <w:rPr>
                <w:rFonts w:hint="default" w:ascii="Times New Roman" w:hAnsi="Times New Roman" w:cs="Times New Roman"/>
                <w:color w:val="auto"/>
                <w:highlight w:val="none"/>
              </w:rPr>
            </w:pPr>
            <w:r>
              <w:rPr>
                <w:rFonts w:hint="eastAsia" w:cs="Times New Roman"/>
                <w:color w:val="auto"/>
                <w:sz w:val="18"/>
                <w:szCs w:val="18"/>
                <w:highlight w:val="none"/>
                <w:lang w:val="en-US" w:eastAsia="zh-CN"/>
              </w:rPr>
              <w:t>0.339</w:t>
            </w:r>
            <w:r>
              <w:rPr>
                <w:rFonts w:hint="default" w:ascii="Times New Roman" w:hAnsi="Times New Roman" w:cs="Times New Roman"/>
                <w:color w:val="auto"/>
                <w:sz w:val="18"/>
                <w:szCs w:val="18"/>
                <w:highlight w:val="none"/>
                <w:lang w:val="en-US" w:eastAsia="zh-CN"/>
              </w:rPr>
              <w:t>t/a</w:t>
            </w:r>
          </w:p>
        </w:tc>
        <w:tc>
          <w:tcPr>
            <w:tcW w:w="1402" w:type="dxa"/>
            <w:vAlign w:val="center"/>
          </w:tcPr>
          <w:p w14:paraId="22508943">
            <w:pPr>
              <w:jc w:val="center"/>
              <w:rPr>
                <w:rFonts w:hint="default" w:ascii="Times New Roman" w:hAnsi="Times New Roman" w:cs="Times New Roman"/>
                <w:color w:val="auto"/>
                <w:highlight w:val="none"/>
              </w:rPr>
            </w:pPr>
            <w:r>
              <w:rPr>
                <w:rFonts w:hint="eastAsia" w:cs="Times New Roman"/>
                <w:color w:val="auto"/>
                <w:sz w:val="18"/>
                <w:szCs w:val="18"/>
                <w:highlight w:val="none"/>
                <w:lang w:val="en-US" w:eastAsia="zh-CN"/>
              </w:rPr>
              <w:t>0.339</w:t>
            </w:r>
            <w:r>
              <w:rPr>
                <w:rFonts w:hint="default" w:ascii="Times New Roman" w:hAnsi="Times New Roman" w:cs="Times New Roman"/>
                <w:color w:val="auto"/>
                <w:sz w:val="18"/>
                <w:szCs w:val="18"/>
                <w:highlight w:val="none"/>
                <w:lang w:val="en-US" w:eastAsia="zh-CN"/>
              </w:rPr>
              <w:t>t/a</w:t>
            </w:r>
          </w:p>
        </w:tc>
      </w:tr>
      <w:tr w14:paraId="23AF11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8" w:type="dxa"/>
            <w:vMerge w:val="continue"/>
            <w:vAlign w:val="center"/>
          </w:tcPr>
          <w:p w14:paraId="3C726BEB">
            <w:pPr>
              <w:bidi w:val="0"/>
              <w:ind w:left="0" w:leftChars="0" w:right="0" w:rightChars="0" w:firstLine="0" w:firstLineChars="0"/>
              <w:jc w:val="center"/>
              <w:rPr>
                <w:rFonts w:hint="default" w:ascii="Times New Roman" w:hAnsi="Times New Roman" w:cs="Times New Roman"/>
                <w:color w:val="auto"/>
                <w:highlight w:val="none"/>
              </w:rPr>
            </w:pPr>
          </w:p>
        </w:tc>
        <w:tc>
          <w:tcPr>
            <w:tcW w:w="1778" w:type="dxa"/>
            <w:vAlign w:val="center"/>
          </w:tcPr>
          <w:p w14:paraId="718BD752">
            <w:pPr>
              <w:bidi w:val="0"/>
              <w:ind w:left="0" w:leftChars="0" w:right="0" w:righ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SS</w:t>
            </w:r>
          </w:p>
        </w:tc>
        <w:tc>
          <w:tcPr>
            <w:tcW w:w="1512" w:type="dxa"/>
            <w:vAlign w:val="center"/>
          </w:tcPr>
          <w:p w14:paraId="0428940E">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04" w:type="dxa"/>
            <w:vAlign w:val="center"/>
          </w:tcPr>
          <w:p w14:paraId="601DE97E">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01" w:type="dxa"/>
            <w:vAlign w:val="center"/>
          </w:tcPr>
          <w:p w14:paraId="1EE7C88D">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382" w:type="dxa"/>
            <w:vAlign w:val="center"/>
          </w:tcPr>
          <w:p w14:paraId="44B16D31">
            <w:pPr>
              <w:jc w:val="center"/>
              <w:rPr>
                <w:rFonts w:hint="default" w:ascii="Times New Roman" w:hAnsi="Times New Roman" w:cs="Times New Roman"/>
                <w:color w:val="auto"/>
                <w:highlight w:val="none"/>
                <w:lang w:val="en-US" w:eastAsia="zh-CN"/>
              </w:rPr>
            </w:pPr>
            <w:r>
              <w:rPr>
                <w:rFonts w:hint="eastAsia" w:cs="Times New Roman"/>
                <w:color w:val="auto"/>
                <w:sz w:val="18"/>
                <w:szCs w:val="18"/>
                <w:highlight w:val="none"/>
                <w:lang w:val="en-US" w:eastAsia="zh-CN"/>
              </w:rPr>
              <w:t>0.339</w:t>
            </w:r>
            <w:r>
              <w:rPr>
                <w:rFonts w:hint="default" w:ascii="Times New Roman" w:hAnsi="Times New Roman" w:cs="Times New Roman"/>
                <w:color w:val="auto"/>
                <w:sz w:val="18"/>
                <w:szCs w:val="18"/>
                <w:highlight w:val="none"/>
                <w:lang w:val="en-US" w:eastAsia="zh-CN"/>
              </w:rPr>
              <w:t>t/a</w:t>
            </w:r>
          </w:p>
        </w:tc>
        <w:tc>
          <w:tcPr>
            <w:tcW w:w="1637" w:type="dxa"/>
            <w:vAlign w:val="center"/>
          </w:tcPr>
          <w:p w14:paraId="70C70388">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684" w:type="dxa"/>
            <w:vAlign w:val="center"/>
          </w:tcPr>
          <w:p w14:paraId="0A932D97">
            <w:pPr>
              <w:jc w:val="center"/>
              <w:rPr>
                <w:rFonts w:hint="default" w:ascii="Times New Roman" w:hAnsi="Times New Roman" w:cs="Times New Roman"/>
                <w:color w:val="auto"/>
                <w:highlight w:val="none"/>
              </w:rPr>
            </w:pPr>
            <w:r>
              <w:rPr>
                <w:rFonts w:hint="eastAsia" w:cs="Times New Roman"/>
                <w:color w:val="auto"/>
                <w:sz w:val="18"/>
                <w:szCs w:val="18"/>
                <w:highlight w:val="none"/>
                <w:lang w:val="en-US" w:eastAsia="zh-CN"/>
              </w:rPr>
              <w:t>0.339</w:t>
            </w:r>
            <w:r>
              <w:rPr>
                <w:rFonts w:hint="default" w:ascii="Times New Roman" w:hAnsi="Times New Roman" w:cs="Times New Roman"/>
                <w:color w:val="auto"/>
                <w:sz w:val="18"/>
                <w:szCs w:val="18"/>
                <w:highlight w:val="none"/>
                <w:lang w:val="en-US" w:eastAsia="zh-CN"/>
              </w:rPr>
              <w:t>t/a</w:t>
            </w:r>
          </w:p>
        </w:tc>
        <w:tc>
          <w:tcPr>
            <w:tcW w:w="1402" w:type="dxa"/>
            <w:vAlign w:val="center"/>
          </w:tcPr>
          <w:p w14:paraId="1544E445">
            <w:pPr>
              <w:jc w:val="center"/>
              <w:rPr>
                <w:rFonts w:hint="default" w:ascii="Times New Roman" w:hAnsi="Times New Roman" w:cs="Times New Roman"/>
                <w:color w:val="auto"/>
                <w:highlight w:val="none"/>
              </w:rPr>
            </w:pPr>
            <w:r>
              <w:rPr>
                <w:rFonts w:hint="eastAsia" w:cs="Times New Roman"/>
                <w:color w:val="auto"/>
                <w:sz w:val="18"/>
                <w:szCs w:val="18"/>
                <w:highlight w:val="none"/>
                <w:lang w:val="en-US" w:eastAsia="zh-CN"/>
              </w:rPr>
              <w:t>0.339</w:t>
            </w:r>
            <w:r>
              <w:rPr>
                <w:rFonts w:hint="default" w:ascii="Times New Roman" w:hAnsi="Times New Roman" w:cs="Times New Roman"/>
                <w:color w:val="auto"/>
                <w:sz w:val="18"/>
                <w:szCs w:val="18"/>
                <w:highlight w:val="none"/>
                <w:lang w:val="en-US" w:eastAsia="zh-CN"/>
              </w:rPr>
              <w:t>t/a</w:t>
            </w:r>
          </w:p>
        </w:tc>
      </w:tr>
      <w:tr w14:paraId="3D2B2B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88" w:type="dxa"/>
            <w:vMerge w:val="continue"/>
            <w:vAlign w:val="center"/>
          </w:tcPr>
          <w:p w14:paraId="21A72790">
            <w:pPr>
              <w:bidi w:val="0"/>
              <w:ind w:left="0" w:leftChars="0" w:right="0" w:rightChars="0" w:firstLine="0" w:firstLineChars="0"/>
              <w:jc w:val="center"/>
              <w:rPr>
                <w:rFonts w:hint="default" w:ascii="Times New Roman" w:hAnsi="Times New Roman" w:cs="Times New Roman"/>
                <w:color w:val="auto"/>
                <w:highlight w:val="none"/>
              </w:rPr>
            </w:pPr>
          </w:p>
        </w:tc>
        <w:tc>
          <w:tcPr>
            <w:tcW w:w="1778" w:type="dxa"/>
            <w:vAlign w:val="center"/>
          </w:tcPr>
          <w:p w14:paraId="05B86C77">
            <w:pPr>
              <w:bidi w:val="0"/>
              <w:ind w:left="0" w:leftChars="0" w:right="0" w:righ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氨氮</w:t>
            </w:r>
          </w:p>
        </w:tc>
        <w:tc>
          <w:tcPr>
            <w:tcW w:w="1512" w:type="dxa"/>
            <w:vAlign w:val="center"/>
          </w:tcPr>
          <w:p w14:paraId="37584F74">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04" w:type="dxa"/>
            <w:vAlign w:val="center"/>
          </w:tcPr>
          <w:p w14:paraId="2B717830">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01" w:type="dxa"/>
            <w:vAlign w:val="center"/>
          </w:tcPr>
          <w:p w14:paraId="1357C33C">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382" w:type="dxa"/>
            <w:vAlign w:val="center"/>
          </w:tcPr>
          <w:p w14:paraId="52A5DB68">
            <w:pPr>
              <w:jc w:val="center"/>
              <w:rPr>
                <w:rFonts w:hint="default" w:ascii="Times New Roman" w:hAnsi="Times New Roman" w:cs="Times New Roman"/>
                <w:color w:val="auto"/>
                <w:highlight w:val="none"/>
                <w:lang w:val="en-US" w:eastAsia="zh-CN"/>
              </w:rPr>
            </w:pPr>
            <w:r>
              <w:rPr>
                <w:rFonts w:hint="eastAsia" w:cs="Times New Roman"/>
                <w:color w:val="auto"/>
                <w:sz w:val="18"/>
                <w:szCs w:val="18"/>
                <w:highlight w:val="none"/>
                <w:lang w:val="en-US" w:eastAsia="zh-CN"/>
              </w:rPr>
              <w:t>0.042</w:t>
            </w:r>
            <w:r>
              <w:rPr>
                <w:rFonts w:hint="default" w:ascii="Times New Roman" w:hAnsi="Times New Roman" w:cs="Times New Roman"/>
                <w:color w:val="auto"/>
                <w:sz w:val="18"/>
                <w:szCs w:val="18"/>
                <w:highlight w:val="none"/>
                <w:lang w:val="en-US" w:eastAsia="zh-CN"/>
              </w:rPr>
              <w:t>t/a</w:t>
            </w:r>
          </w:p>
        </w:tc>
        <w:tc>
          <w:tcPr>
            <w:tcW w:w="1637" w:type="dxa"/>
            <w:vAlign w:val="center"/>
          </w:tcPr>
          <w:p w14:paraId="08C52EBD">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684" w:type="dxa"/>
            <w:vAlign w:val="center"/>
          </w:tcPr>
          <w:p w14:paraId="4E6A27AF">
            <w:pPr>
              <w:jc w:val="center"/>
              <w:rPr>
                <w:rFonts w:hint="default" w:ascii="Times New Roman" w:hAnsi="Times New Roman" w:cs="Times New Roman"/>
                <w:color w:val="auto"/>
                <w:highlight w:val="none"/>
              </w:rPr>
            </w:pPr>
            <w:r>
              <w:rPr>
                <w:rFonts w:hint="eastAsia" w:cs="Times New Roman"/>
                <w:color w:val="auto"/>
                <w:sz w:val="18"/>
                <w:szCs w:val="18"/>
                <w:highlight w:val="none"/>
                <w:lang w:val="en-US" w:eastAsia="zh-CN"/>
              </w:rPr>
              <w:t>0.042</w:t>
            </w:r>
            <w:r>
              <w:rPr>
                <w:rFonts w:hint="default" w:ascii="Times New Roman" w:hAnsi="Times New Roman" w:cs="Times New Roman"/>
                <w:color w:val="auto"/>
                <w:sz w:val="18"/>
                <w:szCs w:val="18"/>
                <w:highlight w:val="none"/>
                <w:lang w:val="en-US" w:eastAsia="zh-CN"/>
              </w:rPr>
              <w:t>t/a</w:t>
            </w:r>
          </w:p>
        </w:tc>
        <w:tc>
          <w:tcPr>
            <w:tcW w:w="1402" w:type="dxa"/>
            <w:vAlign w:val="center"/>
          </w:tcPr>
          <w:p w14:paraId="4ADFCBD5">
            <w:pPr>
              <w:jc w:val="center"/>
              <w:rPr>
                <w:rFonts w:hint="default" w:ascii="Times New Roman" w:hAnsi="Times New Roman" w:cs="Times New Roman"/>
                <w:color w:val="auto"/>
                <w:highlight w:val="none"/>
              </w:rPr>
            </w:pPr>
            <w:r>
              <w:rPr>
                <w:rFonts w:hint="eastAsia" w:cs="Times New Roman"/>
                <w:color w:val="auto"/>
                <w:sz w:val="18"/>
                <w:szCs w:val="18"/>
                <w:highlight w:val="none"/>
                <w:lang w:val="en-US" w:eastAsia="zh-CN"/>
              </w:rPr>
              <w:t>0.042</w:t>
            </w:r>
            <w:r>
              <w:rPr>
                <w:rFonts w:hint="default" w:ascii="Times New Roman" w:hAnsi="Times New Roman" w:cs="Times New Roman"/>
                <w:color w:val="auto"/>
                <w:sz w:val="18"/>
                <w:szCs w:val="18"/>
                <w:highlight w:val="none"/>
                <w:lang w:val="en-US" w:eastAsia="zh-CN"/>
              </w:rPr>
              <w:t>t/a</w:t>
            </w:r>
          </w:p>
        </w:tc>
      </w:tr>
      <w:tr w14:paraId="4159A4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restart"/>
            <w:vAlign w:val="center"/>
          </w:tcPr>
          <w:p w14:paraId="4C247637">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一般工业</w:t>
            </w:r>
          </w:p>
          <w:p w14:paraId="59AA453C">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tc>
        <w:tc>
          <w:tcPr>
            <w:tcW w:w="1778" w:type="dxa"/>
            <w:vAlign w:val="center"/>
          </w:tcPr>
          <w:p w14:paraId="2D989073">
            <w:pPr>
              <w:pStyle w:val="78"/>
              <w:rPr>
                <w:rFonts w:hint="default" w:ascii="Times New Roman" w:hAnsi="Times New Roman" w:cs="Times New Roman"/>
                <w:color w:val="auto"/>
                <w:sz w:val="18"/>
                <w:szCs w:val="18"/>
                <w:highlight w:val="none"/>
              </w:rPr>
            </w:pPr>
            <w:r>
              <w:rPr>
                <w:rFonts w:hint="default" w:ascii="Times New Roman" w:hAnsi="Times New Roman" w:cs="Times New Roman"/>
                <w:color w:val="auto"/>
                <w:kern w:val="2"/>
                <w:sz w:val="18"/>
                <w:szCs w:val="18"/>
                <w:highlight w:val="none"/>
              </w:rPr>
              <w:t>生活垃圾</w:t>
            </w:r>
          </w:p>
        </w:tc>
        <w:tc>
          <w:tcPr>
            <w:tcW w:w="1512" w:type="dxa"/>
            <w:vAlign w:val="center"/>
          </w:tcPr>
          <w:p w14:paraId="214D9D3C">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04" w:type="dxa"/>
            <w:vAlign w:val="center"/>
          </w:tcPr>
          <w:p w14:paraId="7AD432D9">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01" w:type="dxa"/>
            <w:vAlign w:val="center"/>
          </w:tcPr>
          <w:p w14:paraId="7B24334D">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382" w:type="dxa"/>
            <w:vAlign w:val="center"/>
          </w:tcPr>
          <w:p w14:paraId="16F0AC67">
            <w:pPr>
              <w:pStyle w:val="78"/>
              <w:rPr>
                <w:rFonts w:hint="default" w:ascii="Times New Roman" w:hAnsi="Times New Roman" w:cs="Times New Roman"/>
                <w:color w:val="auto"/>
                <w:highlight w:val="none"/>
              </w:rPr>
            </w:pPr>
            <w:r>
              <w:rPr>
                <w:rFonts w:hint="default" w:ascii="Times New Roman" w:hAnsi="Times New Roman" w:cs="Times New Roman"/>
                <w:color w:val="auto"/>
                <w:kern w:val="2"/>
                <w:sz w:val="18"/>
                <w:szCs w:val="18"/>
                <w:highlight w:val="none"/>
                <w:lang w:val="en-US" w:eastAsia="zh-CN"/>
              </w:rPr>
              <w:t>16.95</w:t>
            </w:r>
            <w:r>
              <w:rPr>
                <w:rFonts w:hint="default" w:ascii="Times New Roman" w:hAnsi="Times New Roman" w:cs="Times New Roman"/>
                <w:color w:val="auto"/>
                <w:kern w:val="2"/>
                <w:sz w:val="18"/>
                <w:szCs w:val="18"/>
                <w:highlight w:val="none"/>
              </w:rPr>
              <w:t>t/a</w:t>
            </w:r>
          </w:p>
        </w:tc>
        <w:tc>
          <w:tcPr>
            <w:tcW w:w="1637" w:type="dxa"/>
            <w:vAlign w:val="center"/>
          </w:tcPr>
          <w:p w14:paraId="6674F131">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684" w:type="dxa"/>
            <w:vAlign w:val="center"/>
          </w:tcPr>
          <w:p w14:paraId="468A6C1A">
            <w:pPr>
              <w:pStyle w:val="78"/>
              <w:rPr>
                <w:rFonts w:hint="default" w:ascii="Times New Roman" w:hAnsi="Times New Roman" w:cs="Times New Roman"/>
                <w:color w:val="auto"/>
                <w:highlight w:val="none"/>
              </w:rPr>
            </w:pPr>
            <w:r>
              <w:rPr>
                <w:rFonts w:hint="default" w:ascii="Times New Roman" w:hAnsi="Times New Roman" w:cs="Times New Roman"/>
                <w:color w:val="auto"/>
                <w:kern w:val="2"/>
                <w:sz w:val="18"/>
                <w:szCs w:val="18"/>
                <w:highlight w:val="none"/>
                <w:lang w:val="en-US" w:eastAsia="zh-CN"/>
              </w:rPr>
              <w:t>16.95</w:t>
            </w:r>
            <w:r>
              <w:rPr>
                <w:rFonts w:hint="default" w:ascii="Times New Roman" w:hAnsi="Times New Roman" w:cs="Times New Roman"/>
                <w:color w:val="auto"/>
                <w:kern w:val="2"/>
                <w:sz w:val="18"/>
                <w:szCs w:val="18"/>
                <w:highlight w:val="none"/>
              </w:rPr>
              <w:t>t/a</w:t>
            </w:r>
          </w:p>
        </w:tc>
        <w:tc>
          <w:tcPr>
            <w:tcW w:w="1402" w:type="dxa"/>
            <w:vAlign w:val="center"/>
          </w:tcPr>
          <w:p w14:paraId="54983F57">
            <w:pPr>
              <w:pStyle w:val="78"/>
              <w:rPr>
                <w:rFonts w:hint="default" w:ascii="Times New Roman" w:hAnsi="Times New Roman" w:cs="Times New Roman"/>
                <w:color w:val="auto"/>
                <w:highlight w:val="none"/>
              </w:rPr>
            </w:pPr>
            <w:r>
              <w:rPr>
                <w:rFonts w:hint="default" w:ascii="Times New Roman" w:hAnsi="Times New Roman" w:cs="Times New Roman"/>
                <w:color w:val="auto"/>
                <w:kern w:val="2"/>
                <w:sz w:val="18"/>
                <w:szCs w:val="18"/>
                <w:highlight w:val="none"/>
                <w:lang w:val="en-US" w:eastAsia="zh-CN"/>
              </w:rPr>
              <w:t>16.95</w:t>
            </w:r>
            <w:r>
              <w:rPr>
                <w:rFonts w:hint="default" w:ascii="Times New Roman" w:hAnsi="Times New Roman" w:cs="Times New Roman"/>
                <w:color w:val="auto"/>
                <w:kern w:val="2"/>
                <w:sz w:val="18"/>
                <w:szCs w:val="18"/>
                <w:highlight w:val="none"/>
              </w:rPr>
              <w:t>t/a</w:t>
            </w:r>
          </w:p>
        </w:tc>
      </w:tr>
      <w:tr w14:paraId="5F1B5F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continue"/>
            <w:vAlign w:val="center"/>
          </w:tcPr>
          <w:p w14:paraId="6D625577">
            <w:pPr>
              <w:bidi w:val="0"/>
              <w:ind w:left="0" w:leftChars="0" w:right="0" w:rightChars="0" w:firstLine="0" w:firstLineChars="0"/>
              <w:jc w:val="center"/>
              <w:rPr>
                <w:rFonts w:hint="default" w:ascii="Times New Roman" w:hAnsi="Times New Roman" w:cs="Times New Roman"/>
                <w:color w:val="auto"/>
                <w:highlight w:val="none"/>
              </w:rPr>
            </w:pPr>
          </w:p>
        </w:tc>
        <w:tc>
          <w:tcPr>
            <w:tcW w:w="1778" w:type="dxa"/>
            <w:vAlign w:val="center"/>
          </w:tcPr>
          <w:p w14:paraId="29451A36">
            <w:pPr>
              <w:pStyle w:val="78"/>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kern w:val="2"/>
                <w:sz w:val="18"/>
                <w:szCs w:val="18"/>
                <w:highlight w:val="none"/>
                <w:lang w:eastAsia="zh-CN"/>
              </w:rPr>
              <w:t>不合格品</w:t>
            </w:r>
            <w:r>
              <w:rPr>
                <w:rFonts w:hint="eastAsia" w:ascii="Times New Roman" w:hAnsi="Times New Roman" w:cs="Times New Roman"/>
                <w:color w:val="auto"/>
                <w:kern w:val="2"/>
                <w:sz w:val="18"/>
                <w:szCs w:val="18"/>
                <w:highlight w:val="none"/>
                <w:lang w:eastAsia="zh-CN"/>
              </w:rPr>
              <w:t>、</w:t>
            </w:r>
            <w:r>
              <w:rPr>
                <w:rFonts w:hint="eastAsia" w:ascii="Times New Roman" w:hAnsi="Times New Roman" w:cs="Times New Roman"/>
                <w:color w:val="auto"/>
                <w:kern w:val="2"/>
                <w:sz w:val="18"/>
                <w:szCs w:val="18"/>
                <w:highlight w:val="none"/>
                <w:lang w:val="en-US" w:eastAsia="zh-CN"/>
              </w:rPr>
              <w:t>废边角料</w:t>
            </w:r>
          </w:p>
        </w:tc>
        <w:tc>
          <w:tcPr>
            <w:tcW w:w="1512" w:type="dxa"/>
            <w:vAlign w:val="center"/>
          </w:tcPr>
          <w:p w14:paraId="37E9CC44">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04" w:type="dxa"/>
            <w:vAlign w:val="center"/>
          </w:tcPr>
          <w:p w14:paraId="28ECDBCE">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01" w:type="dxa"/>
            <w:vAlign w:val="center"/>
          </w:tcPr>
          <w:p w14:paraId="051D3112">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382" w:type="dxa"/>
            <w:vAlign w:val="center"/>
          </w:tcPr>
          <w:p w14:paraId="4FA03269">
            <w:pPr>
              <w:pStyle w:val="78"/>
              <w:rPr>
                <w:rFonts w:hint="default" w:ascii="Times New Roman" w:hAnsi="Times New Roman" w:cs="Times New Roman"/>
                <w:color w:val="auto"/>
                <w:highlight w:val="none"/>
              </w:rPr>
            </w:pPr>
            <w:r>
              <w:rPr>
                <w:rFonts w:hint="eastAsia" w:ascii="Times New Roman" w:hAnsi="Times New Roman" w:cs="Times New Roman"/>
                <w:color w:val="auto"/>
                <w:kern w:val="2"/>
                <w:sz w:val="18"/>
                <w:szCs w:val="18"/>
                <w:highlight w:val="none"/>
                <w:lang w:val="en-US" w:eastAsia="zh-CN"/>
              </w:rPr>
              <w:t>13458.84</w:t>
            </w:r>
            <w:r>
              <w:rPr>
                <w:rFonts w:hint="default" w:ascii="Times New Roman" w:hAnsi="Times New Roman" w:cs="Times New Roman"/>
                <w:color w:val="auto"/>
                <w:kern w:val="2"/>
                <w:sz w:val="18"/>
                <w:szCs w:val="18"/>
                <w:highlight w:val="none"/>
              </w:rPr>
              <w:t>t/a</w:t>
            </w:r>
          </w:p>
        </w:tc>
        <w:tc>
          <w:tcPr>
            <w:tcW w:w="1637" w:type="dxa"/>
            <w:vAlign w:val="center"/>
          </w:tcPr>
          <w:p w14:paraId="1B051328">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684" w:type="dxa"/>
            <w:vAlign w:val="center"/>
          </w:tcPr>
          <w:p w14:paraId="5A5ADFA6">
            <w:pPr>
              <w:pStyle w:val="78"/>
              <w:rPr>
                <w:rFonts w:hint="default" w:ascii="Times New Roman" w:hAnsi="Times New Roman" w:cs="Times New Roman"/>
                <w:color w:val="auto"/>
                <w:highlight w:val="none"/>
              </w:rPr>
            </w:pPr>
            <w:r>
              <w:rPr>
                <w:rFonts w:hint="eastAsia" w:ascii="Times New Roman" w:hAnsi="Times New Roman" w:cs="Times New Roman"/>
                <w:color w:val="auto"/>
                <w:kern w:val="2"/>
                <w:sz w:val="18"/>
                <w:szCs w:val="18"/>
                <w:highlight w:val="none"/>
                <w:lang w:val="en-US" w:eastAsia="zh-CN"/>
              </w:rPr>
              <w:t>13458.84</w:t>
            </w:r>
            <w:r>
              <w:rPr>
                <w:rFonts w:hint="default" w:ascii="Times New Roman" w:hAnsi="Times New Roman" w:cs="Times New Roman"/>
                <w:color w:val="auto"/>
                <w:kern w:val="2"/>
                <w:sz w:val="18"/>
                <w:szCs w:val="18"/>
                <w:highlight w:val="none"/>
              </w:rPr>
              <w:t>t/a</w:t>
            </w:r>
          </w:p>
        </w:tc>
        <w:tc>
          <w:tcPr>
            <w:tcW w:w="1402" w:type="dxa"/>
            <w:vAlign w:val="center"/>
          </w:tcPr>
          <w:p w14:paraId="7CA31F44">
            <w:pPr>
              <w:pStyle w:val="78"/>
              <w:rPr>
                <w:rFonts w:hint="default" w:ascii="Times New Roman" w:hAnsi="Times New Roman" w:cs="Times New Roman"/>
                <w:color w:val="auto"/>
                <w:highlight w:val="none"/>
              </w:rPr>
            </w:pPr>
            <w:r>
              <w:rPr>
                <w:rFonts w:hint="eastAsia" w:ascii="Times New Roman" w:hAnsi="Times New Roman" w:cs="Times New Roman"/>
                <w:color w:val="auto"/>
                <w:kern w:val="2"/>
                <w:sz w:val="18"/>
                <w:szCs w:val="18"/>
                <w:highlight w:val="none"/>
                <w:lang w:val="en-US" w:eastAsia="zh-CN"/>
              </w:rPr>
              <w:t>13458.84</w:t>
            </w:r>
            <w:r>
              <w:rPr>
                <w:rFonts w:hint="default" w:ascii="Times New Roman" w:hAnsi="Times New Roman" w:cs="Times New Roman"/>
                <w:color w:val="auto"/>
                <w:kern w:val="2"/>
                <w:sz w:val="18"/>
                <w:szCs w:val="18"/>
                <w:highlight w:val="none"/>
              </w:rPr>
              <w:t>t/a</w:t>
            </w:r>
          </w:p>
        </w:tc>
      </w:tr>
      <w:tr w14:paraId="4EA3CB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continue"/>
            <w:vAlign w:val="center"/>
          </w:tcPr>
          <w:p w14:paraId="0BDCBAD2">
            <w:pPr>
              <w:bidi w:val="0"/>
              <w:ind w:left="0" w:leftChars="0" w:right="0" w:rightChars="0" w:firstLine="0" w:firstLineChars="0"/>
              <w:jc w:val="center"/>
              <w:rPr>
                <w:rFonts w:hint="default" w:ascii="Times New Roman" w:hAnsi="Times New Roman" w:cs="Times New Roman"/>
                <w:color w:val="auto"/>
                <w:highlight w:val="none"/>
              </w:rPr>
            </w:pPr>
          </w:p>
        </w:tc>
        <w:tc>
          <w:tcPr>
            <w:tcW w:w="1778" w:type="dxa"/>
            <w:vAlign w:val="center"/>
          </w:tcPr>
          <w:p w14:paraId="1336C23F">
            <w:pPr>
              <w:pStyle w:val="78"/>
              <w:rPr>
                <w:rFonts w:hint="default" w:ascii="Times New Roman" w:hAnsi="Times New Roman" w:cs="Times New Roman"/>
                <w:color w:val="auto"/>
                <w:highlight w:val="none"/>
                <w:lang w:eastAsia="zh-CN"/>
              </w:rPr>
            </w:pPr>
            <w:r>
              <w:rPr>
                <w:rFonts w:hint="default" w:ascii="Times New Roman" w:hAnsi="Times New Roman" w:cs="Times New Roman"/>
                <w:color w:val="auto"/>
                <w:kern w:val="2"/>
                <w:sz w:val="18"/>
                <w:szCs w:val="18"/>
                <w:highlight w:val="none"/>
                <w:lang w:eastAsia="zh-CN"/>
              </w:rPr>
              <w:t>废包装带</w:t>
            </w:r>
          </w:p>
        </w:tc>
        <w:tc>
          <w:tcPr>
            <w:tcW w:w="1512" w:type="dxa"/>
            <w:vAlign w:val="center"/>
          </w:tcPr>
          <w:p w14:paraId="44275C9D">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04" w:type="dxa"/>
            <w:vAlign w:val="center"/>
          </w:tcPr>
          <w:p w14:paraId="2E794065">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01" w:type="dxa"/>
            <w:vAlign w:val="center"/>
          </w:tcPr>
          <w:p w14:paraId="48ABFB21">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382" w:type="dxa"/>
            <w:vAlign w:val="center"/>
          </w:tcPr>
          <w:p w14:paraId="0B92C0BB">
            <w:pPr>
              <w:pStyle w:val="78"/>
              <w:rPr>
                <w:rFonts w:hint="default" w:ascii="Times New Roman" w:hAnsi="Times New Roman" w:cs="Times New Roman"/>
                <w:color w:val="auto"/>
                <w:highlight w:val="none"/>
              </w:rPr>
            </w:pPr>
            <w:r>
              <w:rPr>
                <w:rFonts w:hint="default" w:ascii="Times New Roman" w:hAnsi="Times New Roman" w:cs="Times New Roman"/>
                <w:color w:val="auto"/>
                <w:kern w:val="2"/>
                <w:sz w:val="18"/>
                <w:szCs w:val="18"/>
                <w:highlight w:val="none"/>
                <w:lang w:val="en-US" w:eastAsia="zh-CN"/>
              </w:rPr>
              <w:t>50</w:t>
            </w:r>
            <w:r>
              <w:rPr>
                <w:rFonts w:hint="default" w:ascii="Times New Roman" w:hAnsi="Times New Roman" w:cs="Times New Roman"/>
                <w:color w:val="auto"/>
                <w:kern w:val="2"/>
                <w:sz w:val="18"/>
                <w:szCs w:val="18"/>
                <w:highlight w:val="none"/>
              </w:rPr>
              <w:t>kg/a</w:t>
            </w:r>
          </w:p>
        </w:tc>
        <w:tc>
          <w:tcPr>
            <w:tcW w:w="1637" w:type="dxa"/>
            <w:vAlign w:val="center"/>
          </w:tcPr>
          <w:p w14:paraId="0B349486">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684" w:type="dxa"/>
            <w:vAlign w:val="center"/>
          </w:tcPr>
          <w:p w14:paraId="3320FAA4">
            <w:pPr>
              <w:pStyle w:val="78"/>
              <w:rPr>
                <w:rFonts w:hint="default" w:ascii="Times New Roman" w:hAnsi="Times New Roman" w:cs="Times New Roman"/>
                <w:color w:val="auto"/>
                <w:highlight w:val="none"/>
              </w:rPr>
            </w:pPr>
            <w:r>
              <w:rPr>
                <w:rFonts w:hint="default" w:ascii="Times New Roman" w:hAnsi="Times New Roman" w:cs="Times New Roman"/>
                <w:color w:val="auto"/>
                <w:kern w:val="2"/>
                <w:sz w:val="18"/>
                <w:szCs w:val="18"/>
                <w:highlight w:val="none"/>
                <w:lang w:val="en-US" w:eastAsia="zh-CN"/>
              </w:rPr>
              <w:t>50</w:t>
            </w:r>
            <w:r>
              <w:rPr>
                <w:rFonts w:hint="default" w:ascii="Times New Roman" w:hAnsi="Times New Roman" w:cs="Times New Roman"/>
                <w:color w:val="auto"/>
                <w:kern w:val="2"/>
                <w:sz w:val="18"/>
                <w:szCs w:val="18"/>
                <w:highlight w:val="none"/>
              </w:rPr>
              <w:t>kg/a</w:t>
            </w:r>
          </w:p>
        </w:tc>
        <w:tc>
          <w:tcPr>
            <w:tcW w:w="1402" w:type="dxa"/>
            <w:vAlign w:val="center"/>
          </w:tcPr>
          <w:p w14:paraId="20B41100">
            <w:pPr>
              <w:pStyle w:val="78"/>
              <w:rPr>
                <w:rFonts w:hint="default" w:ascii="Times New Roman" w:hAnsi="Times New Roman" w:cs="Times New Roman"/>
                <w:color w:val="auto"/>
                <w:highlight w:val="none"/>
              </w:rPr>
            </w:pPr>
            <w:r>
              <w:rPr>
                <w:rFonts w:hint="default" w:ascii="Times New Roman" w:hAnsi="Times New Roman" w:cs="Times New Roman"/>
                <w:color w:val="auto"/>
                <w:kern w:val="2"/>
                <w:sz w:val="18"/>
                <w:szCs w:val="18"/>
                <w:highlight w:val="none"/>
                <w:lang w:val="en-US" w:eastAsia="zh-CN"/>
              </w:rPr>
              <w:t>50</w:t>
            </w:r>
            <w:r>
              <w:rPr>
                <w:rFonts w:hint="default" w:ascii="Times New Roman" w:hAnsi="Times New Roman" w:cs="Times New Roman"/>
                <w:color w:val="auto"/>
                <w:kern w:val="2"/>
                <w:sz w:val="18"/>
                <w:szCs w:val="18"/>
                <w:highlight w:val="none"/>
              </w:rPr>
              <w:t>kg/a</w:t>
            </w:r>
          </w:p>
        </w:tc>
      </w:tr>
      <w:tr w14:paraId="23DECA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continue"/>
            <w:vAlign w:val="center"/>
          </w:tcPr>
          <w:p w14:paraId="24F1FE27">
            <w:pPr>
              <w:bidi w:val="0"/>
              <w:ind w:left="0" w:leftChars="0" w:right="0" w:rightChars="0" w:firstLine="0" w:firstLineChars="0"/>
              <w:jc w:val="center"/>
              <w:rPr>
                <w:rFonts w:hint="default" w:ascii="Times New Roman" w:hAnsi="Times New Roman" w:cs="Times New Roman"/>
                <w:color w:val="auto"/>
                <w:highlight w:val="none"/>
              </w:rPr>
            </w:pPr>
          </w:p>
        </w:tc>
        <w:tc>
          <w:tcPr>
            <w:tcW w:w="1778" w:type="dxa"/>
            <w:vAlign w:val="center"/>
          </w:tcPr>
          <w:p w14:paraId="5762B9DE">
            <w:pPr>
              <w:pStyle w:val="78"/>
              <w:rPr>
                <w:rFonts w:hint="default" w:ascii="Times New Roman" w:hAnsi="Times New Roman" w:cs="Times New Roman"/>
                <w:color w:val="auto"/>
                <w:highlight w:val="none"/>
                <w:lang w:eastAsia="zh-CN"/>
              </w:rPr>
            </w:pPr>
            <w:r>
              <w:rPr>
                <w:rFonts w:hint="default" w:ascii="Times New Roman" w:hAnsi="Times New Roman" w:cs="Times New Roman"/>
                <w:color w:val="auto"/>
                <w:kern w:val="2"/>
                <w:sz w:val="18"/>
                <w:szCs w:val="18"/>
                <w:highlight w:val="none"/>
                <w:lang w:eastAsia="zh-CN"/>
              </w:rPr>
              <w:t>废布袋</w:t>
            </w:r>
          </w:p>
        </w:tc>
        <w:tc>
          <w:tcPr>
            <w:tcW w:w="1512" w:type="dxa"/>
            <w:vAlign w:val="center"/>
          </w:tcPr>
          <w:p w14:paraId="01A16640">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04" w:type="dxa"/>
            <w:vAlign w:val="center"/>
          </w:tcPr>
          <w:p w14:paraId="63DEAD23">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01" w:type="dxa"/>
            <w:vAlign w:val="center"/>
          </w:tcPr>
          <w:p w14:paraId="1B7BEAE4">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382" w:type="dxa"/>
            <w:vAlign w:val="center"/>
          </w:tcPr>
          <w:p w14:paraId="2031E449">
            <w:pPr>
              <w:pStyle w:val="78"/>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2"/>
                <w:sz w:val="18"/>
                <w:szCs w:val="18"/>
                <w:highlight w:val="none"/>
                <w:lang w:val="en-US" w:eastAsia="zh-CN"/>
              </w:rPr>
              <w:t>0.1t</w:t>
            </w:r>
            <w:r>
              <w:rPr>
                <w:rFonts w:hint="default" w:ascii="Times New Roman" w:hAnsi="Times New Roman" w:cs="Times New Roman"/>
                <w:color w:val="auto"/>
                <w:kern w:val="2"/>
                <w:sz w:val="18"/>
                <w:szCs w:val="18"/>
                <w:highlight w:val="none"/>
              </w:rPr>
              <w:t>/a</w:t>
            </w:r>
          </w:p>
        </w:tc>
        <w:tc>
          <w:tcPr>
            <w:tcW w:w="1637" w:type="dxa"/>
            <w:vAlign w:val="center"/>
          </w:tcPr>
          <w:p w14:paraId="4FAF7106">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684" w:type="dxa"/>
            <w:vAlign w:val="center"/>
          </w:tcPr>
          <w:p w14:paraId="0A463F8A">
            <w:pPr>
              <w:pStyle w:val="78"/>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2"/>
                <w:sz w:val="18"/>
                <w:szCs w:val="18"/>
                <w:highlight w:val="none"/>
                <w:lang w:val="en-US" w:eastAsia="zh-CN"/>
              </w:rPr>
              <w:t>0.1t</w:t>
            </w:r>
            <w:r>
              <w:rPr>
                <w:rFonts w:hint="default" w:ascii="Times New Roman" w:hAnsi="Times New Roman" w:cs="Times New Roman"/>
                <w:color w:val="auto"/>
                <w:kern w:val="2"/>
                <w:sz w:val="18"/>
                <w:szCs w:val="18"/>
                <w:highlight w:val="none"/>
              </w:rPr>
              <w:t>/a</w:t>
            </w:r>
          </w:p>
        </w:tc>
        <w:tc>
          <w:tcPr>
            <w:tcW w:w="1402" w:type="dxa"/>
            <w:vAlign w:val="center"/>
          </w:tcPr>
          <w:p w14:paraId="39CEDE44">
            <w:pPr>
              <w:pStyle w:val="78"/>
              <w:rPr>
                <w:rFonts w:hint="default" w:ascii="Times New Roman" w:hAnsi="Times New Roman" w:cs="Times New Roman"/>
                <w:color w:val="auto"/>
                <w:highlight w:val="none"/>
              </w:rPr>
            </w:pPr>
            <w:r>
              <w:rPr>
                <w:rFonts w:hint="default" w:ascii="Times New Roman" w:hAnsi="Times New Roman" w:cs="Times New Roman"/>
                <w:color w:val="auto"/>
                <w:kern w:val="2"/>
                <w:sz w:val="18"/>
                <w:szCs w:val="18"/>
                <w:highlight w:val="none"/>
                <w:lang w:val="en-US" w:eastAsia="zh-CN"/>
              </w:rPr>
              <w:t>0.1t</w:t>
            </w:r>
            <w:r>
              <w:rPr>
                <w:rFonts w:hint="default" w:ascii="Times New Roman" w:hAnsi="Times New Roman" w:cs="Times New Roman"/>
                <w:color w:val="auto"/>
                <w:kern w:val="2"/>
                <w:sz w:val="18"/>
                <w:szCs w:val="18"/>
                <w:highlight w:val="none"/>
              </w:rPr>
              <w:t>/a</w:t>
            </w:r>
          </w:p>
        </w:tc>
      </w:tr>
      <w:tr w14:paraId="27F83F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continue"/>
            <w:vAlign w:val="center"/>
          </w:tcPr>
          <w:p w14:paraId="02A3AE7B">
            <w:pPr>
              <w:bidi w:val="0"/>
              <w:ind w:left="0" w:leftChars="0" w:right="0" w:rightChars="0" w:firstLine="0" w:firstLineChars="0"/>
              <w:jc w:val="center"/>
              <w:rPr>
                <w:rFonts w:hint="default" w:ascii="Times New Roman" w:hAnsi="Times New Roman" w:cs="Times New Roman"/>
                <w:color w:val="auto"/>
                <w:highlight w:val="none"/>
              </w:rPr>
            </w:pPr>
          </w:p>
        </w:tc>
        <w:tc>
          <w:tcPr>
            <w:tcW w:w="1778" w:type="dxa"/>
            <w:vAlign w:val="center"/>
          </w:tcPr>
          <w:p w14:paraId="2F88C14E">
            <w:pPr>
              <w:pStyle w:val="78"/>
              <w:rPr>
                <w:rFonts w:hint="default" w:ascii="Times New Roman" w:hAnsi="Times New Roman" w:cs="Times New Roman"/>
                <w:color w:val="auto"/>
                <w:highlight w:val="none"/>
                <w:lang w:eastAsia="zh-CN"/>
              </w:rPr>
            </w:pPr>
            <w:r>
              <w:rPr>
                <w:rFonts w:hint="default" w:ascii="Times New Roman" w:hAnsi="Times New Roman" w:cs="Times New Roman"/>
                <w:color w:val="auto"/>
                <w:kern w:val="2"/>
                <w:sz w:val="18"/>
                <w:szCs w:val="18"/>
                <w:highlight w:val="none"/>
                <w:lang w:eastAsia="zh-CN"/>
              </w:rPr>
              <w:t>除尘器收集粉尘</w:t>
            </w:r>
          </w:p>
        </w:tc>
        <w:tc>
          <w:tcPr>
            <w:tcW w:w="1512" w:type="dxa"/>
            <w:vAlign w:val="center"/>
          </w:tcPr>
          <w:p w14:paraId="051D985E">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04" w:type="dxa"/>
            <w:vAlign w:val="center"/>
          </w:tcPr>
          <w:p w14:paraId="63EC8C91">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01" w:type="dxa"/>
            <w:vAlign w:val="center"/>
          </w:tcPr>
          <w:p w14:paraId="5D0A4ECA">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382" w:type="dxa"/>
            <w:vAlign w:val="center"/>
          </w:tcPr>
          <w:p w14:paraId="5EDF9A5B">
            <w:pPr>
              <w:pStyle w:val="78"/>
              <w:rPr>
                <w:rFonts w:hint="default" w:ascii="Times New Roman" w:hAnsi="Times New Roman" w:cs="Times New Roman"/>
                <w:color w:val="auto"/>
                <w:highlight w:val="none"/>
                <w:lang w:val="en-US" w:eastAsia="zh-CN"/>
              </w:rPr>
            </w:pPr>
            <w:r>
              <w:rPr>
                <w:rFonts w:hint="eastAsia" w:ascii="Times New Roman" w:hAnsi="Times New Roman" w:cs="Times New Roman"/>
                <w:color w:val="auto"/>
                <w:kern w:val="2"/>
                <w:sz w:val="18"/>
                <w:szCs w:val="18"/>
                <w:highlight w:val="none"/>
                <w:lang w:val="en-US" w:eastAsia="zh-CN"/>
              </w:rPr>
              <w:t>500.9</w:t>
            </w:r>
            <w:r>
              <w:rPr>
                <w:rFonts w:hint="default" w:ascii="Times New Roman" w:hAnsi="Times New Roman" w:cs="Times New Roman"/>
                <w:color w:val="auto"/>
                <w:kern w:val="2"/>
                <w:sz w:val="18"/>
                <w:szCs w:val="18"/>
                <w:highlight w:val="none"/>
                <w:lang w:val="en-US" w:eastAsia="zh-CN"/>
              </w:rPr>
              <w:t>t/a</w:t>
            </w:r>
          </w:p>
        </w:tc>
        <w:tc>
          <w:tcPr>
            <w:tcW w:w="1637" w:type="dxa"/>
            <w:vAlign w:val="center"/>
          </w:tcPr>
          <w:p w14:paraId="5851CE14">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684" w:type="dxa"/>
            <w:vAlign w:val="center"/>
          </w:tcPr>
          <w:p w14:paraId="4BB53972">
            <w:pPr>
              <w:pStyle w:val="78"/>
              <w:rPr>
                <w:rFonts w:hint="default" w:ascii="Times New Roman" w:hAnsi="Times New Roman" w:cs="Times New Roman"/>
                <w:color w:val="auto"/>
                <w:highlight w:val="none"/>
                <w:lang w:val="en-US" w:eastAsia="zh-CN"/>
              </w:rPr>
            </w:pPr>
            <w:r>
              <w:rPr>
                <w:rFonts w:hint="eastAsia" w:ascii="Times New Roman" w:hAnsi="Times New Roman" w:cs="Times New Roman"/>
                <w:color w:val="auto"/>
                <w:kern w:val="2"/>
                <w:sz w:val="18"/>
                <w:szCs w:val="18"/>
                <w:highlight w:val="none"/>
                <w:lang w:val="en-US" w:eastAsia="zh-CN"/>
              </w:rPr>
              <w:t>500.9</w:t>
            </w:r>
            <w:r>
              <w:rPr>
                <w:rFonts w:hint="default" w:ascii="Times New Roman" w:hAnsi="Times New Roman" w:cs="Times New Roman"/>
                <w:color w:val="auto"/>
                <w:kern w:val="2"/>
                <w:sz w:val="18"/>
                <w:szCs w:val="18"/>
                <w:highlight w:val="none"/>
                <w:lang w:val="en-US" w:eastAsia="zh-CN"/>
              </w:rPr>
              <w:t>t/a</w:t>
            </w:r>
          </w:p>
        </w:tc>
        <w:tc>
          <w:tcPr>
            <w:tcW w:w="1402" w:type="dxa"/>
            <w:vAlign w:val="center"/>
          </w:tcPr>
          <w:p w14:paraId="5C1A0EF6">
            <w:pPr>
              <w:pStyle w:val="78"/>
              <w:rPr>
                <w:rFonts w:hint="default" w:ascii="Times New Roman" w:hAnsi="Times New Roman" w:cs="Times New Roman"/>
                <w:color w:val="auto"/>
                <w:highlight w:val="none"/>
              </w:rPr>
            </w:pPr>
            <w:r>
              <w:rPr>
                <w:rFonts w:hint="eastAsia" w:ascii="Times New Roman" w:hAnsi="Times New Roman" w:cs="Times New Roman"/>
                <w:color w:val="auto"/>
                <w:kern w:val="2"/>
                <w:sz w:val="18"/>
                <w:szCs w:val="18"/>
                <w:highlight w:val="none"/>
                <w:lang w:val="en-US" w:eastAsia="zh-CN"/>
              </w:rPr>
              <w:t>500.9</w:t>
            </w:r>
            <w:r>
              <w:rPr>
                <w:rFonts w:hint="default" w:ascii="Times New Roman" w:hAnsi="Times New Roman" w:cs="Times New Roman"/>
                <w:color w:val="auto"/>
                <w:kern w:val="2"/>
                <w:sz w:val="18"/>
                <w:szCs w:val="18"/>
                <w:highlight w:val="none"/>
                <w:lang w:val="en-US" w:eastAsia="zh-CN"/>
              </w:rPr>
              <w:t>t/a</w:t>
            </w:r>
          </w:p>
        </w:tc>
      </w:tr>
      <w:tr w14:paraId="44CF18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continue"/>
            <w:vAlign w:val="center"/>
          </w:tcPr>
          <w:p w14:paraId="52F8BA4A">
            <w:pPr>
              <w:bidi w:val="0"/>
              <w:ind w:left="0" w:leftChars="0" w:right="0" w:rightChars="0" w:firstLine="0" w:firstLineChars="0"/>
              <w:jc w:val="center"/>
              <w:rPr>
                <w:rFonts w:hint="default" w:ascii="Times New Roman" w:hAnsi="Times New Roman" w:cs="Times New Roman"/>
                <w:color w:val="auto"/>
                <w:highlight w:val="none"/>
              </w:rPr>
            </w:pPr>
          </w:p>
        </w:tc>
        <w:tc>
          <w:tcPr>
            <w:tcW w:w="1778" w:type="dxa"/>
            <w:vAlign w:val="center"/>
          </w:tcPr>
          <w:p w14:paraId="624AC680">
            <w:pPr>
              <w:pStyle w:val="78"/>
              <w:rPr>
                <w:rFonts w:hint="default" w:ascii="Times New Roman" w:hAnsi="Times New Roman" w:cs="Times New Roman"/>
                <w:color w:val="auto"/>
                <w:highlight w:val="none"/>
                <w:lang w:eastAsia="zh-CN"/>
              </w:rPr>
            </w:pPr>
            <w:r>
              <w:rPr>
                <w:rFonts w:hint="default" w:ascii="Times New Roman" w:hAnsi="Times New Roman" w:cs="Times New Roman"/>
                <w:color w:val="auto"/>
                <w:sz w:val="18"/>
                <w:szCs w:val="18"/>
                <w:highlight w:val="none"/>
                <w:lang w:val="en-US" w:eastAsia="zh-CN"/>
              </w:rPr>
              <w:t>炉渣</w:t>
            </w:r>
          </w:p>
        </w:tc>
        <w:tc>
          <w:tcPr>
            <w:tcW w:w="1512" w:type="dxa"/>
            <w:vAlign w:val="center"/>
          </w:tcPr>
          <w:p w14:paraId="708AA9EB">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04" w:type="dxa"/>
            <w:vAlign w:val="center"/>
          </w:tcPr>
          <w:p w14:paraId="1C1C5CF3">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01" w:type="dxa"/>
            <w:vAlign w:val="center"/>
          </w:tcPr>
          <w:p w14:paraId="20B2A16C">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382" w:type="dxa"/>
            <w:vAlign w:val="center"/>
          </w:tcPr>
          <w:p w14:paraId="6B5C374D">
            <w:pPr>
              <w:pStyle w:val="78"/>
              <w:rPr>
                <w:rFonts w:hint="default" w:ascii="Times New Roman" w:hAnsi="Times New Roman" w:cs="Times New Roman"/>
                <w:color w:val="auto"/>
                <w:highlight w:val="none"/>
                <w:lang w:val="en-US" w:eastAsia="zh-CN"/>
              </w:rPr>
            </w:pPr>
            <w:r>
              <w:rPr>
                <w:rFonts w:hint="eastAsia" w:ascii="Times New Roman" w:hAnsi="Times New Roman" w:cs="Times New Roman"/>
                <w:color w:val="auto"/>
                <w:kern w:val="2"/>
                <w:sz w:val="18"/>
                <w:szCs w:val="18"/>
                <w:highlight w:val="none"/>
                <w:lang w:val="en-US" w:eastAsia="zh-CN"/>
              </w:rPr>
              <w:t>320.71</w:t>
            </w:r>
            <w:r>
              <w:rPr>
                <w:rFonts w:hint="default" w:ascii="Times New Roman" w:hAnsi="Times New Roman" w:cs="Times New Roman"/>
                <w:color w:val="auto"/>
                <w:kern w:val="2"/>
                <w:sz w:val="18"/>
                <w:szCs w:val="18"/>
                <w:highlight w:val="none"/>
                <w:lang w:val="en-US" w:eastAsia="zh-CN"/>
              </w:rPr>
              <w:t>t/a</w:t>
            </w:r>
          </w:p>
        </w:tc>
        <w:tc>
          <w:tcPr>
            <w:tcW w:w="1637" w:type="dxa"/>
            <w:vAlign w:val="center"/>
          </w:tcPr>
          <w:p w14:paraId="66A4CB3B">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684" w:type="dxa"/>
            <w:vAlign w:val="center"/>
          </w:tcPr>
          <w:p w14:paraId="22CC7163">
            <w:pPr>
              <w:pStyle w:val="78"/>
              <w:rPr>
                <w:rFonts w:hint="default" w:ascii="Times New Roman" w:hAnsi="Times New Roman" w:cs="Times New Roman"/>
                <w:color w:val="auto"/>
                <w:highlight w:val="none"/>
                <w:lang w:val="en-US" w:eastAsia="zh-CN"/>
              </w:rPr>
            </w:pPr>
            <w:r>
              <w:rPr>
                <w:rFonts w:hint="eastAsia" w:ascii="Times New Roman" w:hAnsi="Times New Roman" w:cs="Times New Roman"/>
                <w:color w:val="auto"/>
                <w:kern w:val="2"/>
                <w:sz w:val="18"/>
                <w:szCs w:val="18"/>
                <w:highlight w:val="none"/>
                <w:lang w:eastAsia="zh-CN"/>
              </w:rPr>
              <w:t>320.71</w:t>
            </w:r>
            <w:r>
              <w:rPr>
                <w:rFonts w:hint="default" w:ascii="Times New Roman" w:hAnsi="Times New Roman" w:cs="Times New Roman"/>
                <w:color w:val="auto"/>
                <w:kern w:val="2"/>
                <w:sz w:val="18"/>
                <w:szCs w:val="18"/>
                <w:highlight w:val="none"/>
                <w:lang w:val="en-US" w:eastAsia="zh-CN"/>
              </w:rPr>
              <w:t>t/a</w:t>
            </w:r>
          </w:p>
        </w:tc>
        <w:tc>
          <w:tcPr>
            <w:tcW w:w="1402" w:type="dxa"/>
            <w:vAlign w:val="center"/>
          </w:tcPr>
          <w:p w14:paraId="4F1A8E97">
            <w:pPr>
              <w:pStyle w:val="78"/>
              <w:rPr>
                <w:rFonts w:hint="default" w:ascii="Times New Roman" w:hAnsi="Times New Roman" w:cs="Times New Roman"/>
                <w:color w:val="auto"/>
                <w:highlight w:val="none"/>
              </w:rPr>
            </w:pPr>
            <w:r>
              <w:rPr>
                <w:rFonts w:hint="eastAsia" w:ascii="Times New Roman" w:hAnsi="Times New Roman" w:cs="Times New Roman"/>
                <w:color w:val="auto"/>
                <w:kern w:val="2"/>
                <w:sz w:val="18"/>
                <w:szCs w:val="18"/>
                <w:highlight w:val="none"/>
                <w:lang w:eastAsia="zh-CN"/>
              </w:rPr>
              <w:t>320.71</w:t>
            </w:r>
            <w:r>
              <w:rPr>
                <w:rFonts w:hint="default" w:ascii="Times New Roman" w:hAnsi="Times New Roman" w:cs="Times New Roman"/>
                <w:color w:val="auto"/>
                <w:kern w:val="2"/>
                <w:sz w:val="18"/>
                <w:szCs w:val="18"/>
                <w:highlight w:val="none"/>
                <w:lang w:val="en-US" w:eastAsia="zh-CN"/>
              </w:rPr>
              <w:t>t/a</w:t>
            </w:r>
          </w:p>
        </w:tc>
      </w:tr>
      <w:tr w14:paraId="5D3B3D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continue"/>
            <w:vAlign w:val="center"/>
          </w:tcPr>
          <w:p w14:paraId="0893ADBF">
            <w:pPr>
              <w:bidi w:val="0"/>
              <w:ind w:left="0" w:leftChars="0" w:right="0" w:rightChars="0" w:firstLine="0" w:firstLineChars="0"/>
              <w:jc w:val="center"/>
              <w:rPr>
                <w:rFonts w:hint="default" w:ascii="Times New Roman" w:hAnsi="Times New Roman" w:cs="Times New Roman"/>
                <w:color w:val="auto"/>
                <w:highlight w:val="none"/>
              </w:rPr>
            </w:pPr>
          </w:p>
        </w:tc>
        <w:tc>
          <w:tcPr>
            <w:tcW w:w="1778" w:type="dxa"/>
            <w:vAlign w:val="center"/>
          </w:tcPr>
          <w:p w14:paraId="5BC73F8C">
            <w:pPr>
              <w:pStyle w:val="78"/>
              <w:rPr>
                <w:rFonts w:hint="default" w:ascii="Times New Roman" w:hAnsi="Times New Roman" w:cs="Times New Roman"/>
                <w:color w:val="auto"/>
                <w:highlight w:val="none"/>
                <w:lang w:eastAsia="zh-CN"/>
              </w:rPr>
            </w:pPr>
            <w:r>
              <w:rPr>
                <w:rFonts w:hint="default" w:ascii="Times New Roman" w:hAnsi="Times New Roman" w:cs="Times New Roman"/>
                <w:color w:val="auto"/>
                <w:sz w:val="18"/>
                <w:szCs w:val="18"/>
                <w:highlight w:val="none"/>
                <w:lang w:val="en-US" w:eastAsia="zh-CN"/>
              </w:rPr>
              <w:t>废离子交换树脂</w:t>
            </w:r>
          </w:p>
        </w:tc>
        <w:tc>
          <w:tcPr>
            <w:tcW w:w="1512" w:type="dxa"/>
            <w:vAlign w:val="center"/>
          </w:tcPr>
          <w:p w14:paraId="0271DEF0">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04" w:type="dxa"/>
            <w:vAlign w:val="center"/>
          </w:tcPr>
          <w:p w14:paraId="3AA438E1">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01" w:type="dxa"/>
            <w:vAlign w:val="center"/>
          </w:tcPr>
          <w:p w14:paraId="649450DD">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382" w:type="dxa"/>
            <w:vAlign w:val="center"/>
          </w:tcPr>
          <w:p w14:paraId="1D8E992A">
            <w:pPr>
              <w:pStyle w:val="78"/>
              <w:jc w:val="center"/>
              <w:rPr>
                <w:rFonts w:hint="default" w:ascii="Times New Roman" w:hAnsi="Times New Roman" w:cs="Times New Roman"/>
                <w:color w:val="auto"/>
                <w:highlight w:val="none"/>
              </w:rPr>
            </w:pPr>
            <w:r>
              <w:rPr>
                <w:rFonts w:hint="default" w:ascii="Times New Roman" w:hAnsi="Times New Roman" w:cs="Times New Roman"/>
                <w:color w:val="auto"/>
                <w:kern w:val="2"/>
                <w:sz w:val="18"/>
                <w:szCs w:val="18"/>
                <w:highlight w:val="none"/>
                <w:lang w:val="en-US" w:eastAsia="zh-CN"/>
              </w:rPr>
              <w:t>1t/a</w:t>
            </w:r>
          </w:p>
        </w:tc>
        <w:tc>
          <w:tcPr>
            <w:tcW w:w="1637" w:type="dxa"/>
            <w:vAlign w:val="center"/>
          </w:tcPr>
          <w:p w14:paraId="016E092A">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684" w:type="dxa"/>
            <w:vAlign w:val="center"/>
          </w:tcPr>
          <w:p w14:paraId="09145DE5">
            <w:pPr>
              <w:pStyle w:val="78"/>
              <w:jc w:val="center"/>
              <w:rPr>
                <w:rFonts w:hint="default" w:ascii="Times New Roman" w:hAnsi="Times New Roman" w:cs="Times New Roman"/>
                <w:color w:val="auto"/>
                <w:highlight w:val="none"/>
              </w:rPr>
            </w:pPr>
            <w:r>
              <w:rPr>
                <w:rFonts w:hint="default" w:ascii="Times New Roman" w:hAnsi="Times New Roman" w:cs="Times New Roman"/>
                <w:color w:val="auto"/>
                <w:kern w:val="2"/>
                <w:sz w:val="18"/>
                <w:szCs w:val="18"/>
                <w:highlight w:val="none"/>
                <w:lang w:val="en-US" w:eastAsia="zh-CN"/>
              </w:rPr>
              <w:t>1t/a</w:t>
            </w:r>
          </w:p>
        </w:tc>
        <w:tc>
          <w:tcPr>
            <w:tcW w:w="1402" w:type="dxa"/>
            <w:vAlign w:val="center"/>
          </w:tcPr>
          <w:p w14:paraId="28A91596">
            <w:pPr>
              <w:pStyle w:val="78"/>
              <w:jc w:val="center"/>
              <w:rPr>
                <w:rFonts w:hint="default" w:ascii="Times New Roman" w:hAnsi="Times New Roman" w:cs="Times New Roman"/>
                <w:color w:val="auto"/>
                <w:highlight w:val="none"/>
              </w:rPr>
            </w:pPr>
            <w:r>
              <w:rPr>
                <w:rFonts w:hint="default" w:ascii="Times New Roman" w:hAnsi="Times New Roman" w:cs="Times New Roman"/>
                <w:color w:val="auto"/>
                <w:kern w:val="2"/>
                <w:sz w:val="18"/>
                <w:szCs w:val="18"/>
                <w:highlight w:val="none"/>
                <w:lang w:val="en-US" w:eastAsia="zh-CN"/>
              </w:rPr>
              <w:t>1t/a</w:t>
            </w:r>
          </w:p>
        </w:tc>
      </w:tr>
      <w:tr w14:paraId="46AAC0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restart"/>
            <w:vAlign w:val="center"/>
          </w:tcPr>
          <w:p w14:paraId="39E92D18">
            <w:pPr>
              <w:bidi w:val="0"/>
              <w:ind w:left="0" w:leftChars="0" w:right="0" w:rightChars="0" w:firstLine="0" w:firstLineChars="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危险废物</w:t>
            </w:r>
          </w:p>
        </w:tc>
        <w:tc>
          <w:tcPr>
            <w:tcW w:w="1778" w:type="dxa"/>
            <w:vAlign w:val="center"/>
          </w:tcPr>
          <w:p w14:paraId="02D2D7C7">
            <w:pPr>
              <w:pStyle w:val="78"/>
              <w:rPr>
                <w:rFonts w:hint="default" w:ascii="Times New Roman" w:hAnsi="Times New Roman" w:cs="Times New Roman"/>
                <w:color w:val="auto"/>
                <w:highlight w:val="none"/>
                <w:lang w:eastAsia="zh-CN"/>
              </w:rPr>
            </w:pPr>
            <w:r>
              <w:rPr>
                <w:rFonts w:hint="default" w:ascii="Times New Roman" w:hAnsi="Times New Roman" w:eastAsia="宋体" w:cs="Times New Roman"/>
                <w:color w:val="auto"/>
                <w:kern w:val="2"/>
                <w:sz w:val="18"/>
                <w:szCs w:val="18"/>
                <w:highlight w:val="none"/>
                <w:lang w:val="en-US" w:eastAsia="zh-CN"/>
              </w:rPr>
              <w:t>废活性炭</w:t>
            </w:r>
          </w:p>
        </w:tc>
        <w:tc>
          <w:tcPr>
            <w:tcW w:w="1512" w:type="dxa"/>
            <w:vAlign w:val="center"/>
          </w:tcPr>
          <w:p w14:paraId="512DDF33">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104" w:type="dxa"/>
            <w:vAlign w:val="center"/>
          </w:tcPr>
          <w:p w14:paraId="023ABF07">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701" w:type="dxa"/>
            <w:vAlign w:val="center"/>
          </w:tcPr>
          <w:p w14:paraId="0DFD22D9">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382" w:type="dxa"/>
            <w:vAlign w:val="center"/>
          </w:tcPr>
          <w:p w14:paraId="6CDBC232">
            <w:pPr>
              <w:pStyle w:val="78"/>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2"/>
                <w:sz w:val="18"/>
                <w:szCs w:val="18"/>
                <w:highlight w:val="none"/>
                <w:lang w:val="en-US" w:eastAsia="zh-CN"/>
              </w:rPr>
              <w:t>1.012t/a</w:t>
            </w:r>
          </w:p>
        </w:tc>
        <w:tc>
          <w:tcPr>
            <w:tcW w:w="1637" w:type="dxa"/>
            <w:vAlign w:val="center"/>
          </w:tcPr>
          <w:p w14:paraId="527014E4">
            <w:pPr>
              <w:bidi w:val="0"/>
              <w:ind w:left="0" w:leftChars="0" w:right="0" w:rightChars="0"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c>
          <w:tcPr>
            <w:tcW w:w="1684" w:type="dxa"/>
            <w:vAlign w:val="center"/>
          </w:tcPr>
          <w:p w14:paraId="1B8657F2">
            <w:pPr>
              <w:pStyle w:val="78"/>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2"/>
                <w:sz w:val="18"/>
                <w:szCs w:val="18"/>
                <w:highlight w:val="none"/>
                <w:lang w:val="en-US" w:eastAsia="zh-CN"/>
              </w:rPr>
              <w:t>1.012t/a</w:t>
            </w:r>
          </w:p>
        </w:tc>
        <w:tc>
          <w:tcPr>
            <w:tcW w:w="1402" w:type="dxa"/>
            <w:vAlign w:val="center"/>
          </w:tcPr>
          <w:p w14:paraId="4CBA557E">
            <w:pPr>
              <w:pStyle w:val="78"/>
              <w:jc w:val="center"/>
              <w:rPr>
                <w:rFonts w:hint="default" w:ascii="Times New Roman" w:hAnsi="Times New Roman" w:cs="Times New Roman"/>
                <w:color w:val="auto"/>
                <w:highlight w:val="none"/>
              </w:rPr>
            </w:pPr>
            <w:r>
              <w:rPr>
                <w:rFonts w:hint="default" w:ascii="Times New Roman" w:hAnsi="Times New Roman" w:cs="Times New Roman"/>
                <w:color w:val="auto"/>
                <w:kern w:val="2"/>
                <w:sz w:val="18"/>
                <w:szCs w:val="18"/>
                <w:highlight w:val="none"/>
                <w:lang w:val="en-US" w:eastAsia="zh-CN"/>
              </w:rPr>
              <w:t>1.012t/a</w:t>
            </w:r>
          </w:p>
        </w:tc>
      </w:tr>
      <w:tr w14:paraId="44D659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continue"/>
            <w:vAlign w:val="center"/>
          </w:tcPr>
          <w:p w14:paraId="540CB3C9">
            <w:pPr>
              <w:bidi w:val="0"/>
              <w:ind w:left="0" w:leftChars="0" w:right="0" w:rightChars="0" w:firstLine="0" w:firstLineChars="0"/>
              <w:jc w:val="center"/>
              <w:rPr>
                <w:rFonts w:hint="default" w:ascii="Times New Roman" w:hAnsi="Times New Roman" w:cs="Times New Roman"/>
                <w:color w:val="auto"/>
                <w:highlight w:val="none"/>
                <w:lang w:eastAsia="zh-CN"/>
              </w:rPr>
            </w:pPr>
          </w:p>
        </w:tc>
        <w:tc>
          <w:tcPr>
            <w:tcW w:w="1778" w:type="dxa"/>
            <w:vAlign w:val="center"/>
          </w:tcPr>
          <w:p w14:paraId="79C769FB">
            <w:pPr>
              <w:pStyle w:val="78"/>
              <w:rPr>
                <w:rFonts w:hint="default" w:ascii="Times New Roman" w:hAnsi="Times New Roman" w:eastAsia="宋体"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防腐剂桶</w:t>
            </w:r>
          </w:p>
        </w:tc>
        <w:tc>
          <w:tcPr>
            <w:tcW w:w="1512" w:type="dxa"/>
            <w:vAlign w:val="center"/>
          </w:tcPr>
          <w:p w14:paraId="07CB5B96">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04" w:type="dxa"/>
            <w:vAlign w:val="center"/>
          </w:tcPr>
          <w:p w14:paraId="63CC1E31">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01" w:type="dxa"/>
            <w:vAlign w:val="center"/>
          </w:tcPr>
          <w:p w14:paraId="2DC4A776">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382" w:type="dxa"/>
            <w:vAlign w:val="center"/>
          </w:tcPr>
          <w:p w14:paraId="23484943">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13.122t/a</w:t>
            </w:r>
          </w:p>
        </w:tc>
        <w:tc>
          <w:tcPr>
            <w:tcW w:w="1637" w:type="dxa"/>
            <w:vAlign w:val="center"/>
          </w:tcPr>
          <w:p w14:paraId="3700CC95">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684" w:type="dxa"/>
            <w:vAlign w:val="center"/>
          </w:tcPr>
          <w:p w14:paraId="0FDC054A">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13.122t/a</w:t>
            </w:r>
          </w:p>
        </w:tc>
        <w:tc>
          <w:tcPr>
            <w:tcW w:w="1402" w:type="dxa"/>
            <w:vAlign w:val="center"/>
          </w:tcPr>
          <w:p w14:paraId="3D6D22D4">
            <w:pPr>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13.122t/a</w:t>
            </w:r>
          </w:p>
        </w:tc>
      </w:tr>
      <w:tr w14:paraId="22E5BD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continue"/>
            <w:vAlign w:val="center"/>
          </w:tcPr>
          <w:p w14:paraId="7459F865">
            <w:pPr>
              <w:bidi w:val="0"/>
              <w:ind w:left="0" w:leftChars="0" w:right="0" w:rightChars="0" w:firstLine="0" w:firstLineChars="0"/>
              <w:jc w:val="center"/>
              <w:rPr>
                <w:rFonts w:hint="default" w:ascii="Times New Roman" w:hAnsi="Times New Roman" w:cs="Times New Roman"/>
                <w:color w:val="auto"/>
                <w:highlight w:val="none"/>
                <w:lang w:eastAsia="zh-CN"/>
              </w:rPr>
            </w:pPr>
          </w:p>
        </w:tc>
        <w:tc>
          <w:tcPr>
            <w:tcW w:w="1778" w:type="dxa"/>
            <w:vAlign w:val="center"/>
          </w:tcPr>
          <w:p w14:paraId="721123D7">
            <w:pPr>
              <w:pStyle w:val="78"/>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浸泡废水</w:t>
            </w:r>
          </w:p>
        </w:tc>
        <w:tc>
          <w:tcPr>
            <w:tcW w:w="1512" w:type="dxa"/>
            <w:vAlign w:val="center"/>
          </w:tcPr>
          <w:p w14:paraId="3EC51170">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1104" w:type="dxa"/>
            <w:vAlign w:val="center"/>
          </w:tcPr>
          <w:p w14:paraId="0BB912EE">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1701" w:type="dxa"/>
            <w:vAlign w:val="center"/>
          </w:tcPr>
          <w:p w14:paraId="1B86894C">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1382" w:type="dxa"/>
            <w:vAlign w:val="center"/>
          </w:tcPr>
          <w:p w14:paraId="6E499CB6">
            <w:pPr>
              <w:pStyle w:val="78"/>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45.927t/a</w:t>
            </w:r>
          </w:p>
        </w:tc>
        <w:tc>
          <w:tcPr>
            <w:tcW w:w="1637" w:type="dxa"/>
            <w:vAlign w:val="center"/>
          </w:tcPr>
          <w:p w14:paraId="11390558">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w:t>
            </w:r>
          </w:p>
        </w:tc>
        <w:tc>
          <w:tcPr>
            <w:tcW w:w="1684" w:type="dxa"/>
            <w:vAlign w:val="center"/>
          </w:tcPr>
          <w:p w14:paraId="360BB74D">
            <w:pPr>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45.927t/a</w:t>
            </w:r>
          </w:p>
        </w:tc>
        <w:tc>
          <w:tcPr>
            <w:tcW w:w="1402" w:type="dxa"/>
            <w:vAlign w:val="center"/>
          </w:tcPr>
          <w:p w14:paraId="502F4637">
            <w:pPr>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45.927t/a</w:t>
            </w:r>
          </w:p>
        </w:tc>
      </w:tr>
      <w:tr w14:paraId="26AEBB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continue"/>
            <w:vAlign w:val="center"/>
          </w:tcPr>
          <w:p w14:paraId="3A39B0BC">
            <w:pPr>
              <w:bidi w:val="0"/>
              <w:ind w:left="0" w:leftChars="0" w:right="0" w:rightChars="0" w:firstLine="0" w:firstLineChars="0"/>
              <w:jc w:val="center"/>
              <w:rPr>
                <w:rFonts w:hint="default" w:ascii="Times New Roman" w:hAnsi="Times New Roman" w:cs="Times New Roman"/>
                <w:color w:val="auto"/>
                <w:highlight w:val="none"/>
                <w:lang w:eastAsia="zh-CN"/>
              </w:rPr>
            </w:pPr>
          </w:p>
        </w:tc>
        <w:tc>
          <w:tcPr>
            <w:tcW w:w="1778" w:type="dxa"/>
            <w:vAlign w:val="center"/>
          </w:tcPr>
          <w:p w14:paraId="03E7485A">
            <w:pPr>
              <w:pStyle w:val="78"/>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脱模剂桶</w:t>
            </w:r>
          </w:p>
        </w:tc>
        <w:tc>
          <w:tcPr>
            <w:tcW w:w="1512" w:type="dxa"/>
            <w:vAlign w:val="center"/>
          </w:tcPr>
          <w:p w14:paraId="2E924FFE">
            <w:pPr>
              <w:bidi w:val="0"/>
              <w:ind w:left="0" w:leftChars="0" w:right="0" w:rightChars="0" w:firstLine="0" w:firstLineChars="0"/>
              <w:jc w:val="center"/>
              <w:rPr>
                <w:rFonts w:hint="eastAsia" w:cs="Times New Roman"/>
                <w:color w:val="auto"/>
                <w:highlight w:val="none"/>
                <w:lang w:val="en-US" w:eastAsia="zh-CN"/>
              </w:rPr>
            </w:pPr>
            <w:r>
              <w:rPr>
                <w:rFonts w:hint="eastAsia" w:cs="Times New Roman"/>
                <w:color w:val="auto"/>
                <w:highlight w:val="none"/>
                <w:lang w:val="en-US" w:eastAsia="zh-CN"/>
              </w:rPr>
              <w:t>/</w:t>
            </w:r>
          </w:p>
        </w:tc>
        <w:tc>
          <w:tcPr>
            <w:tcW w:w="1104" w:type="dxa"/>
            <w:vAlign w:val="center"/>
          </w:tcPr>
          <w:p w14:paraId="03FF3E47">
            <w:pPr>
              <w:bidi w:val="0"/>
              <w:ind w:left="0" w:leftChars="0" w:right="0" w:rightChars="0" w:firstLine="0" w:firstLineChars="0"/>
              <w:jc w:val="center"/>
              <w:rPr>
                <w:rFonts w:hint="eastAsia" w:cs="Times New Roman"/>
                <w:color w:val="auto"/>
                <w:highlight w:val="none"/>
                <w:lang w:val="en-US" w:eastAsia="zh-CN"/>
              </w:rPr>
            </w:pPr>
            <w:r>
              <w:rPr>
                <w:rFonts w:hint="eastAsia" w:cs="Times New Roman"/>
                <w:color w:val="auto"/>
                <w:highlight w:val="none"/>
                <w:lang w:val="en-US" w:eastAsia="zh-CN"/>
              </w:rPr>
              <w:t>/</w:t>
            </w:r>
          </w:p>
        </w:tc>
        <w:tc>
          <w:tcPr>
            <w:tcW w:w="1701" w:type="dxa"/>
            <w:vAlign w:val="center"/>
          </w:tcPr>
          <w:p w14:paraId="20C6357D">
            <w:pPr>
              <w:bidi w:val="0"/>
              <w:ind w:left="0" w:leftChars="0" w:right="0" w:rightChars="0" w:firstLine="0" w:firstLineChars="0"/>
              <w:jc w:val="center"/>
              <w:rPr>
                <w:rFonts w:hint="eastAsia" w:cs="Times New Roman"/>
                <w:color w:val="auto"/>
                <w:highlight w:val="none"/>
                <w:lang w:val="en-US" w:eastAsia="zh-CN"/>
              </w:rPr>
            </w:pPr>
            <w:r>
              <w:rPr>
                <w:rFonts w:hint="eastAsia" w:cs="Times New Roman"/>
                <w:color w:val="auto"/>
                <w:highlight w:val="none"/>
                <w:lang w:val="en-US" w:eastAsia="zh-CN"/>
              </w:rPr>
              <w:t>/</w:t>
            </w:r>
          </w:p>
        </w:tc>
        <w:tc>
          <w:tcPr>
            <w:tcW w:w="1382" w:type="dxa"/>
            <w:vAlign w:val="center"/>
          </w:tcPr>
          <w:p w14:paraId="08C62815">
            <w:pPr>
              <w:pStyle w:val="78"/>
              <w:jc w:val="center"/>
              <w:rPr>
                <w:rFonts w:hint="default"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0.45t/a</w:t>
            </w:r>
          </w:p>
        </w:tc>
        <w:tc>
          <w:tcPr>
            <w:tcW w:w="1637" w:type="dxa"/>
            <w:vAlign w:val="center"/>
          </w:tcPr>
          <w:p w14:paraId="7C88A806">
            <w:pPr>
              <w:bidi w:val="0"/>
              <w:ind w:left="0" w:leftChars="0" w:right="0" w:rightChars="0" w:firstLine="0" w:firstLineChars="0"/>
              <w:jc w:val="center"/>
              <w:rPr>
                <w:rFonts w:hint="eastAsia" w:cs="Times New Roman"/>
                <w:color w:val="auto"/>
                <w:highlight w:val="none"/>
                <w:lang w:val="en-US" w:eastAsia="zh-CN"/>
              </w:rPr>
            </w:pPr>
            <w:r>
              <w:rPr>
                <w:rFonts w:hint="eastAsia" w:cs="Times New Roman"/>
                <w:color w:val="auto"/>
                <w:highlight w:val="none"/>
                <w:lang w:val="en-US" w:eastAsia="zh-CN"/>
              </w:rPr>
              <w:t>/</w:t>
            </w:r>
          </w:p>
        </w:tc>
        <w:tc>
          <w:tcPr>
            <w:tcW w:w="1684" w:type="dxa"/>
            <w:vAlign w:val="center"/>
          </w:tcPr>
          <w:p w14:paraId="2BF9ED2A">
            <w:pPr>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0.45t/a</w:t>
            </w:r>
          </w:p>
        </w:tc>
        <w:tc>
          <w:tcPr>
            <w:tcW w:w="1402" w:type="dxa"/>
            <w:vAlign w:val="center"/>
          </w:tcPr>
          <w:p w14:paraId="5B6877B9">
            <w:pPr>
              <w:jc w:val="center"/>
              <w:rPr>
                <w:rFonts w:hint="eastAsia" w:ascii="Times New Roman" w:hAnsi="Times New Roman" w:cs="Times New Roman"/>
                <w:color w:val="auto"/>
                <w:kern w:val="2"/>
                <w:sz w:val="18"/>
                <w:szCs w:val="18"/>
                <w:highlight w:val="none"/>
                <w:lang w:val="en-US" w:eastAsia="zh-CN"/>
              </w:rPr>
            </w:pPr>
            <w:r>
              <w:rPr>
                <w:rFonts w:hint="eastAsia" w:ascii="Times New Roman" w:hAnsi="Times New Roman" w:cs="Times New Roman"/>
                <w:color w:val="auto"/>
                <w:kern w:val="2"/>
                <w:sz w:val="18"/>
                <w:szCs w:val="18"/>
                <w:highlight w:val="none"/>
                <w:lang w:val="en-US" w:eastAsia="zh-CN"/>
              </w:rPr>
              <w:t>0.45t/a</w:t>
            </w:r>
          </w:p>
        </w:tc>
      </w:tr>
      <w:tr w14:paraId="331D10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588" w:type="dxa"/>
            <w:vMerge w:val="continue"/>
            <w:vAlign w:val="center"/>
          </w:tcPr>
          <w:p w14:paraId="55ADD910">
            <w:pPr>
              <w:bidi w:val="0"/>
              <w:ind w:left="0" w:leftChars="0" w:right="0" w:rightChars="0" w:firstLine="0" w:firstLineChars="0"/>
              <w:jc w:val="center"/>
              <w:rPr>
                <w:rFonts w:hint="default" w:ascii="Times New Roman" w:hAnsi="Times New Roman" w:cs="Times New Roman"/>
                <w:color w:val="auto"/>
                <w:highlight w:val="none"/>
                <w:lang w:eastAsia="zh-CN"/>
              </w:rPr>
            </w:pPr>
          </w:p>
        </w:tc>
        <w:tc>
          <w:tcPr>
            <w:tcW w:w="1778" w:type="dxa"/>
            <w:vAlign w:val="center"/>
          </w:tcPr>
          <w:p w14:paraId="5E081739">
            <w:pPr>
              <w:pStyle w:val="78"/>
              <w:rPr>
                <w:rFonts w:hint="default" w:ascii="Times New Roman" w:hAnsi="Times New Roman" w:cs="Times New Roman"/>
                <w:color w:val="auto"/>
                <w:highlight w:val="none"/>
                <w:lang w:eastAsia="zh-CN"/>
              </w:rPr>
            </w:pPr>
            <w:r>
              <w:rPr>
                <w:rFonts w:hint="default" w:ascii="Times New Roman" w:hAnsi="Times New Roman" w:eastAsia="宋体" w:cs="Times New Roman"/>
                <w:color w:val="auto"/>
                <w:kern w:val="2"/>
                <w:sz w:val="18"/>
                <w:szCs w:val="18"/>
                <w:highlight w:val="none"/>
                <w:lang w:val="en-US" w:eastAsia="zh-CN"/>
              </w:rPr>
              <w:t>废矿物油</w:t>
            </w:r>
            <w:r>
              <w:rPr>
                <w:rFonts w:hint="eastAsia" w:ascii="Times New Roman" w:hAnsi="Times New Roman" w:cs="Times New Roman"/>
                <w:color w:val="auto"/>
                <w:kern w:val="2"/>
                <w:sz w:val="18"/>
                <w:szCs w:val="18"/>
                <w:highlight w:val="none"/>
                <w:lang w:val="en-US" w:eastAsia="zh-CN"/>
              </w:rPr>
              <w:t>、废油桶</w:t>
            </w:r>
          </w:p>
        </w:tc>
        <w:tc>
          <w:tcPr>
            <w:tcW w:w="1512" w:type="dxa"/>
            <w:vAlign w:val="center"/>
          </w:tcPr>
          <w:p w14:paraId="045CE5B9">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104" w:type="dxa"/>
            <w:vAlign w:val="center"/>
          </w:tcPr>
          <w:p w14:paraId="43CF9DA7">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701" w:type="dxa"/>
            <w:vAlign w:val="center"/>
          </w:tcPr>
          <w:p w14:paraId="425A939D">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382" w:type="dxa"/>
            <w:vAlign w:val="center"/>
          </w:tcPr>
          <w:p w14:paraId="6C6636A9">
            <w:pPr>
              <w:pStyle w:val="78"/>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
                <w:sz w:val="18"/>
                <w:szCs w:val="18"/>
                <w:highlight w:val="none"/>
                <w:lang w:val="en-US" w:eastAsia="zh-CN"/>
              </w:rPr>
              <w:t>0.0</w:t>
            </w:r>
            <w:r>
              <w:rPr>
                <w:rFonts w:hint="eastAsia" w:ascii="Times New Roman" w:hAnsi="Times New Roman" w:cs="Times New Roman"/>
                <w:color w:val="auto"/>
                <w:kern w:val="2"/>
                <w:sz w:val="18"/>
                <w:szCs w:val="18"/>
                <w:highlight w:val="none"/>
                <w:lang w:val="en-US" w:eastAsia="zh-CN"/>
              </w:rPr>
              <w:t>6</w:t>
            </w:r>
            <w:r>
              <w:rPr>
                <w:rFonts w:hint="default" w:ascii="Times New Roman" w:hAnsi="Times New Roman" w:eastAsia="宋体" w:cs="Times New Roman"/>
                <w:color w:val="auto"/>
                <w:kern w:val="2"/>
                <w:sz w:val="18"/>
                <w:szCs w:val="18"/>
                <w:highlight w:val="none"/>
                <w:lang w:val="en-US" w:eastAsia="zh-CN"/>
              </w:rPr>
              <w:t>t/a</w:t>
            </w:r>
          </w:p>
        </w:tc>
        <w:tc>
          <w:tcPr>
            <w:tcW w:w="1637" w:type="dxa"/>
            <w:vAlign w:val="center"/>
          </w:tcPr>
          <w:p w14:paraId="56508BEB">
            <w:pPr>
              <w:bidi w:val="0"/>
              <w:ind w:left="0" w:leftChars="0" w:right="0" w:righ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684" w:type="dxa"/>
            <w:vAlign w:val="center"/>
          </w:tcPr>
          <w:p w14:paraId="20E7E8B7">
            <w:pPr>
              <w:pStyle w:val="78"/>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
                <w:sz w:val="18"/>
                <w:szCs w:val="18"/>
                <w:highlight w:val="none"/>
                <w:lang w:val="en-US" w:eastAsia="zh-CN"/>
              </w:rPr>
              <w:t>0.0</w:t>
            </w:r>
            <w:r>
              <w:rPr>
                <w:rFonts w:hint="eastAsia" w:ascii="Times New Roman" w:hAnsi="Times New Roman" w:cs="Times New Roman"/>
                <w:color w:val="auto"/>
                <w:kern w:val="2"/>
                <w:sz w:val="18"/>
                <w:szCs w:val="18"/>
                <w:highlight w:val="none"/>
                <w:lang w:val="en-US" w:eastAsia="zh-CN"/>
              </w:rPr>
              <w:t>6</w:t>
            </w:r>
            <w:r>
              <w:rPr>
                <w:rFonts w:hint="default" w:ascii="Times New Roman" w:hAnsi="Times New Roman" w:eastAsia="宋体" w:cs="Times New Roman"/>
                <w:color w:val="auto"/>
                <w:kern w:val="2"/>
                <w:sz w:val="18"/>
                <w:szCs w:val="18"/>
                <w:highlight w:val="none"/>
                <w:lang w:val="en-US" w:eastAsia="zh-CN"/>
              </w:rPr>
              <w:t>t/a</w:t>
            </w:r>
          </w:p>
        </w:tc>
        <w:tc>
          <w:tcPr>
            <w:tcW w:w="1402" w:type="dxa"/>
            <w:vAlign w:val="center"/>
          </w:tcPr>
          <w:p w14:paraId="0739509B">
            <w:pPr>
              <w:pStyle w:val="78"/>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
                <w:sz w:val="18"/>
                <w:szCs w:val="18"/>
                <w:highlight w:val="none"/>
                <w:lang w:val="en-US" w:eastAsia="zh-CN"/>
              </w:rPr>
              <w:t>0.0</w:t>
            </w:r>
            <w:r>
              <w:rPr>
                <w:rFonts w:hint="eastAsia" w:ascii="Times New Roman" w:hAnsi="Times New Roman" w:cs="Times New Roman"/>
                <w:color w:val="auto"/>
                <w:kern w:val="2"/>
                <w:sz w:val="18"/>
                <w:szCs w:val="18"/>
                <w:highlight w:val="none"/>
                <w:lang w:val="en-US" w:eastAsia="zh-CN"/>
              </w:rPr>
              <w:t>6</w:t>
            </w:r>
            <w:r>
              <w:rPr>
                <w:rFonts w:hint="default" w:ascii="Times New Roman" w:hAnsi="Times New Roman" w:eastAsia="宋体" w:cs="Times New Roman"/>
                <w:color w:val="auto"/>
                <w:kern w:val="2"/>
                <w:sz w:val="18"/>
                <w:szCs w:val="18"/>
                <w:highlight w:val="none"/>
                <w:lang w:val="en-US" w:eastAsia="zh-CN"/>
              </w:rPr>
              <w:t>t/a</w:t>
            </w:r>
          </w:p>
        </w:tc>
      </w:tr>
    </w:tbl>
    <w:p w14:paraId="0245B22A">
      <w:pPr>
        <w:rPr>
          <w:rFonts w:hint="default" w:ascii="Times New Roman" w:hAnsi="Times New Roman" w:cs="Times New Roman"/>
          <w:snapToGrid w:val="0"/>
          <w:color w:val="auto"/>
          <w:spacing w:val="-6"/>
          <w:kern w:val="21"/>
          <w:szCs w:val="21"/>
          <w:highlight w:val="none"/>
        </w:rPr>
        <w:sectPr>
          <w:footerReference r:id="rId5"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snapToGrid w:val="0"/>
          <w:color w:val="auto"/>
          <w:kern w:val="21"/>
          <w:szCs w:val="21"/>
          <w:highlight w:val="none"/>
        </w:rPr>
        <w:t>注：</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3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③</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4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④</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5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⑤</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7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⑦</w:t>
      </w:r>
      <w:r>
        <w:rPr>
          <w:rFonts w:hint="default" w:ascii="Times New Roman" w:hAnsi="Times New Roman" w:cs="Times New Roman"/>
          <w:snapToGrid w:val="0"/>
          <w:color w:val="auto"/>
          <w:spacing w:val="-6"/>
          <w:kern w:val="21"/>
          <w:szCs w:val="21"/>
          <w:highlight w:val="none"/>
        </w:rPr>
        <w:fldChar w:fldCharType="end"/>
      </w:r>
      <w:r>
        <w:rPr>
          <w:rFonts w:hint="default" w:ascii="Times New Roman" w:hAnsi="Times New Roman" w:cs="Times New Roman"/>
          <w:snapToGrid w:val="0"/>
          <w:color w:val="auto"/>
          <w:spacing w:val="-6"/>
          <w:kern w:val="21"/>
          <w:szCs w:val="21"/>
          <w:highlight w:val="none"/>
        </w:rPr>
        <w:t>=</w:t>
      </w:r>
      <w:r>
        <w:rPr>
          <w:rFonts w:hint="default" w:ascii="Times New Roman" w:hAnsi="Times New Roman" w:cs="Times New Roman"/>
          <w:snapToGrid w:val="0"/>
          <w:color w:val="auto"/>
          <w:spacing w:val="-16"/>
          <w:kern w:val="21"/>
          <w:szCs w:val="21"/>
          <w:highlight w:val="none"/>
        </w:rPr>
        <w:fldChar w:fldCharType="begin"/>
      </w:r>
      <w:r>
        <w:rPr>
          <w:rFonts w:hint="default" w:ascii="Times New Roman" w:hAnsi="Times New Roman" w:cs="Times New Roman"/>
          <w:snapToGrid w:val="0"/>
          <w:color w:val="auto"/>
          <w:spacing w:val="-16"/>
          <w:kern w:val="21"/>
          <w:szCs w:val="21"/>
          <w:highlight w:val="none"/>
        </w:rPr>
        <w:instrText xml:space="preserve"> = 6 \* GB3 \* MERGEFORMAT </w:instrText>
      </w:r>
      <w:r>
        <w:rPr>
          <w:rFonts w:hint="default" w:ascii="Times New Roman" w:hAnsi="Times New Roman" w:cs="Times New Roman"/>
          <w:snapToGrid w:val="0"/>
          <w:color w:val="auto"/>
          <w:spacing w:val="-16"/>
          <w:kern w:val="21"/>
          <w:szCs w:val="21"/>
          <w:highlight w:val="none"/>
        </w:rPr>
        <w:fldChar w:fldCharType="separate"/>
      </w:r>
      <w:r>
        <w:rPr>
          <w:rFonts w:hint="default" w:ascii="Times New Roman" w:hAnsi="Times New Roman" w:cs="Times New Roman"/>
          <w:color w:val="auto"/>
          <w:szCs w:val="21"/>
          <w:highlight w:val="none"/>
        </w:rPr>
        <w:t>⑥</w:t>
      </w:r>
      <w:r>
        <w:rPr>
          <w:rFonts w:hint="default" w:ascii="Times New Roman" w:hAnsi="Times New Roman" w:cs="Times New Roman"/>
          <w:snapToGrid w:val="0"/>
          <w:color w:val="auto"/>
          <w:spacing w:val="-16"/>
          <w:kern w:val="21"/>
          <w:szCs w:val="21"/>
          <w:highlight w:val="none"/>
        </w:rPr>
        <w:fldChar w:fldCharType="end"/>
      </w:r>
      <w:r>
        <w:rPr>
          <w:rFonts w:hint="default" w:ascii="Times New Roman" w:hAnsi="Times New Roman" w:cs="Times New Roman"/>
          <w:snapToGrid w:val="0"/>
          <w:color w:val="auto"/>
          <w:spacing w:val="-16"/>
          <w:kern w:val="21"/>
          <w:szCs w:val="21"/>
          <w:highlight w:val="none"/>
        </w:rPr>
        <w:t>-</w:t>
      </w:r>
      <w:r>
        <w:rPr>
          <w:rFonts w:hint="default" w:ascii="Times New Roman" w:hAnsi="Times New Roman" w:cs="Times New Roman"/>
          <w:snapToGrid w:val="0"/>
          <w:color w:val="auto"/>
          <w:spacing w:val="-6"/>
          <w:kern w:val="21"/>
          <w:szCs w:val="21"/>
          <w:highlight w:val="none"/>
        </w:rPr>
        <w:fldChar w:fldCharType="begin"/>
      </w:r>
      <w:r>
        <w:rPr>
          <w:rFonts w:hint="default" w:ascii="Times New Roman" w:hAnsi="Times New Roman" w:cs="Times New Roman"/>
          <w:snapToGrid w:val="0"/>
          <w:color w:val="auto"/>
          <w:spacing w:val="-6"/>
          <w:kern w:val="21"/>
          <w:szCs w:val="21"/>
          <w:highlight w:val="none"/>
        </w:rPr>
        <w:instrText xml:space="preserve"> = 1 \* GB3 \* MERGEFORMAT </w:instrText>
      </w:r>
      <w:r>
        <w:rPr>
          <w:rFonts w:hint="default" w:ascii="Times New Roman" w:hAnsi="Times New Roman" w:cs="Times New Roman"/>
          <w:snapToGrid w:val="0"/>
          <w:color w:val="auto"/>
          <w:spacing w:val="-6"/>
          <w:kern w:val="21"/>
          <w:szCs w:val="21"/>
          <w:highlight w:val="none"/>
        </w:rPr>
        <w:fldChar w:fldCharType="separate"/>
      </w:r>
      <w:r>
        <w:rPr>
          <w:rFonts w:hint="default" w:ascii="Times New Roman" w:hAnsi="Times New Roman" w:cs="Times New Roman"/>
          <w:color w:val="auto"/>
          <w:szCs w:val="21"/>
          <w:highlight w:val="none"/>
        </w:rPr>
        <w:t>①</w:t>
      </w:r>
      <w:r>
        <w:rPr>
          <w:rFonts w:hint="default" w:ascii="Times New Roman" w:hAnsi="Times New Roman" w:cs="Times New Roman"/>
          <w:snapToGrid w:val="0"/>
          <w:color w:val="auto"/>
          <w:spacing w:val="-6"/>
          <w:kern w:val="21"/>
          <w:szCs w:val="21"/>
          <w:highlight w:val="none"/>
        </w:rPr>
        <w:fldChar w:fldCharType="end"/>
      </w:r>
    </w:p>
    <w:p w14:paraId="74ED5D3C">
      <w:pPr>
        <w:pStyle w:val="3"/>
        <w:bidi w:val="0"/>
        <w:rPr>
          <w:rFonts w:hint="default" w:ascii="Times New Roman" w:hAnsi="Times New Roman" w:eastAsia="宋体" w:cs="Times New Roman"/>
          <w:b/>
          <w:bCs/>
          <w:color w:val="auto"/>
          <w:sz w:val="24"/>
          <w:szCs w:val="24"/>
          <w:highlight w:val="none"/>
        </w:rPr>
      </w:pPr>
      <w:bookmarkStart w:id="15" w:name="_Toc4617"/>
      <w:r>
        <w:rPr>
          <w:rFonts w:hint="default" w:ascii="Times New Roman" w:hAnsi="Times New Roman" w:eastAsia="宋体" w:cs="Times New Roman"/>
          <w:b/>
          <w:bCs/>
          <w:color w:val="auto"/>
          <w:sz w:val="24"/>
          <w:szCs w:val="24"/>
          <w:highlight w:val="none"/>
          <w:lang w:eastAsia="zh-CN"/>
        </w:rPr>
        <w:t>附</w:t>
      </w:r>
      <w:r>
        <w:rPr>
          <w:rFonts w:hint="default" w:ascii="Times New Roman" w:hAnsi="Times New Roman" w:eastAsia="宋体" w:cs="Times New Roman"/>
          <w:b/>
          <w:bCs/>
          <w:color w:val="auto"/>
          <w:sz w:val="24"/>
          <w:szCs w:val="24"/>
          <w:highlight w:val="none"/>
        </w:rPr>
        <w:t>图1项目地理位置图</w:t>
      </w:r>
      <w:bookmarkEnd w:id="15"/>
    </w:p>
    <w:p w14:paraId="756C2836">
      <w:pPr>
        <w:bidi w:val="0"/>
        <w:ind w:left="0" w:leftChars="0" w:right="0" w:rightChars="0" w:firstLine="0" w:firstLineChars="0"/>
        <w:jc w:val="center"/>
        <w:rPr>
          <w:rFonts w:hint="default" w:ascii="Times New Roman" w:hAnsi="Times New Roman" w:cs="Times New Roman"/>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color w:val="auto"/>
          <w:sz w:val="21"/>
          <w:highlight w:val="none"/>
        </w:rPr>
        <mc:AlternateContent>
          <mc:Choice Requires="wps">
            <w:drawing>
              <wp:anchor distT="0" distB="0" distL="114300" distR="114300" simplePos="0" relativeHeight="251663360" behindDoc="0" locked="0" layoutInCell="1" allowOverlap="1">
                <wp:simplePos x="0" y="0"/>
                <wp:positionH relativeFrom="column">
                  <wp:posOffset>6389370</wp:posOffset>
                </wp:positionH>
                <wp:positionV relativeFrom="paragraph">
                  <wp:posOffset>2232660</wp:posOffset>
                </wp:positionV>
                <wp:extent cx="127000" cy="134620"/>
                <wp:effectExtent l="17780" t="22860" r="26670" b="33020"/>
                <wp:wrapNone/>
                <wp:docPr id="12" name="五角星 12"/>
                <wp:cNvGraphicFramePr/>
                <a:graphic xmlns:a="http://schemas.openxmlformats.org/drawingml/2006/main">
                  <a:graphicData uri="http://schemas.microsoft.com/office/word/2010/wordprocessingShape">
                    <wps:wsp>
                      <wps:cNvSpPr/>
                      <wps:spPr>
                        <a:xfrm>
                          <a:off x="7303770" y="3819525"/>
                          <a:ext cx="127000" cy="134620"/>
                        </a:xfrm>
                        <a:prstGeom prst="star5">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03.1pt;margin-top:175.8pt;height:10.6pt;width:10pt;z-index:251663360;v-text-anchor:middle;mso-width-relative:page;mso-height-relative:page;" fillcolor="#5B9BD5 [3204]" filled="t" stroked="t" coordsize="127000,134620" o:gfxdata="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CYk6fnaAAAADQEAAA8AAAAAAAAAAQAgAAAAIgAAAGRycy9kb3ducmV2LnhtbFBLAQIUABQA&#10;AAAIAIdO4kDklpTnmQIAACcFAAAOAAAAAAAAAAEAIAAAACkBAABkcnMvZTJvRG9jLnhtbFBLBQYA&#10;AAAABgAGAFkBAAA0BgAAAAA=&#10;" path="m0,51420l48509,51420,63500,0,78490,51420,126999,51420,87754,83199,102745,134619,63500,102839,24254,134619,39245,83199xe">
                <v:path o:connectlocs="63500,0;0,51420;24254,134619;102745,134619;126999,51420" o:connectangles="247,164,82,82,0"/>
                <v:fill on="t" focussize="0,0"/>
                <v:stroke weight="1pt" color="#2E75B6 [2404]" miterlimit="8" joinstyle="miter"/>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2336" behindDoc="0" locked="0" layoutInCell="1" allowOverlap="1">
                <wp:simplePos x="0" y="0"/>
                <wp:positionH relativeFrom="column">
                  <wp:posOffset>6508115</wp:posOffset>
                </wp:positionH>
                <wp:positionV relativeFrom="paragraph">
                  <wp:posOffset>1549400</wp:posOffset>
                </wp:positionV>
                <wp:extent cx="952500" cy="492125"/>
                <wp:effectExtent l="92075" t="6350" r="22225" b="282575"/>
                <wp:wrapNone/>
                <wp:docPr id="11" name="矩形标注 11"/>
                <wp:cNvGraphicFramePr/>
                <a:graphic xmlns:a="http://schemas.openxmlformats.org/drawingml/2006/main">
                  <a:graphicData uri="http://schemas.microsoft.com/office/word/2010/wordprocessingShape">
                    <wps:wsp>
                      <wps:cNvSpPr/>
                      <wps:spPr>
                        <a:xfrm>
                          <a:off x="6660515" y="2874645"/>
                          <a:ext cx="952500" cy="492125"/>
                        </a:xfrm>
                        <a:prstGeom prst="wedgeRectCallout">
                          <a:avLst>
                            <a:gd name="adj1" fmla="val -56666"/>
                            <a:gd name="adj2" fmla="val 101225"/>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403B169">
                            <w:pPr>
                              <w:jc w:val="center"/>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12.45pt;margin-top:122pt;height:38.75pt;width:75pt;z-index:251662336;v-text-anchor:middle;mso-width-relative:page;mso-height-relative:page;" fillcolor="#5B9BD5 [3204]" filled="t" stroked="t" coordsize="21600,21600" o:gfxdata="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CrdcG92gAAAA0BAAAPAAAAAAAAAAEAIAAAACIAAABkcnMvZG93bnJldi54bWxQSwECFAAUAAAA&#10;CACHTuJAlopMTtACAACTBQAADgAAAAAAAAABACAAAAApAQAAZHJzL2Uyb0RvYy54bWxQSwUGAAAA&#10;AAYABgBZAQAAawYAAAAA&#10;" adj="-1440,32665">
                <v:fill on="t" focussize="0,0"/>
                <v:stroke weight="1pt" color="#2E75B6 [2404]" miterlimit="8" joinstyle="miter"/>
                <v:imagedata o:title=""/>
                <o:lock v:ext="edit" aspectratio="f"/>
                <v:textbox>
                  <w:txbxContent>
                    <w:p w14:paraId="3403B169">
                      <w:pPr>
                        <w:jc w:val="center"/>
                        <w:rPr>
                          <w:rFonts w:hint="default"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661312" behindDoc="0" locked="0" layoutInCell="1" allowOverlap="1">
            <wp:simplePos x="0" y="0"/>
            <wp:positionH relativeFrom="column">
              <wp:posOffset>7135495</wp:posOffset>
            </wp:positionH>
            <wp:positionV relativeFrom="paragraph">
              <wp:posOffset>40005</wp:posOffset>
            </wp:positionV>
            <wp:extent cx="1276350" cy="1209675"/>
            <wp:effectExtent l="0" t="0" r="0" b="9525"/>
            <wp:wrapNone/>
            <wp:docPr id="1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4"/>
                    <pic:cNvPicPr>
                      <a:picLocks noChangeAspect="1"/>
                    </pic:cNvPicPr>
                  </pic:nvPicPr>
                  <pic:blipFill>
                    <a:blip r:embed="rId30"/>
                    <a:stretch>
                      <a:fillRect/>
                    </a:stretch>
                  </pic:blipFill>
                  <pic:spPr>
                    <a:xfrm>
                      <a:off x="0" y="0"/>
                      <a:ext cx="1276350" cy="1209675"/>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7985760" cy="4273550"/>
            <wp:effectExtent l="0" t="0" r="15240" b="12700"/>
            <wp:docPr id="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3"/>
                    <pic:cNvPicPr>
                      <a:picLocks noChangeAspect="1"/>
                    </pic:cNvPicPr>
                  </pic:nvPicPr>
                  <pic:blipFill>
                    <a:blip r:embed="rId31"/>
                    <a:stretch>
                      <a:fillRect/>
                    </a:stretch>
                  </pic:blipFill>
                  <pic:spPr>
                    <a:xfrm>
                      <a:off x="0" y="0"/>
                      <a:ext cx="7985760" cy="4273550"/>
                    </a:xfrm>
                    <a:prstGeom prst="rect">
                      <a:avLst/>
                    </a:prstGeom>
                    <a:noFill/>
                    <a:ln>
                      <a:noFill/>
                    </a:ln>
                  </pic:spPr>
                </pic:pic>
              </a:graphicData>
            </a:graphic>
          </wp:inline>
        </w:drawing>
      </w:r>
    </w:p>
    <w:p w14:paraId="5CB38E48">
      <w:pPr>
        <w:bidi w:val="0"/>
        <w:ind w:left="0" w:leftChars="0" w:right="0" w:rightChars="0" w:firstLine="0" w:firstLineChars="0"/>
        <w:jc w:val="center"/>
        <w:rPr>
          <w:rFonts w:hint="default" w:ascii="Times New Roman" w:hAnsi="Times New Roman" w:cs="Times New Roman"/>
          <w:color w:val="auto"/>
          <w:highlight w:val="none"/>
        </w:rPr>
      </w:pPr>
    </w:p>
    <w:p w14:paraId="7BB518A9">
      <w:pPr>
        <w:pStyle w:val="3"/>
        <w:bidi w:val="0"/>
        <w:rPr>
          <w:rFonts w:hint="default" w:ascii="Times New Roman" w:hAnsi="Times New Roman" w:eastAsia="宋体" w:cs="Times New Roman"/>
          <w:b/>
          <w:bCs/>
          <w:color w:val="auto"/>
          <w:sz w:val="24"/>
          <w:szCs w:val="24"/>
          <w:highlight w:val="none"/>
        </w:rPr>
      </w:pPr>
      <w:bookmarkStart w:id="16" w:name="_Toc24334"/>
      <w:r>
        <w:rPr>
          <w:rFonts w:hint="default" w:ascii="Times New Roman" w:hAnsi="Times New Roman" w:eastAsia="宋体" w:cs="Times New Roman"/>
          <w:b/>
          <w:bCs/>
          <w:color w:val="auto"/>
          <w:sz w:val="24"/>
          <w:szCs w:val="24"/>
          <w:highlight w:val="none"/>
        </w:rPr>
        <w:t>附图</w:t>
      </w:r>
      <w:r>
        <w:rPr>
          <w:rFonts w:hint="default" w:ascii="Times New Roman" w:hAnsi="Times New Roman"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rPr>
        <w:t>本项目周边情况照片</w:t>
      </w:r>
      <w:bookmarkEnd w:id="16"/>
    </w:p>
    <w:tbl>
      <w:tblPr>
        <w:tblStyle w:val="33"/>
        <w:tblpPr w:leftFromText="180" w:rightFromText="180" w:vertAnchor="text" w:horzAnchor="page" w:tblpX="1783" w:tblpY="48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87"/>
        <w:gridCol w:w="4135"/>
      </w:tblGrid>
      <w:tr w14:paraId="20AEB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7" w:type="dxa"/>
          </w:tcPr>
          <w:p w14:paraId="22DE7C66">
            <w:pPr>
              <w:pStyle w:val="63"/>
              <w:ind w:left="0" w:leftChars="0" w:firstLine="0" w:firstLineChars="0"/>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drawing>
                <wp:inline distT="0" distB="0" distL="114300" distR="114300">
                  <wp:extent cx="2638425" cy="2218690"/>
                  <wp:effectExtent l="0" t="0" r="9525" b="10160"/>
                  <wp:docPr id="53" name="图片 53" descr="7504c1bb2778508c8b49fc974c34ad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7504c1bb2778508c8b49fc974c34adfb"/>
                          <pic:cNvPicPr>
                            <a:picLocks noChangeAspect="1"/>
                          </pic:cNvPicPr>
                        </pic:nvPicPr>
                        <pic:blipFill>
                          <a:blip r:embed="rId32"/>
                          <a:stretch>
                            <a:fillRect/>
                          </a:stretch>
                        </pic:blipFill>
                        <pic:spPr>
                          <a:xfrm>
                            <a:off x="0" y="0"/>
                            <a:ext cx="2638425" cy="2218690"/>
                          </a:xfrm>
                          <a:prstGeom prst="rect">
                            <a:avLst/>
                          </a:prstGeom>
                        </pic:spPr>
                      </pic:pic>
                    </a:graphicData>
                  </a:graphic>
                </wp:inline>
              </w:drawing>
            </w:r>
          </w:p>
        </w:tc>
        <w:tc>
          <w:tcPr>
            <w:tcW w:w="4135" w:type="dxa"/>
          </w:tcPr>
          <w:p w14:paraId="1A0DAA9D">
            <w:pPr>
              <w:pStyle w:val="63"/>
              <w:ind w:left="0" w:leftChars="0" w:firstLine="0" w:firstLineChars="0"/>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drawing>
                <wp:inline distT="0" distB="0" distL="114300" distR="114300">
                  <wp:extent cx="2475865" cy="2318385"/>
                  <wp:effectExtent l="0" t="0" r="635" b="5715"/>
                  <wp:docPr id="54" name="图片 54" descr="56929536e13a81cc6ff16f428916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56929536e13a81cc6ff16f4289163470"/>
                          <pic:cNvPicPr>
                            <a:picLocks noChangeAspect="1"/>
                          </pic:cNvPicPr>
                        </pic:nvPicPr>
                        <pic:blipFill>
                          <a:blip r:embed="rId33"/>
                          <a:stretch>
                            <a:fillRect/>
                          </a:stretch>
                        </pic:blipFill>
                        <pic:spPr>
                          <a:xfrm>
                            <a:off x="0" y="0"/>
                            <a:ext cx="2475865" cy="2318385"/>
                          </a:xfrm>
                          <a:prstGeom prst="rect">
                            <a:avLst/>
                          </a:prstGeom>
                        </pic:spPr>
                      </pic:pic>
                    </a:graphicData>
                  </a:graphic>
                </wp:inline>
              </w:drawing>
            </w:r>
          </w:p>
        </w:tc>
      </w:tr>
      <w:tr w14:paraId="23625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7" w:type="dxa"/>
          </w:tcPr>
          <w:p w14:paraId="50AAD85A">
            <w:pPr>
              <w:pStyle w:val="63"/>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北侧为骊山大街</w:t>
            </w:r>
          </w:p>
        </w:tc>
        <w:tc>
          <w:tcPr>
            <w:tcW w:w="4135" w:type="dxa"/>
          </w:tcPr>
          <w:p w14:paraId="37F26F4E">
            <w:pPr>
              <w:pStyle w:val="63"/>
              <w:ind w:left="0" w:leftChars="0" w:firstLine="0" w:firstLineChars="0"/>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东侧为铁力哈德恩新材料科技有限公司</w:t>
            </w:r>
          </w:p>
        </w:tc>
      </w:tr>
      <w:tr w14:paraId="2281D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7" w:type="dxa"/>
          </w:tcPr>
          <w:p w14:paraId="30DC1E59">
            <w:pPr>
              <w:pStyle w:val="63"/>
              <w:ind w:left="0" w:leftChars="0" w:firstLine="0" w:firstLineChars="0"/>
              <w:jc w:val="center"/>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drawing>
                <wp:inline distT="0" distB="0" distL="114300" distR="114300">
                  <wp:extent cx="2646680" cy="2038350"/>
                  <wp:effectExtent l="0" t="0" r="1270" b="0"/>
                  <wp:docPr id="55" name="图片 55" descr="932efabce354e8bd396d0ca6ad05f4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932efabce354e8bd396d0ca6ad05f4b0"/>
                          <pic:cNvPicPr>
                            <a:picLocks noChangeAspect="1"/>
                          </pic:cNvPicPr>
                        </pic:nvPicPr>
                        <pic:blipFill>
                          <a:blip r:embed="rId34"/>
                          <a:stretch>
                            <a:fillRect/>
                          </a:stretch>
                        </pic:blipFill>
                        <pic:spPr>
                          <a:xfrm>
                            <a:off x="0" y="0"/>
                            <a:ext cx="2646680" cy="2038350"/>
                          </a:xfrm>
                          <a:prstGeom prst="rect">
                            <a:avLst/>
                          </a:prstGeom>
                        </pic:spPr>
                      </pic:pic>
                    </a:graphicData>
                  </a:graphic>
                </wp:inline>
              </w:drawing>
            </w:r>
          </w:p>
        </w:tc>
        <w:tc>
          <w:tcPr>
            <w:tcW w:w="4135" w:type="dxa"/>
          </w:tcPr>
          <w:p w14:paraId="260AD947">
            <w:pPr>
              <w:pStyle w:val="63"/>
              <w:ind w:left="0" w:leftChars="0" w:firstLine="0" w:firstLineChars="0"/>
              <w:jc w:val="center"/>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drawing>
                <wp:inline distT="0" distB="0" distL="114300" distR="114300">
                  <wp:extent cx="2534285" cy="2091690"/>
                  <wp:effectExtent l="0" t="0" r="18415" b="3810"/>
                  <wp:docPr id="56" name="图片 56" descr="25dba14a5a17dbf17558d9e667d76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5dba14a5a17dbf17558d9e667d76fff"/>
                          <pic:cNvPicPr>
                            <a:picLocks noChangeAspect="1"/>
                          </pic:cNvPicPr>
                        </pic:nvPicPr>
                        <pic:blipFill>
                          <a:blip r:embed="rId35"/>
                          <a:stretch>
                            <a:fillRect/>
                          </a:stretch>
                        </pic:blipFill>
                        <pic:spPr>
                          <a:xfrm>
                            <a:off x="0" y="0"/>
                            <a:ext cx="2534285" cy="2091690"/>
                          </a:xfrm>
                          <a:prstGeom prst="rect">
                            <a:avLst/>
                          </a:prstGeom>
                        </pic:spPr>
                      </pic:pic>
                    </a:graphicData>
                  </a:graphic>
                </wp:inline>
              </w:drawing>
            </w:r>
          </w:p>
        </w:tc>
      </w:tr>
      <w:tr w14:paraId="595D3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7" w:type="dxa"/>
          </w:tcPr>
          <w:p w14:paraId="2DB3EFE1">
            <w:pPr>
              <w:pStyle w:val="63"/>
              <w:ind w:left="0" w:leftChars="0" w:firstLine="0" w:firstLineChars="0"/>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南侧为中国中铁电气化局生产资源管理中心</w:t>
            </w:r>
          </w:p>
        </w:tc>
        <w:tc>
          <w:tcPr>
            <w:tcW w:w="4135" w:type="dxa"/>
          </w:tcPr>
          <w:p w14:paraId="16A21D97">
            <w:pPr>
              <w:pStyle w:val="63"/>
              <w:jc w:val="center"/>
              <w:rPr>
                <w:rFonts w:hint="default" w:ascii="Times New Roman" w:hAnsi="Times New Roman" w:eastAsia="宋体" w:cs="Times New Roman"/>
                <w:color w:val="auto"/>
                <w:highlight w:val="none"/>
                <w:vertAlign w:val="baseline"/>
                <w:lang w:val="en-US" w:eastAsia="zh-CN"/>
              </w:rPr>
            </w:pPr>
            <w:r>
              <w:rPr>
                <w:rFonts w:hint="default" w:ascii="Times New Roman" w:hAnsi="Times New Roman" w:cs="Times New Roman"/>
                <w:color w:val="auto"/>
                <w:highlight w:val="none"/>
                <w:vertAlign w:val="baseline"/>
                <w:lang w:val="en-US" w:eastAsia="zh-CN"/>
              </w:rPr>
              <w:t>西侧为远大路</w:t>
            </w:r>
          </w:p>
        </w:tc>
      </w:tr>
    </w:tbl>
    <w:p w14:paraId="78C12C8B">
      <w:pPr>
        <w:pStyle w:val="63"/>
        <w:ind w:firstLine="420"/>
        <w:rPr>
          <w:rFonts w:hint="default" w:ascii="Times New Roman" w:hAnsi="Times New Roman" w:cs="Times New Roman"/>
          <w:color w:val="auto"/>
          <w:highlight w:val="none"/>
        </w:rPr>
      </w:pPr>
    </w:p>
    <w:p w14:paraId="2CD9880A">
      <w:pPr>
        <w:pStyle w:val="63"/>
        <w:ind w:firstLine="420"/>
        <w:rPr>
          <w:rFonts w:hint="default" w:ascii="Times New Roman" w:hAnsi="Times New Roman" w:cs="Times New Roman"/>
          <w:color w:val="auto"/>
          <w:highlight w:val="none"/>
        </w:rPr>
      </w:pPr>
    </w:p>
    <w:p w14:paraId="5E6D6A68">
      <w:pPr>
        <w:pStyle w:val="63"/>
        <w:ind w:firstLine="420"/>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638F471F">
      <w:pPr>
        <w:pStyle w:val="3"/>
        <w:bidi w:val="0"/>
        <w:rPr>
          <w:rFonts w:hint="default" w:ascii="Times New Roman" w:hAnsi="Times New Roman" w:eastAsia="宋体" w:cs="Times New Roman"/>
          <w:b/>
          <w:bCs/>
          <w:color w:val="auto"/>
          <w:sz w:val="24"/>
          <w:szCs w:val="24"/>
          <w:highlight w:val="none"/>
        </w:rPr>
      </w:pPr>
      <w:bookmarkStart w:id="17" w:name="_Toc32465"/>
      <w:r>
        <w:rPr>
          <w:rFonts w:hint="default" w:ascii="Times New Roman" w:hAnsi="Times New Roman" w:eastAsia="宋体" w:cs="Times New Roman"/>
          <w:b/>
          <w:bCs/>
          <w:color w:val="auto"/>
          <w:sz w:val="24"/>
          <w:szCs w:val="24"/>
          <w:highlight w:val="none"/>
        </w:rPr>
        <w:t>附图</w:t>
      </w:r>
      <w:r>
        <w:rPr>
          <w:rFonts w:hint="default" w:ascii="Times New Roman" w:hAnsi="Times New Roman"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rPr>
        <w:t>本项目厂区总平面布置图</w:t>
      </w:r>
      <w:bookmarkEnd w:id="17"/>
    </w:p>
    <w:p w14:paraId="3F495E5C">
      <w:pPr>
        <w:rPr>
          <w:rFonts w:hint="default"/>
          <w:color w:val="auto"/>
          <w:highlight w:val="none"/>
        </w:rPr>
      </w:pPr>
    </w:p>
    <w:p w14:paraId="46D1448B">
      <w:pPr>
        <w:rPr>
          <w:rFonts w:hint="default" w:ascii="Times New Roman" w:hAnsi="Times New Roman" w:cs="Times New Roman"/>
          <w:color w:val="auto"/>
          <w:highlight w:val="none"/>
        </w:rPr>
      </w:pPr>
    </w:p>
    <w:p w14:paraId="51EACD72">
      <w:pPr>
        <w:pStyle w:val="25"/>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object>
          <v:shape id="_x0000_i1031" o:spt="75" type="#_x0000_t75" style="height:419.25pt;width:402pt;" o:ole="t" filled="f" o:preferrelative="t" stroked="f" coordsize="21600,21600">
            <v:path/>
            <v:fill on="f" focussize="0,0"/>
            <v:stroke on="f"/>
            <v:imagedata r:id="rId37" o:title=""/>
            <o:lock v:ext="edit" aspectratio="f"/>
            <w10:wrap type="none"/>
            <w10:anchorlock/>
          </v:shape>
          <o:OLEObject Type="Embed" ProgID="Visio.Drawing.11" ShapeID="_x0000_i1031" DrawAspect="Content" ObjectID="_1468075731" r:id="rId36">
            <o:LockedField>false</o:LockedField>
          </o:OLEObject>
        </w:object>
      </w:r>
    </w:p>
    <w:p w14:paraId="453B1B61">
      <w:pPr>
        <w:pStyle w:val="25"/>
        <w:jc w:val="center"/>
        <w:rPr>
          <w:rFonts w:hint="default" w:ascii="Times New Roman" w:hAnsi="Times New Roman" w:cs="Times New Roman"/>
          <w:color w:val="auto"/>
          <w:highlight w:val="none"/>
        </w:rPr>
      </w:pPr>
    </w:p>
    <w:p w14:paraId="2627DF6E">
      <w:pPr>
        <w:pStyle w:val="25"/>
        <w:jc w:val="center"/>
        <w:rPr>
          <w:rFonts w:hint="default" w:ascii="Times New Roman" w:hAnsi="Times New Roman" w:cs="Times New Roman"/>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3659D905">
      <w:pPr>
        <w:pStyle w:val="3"/>
        <w:bidi w:val="0"/>
        <w:rPr>
          <w:rFonts w:hint="default" w:ascii="Times New Roman" w:hAnsi="Times New Roman" w:eastAsia="宋体" w:cs="Times New Roman"/>
          <w:b/>
          <w:bCs/>
          <w:color w:val="auto"/>
          <w:sz w:val="24"/>
          <w:szCs w:val="24"/>
          <w:highlight w:val="none"/>
        </w:rPr>
      </w:pPr>
      <w:bookmarkStart w:id="18" w:name="_Toc17279"/>
      <w:r>
        <w:rPr>
          <w:rFonts w:hint="default" w:ascii="Times New Roman" w:hAnsi="Times New Roman" w:eastAsia="宋体" w:cs="Times New Roman"/>
          <w:b/>
          <w:bCs/>
          <w:color w:val="auto"/>
          <w:sz w:val="24"/>
          <w:szCs w:val="24"/>
          <w:highlight w:val="none"/>
        </w:rPr>
        <w:t>附图</w:t>
      </w:r>
      <w:r>
        <w:rPr>
          <w:rFonts w:hint="default" w:ascii="Times New Roman" w:hAnsi="Times New Roman" w:eastAsia="宋体" w:cs="Times New Roman"/>
          <w:b/>
          <w:bCs/>
          <w:color w:val="auto"/>
          <w:sz w:val="24"/>
          <w:szCs w:val="24"/>
          <w:highlight w:val="none"/>
          <w:lang w:val="en-US" w:eastAsia="zh-CN"/>
        </w:rPr>
        <w:t>4声环境功能区划</w:t>
      </w:r>
      <w:r>
        <w:rPr>
          <w:rFonts w:hint="default" w:ascii="Times New Roman" w:hAnsi="Times New Roman" w:eastAsia="宋体" w:cs="Times New Roman"/>
          <w:b/>
          <w:bCs/>
          <w:color w:val="auto"/>
          <w:sz w:val="24"/>
          <w:szCs w:val="24"/>
          <w:highlight w:val="none"/>
        </w:rPr>
        <w:t>图</w:t>
      </w:r>
      <w:bookmarkEnd w:id="18"/>
    </w:p>
    <w:p w14:paraId="27E57CA4">
      <w:pPr>
        <w:bidi w:val="0"/>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mc:AlternateContent>
          <mc:Choice Requires="wps">
            <w:drawing>
              <wp:anchor distT="0" distB="0" distL="114300" distR="114300" simplePos="0" relativeHeight="251665408" behindDoc="0" locked="0" layoutInCell="1" allowOverlap="1">
                <wp:simplePos x="0" y="0"/>
                <wp:positionH relativeFrom="column">
                  <wp:posOffset>7797800</wp:posOffset>
                </wp:positionH>
                <wp:positionV relativeFrom="paragraph">
                  <wp:posOffset>3040380</wp:posOffset>
                </wp:positionV>
                <wp:extent cx="206375" cy="158750"/>
                <wp:effectExtent l="6350" t="6350" r="15875" b="6350"/>
                <wp:wrapNone/>
                <wp:docPr id="63" name="椭圆 63"/>
                <wp:cNvGraphicFramePr/>
                <a:graphic xmlns:a="http://schemas.openxmlformats.org/drawingml/2006/main">
                  <a:graphicData uri="http://schemas.microsoft.com/office/word/2010/wordprocessingShape">
                    <wps:wsp>
                      <wps:cNvSpPr/>
                      <wps:spPr>
                        <a:xfrm>
                          <a:off x="8712200" y="4497705"/>
                          <a:ext cx="206375" cy="15875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614pt;margin-top:239.4pt;height:12.5pt;width:16.25pt;z-index:251665408;v-text-anchor:middle;mso-width-relative:page;mso-height-relative:page;" fillcolor="#5B9BD5 [3204]" filled="t" stroked="t" coordsize="21600,21600" o:gfxdata="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46JfjNkAAAANAQAADwAAAAAAAAABACAAAAAiAAAAZHJzL2Rvd25yZXYueG1sUEsBAhQAFAAAAAgA&#10;h07iQLTHTxiWAgAAJgUAAA4AAAAAAAAAAQAgAAAAKAEAAGRycy9lMm9Eb2MueG1sUEsFBgAAAAAG&#10;AAYAWQEAADAGAAAAAA==&#10;">
                <v:fill on="t" focussize="0,0"/>
                <v:stroke weight="1pt" color="#2E75B6 [2404]" miterlimit="8" joinstyle="miter"/>
                <v:imagedata o:title=""/>
                <o:lock v:ext="edit" aspectratio="f"/>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4384" behindDoc="0" locked="0" layoutInCell="1" allowOverlap="1">
                <wp:simplePos x="0" y="0"/>
                <wp:positionH relativeFrom="column">
                  <wp:posOffset>7940675</wp:posOffset>
                </wp:positionH>
                <wp:positionV relativeFrom="paragraph">
                  <wp:posOffset>2437130</wp:posOffset>
                </wp:positionV>
                <wp:extent cx="1397000" cy="492125"/>
                <wp:effectExtent l="38735" t="6350" r="12065" b="206375"/>
                <wp:wrapNone/>
                <wp:docPr id="61" name="圆角矩形标注 61"/>
                <wp:cNvGraphicFramePr/>
                <a:graphic xmlns:a="http://schemas.openxmlformats.org/drawingml/2006/main">
                  <a:graphicData uri="http://schemas.microsoft.com/office/word/2010/wordprocessingShape">
                    <wps:wsp>
                      <wps:cNvSpPr/>
                      <wps:spPr>
                        <a:xfrm>
                          <a:off x="8855075" y="3894455"/>
                          <a:ext cx="1397000" cy="492125"/>
                        </a:xfrm>
                        <a:prstGeom prst="wedgeRoundRectCallout">
                          <a:avLst>
                            <a:gd name="adj1" fmla="val -50363"/>
                            <a:gd name="adj2" fmla="val 85096"/>
                            <a:gd name="adj3" fmla="val 16667"/>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21AED9F4">
                            <w:pPr>
                              <w:jc w:val="center"/>
                              <w:rPr>
                                <w:rFonts w:hint="default" w:eastAsia="宋体"/>
                                <w:sz w:val="24"/>
                                <w:szCs w:val="24"/>
                                <w:lang w:val="en-US" w:eastAsia="zh-CN"/>
                              </w:rPr>
                            </w:pPr>
                            <w:r>
                              <w:rPr>
                                <w:rFonts w:hint="eastAsia"/>
                                <w:sz w:val="24"/>
                                <w:szCs w:val="24"/>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625.25pt;margin-top:191.9pt;height:38.75pt;width:110pt;z-index:251664384;v-text-anchor:middle;mso-width-relative:page;mso-height-relative:page;" fillcolor="#5B9BD5 [3204]" filled="t" stroked="t" coordsize="21600,21600" o:gfxdata="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" adj="-78,29181,14400">
                <v:fill on="t" focussize="0,0"/>
                <v:stroke weight="1pt" color="#2E75B6 [2404]" miterlimit="8" joinstyle="miter"/>
                <v:imagedata o:title=""/>
                <o:lock v:ext="edit" aspectratio="f"/>
                <v:textbox>
                  <w:txbxContent>
                    <w:p w14:paraId="21AED9F4">
                      <w:pPr>
                        <w:jc w:val="center"/>
                        <w:rPr>
                          <w:rFonts w:hint="default" w:eastAsia="宋体"/>
                          <w:sz w:val="24"/>
                          <w:szCs w:val="24"/>
                          <w:lang w:val="en-US" w:eastAsia="zh-CN"/>
                        </w:rPr>
                      </w:pPr>
                      <w:r>
                        <w:rPr>
                          <w:rFonts w:hint="eastAsia"/>
                          <w:sz w:val="24"/>
                          <w:szCs w:val="24"/>
                          <w:lang w:val="en-US" w:eastAsia="zh-CN"/>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8822055" cy="4400550"/>
            <wp:effectExtent l="0" t="0" r="17145" b="0"/>
            <wp:docPr id="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pic:cNvPicPr>
                      <a:picLocks noChangeAspect="1"/>
                    </pic:cNvPicPr>
                  </pic:nvPicPr>
                  <pic:blipFill>
                    <a:blip r:embed="rId38"/>
                    <a:stretch>
                      <a:fillRect/>
                    </a:stretch>
                  </pic:blipFill>
                  <pic:spPr>
                    <a:xfrm>
                      <a:off x="0" y="0"/>
                      <a:ext cx="8822055" cy="4400550"/>
                    </a:xfrm>
                    <a:prstGeom prst="rect">
                      <a:avLst/>
                    </a:prstGeom>
                    <a:noFill/>
                    <a:ln>
                      <a:noFill/>
                    </a:ln>
                  </pic:spPr>
                </pic:pic>
              </a:graphicData>
            </a:graphic>
          </wp:inline>
        </w:drawing>
      </w:r>
    </w:p>
    <w:p w14:paraId="186C8AB8">
      <w:pPr>
        <w:rPr>
          <w:rFonts w:hint="default" w:ascii="Times New Roman" w:hAnsi="Times New Roman" w:eastAsia="宋体" w:cs="Times New Roman"/>
          <w:b/>
          <w:bCs/>
          <w:color w:val="auto"/>
          <w:sz w:val="24"/>
          <w:szCs w:val="24"/>
          <w:highlight w:val="none"/>
        </w:rPr>
      </w:pPr>
    </w:p>
    <w:p w14:paraId="61AACA14">
      <w:pPr>
        <w:rPr>
          <w:rFonts w:hint="default" w:ascii="Times New Roman" w:hAnsi="Times New Roman" w:eastAsia="宋体" w:cs="Times New Roman"/>
          <w:b/>
          <w:bCs/>
          <w:color w:val="auto"/>
          <w:sz w:val="24"/>
          <w:szCs w:val="24"/>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14:paraId="46C74A25">
      <w:pPr>
        <w:pStyle w:val="3"/>
        <w:bidi w:val="0"/>
        <w:rPr>
          <w:rFonts w:hint="default" w:ascii="Times New Roman" w:hAnsi="Times New Roman" w:eastAsia="宋体" w:cs="Times New Roman"/>
          <w:b/>
          <w:bCs/>
          <w:color w:val="auto"/>
          <w:sz w:val="24"/>
          <w:szCs w:val="24"/>
          <w:highlight w:val="none"/>
        </w:rPr>
      </w:pPr>
      <w:bookmarkStart w:id="19" w:name="_Toc8260"/>
      <w:r>
        <w:rPr>
          <w:rFonts w:hint="default" w:ascii="Times New Roman" w:hAnsi="Times New Roman" w:eastAsia="宋体" w:cs="Times New Roman"/>
          <w:b/>
          <w:bCs/>
          <w:color w:val="auto"/>
          <w:sz w:val="24"/>
          <w:szCs w:val="24"/>
          <w:highlight w:val="none"/>
        </w:rPr>
        <w:t>附图</w:t>
      </w:r>
      <w:r>
        <w:rPr>
          <w:rFonts w:hint="eastAsia" w:eastAsia="宋体" w:cs="Times New Roman"/>
          <w:b/>
          <w:bCs/>
          <w:color w:val="auto"/>
          <w:sz w:val="24"/>
          <w:szCs w:val="24"/>
          <w:highlight w:val="none"/>
          <w:lang w:val="en-US" w:eastAsia="zh-CN"/>
        </w:rPr>
        <w:t>5公示截</w:t>
      </w:r>
      <w:r>
        <w:rPr>
          <w:rFonts w:hint="default" w:ascii="Times New Roman" w:hAnsi="Times New Roman" w:eastAsia="宋体" w:cs="Times New Roman"/>
          <w:b/>
          <w:bCs/>
          <w:color w:val="auto"/>
          <w:sz w:val="24"/>
          <w:szCs w:val="24"/>
          <w:highlight w:val="none"/>
        </w:rPr>
        <w:t>图</w:t>
      </w:r>
      <w:bookmarkEnd w:id="19"/>
    </w:p>
    <w:p w14:paraId="12327AD7">
      <w:pPr>
        <w:rPr>
          <w:rFonts w:hint="default" w:ascii="Times New Roman" w:hAnsi="Times New Roman" w:eastAsia="宋体" w:cs="Times New Roman"/>
          <w:b/>
          <w:bCs/>
          <w:color w:val="auto"/>
          <w:sz w:val="24"/>
          <w:szCs w:val="24"/>
          <w:highlight w:val="none"/>
        </w:rPr>
      </w:pPr>
    </w:p>
    <w:p w14:paraId="27D1AF6C">
      <w:pPr>
        <w:rPr>
          <w:rFonts w:hint="default" w:ascii="Times New Roman" w:hAnsi="Times New Roman" w:eastAsia="宋体" w:cs="Times New Roman"/>
          <w:b/>
          <w:bCs/>
          <w:color w:val="auto"/>
          <w:sz w:val="24"/>
          <w:szCs w:val="24"/>
          <w:highlight w:val="none"/>
        </w:rPr>
      </w:pPr>
      <w:r>
        <w:rPr>
          <w:color w:val="auto"/>
          <w:highlight w:val="none"/>
        </w:rPr>
        <w:drawing>
          <wp:inline distT="0" distB="0" distL="114300" distR="114300">
            <wp:extent cx="5483860" cy="5621020"/>
            <wp:effectExtent l="0" t="0" r="2540" b="1778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39"/>
                    <a:stretch>
                      <a:fillRect/>
                    </a:stretch>
                  </pic:blipFill>
                  <pic:spPr>
                    <a:xfrm>
                      <a:off x="0" y="0"/>
                      <a:ext cx="5483860" cy="5621020"/>
                    </a:xfrm>
                    <a:prstGeom prst="rect">
                      <a:avLst/>
                    </a:prstGeom>
                    <a:noFill/>
                    <a:ln>
                      <a:noFill/>
                    </a:ln>
                  </pic:spPr>
                </pic:pic>
              </a:graphicData>
            </a:graphic>
          </wp:inline>
        </w:drawing>
      </w:r>
    </w:p>
    <w:p w14:paraId="42755C9E">
      <w:pPr>
        <w:rPr>
          <w:rFonts w:hint="default" w:ascii="Times New Roman" w:hAnsi="Times New Roman" w:eastAsia="宋体" w:cs="Times New Roman"/>
          <w:b/>
          <w:bCs/>
          <w:color w:val="auto"/>
          <w:sz w:val="24"/>
          <w:szCs w:val="24"/>
          <w:highlight w:val="none"/>
        </w:rPr>
      </w:pPr>
    </w:p>
    <w:p w14:paraId="547DCDD3">
      <w:pPr>
        <w:rPr>
          <w:rFonts w:hint="default" w:ascii="Times New Roman" w:hAnsi="Times New Roman" w:eastAsia="宋体" w:cs="Times New Roman"/>
          <w:b/>
          <w:bCs/>
          <w:color w:val="auto"/>
          <w:sz w:val="24"/>
          <w:szCs w:val="24"/>
          <w:highlight w:val="none"/>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6E0434B6">
      <w:pPr>
        <w:pStyle w:val="3"/>
        <w:bidi w:val="0"/>
        <w:rPr>
          <w:rFonts w:hint="default" w:ascii="Times New Roman" w:hAnsi="Times New Roman" w:eastAsia="宋体" w:cs="Times New Roman"/>
          <w:b/>
          <w:bCs/>
          <w:color w:val="auto"/>
          <w:sz w:val="24"/>
          <w:szCs w:val="24"/>
          <w:highlight w:val="none"/>
        </w:rPr>
      </w:pPr>
      <w:bookmarkStart w:id="20" w:name="_Toc1401"/>
      <w:r>
        <w:rPr>
          <w:rFonts w:hint="default" w:ascii="Times New Roman" w:hAnsi="Times New Roman" w:eastAsia="宋体" w:cs="Times New Roman"/>
          <w:b/>
          <w:bCs/>
          <w:color w:val="auto"/>
          <w:sz w:val="24"/>
          <w:szCs w:val="24"/>
          <w:highlight w:val="none"/>
        </w:rPr>
        <w:t>附件1营业执照</w:t>
      </w:r>
      <w:bookmarkEnd w:id="20"/>
    </w:p>
    <w:p w14:paraId="2A5EA702">
      <w:pPr>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6388100" cy="4545330"/>
            <wp:effectExtent l="0" t="0" r="0" b="0"/>
            <wp:docPr id="14" name="图片 14" descr="dfd66531007f19a36679b36b20c3a3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fd66531007f19a36679b36b20c3a3ef"/>
                    <pic:cNvPicPr>
                      <a:picLocks noChangeAspect="1"/>
                    </pic:cNvPicPr>
                  </pic:nvPicPr>
                  <pic:blipFill>
                    <a:blip r:embed="rId40"/>
                    <a:srcRect l="14373" r="6570"/>
                    <a:stretch>
                      <a:fillRect/>
                    </a:stretch>
                  </pic:blipFill>
                  <pic:spPr>
                    <a:xfrm>
                      <a:off x="0" y="0"/>
                      <a:ext cx="6388100" cy="4545330"/>
                    </a:xfrm>
                    <a:prstGeom prst="rect">
                      <a:avLst/>
                    </a:prstGeom>
                  </pic:spPr>
                </pic:pic>
              </a:graphicData>
            </a:graphic>
          </wp:inline>
        </w:drawing>
      </w:r>
    </w:p>
    <w:p w14:paraId="4D162D5C">
      <w:pPr>
        <w:rPr>
          <w:rFonts w:hint="default" w:ascii="Times New Roman" w:hAnsi="Times New Roman" w:cs="Times New Roman"/>
          <w:color w:val="auto"/>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14:paraId="64157A84">
      <w:pPr>
        <w:pStyle w:val="3"/>
        <w:bidi w:val="0"/>
        <w:rPr>
          <w:rFonts w:hint="default" w:ascii="Times New Roman" w:hAnsi="Times New Roman" w:eastAsia="宋体" w:cs="Times New Roman"/>
          <w:b/>
          <w:bCs/>
          <w:color w:val="auto"/>
          <w:sz w:val="24"/>
          <w:szCs w:val="24"/>
          <w:highlight w:val="none"/>
        </w:rPr>
      </w:pPr>
      <w:bookmarkStart w:id="21" w:name="_Toc12156"/>
      <w:r>
        <w:rPr>
          <w:rFonts w:hint="default" w:ascii="Times New Roman" w:hAnsi="Times New Roman" w:eastAsia="宋体" w:cs="Times New Roman"/>
          <w:b/>
          <w:bCs/>
          <w:color w:val="auto"/>
          <w:sz w:val="24"/>
          <w:szCs w:val="24"/>
          <w:highlight w:val="none"/>
        </w:rPr>
        <w:t>附件</w:t>
      </w:r>
      <w:r>
        <w:rPr>
          <w:rFonts w:hint="eastAsia" w:eastAsia="宋体" w:cs="Times New Roman"/>
          <w:b/>
          <w:bCs/>
          <w:color w:val="auto"/>
          <w:sz w:val="24"/>
          <w:szCs w:val="24"/>
          <w:highlight w:val="none"/>
          <w:lang w:val="en-US" w:eastAsia="zh-CN"/>
        </w:rPr>
        <w:t>2</w:t>
      </w:r>
      <w:r>
        <w:rPr>
          <w:rFonts w:hint="default" w:ascii="Times New Roman" w:hAnsi="Times New Roman" w:eastAsia="宋体" w:cs="Times New Roman"/>
          <w:b/>
          <w:bCs/>
          <w:color w:val="auto"/>
          <w:sz w:val="24"/>
          <w:szCs w:val="24"/>
          <w:highlight w:val="none"/>
          <w:lang w:val="en-US" w:eastAsia="zh-CN"/>
        </w:rPr>
        <w:t>引用项目</w:t>
      </w:r>
      <w:r>
        <w:rPr>
          <w:rFonts w:hint="default" w:ascii="Times New Roman" w:hAnsi="Times New Roman" w:eastAsia="宋体" w:cs="Times New Roman"/>
          <w:b/>
          <w:bCs/>
          <w:color w:val="auto"/>
          <w:sz w:val="24"/>
          <w:szCs w:val="24"/>
          <w:highlight w:val="none"/>
        </w:rPr>
        <w:t>现状监测报告</w:t>
      </w:r>
      <w:bookmarkEnd w:id="21"/>
    </w:p>
    <w:p w14:paraId="0CDCA61F">
      <w:pPr>
        <w:jc w:val="center"/>
        <w:rPr>
          <w:rFonts w:hint="default" w:ascii="Times New Roman" w:hAnsi="Times New Roman" w:cs="Times New Roman"/>
          <w:color w:val="auto"/>
          <w:highlight w:val="none"/>
        </w:rPr>
      </w:pPr>
      <w:r>
        <w:rPr>
          <w:color w:val="auto"/>
          <w:highlight w:val="none"/>
        </w:rPr>
        <w:drawing>
          <wp:inline distT="0" distB="0" distL="114300" distR="114300">
            <wp:extent cx="5615940" cy="7905115"/>
            <wp:effectExtent l="0" t="0" r="3810" b="635"/>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41"/>
                    <a:stretch>
                      <a:fillRect/>
                    </a:stretch>
                  </pic:blipFill>
                  <pic:spPr>
                    <a:xfrm>
                      <a:off x="0" y="0"/>
                      <a:ext cx="5615940" cy="7905115"/>
                    </a:xfrm>
                    <a:prstGeom prst="rect">
                      <a:avLst/>
                    </a:prstGeom>
                    <a:noFill/>
                    <a:ln>
                      <a:noFill/>
                    </a:ln>
                  </pic:spPr>
                </pic:pic>
              </a:graphicData>
            </a:graphic>
          </wp:inline>
        </w:drawing>
      </w:r>
      <w:r>
        <w:rPr>
          <w:color w:val="auto"/>
          <w:highlight w:val="none"/>
        </w:rPr>
        <w:drawing>
          <wp:inline distT="0" distB="0" distL="114300" distR="114300">
            <wp:extent cx="5612130" cy="7707630"/>
            <wp:effectExtent l="0" t="0" r="7620" b="762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42"/>
                    <a:stretch>
                      <a:fillRect/>
                    </a:stretch>
                  </pic:blipFill>
                  <pic:spPr>
                    <a:xfrm>
                      <a:off x="0" y="0"/>
                      <a:ext cx="5612130" cy="7707630"/>
                    </a:xfrm>
                    <a:prstGeom prst="rect">
                      <a:avLst/>
                    </a:prstGeom>
                    <a:noFill/>
                    <a:ln>
                      <a:noFill/>
                    </a:ln>
                  </pic:spPr>
                </pic:pic>
              </a:graphicData>
            </a:graphic>
          </wp:inline>
        </w:drawing>
      </w:r>
      <w:r>
        <w:rPr>
          <w:color w:val="auto"/>
          <w:highlight w:val="none"/>
        </w:rPr>
        <w:drawing>
          <wp:inline distT="0" distB="0" distL="114300" distR="114300">
            <wp:extent cx="5612765" cy="7953375"/>
            <wp:effectExtent l="0" t="0" r="6985" b="9525"/>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43"/>
                    <a:stretch>
                      <a:fillRect/>
                    </a:stretch>
                  </pic:blipFill>
                  <pic:spPr>
                    <a:xfrm>
                      <a:off x="0" y="0"/>
                      <a:ext cx="5612765" cy="7953375"/>
                    </a:xfrm>
                    <a:prstGeom prst="rect">
                      <a:avLst/>
                    </a:prstGeom>
                    <a:noFill/>
                    <a:ln>
                      <a:noFill/>
                    </a:ln>
                  </pic:spPr>
                </pic:pic>
              </a:graphicData>
            </a:graphic>
          </wp:inline>
        </w:drawing>
      </w:r>
      <w:r>
        <w:rPr>
          <w:color w:val="auto"/>
          <w:highlight w:val="none"/>
        </w:rPr>
        <w:drawing>
          <wp:inline distT="0" distB="0" distL="114300" distR="114300">
            <wp:extent cx="5611495" cy="7872730"/>
            <wp:effectExtent l="0" t="0" r="8255" b="13970"/>
            <wp:docPr id="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3"/>
                    <pic:cNvPicPr>
                      <a:picLocks noChangeAspect="1"/>
                    </pic:cNvPicPr>
                  </pic:nvPicPr>
                  <pic:blipFill>
                    <a:blip r:embed="rId44"/>
                    <a:stretch>
                      <a:fillRect/>
                    </a:stretch>
                  </pic:blipFill>
                  <pic:spPr>
                    <a:xfrm>
                      <a:off x="0" y="0"/>
                      <a:ext cx="5611495" cy="7872730"/>
                    </a:xfrm>
                    <a:prstGeom prst="rect">
                      <a:avLst/>
                    </a:prstGeom>
                    <a:noFill/>
                    <a:ln>
                      <a:noFill/>
                    </a:ln>
                  </pic:spPr>
                </pic:pic>
              </a:graphicData>
            </a:graphic>
          </wp:inline>
        </w:drawing>
      </w:r>
    </w:p>
    <w:p w14:paraId="75A4AF71">
      <w:pPr>
        <w:jc w:val="cente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color w:val="auto"/>
          <w:highlight w:val="none"/>
        </w:rPr>
        <w:drawing>
          <wp:inline distT="0" distB="0" distL="114300" distR="114300">
            <wp:extent cx="5610860" cy="7780655"/>
            <wp:effectExtent l="0" t="0" r="8890" b="10795"/>
            <wp:docPr id="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4"/>
                    <pic:cNvPicPr>
                      <a:picLocks noChangeAspect="1"/>
                    </pic:cNvPicPr>
                  </pic:nvPicPr>
                  <pic:blipFill>
                    <a:blip r:embed="rId45"/>
                    <a:stretch>
                      <a:fillRect/>
                    </a:stretch>
                  </pic:blipFill>
                  <pic:spPr>
                    <a:xfrm>
                      <a:off x="0" y="0"/>
                      <a:ext cx="5610860" cy="7780655"/>
                    </a:xfrm>
                    <a:prstGeom prst="rect">
                      <a:avLst/>
                    </a:prstGeom>
                    <a:noFill/>
                    <a:ln>
                      <a:noFill/>
                    </a:ln>
                  </pic:spPr>
                </pic:pic>
              </a:graphicData>
            </a:graphic>
          </wp:inline>
        </w:drawing>
      </w:r>
      <w:r>
        <w:rPr>
          <w:color w:val="auto"/>
          <w:highlight w:val="none"/>
        </w:rPr>
        <w:drawing>
          <wp:inline distT="0" distB="0" distL="114300" distR="114300">
            <wp:extent cx="5614035" cy="7976235"/>
            <wp:effectExtent l="0" t="0" r="5715" b="5715"/>
            <wp:docPr id="5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5"/>
                    <pic:cNvPicPr>
                      <a:picLocks noChangeAspect="1"/>
                    </pic:cNvPicPr>
                  </pic:nvPicPr>
                  <pic:blipFill>
                    <a:blip r:embed="rId46"/>
                    <a:stretch>
                      <a:fillRect/>
                    </a:stretch>
                  </pic:blipFill>
                  <pic:spPr>
                    <a:xfrm>
                      <a:off x="0" y="0"/>
                      <a:ext cx="5614035" cy="7976235"/>
                    </a:xfrm>
                    <a:prstGeom prst="rect">
                      <a:avLst/>
                    </a:prstGeom>
                    <a:noFill/>
                    <a:ln>
                      <a:noFill/>
                    </a:ln>
                  </pic:spPr>
                </pic:pic>
              </a:graphicData>
            </a:graphic>
          </wp:inline>
        </w:drawing>
      </w:r>
      <w:r>
        <w:rPr>
          <w:color w:val="auto"/>
          <w:highlight w:val="none"/>
        </w:rPr>
        <w:drawing>
          <wp:inline distT="0" distB="0" distL="114300" distR="114300">
            <wp:extent cx="5614035" cy="8004175"/>
            <wp:effectExtent l="0" t="0" r="5715" b="15875"/>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47"/>
                    <a:stretch>
                      <a:fillRect/>
                    </a:stretch>
                  </pic:blipFill>
                  <pic:spPr>
                    <a:xfrm>
                      <a:off x="0" y="0"/>
                      <a:ext cx="5614035" cy="8004175"/>
                    </a:xfrm>
                    <a:prstGeom prst="rect">
                      <a:avLst/>
                    </a:prstGeom>
                    <a:noFill/>
                    <a:ln>
                      <a:noFill/>
                    </a:ln>
                  </pic:spPr>
                </pic:pic>
              </a:graphicData>
            </a:graphic>
          </wp:inline>
        </w:drawing>
      </w:r>
    </w:p>
    <w:p w14:paraId="15D8DEC6">
      <w:pPr>
        <w:pStyle w:val="3"/>
        <w:bidi w:val="0"/>
        <w:rPr>
          <w:rFonts w:hint="default" w:ascii="Times New Roman" w:hAnsi="Times New Roman" w:eastAsia="宋体" w:cs="Times New Roman"/>
          <w:b/>
          <w:bCs/>
          <w:color w:val="auto"/>
          <w:sz w:val="24"/>
          <w:szCs w:val="24"/>
          <w:highlight w:val="none"/>
          <w:lang w:eastAsia="zh-CN"/>
        </w:rPr>
      </w:pPr>
      <w:bookmarkStart w:id="22" w:name="_Toc2"/>
      <w:r>
        <w:rPr>
          <w:rFonts w:hint="default" w:ascii="Times New Roman" w:hAnsi="Times New Roman" w:eastAsia="宋体" w:cs="Times New Roman"/>
          <w:b/>
          <w:bCs/>
          <w:color w:val="auto"/>
          <w:sz w:val="24"/>
          <w:szCs w:val="24"/>
          <w:highlight w:val="none"/>
        </w:rPr>
        <w:t>附件</w:t>
      </w:r>
      <w:r>
        <w:rPr>
          <w:rFonts w:hint="eastAsia" w:eastAsia="宋体"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val="en-US" w:eastAsia="zh-CN"/>
        </w:rPr>
        <w:t>土地证</w:t>
      </w:r>
      <w:bookmarkEnd w:id="22"/>
    </w:p>
    <w:p w14:paraId="3AE884BE">
      <w:pP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drawing>
          <wp:inline distT="0" distB="0" distL="114300" distR="114300">
            <wp:extent cx="5718810" cy="7833995"/>
            <wp:effectExtent l="0" t="0" r="15240" b="14605"/>
            <wp:docPr id="15" name="图片 15" descr="9e9f2c9c4c9601192cdd6b80e22a8b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9e9f2c9c4c9601192cdd6b80e22a8bd1"/>
                    <pic:cNvPicPr>
                      <a:picLocks noChangeAspect="1"/>
                    </pic:cNvPicPr>
                  </pic:nvPicPr>
                  <pic:blipFill>
                    <a:blip r:embed="rId48"/>
                    <a:srcRect t="7297" r="13072" b="6145"/>
                    <a:stretch>
                      <a:fillRect/>
                    </a:stretch>
                  </pic:blipFill>
                  <pic:spPr>
                    <a:xfrm>
                      <a:off x="0" y="0"/>
                      <a:ext cx="5718810" cy="7833995"/>
                    </a:xfrm>
                    <a:prstGeom prst="rect">
                      <a:avLst/>
                    </a:prstGeom>
                  </pic:spPr>
                </pic:pic>
              </a:graphicData>
            </a:graphic>
          </wp:inline>
        </w:drawing>
      </w:r>
    </w:p>
    <w:p w14:paraId="5C3DBF35">
      <w:pPr>
        <w:rPr>
          <w:rFonts w:hint="default" w:ascii="Times New Roman" w:hAnsi="Times New Roman" w:cs="Times New Roman"/>
          <w:color w:val="auto"/>
          <w:highlight w:val="none"/>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AA63E37">
      <w:pPr>
        <w:pStyle w:val="3"/>
        <w:bidi w:val="0"/>
        <w:rPr>
          <w:rFonts w:hint="default" w:ascii="Times New Roman" w:hAnsi="Times New Roman" w:eastAsia="宋体" w:cs="Times New Roman"/>
          <w:b/>
          <w:bCs/>
          <w:color w:val="auto"/>
          <w:sz w:val="24"/>
          <w:szCs w:val="24"/>
          <w:highlight w:val="none"/>
          <w:lang w:val="en-US" w:eastAsia="zh-CN"/>
        </w:rPr>
      </w:pPr>
      <w:bookmarkStart w:id="23" w:name="_Toc20592"/>
      <w:r>
        <w:rPr>
          <w:rFonts w:hint="default" w:ascii="Times New Roman" w:hAnsi="Times New Roman" w:eastAsia="宋体" w:cs="Times New Roman"/>
          <w:b/>
          <w:bCs/>
          <w:color w:val="auto"/>
          <w:sz w:val="24"/>
          <w:szCs w:val="24"/>
          <w:highlight w:val="none"/>
        </w:rPr>
        <w:t>附件</w:t>
      </w:r>
      <w:r>
        <w:rPr>
          <w:rFonts w:hint="eastAsia"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lang w:val="en-US" w:eastAsia="zh-CN"/>
        </w:rPr>
        <w:t>生物质成分分析报告</w:t>
      </w:r>
      <w:bookmarkEnd w:id="23"/>
    </w:p>
    <w:p w14:paraId="4862D3F8">
      <w:pPr>
        <w:pStyle w:val="3"/>
        <w:bidi w:val="0"/>
        <w:rPr>
          <w:rFonts w:hint="default" w:ascii="Times New Roman" w:hAnsi="Times New Roman" w:eastAsia="宋体" w:cs="Times New Roman"/>
          <w:b/>
          <w:bCs/>
          <w:color w:val="auto"/>
          <w:sz w:val="24"/>
          <w:szCs w:val="24"/>
          <w:highlight w:val="none"/>
          <w:lang w:val="en-US" w:eastAsia="zh-CN"/>
        </w:rPr>
      </w:pPr>
      <w:bookmarkStart w:id="24" w:name="_Toc20498"/>
      <w:r>
        <w:rPr>
          <w:color w:val="auto"/>
          <w:highlight w:val="none"/>
        </w:rPr>
        <w:drawing>
          <wp:inline distT="0" distB="0" distL="114300" distR="114300">
            <wp:extent cx="5177155" cy="7137400"/>
            <wp:effectExtent l="0" t="0" r="4445" b="6350"/>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49"/>
                    <a:stretch>
                      <a:fillRect/>
                    </a:stretch>
                  </pic:blipFill>
                  <pic:spPr>
                    <a:xfrm>
                      <a:off x="0" y="0"/>
                      <a:ext cx="5177155" cy="7137400"/>
                    </a:xfrm>
                    <a:prstGeom prst="rect">
                      <a:avLst/>
                    </a:prstGeom>
                    <a:noFill/>
                    <a:ln>
                      <a:noFill/>
                    </a:ln>
                  </pic:spPr>
                </pic:pic>
              </a:graphicData>
            </a:graphic>
          </wp:inline>
        </w:drawing>
      </w:r>
      <w:bookmarkEnd w:id="24"/>
    </w:p>
    <w:p w14:paraId="72D74C19">
      <w:pPr>
        <w:jc w:val="cente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4659DF3">
      <w:pPr>
        <w:pStyle w:val="3"/>
        <w:bidi w:val="0"/>
        <w:rPr>
          <w:rFonts w:hint="default" w:ascii="Times New Roman" w:hAnsi="Times New Roman" w:eastAsia="宋体" w:cs="Times New Roman"/>
          <w:b/>
          <w:bCs/>
          <w:color w:val="auto"/>
          <w:sz w:val="24"/>
          <w:szCs w:val="24"/>
          <w:highlight w:val="none"/>
          <w:lang w:val="en-US" w:eastAsia="zh-CN"/>
        </w:rPr>
      </w:pPr>
      <w:bookmarkStart w:id="25" w:name="_Toc6549"/>
      <w:r>
        <w:rPr>
          <w:rFonts w:hint="default" w:ascii="Times New Roman" w:hAnsi="Times New Roman" w:eastAsia="宋体" w:cs="Times New Roman"/>
          <w:b/>
          <w:bCs/>
          <w:color w:val="auto"/>
          <w:sz w:val="24"/>
          <w:szCs w:val="24"/>
          <w:highlight w:val="none"/>
        </w:rPr>
        <w:t>附件</w:t>
      </w:r>
      <w:r>
        <w:rPr>
          <w:rFonts w:hint="eastAsia" w:eastAsia="宋体" w:cs="Times New Roman"/>
          <w:b/>
          <w:bCs/>
          <w:color w:val="auto"/>
          <w:sz w:val="24"/>
          <w:szCs w:val="24"/>
          <w:highlight w:val="none"/>
          <w:lang w:val="en-US" w:eastAsia="zh-CN"/>
        </w:rPr>
        <w:t>5</w:t>
      </w:r>
      <w:r>
        <w:rPr>
          <w:rFonts w:hint="default" w:ascii="Times New Roman" w:hAnsi="Times New Roman" w:eastAsia="宋体" w:cs="Times New Roman"/>
          <w:b/>
          <w:bCs/>
          <w:color w:val="auto"/>
          <w:sz w:val="24"/>
          <w:szCs w:val="24"/>
          <w:highlight w:val="none"/>
        </w:rPr>
        <w:t>防腐剂成分报告</w:t>
      </w:r>
      <w:bookmarkEnd w:id="25"/>
    </w:p>
    <w:p w14:paraId="38421ABC">
      <w:pPr>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5287645" cy="7466965"/>
            <wp:effectExtent l="0" t="0" r="8255" b="635"/>
            <wp:docPr id="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pic:cNvPicPr>
                      <a:picLocks noChangeAspect="1"/>
                    </pic:cNvPicPr>
                  </pic:nvPicPr>
                  <pic:blipFill>
                    <a:blip r:embed="rId50"/>
                    <a:stretch>
                      <a:fillRect/>
                    </a:stretch>
                  </pic:blipFill>
                  <pic:spPr>
                    <a:xfrm>
                      <a:off x="0" y="0"/>
                      <a:ext cx="5287645" cy="7466965"/>
                    </a:xfrm>
                    <a:prstGeom prst="rect">
                      <a:avLst/>
                    </a:prstGeom>
                    <a:noFill/>
                    <a:ln>
                      <a:noFill/>
                    </a:ln>
                  </pic:spPr>
                </pic:pic>
              </a:graphicData>
            </a:graphic>
          </wp:inline>
        </w:drawing>
      </w:r>
    </w:p>
    <w:p w14:paraId="02A3EA3F">
      <w:pPr>
        <w:jc w:val="center"/>
        <w:rPr>
          <w:rFonts w:hint="default" w:ascii="Times New Roman" w:hAnsi="Times New Roman" w:cs="Times New Roman"/>
          <w:color w:val="auto"/>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color w:val="auto"/>
          <w:highlight w:val="none"/>
        </w:rPr>
        <w:drawing>
          <wp:inline distT="0" distB="0" distL="114300" distR="114300">
            <wp:extent cx="5409565" cy="7267575"/>
            <wp:effectExtent l="0" t="0" r="635" b="9525"/>
            <wp:docPr id="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pic:cNvPicPr>
                      <a:picLocks noChangeAspect="1"/>
                    </pic:cNvPicPr>
                  </pic:nvPicPr>
                  <pic:blipFill>
                    <a:blip r:embed="rId51"/>
                    <a:stretch>
                      <a:fillRect/>
                    </a:stretch>
                  </pic:blipFill>
                  <pic:spPr>
                    <a:xfrm>
                      <a:off x="0" y="0"/>
                      <a:ext cx="5409565" cy="72675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4800600" cy="7010400"/>
            <wp:effectExtent l="0" t="0" r="0" b="0"/>
            <wp:docPr id="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9"/>
                    <pic:cNvPicPr>
                      <a:picLocks noChangeAspect="1"/>
                    </pic:cNvPicPr>
                  </pic:nvPicPr>
                  <pic:blipFill>
                    <a:blip r:embed="rId52"/>
                    <a:stretch>
                      <a:fillRect/>
                    </a:stretch>
                  </pic:blipFill>
                  <pic:spPr>
                    <a:xfrm>
                      <a:off x="0" y="0"/>
                      <a:ext cx="4800600" cy="701040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4829175" cy="6791325"/>
            <wp:effectExtent l="0" t="0" r="9525" b="9525"/>
            <wp:docPr id="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pic:cNvPicPr>
                      <a:picLocks noChangeAspect="1"/>
                    </pic:cNvPicPr>
                  </pic:nvPicPr>
                  <pic:blipFill>
                    <a:blip r:embed="rId53"/>
                    <a:stretch>
                      <a:fillRect/>
                    </a:stretch>
                  </pic:blipFill>
                  <pic:spPr>
                    <a:xfrm>
                      <a:off x="0" y="0"/>
                      <a:ext cx="4829175" cy="67913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4772025" cy="6943725"/>
            <wp:effectExtent l="0" t="0" r="9525" b="9525"/>
            <wp:docPr id="2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pic:cNvPicPr>
                      <a:picLocks noChangeAspect="1"/>
                    </pic:cNvPicPr>
                  </pic:nvPicPr>
                  <pic:blipFill>
                    <a:blip r:embed="rId54"/>
                    <a:stretch>
                      <a:fillRect/>
                    </a:stretch>
                  </pic:blipFill>
                  <pic:spPr>
                    <a:xfrm>
                      <a:off x="0" y="0"/>
                      <a:ext cx="4772025" cy="694372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4791075" cy="6838950"/>
            <wp:effectExtent l="0" t="0" r="9525" b="0"/>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55"/>
                    <a:stretch>
                      <a:fillRect/>
                    </a:stretch>
                  </pic:blipFill>
                  <pic:spPr>
                    <a:xfrm>
                      <a:off x="0" y="0"/>
                      <a:ext cx="4791075" cy="6838950"/>
                    </a:xfrm>
                    <a:prstGeom prst="rect">
                      <a:avLst/>
                    </a:prstGeom>
                    <a:noFill/>
                    <a:ln>
                      <a:noFill/>
                    </a:ln>
                  </pic:spPr>
                </pic:pic>
              </a:graphicData>
            </a:graphic>
          </wp:inline>
        </w:drawing>
      </w:r>
    </w:p>
    <w:p w14:paraId="36328280">
      <w:pPr>
        <w:pStyle w:val="3"/>
        <w:bidi w:val="0"/>
        <w:rPr>
          <w:rFonts w:hint="eastAsia" w:ascii="Times New Roman" w:hAnsi="Times New Roman" w:eastAsia="宋体" w:cs="Times New Roman"/>
          <w:b/>
          <w:bCs/>
          <w:color w:val="auto"/>
          <w:sz w:val="24"/>
          <w:szCs w:val="24"/>
          <w:highlight w:val="none"/>
          <w:lang w:val="en-US" w:eastAsia="zh-CN"/>
        </w:rPr>
      </w:pPr>
      <w:bookmarkStart w:id="26" w:name="_Toc21058"/>
      <w:r>
        <w:rPr>
          <w:rFonts w:hint="default" w:ascii="Times New Roman" w:hAnsi="Times New Roman" w:eastAsia="宋体" w:cs="Times New Roman"/>
          <w:b/>
          <w:bCs/>
          <w:color w:val="auto"/>
          <w:sz w:val="24"/>
          <w:szCs w:val="24"/>
          <w:highlight w:val="none"/>
        </w:rPr>
        <w:t>附件</w:t>
      </w:r>
      <w:r>
        <w:rPr>
          <w:rFonts w:hint="eastAsia" w:eastAsia="宋体" w:cs="Times New Roman"/>
          <w:b/>
          <w:bCs/>
          <w:color w:val="auto"/>
          <w:sz w:val="24"/>
          <w:szCs w:val="24"/>
          <w:highlight w:val="none"/>
          <w:lang w:val="en-US" w:eastAsia="zh-CN"/>
        </w:rPr>
        <w:t>6</w:t>
      </w:r>
      <w:r>
        <w:rPr>
          <w:rFonts w:hint="eastAsia" w:eastAsia="宋体" w:cs="Times New Roman"/>
          <w:b/>
          <w:bCs/>
          <w:color w:val="auto"/>
          <w:sz w:val="24"/>
          <w:szCs w:val="24"/>
          <w:highlight w:val="none"/>
          <w:lang w:eastAsia="zh-CN"/>
        </w:rPr>
        <w:t>租赁协议</w:t>
      </w:r>
      <w:bookmarkEnd w:id="26"/>
    </w:p>
    <w:p w14:paraId="4424F6CD">
      <w:pPr>
        <w:jc w:val="center"/>
        <w:rPr>
          <w:rFonts w:hint="default" w:ascii="Times New Roman" w:hAnsi="Times New Roman" w:cs="Times New Roman"/>
          <w:color w:val="auto"/>
          <w:highlight w:val="none"/>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color w:val="auto"/>
          <w:highlight w:val="none"/>
          <w:lang w:eastAsia="zh-CN"/>
        </w:rPr>
        <w:drawing>
          <wp:inline distT="0" distB="0" distL="114300" distR="114300">
            <wp:extent cx="5604510" cy="7935595"/>
            <wp:effectExtent l="0" t="0" r="15240" b="8255"/>
            <wp:docPr id="7" name="图片 7" descr="23719d73fc2c42bedd150039dd5bb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3719d73fc2c42bedd150039dd5bb22"/>
                    <pic:cNvPicPr>
                      <a:picLocks noChangeAspect="1"/>
                    </pic:cNvPicPr>
                  </pic:nvPicPr>
                  <pic:blipFill>
                    <a:blip r:embed="rId56"/>
                    <a:stretch>
                      <a:fillRect/>
                    </a:stretch>
                  </pic:blipFill>
                  <pic:spPr>
                    <a:xfrm>
                      <a:off x="0" y="0"/>
                      <a:ext cx="5604510" cy="7935595"/>
                    </a:xfrm>
                    <a:prstGeom prst="rect">
                      <a:avLst/>
                    </a:prstGeom>
                  </pic:spPr>
                </pic:pic>
              </a:graphicData>
            </a:graphic>
          </wp:inline>
        </w:drawing>
      </w:r>
    </w:p>
    <w:p w14:paraId="162C7BB2">
      <w:pPr>
        <w:pStyle w:val="3"/>
        <w:bidi w:val="0"/>
        <w:rPr>
          <w:rFonts w:hint="eastAsia" w:ascii="Times New Roman" w:hAnsi="Times New Roman" w:eastAsia="宋体" w:cs="Times New Roman"/>
          <w:b/>
          <w:bCs/>
          <w:color w:val="auto"/>
          <w:sz w:val="24"/>
          <w:szCs w:val="24"/>
          <w:highlight w:val="none"/>
          <w:lang w:val="en-US" w:eastAsia="zh-CN"/>
        </w:rPr>
      </w:pPr>
      <w:bookmarkStart w:id="27" w:name="_Toc23885"/>
      <w:r>
        <w:rPr>
          <w:rFonts w:hint="eastAsia" w:ascii="Times New Roman" w:hAnsi="Times New Roman" w:eastAsia="宋体" w:cs="Times New Roman"/>
          <w:b/>
          <w:bCs/>
          <w:color w:val="auto"/>
          <w:sz w:val="24"/>
          <w:szCs w:val="24"/>
          <w:highlight w:val="none"/>
          <w:lang w:val="en-US" w:eastAsia="zh-CN"/>
        </w:rPr>
        <w:t>附件7园区规划环评批文</w:t>
      </w:r>
      <w:bookmarkEnd w:id="27"/>
    </w:p>
    <w:p w14:paraId="39657824">
      <w:pPr>
        <w:rPr>
          <w:rFonts w:hint="eastAsia"/>
          <w:color w:val="auto"/>
          <w:highlight w:val="none"/>
          <w:lang w:val="en-US" w:eastAsia="zh-CN"/>
        </w:rPr>
      </w:pPr>
      <w:r>
        <w:rPr>
          <w:rFonts w:hint="default" w:cs="Times New Roman"/>
          <w:color w:val="auto"/>
          <w:highlight w:val="none"/>
          <w:lang w:val="en-US" w:eastAsia="zh-CN"/>
        </w:rPr>
        <w:drawing>
          <wp:inline distT="0" distB="0" distL="114300" distR="114300">
            <wp:extent cx="5591175" cy="7914005"/>
            <wp:effectExtent l="0" t="0" r="9525" b="10795"/>
            <wp:docPr id="29" name="图片 29" descr="关于《黑龙江铁力经济开发区总体规划环境影响报告书》的审查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关于《黑龙江铁力经济开发区总体规划环境影响报告书》的审查意见_01"/>
                    <pic:cNvPicPr>
                      <a:picLocks noChangeAspect="1"/>
                    </pic:cNvPicPr>
                  </pic:nvPicPr>
                  <pic:blipFill>
                    <a:blip r:embed="rId57"/>
                    <a:stretch>
                      <a:fillRect/>
                    </a:stretch>
                  </pic:blipFill>
                  <pic:spPr>
                    <a:xfrm>
                      <a:off x="0" y="0"/>
                      <a:ext cx="5591175" cy="791400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591175" cy="7914005"/>
            <wp:effectExtent l="0" t="0" r="9525" b="10795"/>
            <wp:docPr id="27" name="图片 27" descr="关于《黑龙江铁力经济开发区总体规划环境影响报告书》的审查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关于《黑龙江铁力经济开发区总体规划环境影响报告书》的审查意见_02"/>
                    <pic:cNvPicPr>
                      <a:picLocks noChangeAspect="1"/>
                    </pic:cNvPicPr>
                  </pic:nvPicPr>
                  <pic:blipFill>
                    <a:blip r:embed="rId58"/>
                    <a:stretch>
                      <a:fillRect/>
                    </a:stretch>
                  </pic:blipFill>
                  <pic:spPr>
                    <a:xfrm>
                      <a:off x="0" y="0"/>
                      <a:ext cx="5591175" cy="791400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591175" cy="7914005"/>
            <wp:effectExtent l="0" t="0" r="9525" b="10795"/>
            <wp:docPr id="26" name="图片 26" descr="关于《黑龙江铁力经济开发区总体规划环境影响报告书》的审查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关于《黑龙江铁力经济开发区总体规划环境影响报告书》的审查意见_03"/>
                    <pic:cNvPicPr>
                      <a:picLocks noChangeAspect="1"/>
                    </pic:cNvPicPr>
                  </pic:nvPicPr>
                  <pic:blipFill>
                    <a:blip r:embed="rId59"/>
                    <a:stretch>
                      <a:fillRect/>
                    </a:stretch>
                  </pic:blipFill>
                  <pic:spPr>
                    <a:xfrm>
                      <a:off x="0" y="0"/>
                      <a:ext cx="5591175" cy="7914005"/>
                    </a:xfrm>
                    <a:prstGeom prst="rect">
                      <a:avLst/>
                    </a:prstGeom>
                  </pic:spPr>
                </pic:pic>
              </a:graphicData>
            </a:graphic>
          </wp:inline>
        </w:drawing>
      </w:r>
    </w:p>
    <w:p w14:paraId="689BF212">
      <w:pPr>
        <w:jc w:val="center"/>
        <w:rPr>
          <w:rFonts w:hint="default" w:cs="Times New Roman"/>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cs="Times New Roman"/>
          <w:color w:val="auto"/>
          <w:highlight w:val="none"/>
          <w:lang w:val="en-US" w:eastAsia="zh-CN"/>
        </w:rPr>
        <w:drawing>
          <wp:inline distT="0" distB="0" distL="114300" distR="114300">
            <wp:extent cx="5591175" cy="7914005"/>
            <wp:effectExtent l="0" t="0" r="9525" b="10795"/>
            <wp:docPr id="13" name="图片 13" descr="关于《黑龙江铁力经济开发区总体规划环境影响报告书》的审查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关于《黑龙江铁力经济开发区总体规划环境影响报告书》的审查意见_04"/>
                    <pic:cNvPicPr>
                      <a:picLocks noChangeAspect="1"/>
                    </pic:cNvPicPr>
                  </pic:nvPicPr>
                  <pic:blipFill>
                    <a:blip r:embed="rId60"/>
                    <a:stretch>
                      <a:fillRect/>
                    </a:stretch>
                  </pic:blipFill>
                  <pic:spPr>
                    <a:xfrm>
                      <a:off x="0" y="0"/>
                      <a:ext cx="5591175" cy="791400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591175" cy="7914005"/>
            <wp:effectExtent l="0" t="0" r="9525" b="10795"/>
            <wp:docPr id="4" name="图片 4" descr="关于《黑龙江铁力经济开发区总体规划环境影响报告书》的审查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关于《黑龙江铁力经济开发区总体规划环境影响报告书》的审查意见_05"/>
                    <pic:cNvPicPr>
                      <a:picLocks noChangeAspect="1"/>
                    </pic:cNvPicPr>
                  </pic:nvPicPr>
                  <pic:blipFill>
                    <a:blip r:embed="rId61"/>
                    <a:stretch>
                      <a:fillRect/>
                    </a:stretch>
                  </pic:blipFill>
                  <pic:spPr>
                    <a:xfrm>
                      <a:off x="0" y="0"/>
                      <a:ext cx="5591175" cy="791400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591175" cy="7914005"/>
            <wp:effectExtent l="0" t="0" r="9525" b="10795"/>
            <wp:docPr id="30" name="图片 30" descr="关于《黑龙江铁力经济开发区总体规划环境影响报告书》的审查意见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关于《黑龙江铁力经济开发区总体规划环境影响报告书》的审查意见_06"/>
                    <pic:cNvPicPr>
                      <a:picLocks noChangeAspect="1"/>
                    </pic:cNvPicPr>
                  </pic:nvPicPr>
                  <pic:blipFill>
                    <a:blip r:embed="rId62"/>
                    <a:stretch>
                      <a:fillRect/>
                    </a:stretch>
                  </pic:blipFill>
                  <pic:spPr>
                    <a:xfrm>
                      <a:off x="0" y="0"/>
                      <a:ext cx="5591175" cy="7914005"/>
                    </a:xfrm>
                    <a:prstGeom prst="rect">
                      <a:avLst/>
                    </a:prstGeom>
                  </pic:spPr>
                </pic:pic>
              </a:graphicData>
            </a:graphic>
          </wp:inline>
        </w:drawing>
      </w:r>
    </w:p>
    <w:p w14:paraId="3EC186B8">
      <w:pPr>
        <w:pStyle w:val="3"/>
        <w:bidi w:val="0"/>
        <w:rPr>
          <w:rFonts w:hint="default" w:ascii="Times New Roman" w:hAnsi="Times New Roman" w:eastAsia="宋体" w:cs="Times New Roman"/>
          <w:b/>
          <w:bCs/>
          <w:color w:val="auto"/>
          <w:sz w:val="24"/>
          <w:szCs w:val="24"/>
          <w:highlight w:val="none"/>
          <w:lang w:val="en-US" w:eastAsia="zh-CN"/>
        </w:rPr>
      </w:pPr>
      <w:bookmarkStart w:id="28" w:name="_Toc32492"/>
      <w:r>
        <w:rPr>
          <w:rFonts w:hint="eastAsia" w:ascii="Times New Roman" w:hAnsi="Times New Roman" w:eastAsia="宋体" w:cs="Times New Roman"/>
          <w:b/>
          <w:bCs/>
          <w:color w:val="auto"/>
          <w:sz w:val="24"/>
          <w:szCs w:val="24"/>
          <w:highlight w:val="none"/>
          <w:lang w:val="en-US" w:eastAsia="zh-CN"/>
        </w:rPr>
        <w:t>附件</w:t>
      </w:r>
      <w:r>
        <w:rPr>
          <w:rFonts w:hint="eastAsia" w:eastAsia="宋体" w:cs="Times New Roman"/>
          <w:b/>
          <w:bCs/>
          <w:color w:val="auto"/>
          <w:sz w:val="24"/>
          <w:szCs w:val="24"/>
          <w:highlight w:val="none"/>
          <w:lang w:val="en-US" w:eastAsia="zh-CN"/>
        </w:rPr>
        <w:t>8生态环境分区管控报告</w:t>
      </w:r>
      <w:bookmarkEnd w:id="28"/>
    </w:p>
    <w:p w14:paraId="16D4EAF3">
      <w:pPr>
        <w:jc w:val="center"/>
        <w:rPr>
          <w:rFonts w:hint="default" w:cs="Times New Roman"/>
          <w:color w:val="auto"/>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default" w:cs="Times New Roman"/>
          <w:color w:val="auto"/>
          <w:highlight w:val="none"/>
          <w:lang w:val="en-US" w:eastAsia="zh-CN"/>
        </w:rPr>
        <w:drawing>
          <wp:inline distT="0" distB="0" distL="114300" distR="114300">
            <wp:extent cx="5602605" cy="3961765"/>
            <wp:effectExtent l="0" t="0" r="17145" b="635"/>
            <wp:docPr id="45" name="图片 45" descr="30万吨粉煤灰综合利用年产60万立方米蒸压加气混凝土砌块与蒸压加气混凝土板材（ALC板）建设_2026年05月06日155814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30万吨粉煤灰综合利用年产60万立方米蒸压加气混凝土砌块与蒸压加气混凝土板材（ALC板）建设_2026年05月06日155814_分析报告_01"/>
                    <pic:cNvPicPr>
                      <a:picLocks noChangeAspect="1"/>
                    </pic:cNvPicPr>
                  </pic:nvPicPr>
                  <pic:blipFill>
                    <a:blip r:embed="rId63"/>
                    <a:stretch>
                      <a:fillRect/>
                    </a:stretch>
                  </pic:blipFill>
                  <pic:spPr>
                    <a:xfrm>
                      <a:off x="0" y="0"/>
                      <a:ext cx="5602605" cy="396176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602605" cy="3961765"/>
            <wp:effectExtent l="0" t="0" r="17145" b="635"/>
            <wp:docPr id="44" name="图片 44" descr="30万吨粉煤灰综合利用年产60万立方米蒸压加气混凝土砌块与蒸压加气混凝土板材（ALC板）建设_2026年05月06日155814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30万吨粉煤灰综合利用年产60万立方米蒸压加气混凝土砌块与蒸压加气混凝土板材（ALC板）建设_2026年05月06日155814_分析报告_02"/>
                    <pic:cNvPicPr>
                      <a:picLocks noChangeAspect="1"/>
                    </pic:cNvPicPr>
                  </pic:nvPicPr>
                  <pic:blipFill>
                    <a:blip r:embed="rId64"/>
                    <a:stretch>
                      <a:fillRect/>
                    </a:stretch>
                  </pic:blipFill>
                  <pic:spPr>
                    <a:xfrm>
                      <a:off x="0" y="0"/>
                      <a:ext cx="5602605" cy="396176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602605" cy="3961765"/>
            <wp:effectExtent l="0" t="0" r="17145" b="635"/>
            <wp:docPr id="43" name="图片 43" descr="30万吨粉煤灰综合利用年产60万立方米蒸压加气混凝土砌块与蒸压加气混凝土板材（ALC板）建设_2026年05月06日155814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30万吨粉煤灰综合利用年产60万立方米蒸压加气混凝土砌块与蒸压加气混凝土板材（ALC板）建设_2026年05月06日155814_分析报告_03"/>
                    <pic:cNvPicPr>
                      <a:picLocks noChangeAspect="1"/>
                    </pic:cNvPicPr>
                  </pic:nvPicPr>
                  <pic:blipFill>
                    <a:blip r:embed="rId65"/>
                    <a:stretch>
                      <a:fillRect/>
                    </a:stretch>
                  </pic:blipFill>
                  <pic:spPr>
                    <a:xfrm>
                      <a:off x="0" y="0"/>
                      <a:ext cx="5602605" cy="396176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602605" cy="3961765"/>
            <wp:effectExtent l="0" t="0" r="17145" b="635"/>
            <wp:docPr id="42" name="图片 42" descr="30万吨粉煤灰综合利用年产60万立方米蒸压加气混凝土砌块与蒸压加气混凝土板材（ALC板）建设_2026年05月06日155814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30万吨粉煤灰综合利用年产60万立方米蒸压加气混凝土砌块与蒸压加气混凝土板材（ALC板）建设_2026年05月06日155814_分析报告_04"/>
                    <pic:cNvPicPr>
                      <a:picLocks noChangeAspect="1"/>
                    </pic:cNvPicPr>
                  </pic:nvPicPr>
                  <pic:blipFill>
                    <a:blip r:embed="rId66"/>
                    <a:stretch>
                      <a:fillRect/>
                    </a:stretch>
                  </pic:blipFill>
                  <pic:spPr>
                    <a:xfrm>
                      <a:off x="0" y="0"/>
                      <a:ext cx="5602605" cy="396176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602605" cy="3961765"/>
            <wp:effectExtent l="0" t="0" r="17145" b="635"/>
            <wp:docPr id="41" name="图片 41" descr="30万吨粉煤灰综合利用年产60万立方米蒸压加气混凝土砌块与蒸压加气混凝土板材（ALC板）建设_2026年05月06日155814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30万吨粉煤灰综合利用年产60万立方米蒸压加气混凝土砌块与蒸压加气混凝土板材（ALC板）建设_2026年05月06日155814_分析报告_05"/>
                    <pic:cNvPicPr>
                      <a:picLocks noChangeAspect="1"/>
                    </pic:cNvPicPr>
                  </pic:nvPicPr>
                  <pic:blipFill>
                    <a:blip r:embed="rId67"/>
                    <a:stretch>
                      <a:fillRect/>
                    </a:stretch>
                  </pic:blipFill>
                  <pic:spPr>
                    <a:xfrm>
                      <a:off x="0" y="0"/>
                      <a:ext cx="5602605" cy="396176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602605" cy="3961765"/>
            <wp:effectExtent l="0" t="0" r="17145" b="635"/>
            <wp:docPr id="40" name="图片 40" descr="30万吨粉煤灰综合利用年产60万立方米蒸压加气混凝土砌块与蒸压加气混凝土板材（ALC板）建设_2026年05月06日155814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30万吨粉煤灰综合利用年产60万立方米蒸压加气混凝土砌块与蒸压加气混凝土板材（ALC板）建设_2026年05月06日155814_分析报告_06"/>
                    <pic:cNvPicPr>
                      <a:picLocks noChangeAspect="1"/>
                    </pic:cNvPicPr>
                  </pic:nvPicPr>
                  <pic:blipFill>
                    <a:blip r:embed="rId68"/>
                    <a:stretch>
                      <a:fillRect/>
                    </a:stretch>
                  </pic:blipFill>
                  <pic:spPr>
                    <a:xfrm>
                      <a:off x="0" y="0"/>
                      <a:ext cx="5602605" cy="396176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602605" cy="3961765"/>
            <wp:effectExtent l="0" t="0" r="17145" b="635"/>
            <wp:docPr id="39" name="图片 39" descr="30万吨粉煤灰综合利用年产60万立方米蒸压加气混凝土砌块与蒸压加气混凝土板材（ALC板）建设_2026年05月06日155814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30万吨粉煤灰综合利用年产60万立方米蒸压加气混凝土砌块与蒸压加气混凝土板材（ALC板）建设_2026年05月06日155814_分析报告_07"/>
                    <pic:cNvPicPr>
                      <a:picLocks noChangeAspect="1"/>
                    </pic:cNvPicPr>
                  </pic:nvPicPr>
                  <pic:blipFill>
                    <a:blip r:embed="rId69"/>
                    <a:stretch>
                      <a:fillRect/>
                    </a:stretch>
                  </pic:blipFill>
                  <pic:spPr>
                    <a:xfrm>
                      <a:off x="0" y="0"/>
                      <a:ext cx="5602605" cy="396176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602605" cy="3961765"/>
            <wp:effectExtent l="0" t="0" r="17145" b="635"/>
            <wp:docPr id="38" name="图片 38" descr="30万吨粉煤灰综合利用年产60万立方米蒸压加气混凝土砌块与蒸压加气混凝土板材（ALC板）建设_2026年05月06日155814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30万吨粉煤灰综合利用年产60万立方米蒸压加气混凝土砌块与蒸压加气混凝土板材（ALC板）建设_2026年05月06日155814_分析报告_08"/>
                    <pic:cNvPicPr>
                      <a:picLocks noChangeAspect="1"/>
                    </pic:cNvPicPr>
                  </pic:nvPicPr>
                  <pic:blipFill>
                    <a:blip r:embed="rId70"/>
                    <a:stretch>
                      <a:fillRect/>
                    </a:stretch>
                  </pic:blipFill>
                  <pic:spPr>
                    <a:xfrm>
                      <a:off x="0" y="0"/>
                      <a:ext cx="5602605" cy="396176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602605" cy="3961765"/>
            <wp:effectExtent l="0" t="0" r="17145" b="635"/>
            <wp:docPr id="37" name="图片 37" descr="30万吨粉煤灰综合利用年产60万立方米蒸压加气混凝土砌块与蒸压加气混凝土板材（ALC板）建设_2026年05月06日155814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30万吨粉煤灰综合利用年产60万立方米蒸压加气混凝土砌块与蒸压加气混凝土板材（ALC板）建设_2026年05月06日155814_分析报告_09"/>
                    <pic:cNvPicPr>
                      <a:picLocks noChangeAspect="1"/>
                    </pic:cNvPicPr>
                  </pic:nvPicPr>
                  <pic:blipFill>
                    <a:blip r:embed="rId71"/>
                    <a:stretch>
                      <a:fillRect/>
                    </a:stretch>
                  </pic:blipFill>
                  <pic:spPr>
                    <a:xfrm>
                      <a:off x="0" y="0"/>
                      <a:ext cx="5602605" cy="396176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602605" cy="3961765"/>
            <wp:effectExtent l="0" t="0" r="17145" b="635"/>
            <wp:docPr id="36" name="图片 36" descr="30万吨粉煤灰综合利用年产60万立方米蒸压加气混凝土砌块与蒸压加气混凝土板材（ALC板）建设_2026年05月06日155814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30万吨粉煤灰综合利用年产60万立方米蒸压加气混凝土砌块与蒸压加气混凝土板材（ALC板）建设_2026年05月06日155814_分析报告_10"/>
                    <pic:cNvPicPr>
                      <a:picLocks noChangeAspect="1"/>
                    </pic:cNvPicPr>
                  </pic:nvPicPr>
                  <pic:blipFill>
                    <a:blip r:embed="rId72"/>
                    <a:stretch>
                      <a:fillRect/>
                    </a:stretch>
                  </pic:blipFill>
                  <pic:spPr>
                    <a:xfrm>
                      <a:off x="0" y="0"/>
                      <a:ext cx="5602605" cy="396176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602605" cy="3961765"/>
            <wp:effectExtent l="0" t="0" r="17145" b="635"/>
            <wp:docPr id="35" name="图片 35" descr="30万吨粉煤灰综合利用年产60万立方米蒸压加气混凝土砌块与蒸压加气混凝土板材（ALC板）建设_2026年05月06日155814_分析报告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30万吨粉煤灰综合利用年产60万立方米蒸压加气混凝土砌块与蒸压加气混凝土板材（ALC板）建设_2026年05月06日155814_分析报告_11"/>
                    <pic:cNvPicPr>
                      <a:picLocks noChangeAspect="1"/>
                    </pic:cNvPicPr>
                  </pic:nvPicPr>
                  <pic:blipFill>
                    <a:blip r:embed="rId73"/>
                    <a:stretch>
                      <a:fillRect/>
                    </a:stretch>
                  </pic:blipFill>
                  <pic:spPr>
                    <a:xfrm>
                      <a:off x="0" y="0"/>
                      <a:ext cx="5602605" cy="396176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602605" cy="3961765"/>
            <wp:effectExtent l="0" t="0" r="17145" b="635"/>
            <wp:docPr id="34" name="图片 34" descr="30万吨粉煤灰综合利用年产60万立方米蒸压加气混凝土砌块与蒸压加气混凝土板材（ALC板）建设_2026年05月06日155814_分析报告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30万吨粉煤灰综合利用年产60万立方米蒸压加气混凝土砌块与蒸压加气混凝土板材（ALC板）建设_2026年05月06日155814_分析报告_12"/>
                    <pic:cNvPicPr>
                      <a:picLocks noChangeAspect="1"/>
                    </pic:cNvPicPr>
                  </pic:nvPicPr>
                  <pic:blipFill>
                    <a:blip r:embed="rId74"/>
                    <a:stretch>
                      <a:fillRect/>
                    </a:stretch>
                  </pic:blipFill>
                  <pic:spPr>
                    <a:xfrm>
                      <a:off x="0" y="0"/>
                      <a:ext cx="5602605" cy="3961765"/>
                    </a:xfrm>
                    <a:prstGeom prst="rect">
                      <a:avLst/>
                    </a:prstGeom>
                  </pic:spPr>
                </pic:pic>
              </a:graphicData>
            </a:graphic>
          </wp:inline>
        </w:drawing>
      </w:r>
    </w:p>
    <w:p w14:paraId="5C9366BC">
      <w:pPr>
        <w:pStyle w:val="3"/>
        <w:bidi w:val="0"/>
        <w:rPr>
          <w:rFonts w:hint="default" w:ascii="Times New Roman" w:hAnsi="Times New Roman" w:eastAsia="宋体" w:cs="Times New Roman"/>
          <w:b/>
          <w:bCs/>
          <w:color w:val="auto"/>
          <w:sz w:val="24"/>
          <w:szCs w:val="24"/>
          <w:highlight w:val="none"/>
        </w:rPr>
      </w:pPr>
      <w:bookmarkStart w:id="29" w:name="_Toc2015"/>
      <w:bookmarkStart w:id="30" w:name="_Toc27644"/>
      <w:r>
        <w:rPr>
          <w:rFonts w:hint="default" w:ascii="Times New Roman" w:hAnsi="Times New Roman" w:eastAsia="宋体" w:cs="Times New Roman"/>
          <w:b/>
          <w:bCs/>
          <w:color w:val="auto"/>
          <w:sz w:val="24"/>
          <w:szCs w:val="24"/>
          <w:highlight w:val="none"/>
        </w:rPr>
        <w:t>附件</w:t>
      </w:r>
      <w:r>
        <w:rPr>
          <w:rFonts w:hint="eastAsia" w:eastAsia="宋体" w:cs="Times New Roman"/>
          <w:b/>
          <w:bCs/>
          <w:color w:val="auto"/>
          <w:sz w:val="24"/>
          <w:szCs w:val="24"/>
          <w:highlight w:val="none"/>
          <w:lang w:val="en-US" w:eastAsia="zh-CN"/>
        </w:rPr>
        <w:t>9</w:t>
      </w:r>
      <w:r>
        <w:rPr>
          <w:rFonts w:hint="default" w:ascii="Times New Roman" w:hAnsi="Times New Roman" w:eastAsia="宋体" w:cs="Times New Roman"/>
          <w:b/>
          <w:bCs/>
          <w:color w:val="auto"/>
          <w:sz w:val="24"/>
          <w:szCs w:val="24"/>
          <w:highlight w:val="none"/>
        </w:rPr>
        <w:t>总量计算文件</w:t>
      </w:r>
      <w:bookmarkEnd w:id="29"/>
      <w:bookmarkEnd w:id="30"/>
    </w:p>
    <w:p w14:paraId="2AC509D7">
      <w:pPr>
        <w:pStyle w:val="8"/>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eastAsia="zh-CN"/>
        </w:rPr>
        <w:t>）锅炉废气</w:t>
      </w:r>
    </w:p>
    <w:p w14:paraId="0811C8E2">
      <w:pPr>
        <w:pStyle w:val="8"/>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本项目建设1台</w:t>
      </w:r>
      <w:r>
        <w:rPr>
          <w:rFonts w:hint="default" w:ascii="Times New Roman" w:hAnsi="Times New Roman" w:cs="Times New Roman"/>
          <w:color w:val="auto"/>
          <w:sz w:val="21"/>
          <w:szCs w:val="21"/>
          <w:highlight w:val="none"/>
          <w:lang w:val="en-US" w:eastAsia="zh-CN"/>
        </w:rPr>
        <w:t>12t/h燃生物质</w:t>
      </w:r>
      <w:r>
        <w:rPr>
          <w:rFonts w:hint="default" w:ascii="Times New Roman" w:hAnsi="Times New Roman" w:cs="Times New Roman"/>
          <w:color w:val="auto"/>
          <w:sz w:val="21"/>
          <w:szCs w:val="21"/>
          <w:highlight w:val="none"/>
        </w:rPr>
        <w:t>锅炉，年</w:t>
      </w:r>
      <w:r>
        <w:rPr>
          <w:rFonts w:hint="default" w:ascii="Times New Roman" w:hAnsi="Times New Roman" w:cs="Times New Roman"/>
          <w:color w:val="auto"/>
          <w:sz w:val="21"/>
          <w:szCs w:val="21"/>
          <w:highlight w:val="none"/>
          <w:lang w:val="en-US" w:eastAsia="zh-CN"/>
        </w:rPr>
        <w:t>燃煤</w:t>
      </w:r>
      <w:r>
        <w:rPr>
          <w:rFonts w:hint="default" w:ascii="Times New Roman" w:hAnsi="Times New Roman" w:cs="Times New Roman"/>
          <w:color w:val="auto"/>
          <w:sz w:val="21"/>
          <w:szCs w:val="21"/>
          <w:highlight w:val="none"/>
        </w:rPr>
        <w:t>量为</w:t>
      </w:r>
      <w:r>
        <w:rPr>
          <w:rFonts w:hint="default"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1904</w:t>
      </w:r>
      <w:r>
        <w:rPr>
          <w:rFonts w:hint="default" w:ascii="Times New Roman" w:hAnsi="Times New Roman" w:cs="Times New Roman"/>
          <w:color w:val="auto"/>
          <w:sz w:val="21"/>
          <w:szCs w:val="21"/>
          <w:highlight w:val="none"/>
        </w:rPr>
        <w:t>t/a，根据《关于核定总量计算说明》对锅炉排放的污染物计算情况如下：</w:t>
      </w:r>
    </w:p>
    <w:p w14:paraId="7C65DD76">
      <w:pPr>
        <w:pStyle w:val="8"/>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干烟气排放量计算参照《排污许可证申请与核发技术规范 锅炉》（HJ953-2018），本项目低位发热量（Q</w:t>
      </w:r>
      <w:r>
        <w:rPr>
          <w:rFonts w:hint="default" w:ascii="Times New Roman" w:hAnsi="Times New Roman" w:cs="Times New Roman"/>
          <w:color w:val="auto"/>
          <w:sz w:val="21"/>
          <w:szCs w:val="21"/>
          <w:highlight w:val="none"/>
          <w:vertAlign w:val="subscript"/>
        </w:rPr>
        <w:t>net，ar</w:t>
      </w:r>
      <w:r>
        <w:rPr>
          <w:rFonts w:hint="default" w:ascii="Times New Roman" w:hAnsi="Times New Roman" w:cs="Times New Roman"/>
          <w:color w:val="auto"/>
          <w:sz w:val="21"/>
          <w:szCs w:val="21"/>
          <w:highlight w:val="none"/>
        </w:rPr>
        <w:t>）为1</w:t>
      </w:r>
      <w:r>
        <w:rPr>
          <w:rFonts w:hint="default" w:ascii="Times New Roman" w:hAnsi="Times New Roman" w:cs="Times New Roman"/>
          <w:color w:val="auto"/>
          <w:sz w:val="21"/>
          <w:szCs w:val="21"/>
          <w:highlight w:val="none"/>
          <w:lang w:val="en-US" w:eastAsia="zh-CN"/>
        </w:rPr>
        <w:t>4.</w:t>
      </w:r>
      <w:r>
        <w:rPr>
          <w:rFonts w:hint="eastAsia" w:cs="Times New Roman"/>
          <w:color w:val="auto"/>
          <w:sz w:val="21"/>
          <w:szCs w:val="21"/>
          <w:highlight w:val="none"/>
          <w:lang w:val="en-US" w:eastAsia="zh-CN"/>
        </w:rPr>
        <w:t>132</w:t>
      </w:r>
      <w:r>
        <w:rPr>
          <w:rFonts w:hint="default" w:ascii="Times New Roman" w:hAnsi="Times New Roman" w:cs="Times New Roman"/>
          <w:color w:val="auto"/>
          <w:sz w:val="21"/>
          <w:szCs w:val="21"/>
          <w:highlight w:val="none"/>
        </w:rPr>
        <w:t>MJ/kg，因此基准烟气量采用下式计算：</w:t>
      </w:r>
    </w:p>
    <w:p w14:paraId="5CCB6203">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则本项目的基准烟气量为Vgy=</w:t>
      </w:r>
      <w:r>
        <w:rPr>
          <w:rFonts w:hint="eastAsia" w:cs="Times New Roman"/>
          <w:color w:val="auto"/>
          <w:sz w:val="21"/>
          <w:szCs w:val="21"/>
          <w:highlight w:val="none"/>
          <w:lang w:val="en-US" w:eastAsia="zh-CN"/>
        </w:rPr>
        <w:t>5.78</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/kg</w:t>
      </w:r>
    </w:p>
    <w:p w14:paraId="272DC889">
      <w:pPr>
        <w:pStyle w:val="8"/>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颗粒物排放量=燃料量×</w:t>
      </w:r>
      <w:r>
        <w:rPr>
          <w:rFonts w:hint="eastAsia" w:cs="Times New Roman"/>
          <w:color w:val="auto"/>
          <w:sz w:val="21"/>
          <w:szCs w:val="21"/>
          <w:highlight w:val="none"/>
          <w:lang w:val="en-US" w:eastAsia="zh-CN"/>
        </w:rPr>
        <w:t>5.78</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50</w:t>
      </w:r>
      <w:r>
        <w:rPr>
          <w:rFonts w:hint="default" w:ascii="Times New Roman" w:hAnsi="Times New Roman" w:cs="Times New Roman"/>
          <w:color w:val="auto"/>
          <w:sz w:val="21"/>
          <w:szCs w:val="21"/>
          <w:highlight w:val="none"/>
        </w:rPr>
        <w:t>×10</w:t>
      </w:r>
      <w:r>
        <w:rPr>
          <w:rFonts w:hint="default" w:ascii="Times New Roman" w:hAnsi="Times New Roman"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6</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3.44</w:t>
      </w:r>
      <w:r>
        <w:rPr>
          <w:rFonts w:hint="default" w:ascii="Times New Roman" w:hAnsi="Times New Roman" w:cs="Times New Roman"/>
          <w:color w:val="auto"/>
          <w:sz w:val="21"/>
          <w:szCs w:val="21"/>
          <w:highlight w:val="none"/>
        </w:rPr>
        <w:t>t/a</w:t>
      </w:r>
    </w:p>
    <w:p w14:paraId="57D7E3C8">
      <w:pPr>
        <w:pStyle w:val="8"/>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二氧化硫排放量=燃料量×</w:t>
      </w:r>
      <w:r>
        <w:rPr>
          <w:rFonts w:hint="eastAsia" w:cs="Times New Roman"/>
          <w:color w:val="auto"/>
          <w:sz w:val="21"/>
          <w:szCs w:val="21"/>
          <w:highlight w:val="none"/>
          <w:lang w:val="en-US" w:eastAsia="zh-CN"/>
        </w:rPr>
        <w:t>5.78</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00×0.8×10</w:t>
      </w:r>
      <w:r>
        <w:rPr>
          <w:rFonts w:hint="default" w:ascii="Times New Roman" w:hAnsi="Times New Roman"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6</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16.51</w:t>
      </w:r>
      <w:r>
        <w:rPr>
          <w:rFonts w:hint="default" w:ascii="Times New Roman" w:hAnsi="Times New Roman" w:cs="Times New Roman"/>
          <w:color w:val="auto"/>
          <w:sz w:val="21"/>
          <w:szCs w:val="21"/>
          <w:highlight w:val="none"/>
        </w:rPr>
        <w:t>t/a</w:t>
      </w:r>
    </w:p>
    <w:p w14:paraId="385F16C3">
      <w:pPr>
        <w:pStyle w:val="8"/>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氮氧化物排放量=燃料量×</w:t>
      </w:r>
      <w:r>
        <w:rPr>
          <w:rFonts w:hint="eastAsia" w:cs="Times New Roman"/>
          <w:color w:val="auto"/>
          <w:sz w:val="21"/>
          <w:szCs w:val="21"/>
          <w:highlight w:val="none"/>
          <w:lang w:val="en-US" w:eastAsia="zh-CN"/>
        </w:rPr>
        <w:t>5.78</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00×10</w:t>
      </w:r>
      <w:r>
        <w:rPr>
          <w:rFonts w:hint="default" w:ascii="Times New Roman" w:hAnsi="Times New Roman" w:cs="Times New Roman"/>
          <w:color w:val="auto"/>
          <w:sz w:val="21"/>
          <w:szCs w:val="21"/>
          <w:highlight w:val="none"/>
          <w:vertAlign w:val="superscript"/>
        </w:rPr>
        <w:t>-</w:t>
      </w:r>
      <w:r>
        <w:rPr>
          <w:rFonts w:hint="eastAsia" w:cs="Times New Roman"/>
          <w:color w:val="auto"/>
          <w:sz w:val="21"/>
          <w:szCs w:val="21"/>
          <w:highlight w:val="none"/>
          <w:vertAlign w:val="superscript"/>
          <w:lang w:val="en-US" w:eastAsia="zh-CN"/>
        </w:rPr>
        <w:t>6</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20.64</w:t>
      </w:r>
      <w:r>
        <w:rPr>
          <w:rFonts w:hint="default" w:ascii="Times New Roman" w:hAnsi="Times New Roman" w:cs="Times New Roman"/>
          <w:color w:val="auto"/>
          <w:sz w:val="21"/>
          <w:szCs w:val="21"/>
          <w:highlight w:val="none"/>
        </w:rPr>
        <w:t>t/a</w:t>
      </w:r>
    </w:p>
    <w:p w14:paraId="6750BC1D">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w:t>
      </w:r>
      <w:r>
        <w:rPr>
          <w:rFonts w:hint="default"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bCs/>
          <w:color w:val="auto"/>
          <w:sz w:val="21"/>
          <w:szCs w:val="21"/>
          <w:highlight w:val="none"/>
        </w:rPr>
        <w:t>）</w:t>
      </w:r>
      <w:r>
        <w:rPr>
          <w:rFonts w:hint="default" w:ascii="Times New Roman" w:hAnsi="Times New Roman" w:cs="Times New Roman"/>
          <w:bCs/>
          <w:color w:val="auto"/>
          <w:sz w:val="21"/>
          <w:szCs w:val="21"/>
          <w:highlight w:val="none"/>
          <w:lang w:val="en-US" w:eastAsia="zh-CN"/>
        </w:rPr>
        <w:t>车间废气排气筒</w:t>
      </w:r>
      <w:r>
        <w:rPr>
          <w:rFonts w:hint="default" w:ascii="Times New Roman" w:hAnsi="Times New Roman" w:eastAsia="宋体" w:cs="Times New Roman"/>
          <w:bCs/>
          <w:color w:val="auto"/>
          <w:sz w:val="21"/>
          <w:szCs w:val="21"/>
          <w:highlight w:val="none"/>
          <w:lang w:val="en-US" w:eastAsia="zh-CN"/>
        </w:rPr>
        <w:t>排放量</w:t>
      </w:r>
    </w:p>
    <w:p w14:paraId="7D76BE06">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根据《排污许可证申请与核发技术规范 总则》（HJ942-2018）“5.2.3允许排放量”中年许可排放量核算方法计算本项目挥发性有机物</w:t>
      </w:r>
      <w:r>
        <w:rPr>
          <w:rFonts w:hint="default" w:ascii="Times New Roman" w:hAnsi="Times New Roman" w:cs="Times New Roman"/>
          <w:bCs/>
          <w:color w:val="auto"/>
          <w:sz w:val="21"/>
          <w:szCs w:val="21"/>
          <w:highlight w:val="none"/>
          <w:lang w:val="en-US" w:eastAsia="zh-CN"/>
        </w:rPr>
        <w:t>及颗粒物的</w:t>
      </w:r>
      <w:r>
        <w:rPr>
          <w:rFonts w:hint="default" w:ascii="Times New Roman" w:hAnsi="Times New Roman" w:eastAsia="宋体" w:cs="Times New Roman"/>
          <w:bCs/>
          <w:color w:val="auto"/>
          <w:sz w:val="21"/>
          <w:szCs w:val="21"/>
          <w:highlight w:val="none"/>
          <w:lang w:val="en-US" w:eastAsia="zh-CN"/>
        </w:rPr>
        <w:t>有组织排放核定总量。无规定的基准排气量时，计算公式如下：</w:t>
      </w:r>
    </w:p>
    <w:p w14:paraId="01D54349">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object>
          <v:shape id="_x0000_i1032" o:spt="75" type="#_x0000_t75" style="height:18pt;width:100pt;" o:ole="t" filled="f" o:preferrelative="t" stroked="f" coordsize="21600,21600">
            <v:path/>
            <v:fill on="f" focussize="0,0"/>
            <v:stroke on="f"/>
            <v:imagedata r:id="rId76" o:title=""/>
            <o:lock v:ext="edit" aspectratio="t"/>
            <w10:wrap type="none"/>
            <w10:anchorlock/>
          </v:shape>
          <o:OLEObject Type="Embed" ProgID="Equation.KSEE3" ShapeID="_x0000_i1032" DrawAspect="Content" ObjectID="_1468075732" r:id="rId75">
            <o:LockedField>false</o:LockedField>
          </o:OLEObject>
        </w:object>
      </w:r>
    </w:p>
    <w:p w14:paraId="5396DF19">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object>
          <v:shape id="_x0000_i1033" o:spt="75" type="#_x0000_t75" style="height:34pt;width:72pt;" o:ole="t" filled="f" o:preferrelative="t" stroked="f" coordsize="21600,21600">
            <v:path/>
            <v:fill on="f" focussize="0,0"/>
            <v:stroke on="f"/>
            <v:imagedata r:id="rId78" o:title=""/>
            <o:lock v:ext="edit" aspectratio="t"/>
            <w10:wrap type="none"/>
            <w10:anchorlock/>
          </v:shape>
          <o:OLEObject Type="Embed" ProgID="Equation.KSEE3" ShapeID="_x0000_i1033" DrawAspect="Content" ObjectID="_1468075733" r:id="rId77">
            <o:LockedField>false</o:LockedField>
          </o:OLEObject>
        </w:object>
      </w:r>
    </w:p>
    <w:p w14:paraId="67789E7F">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式中：Mi—第i个主要排放口污染物年许可排放量，t；</w:t>
      </w:r>
    </w:p>
    <w:p w14:paraId="61696769">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 xml:space="preserve">       Q—第i个主要排放口风量（标态），m</w:t>
      </w:r>
      <w:r>
        <w:rPr>
          <w:rFonts w:hint="default" w:ascii="Times New Roman" w:hAnsi="Times New Roman" w:eastAsia="宋体" w:cs="Times New Roman"/>
          <w:bCs/>
          <w:color w:val="auto"/>
          <w:sz w:val="21"/>
          <w:szCs w:val="21"/>
          <w:highlight w:val="none"/>
          <w:vertAlign w:val="superscript"/>
          <w:lang w:val="en-US" w:eastAsia="zh-CN"/>
        </w:rPr>
        <w:t>3</w:t>
      </w:r>
      <w:r>
        <w:rPr>
          <w:rFonts w:hint="default" w:ascii="Times New Roman" w:hAnsi="Times New Roman" w:eastAsia="宋体" w:cs="Times New Roman"/>
          <w:bCs/>
          <w:color w:val="auto"/>
          <w:sz w:val="21"/>
          <w:szCs w:val="21"/>
          <w:highlight w:val="none"/>
          <w:lang w:val="en-US" w:eastAsia="zh-CN"/>
        </w:rPr>
        <w:t>/h；</w:t>
      </w:r>
    </w:p>
    <w:p w14:paraId="68C669D5">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 xml:space="preserve">       C—污染物许可排放浓度限值（标态），mg/m</w:t>
      </w:r>
      <w:r>
        <w:rPr>
          <w:rFonts w:hint="default" w:ascii="Times New Roman" w:hAnsi="Times New Roman" w:eastAsia="宋体" w:cs="Times New Roman"/>
          <w:bCs/>
          <w:color w:val="auto"/>
          <w:sz w:val="21"/>
          <w:szCs w:val="21"/>
          <w:highlight w:val="none"/>
          <w:vertAlign w:val="superscript"/>
          <w:lang w:val="en-US" w:eastAsia="zh-CN"/>
        </w:rPr>
        <w:t>3</w:t>
      </w:r>
      <w:r>
        <w:rPr>
          <w:rFonts w:hint="default" w:ascii="Times New Roman" w:hAnsi="Times New Roman" w:eastAsia="宋体" w:cs="Times New Roman"/>
          <w:bCs/>
          <w:color w:val="auto"/>
          <w:sz w:val="21"/>
          <w:szCs w:val="21"/>
          <w:highlight w:val="none"/>
          <w:lang w:val="en-US" w:eastAsia="zh-CN"/>
        </w:rPr>
        <w:t>；</w:t>
      </w:r>
    </w:p>
    <w:p w14:paraId="2853F890">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 xml:space="preserve">       T—第i个主要排放口对应装置设计年生产时间，h；</w:t>
      </w:r>
    </w:p>
    <w:p w14:paraId="1D8EDE00">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 xml:space="preserve">       E年许可—污染物年许可排放量，t/a。</w:t>
      </w:r>
    </w:p>
    <w:p w14:paraId="3F39F456">
      <w:pPr>
        <w:keepNext w:val="0"/>
        <w:keepLines w:val="0"/>
        <w:pageBreakBefore w:val="0"/>
        <w:widowControl w:val="0"/>
        <w:tabs>
          <w:tab w:val="right" w:leader="dot" w:pos="8460"/>
        </w:tabs>
        <w:kinsoku/>
        <w:wordWrap/>
        <w:overflowPunct/>
        <w:topLinePunct w:val="0"/>
        <w:autoSpaceDE/>
        <w:autoSpaceDN/>
        <w:bidi w:val="0"/>
        <w:adjustRightInd/>
        <w:snapToGrid/>
        <w:spacing w:line="360" w:lineRule="auto"/>
        <w:ind w:left="0" w:leftChars="0" w:firstLine="420" w:firstLineChars="20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bscript"/>
          <w:lang w:val="en-US" w:eastAsia="zh-CN" w:bidi="ar-SA"/>
        </w:rPr>
        <w:t>（</w:t>
      </w:r>
      <w:r>
        <w:rPr>
          <w:rFonts w:hint="default" w:ascii="Times New Roman" w:hAnsi="Times New Roman" w:cs="Times New Roman"/>
          <w:color w:val="auto"/>
          <w:kern w:val="2"/>
          <w:sz w:val="21"/>
          <w:szCs w:val="21"/>
          <w:highlight w:val="none"/>
          <w:vertAlign w:val="subscript"/>
          <w:lang w:val="en-US" w:eastAsia="zh-CN" w:bidi="ar-SA"/>
        </w:rPr>
        <w:t>颗粒物</w:t>
      </w:r>
      <w:r>
        <w:rPr>
          <w:rFonts w:hint="default" w:ascii="Times New Roman" w:hAnsi="Times New Roman" w:eastAsia="宋体" w:cs="Times New Roman"/>
          <w:color w:val="auto"/>
          <w:kern w:val="2"/>
          <w:sz w:val="21"/>
          <w:szCs w:val="21"/>
          <w:highlight w:val="none"/>
          <w:vertAlign w:val="subscript"/>
          <w:lang w:val="en-US" w:eastAsia="zh-CN" w:bidi="ar-SA"/>
        </w:rPr>
        <w:t>，DA00</w:t>
      </w:r>
      <w:r>
        <w:rPr>
          <w:rFonts w:hint="eastAsia" w:cs="Times New Roman"/>
          <w:color w:val="auto"/>
          <w:kern w:val="2"/>
          <w:sz w:val="21"/>
          <w:szCs w:val="21"/>
          <w:highlight w:val="none"/>
          <w:vertAlign w:val="subscript"/>
          <w:lang w:val="en-US" w:eastAsia="zh-CN" w:bidi="ar-SA"/>
        </w:rPr>
        <w:t>3</w:t>
      </w:r>
      <w:r>
        <w:rPr>
          <w:rFonts w:hint="default" w:ascii="Times New Roman" w:hAnsi="Times New Roman" w:eastAsia="宋体" w:cs="Times New Roman"/>
          <w:color w:val="auto"/>
          <w:kern w:val="2"/>
          <w:sz w:val="21"/>
          <w:szCs w:val="21"/>
          <w:highlight w:val="none"/>
          <w:vertAlign w:val="subscript"/>
          <w:lang w:val="en-US" w:eastAsia="zh-CN" w:bidi="ar-SA"/>
        </w:rPr>
        <w:t>）</w:t>
      </w: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cs="Times New Roman"/>
          <w:color w:val="auto"/>
          <w:kern w:val="2"/>
          <w:sz w:val="21"/>
          <w:szCs w:val="21"/>
          <w:highlight w:val="none"/>
          <w:lang w:val="en-US" w:eastAsia="zh-CN" w:bidi="ar-SA"/>
        </w:rPr>
        <w:t>4</w:t>
      </w:r>
      <w:r>
        <w:rPr>
          <w:rFonts w:hint="default" w:ascii="Times New Roman" w:hAnsi="Times New Roman" w:eastAsia="宋体" w:cs="Times New Roman"/>
          <w:color w:val="auto"/>
          <w:kern w:val="2"/>
          <w:sz w:val="21"/>
          <w:szCs w:val="21"/>
          <w:highlight w:val="none"/>
          <w:lang w:val="en-US" w:eastAsia="zh-CN" w:bidi="ar-SA"/>
        </w:rPr>
        <w:t>000m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/h×</w:t>
      </w:r>
      <w:r>
        <w:rPr>
          <w:rFonts w:hint="default" w:ascii="Times New Roman" w:hAnsi="Times New Roman" w:cs="Times New Roman"/>
          <w:color w:val="auto"/>
          <w:kern w:val="2"/>
          <w:sz w:val="21"/>
          <w:szCs w:val="21"/>
          <w:highlight w:val="none"/>
          <w:lang w:val="en-US" w:eastAsia="zh-CN" w:bidi="ar-SA"/>
        </w:rPr>
        <w:t>12</w:t>
      </w:r>
      <w:r>
        <w:rPr>
          <w:rFonts w:hint="default" w:ascii="Times New Roman" w:hAnsi="Times New Roman" w:eastAsia="宋体" w:cs="Times New Roman"/>
          <w:color w:val="auto"/>
          <w:kern w:val="2"/>
          <w:sz w:val="21"/>
          <w:szCs w:val="21"/>
          <w:highlight w:val="none"/>
          <w:lang w:val="en-US" w:eastAsia="zh-CN" w:bidi="ar-SA"/>
        </w:rPr>
        <w:t>0mg/m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vertAlign w:val="baseline"/>
          <w:lang w:val="en-US" w:eastAsia="zh-CN" w:bidi="ar-SA"/>
        </w:rPr>
        <w:t>×</w:t>
      </w:r>
      <w:r>
        <w:rPr>
          <w:rFonts w:hint="default" w:ascii="Times New Roman" w:hAnsi="Times New Roman" w:cs="Times New Roman"/>
          <w:color w:val="auto"/>
          <w:kern w:val="2"/>
          <w:sz w:val="21"/>
          <w:szCs w:val="21"/>
          <w:highlight w:val="none"/>
          <w:vertAlign w:val="baseline"/>
          <w:lang w:val="en-US" w:eastAsia="zh-CN" w:bidi="ar-SA"/>
        </w:rPr>
        <w:t>4800</w:t>
      </w:r>
      <w:r>
        <w:rPr>
          <w:rFonts w:hint="default" w:ascii="Times New Roman" w:hAnsi="Times New Roman" w:eastAsia="宋体" w:cs="Times New Roman"/>
          <w:color w:val="auto"/>
          <w:kern w:val="2"/>
          <w:sz w:val="21"/>
          <w:szCs w:val="21"/>
          <w:highlight w:val="none"/>
          <w:vertAlign w:val="baseline"/>
          <w:lang w:val="en-US" w:eastAsia="zh-CN" w:bidi="ar-SA"/>
        </w:rPr>
        <w:t>h×10</w:t>
      </w:r>
      <w:r>
        <w:rPr>
          <w:rFonts w:hint="default" w:ascii="Times New Roman" w:hAnsi="Times New Roman" w:eastAsia="宋体" w:cs="Times New Roman"/>
          <w:color w:val="auto"/>
          <w:kern w:val="2"/>
          <w:sz w:val="21"/>
          <w:szCs w:val="21"/>
          <w:highlight w:val="none"/>
          <w:vertAlign w:val="superscript"/>
          <w:lang w:val="en-US" w:eastAsia="zh-CN" w:bidi="ar-SA"/>
        </w:rPr>
        <w:t>-9</w:t>
      </w:r>
      <w:r>
        <w:rPr>
          <w:rFonts w:hint="default" w:ascii="Times New Roman" w:hAnsi="Times New Roman" w:eastAsia="宋体" w:cs="Times New Roman"/>
          <w:color w:val="auto"/>
          <w:kern w:val="2"/>
          <w:sz w:val="21"/>
          <w:szCs w:val="21"/>
          <w:highlight w:val="none"/>
          <w:vertAlign w:val="baseline"/>
          <w:lang w:val="en-US" w:eastAsia="zh-CN" w:bidi="ar-SA"/>
        </w:rPr>
        <w:t>=</w:t>
      </w:r>
      <w:r>
        <w:rPr>
          <w:rFonts w:hint="default" w:ascii="Times New Roman" w:hAnsi="Times New Roman" w:cs="Times New Roman"/>
          <w:color w:val="auto"/>
          <w:kern w:val="2"/>
          <w:sz w:val="21"/>
          <w:szCs w:val="21"/>
          <w:highlight w:val="none"/>
          <w:vertAlign w:val="baseline"/>
          <w:lang w:val="en-US" w:eastAsia="zh-CN" w:bidi="ar-SA"/>
        </w:rPr>
        <w:t>2.304</w:t>
      </w:r>
      <w:r>
        <w:rPr>
          <w:rFonts w:hint="default" w:ascii="Times New Roman" w:hAnsi="Times New Roman" w:eastAsia="宋体" w:cs="Times New Roman"/>
          <w:color w:val="auto"/>
          <w:kern w:val="2"/>
          <w:sz w:val="21"/>
          <w:szCs w:val="21"/>
          <w:highlight w:val="none"/>
          <w:vertAlign w:val="baseline"/>
          <w:lang w:val="en-US" w:eastAsia="zh-CN" w:bidi="ar-SA"/>
        </w:rPr>
        <w:t>t/a</w:t>
      </w:r>
    </w:p>
    <w:p w14:paraId="3E9892AE">
      <w:pPr>
        <w:keepNext w:val="0"/>
        <w:keepLines w:val="0"/>
        <w:pageBreakBefore w:val="0"/>
        <w:widowControl w:val="0"/>
        <w:tabs>
          <w:tab w:val="right" w:leader="dot" w:pos="8460"/>
        </w:tabs>
        <w:kinsoku/>
        <w:wordWrap/>
        <w:overflowPunct/>
        <w:topLinePunct w:val="0"/>
        <w:autoSpaceDE/>
        <w:autoSpaceDN/>
        <w:bidi w:val="0"/>
        <w:adjustRightInd/>
        <w:snapToGrid/>
        <w:spacing w:line="360" w:lineRule="auto"/>
        <w:ind w:left="0" w:leftChars="0" w:firstLine="420" w:firstLineChars="20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bscript"/>
          <w:lang w:val="en-US" w:eastAsia="zh-CN" w:bidi="ar-SA"/>
        </w:rPr>
        <w:t>（</w:t>
      </w:r>
      <w:r>
        <w:rPr>
          <w:rFonts w:hint="default" w:ascii="Times New Roman" w:hAnsi="Times New Roman" w:cs="Times New Roman"/>
          <w:color w:val="auto"/>
          <w:kern w:val="2"/>
          <w:sz w:val="21"/>
          <w:szCs w:val="21"/>
          <w:highlight w:val="none"/>
          <w:vertAlign w:val="subscript"/>
          <w:lang w:val="en-US" w:eastAsia="zh-CN" w:bidi="ar-SA"/>
        </w:rPr>
        <w:t>颗粒物</w:t>
      </w:r>
      <w:r>
        <w:rPr>
          <w:rFonts w:hint="default" w:ascii="Times New Roman" w:hAnsi="Times New Roman" w:eastAsia="宋体" w:cs="Times New Roman"/>
          <w:color w:val="auto"/>
          <w:kern w:val="2"/>
          <w:sz w:val="21"/>
          <w:szCs w:val="21"/>
          <w:highlight w:val="none"/>
          <w:vertAlign w:val="subscript"/>
          <w:lang w:val="en-US" w:eastAsia="zh-CN" w:bidi="ar-SA"/>
        </w:rPr>
        <w:t>，DA00</w:t>
      </w:r>
      <w:r>
        <w:rPr>
          <w:rFonts w:hint="eastAsia" w:cs="Times New Roman"/>
          <w:color w:val="auto"/>
          <w:kern w:val="2"/>
          <w:sz w:val="21"/>
          <w:szCs w:val="21"/>
          <w:highlight w:val="none"/>
          <w:vertAlign w:val="subscript"/>
          <w:lang w:val="en-US" w:eastAsia="zh-CN" w:bidi="ar-SA"/>
        </w:rPr>
        <w:t>4</w:t>
      </w:r>
      <w:r>
        <w:rPr>
          <w:rFonts w:hint="default" w:ascii="Times New Roman" w:hAnsi="Times New Roman" w:eastAsia="宋体" w:cs="Times New Roman"/>
          <w:color w:val="auto"/>
          <w:kern w:val="2"/>
          <w:sz w:val="21"/>
          <w:szCs w:val="21"/>
          <w:highlight w:val="none"/>
          <w:vertAlign w:val="subscript"/>
          <w:lang w:val="en-US" w:eastAsia="zh-CN" w:bidi="ar-SA"/>
        </w:rPr>
        <w:t>）</w:t>
      </w: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cs="Times New Roman"/>
          <w:color w:val="auto"/>
          <w:kern w:val="2"/>
          <w:sz w:val="21"/>
          <w:szCs w:val="21"/>
          <w:highlight w:val="none"/>
          <w:lang w:val="en-US" w:eastAsia="zh-CN" w:bidi="ar-SA"/>
        </w:rPr>
        <w:t>4</w:t>
      </w:r>
      <w:r>
        <w:rPr>
          <w:rFonts w:hint="default" w:ascii="Times New Roman" w:hAnsi="Times New Roman" w:eastAsia="宋体" w:cs="Times New Roman"/>
          <w:color w:val="auto"/>
          <w:kern w:val="2"/>
          <w:sz w:val="21"/>
          <w:szCs w:val="21"/>
          <w:highlight w:val="none"/>
          <w:lang w:val="en-US" w:eastAsia="zh-CN" w:bidi="ar-SA"/>
        </w:rPr>
        <w:t>000m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/h×</w:t>
      </w:r>
      <w:r>
        <w:rPr>
          <w:rFonts w:hint="default" w:ascii="Times New Roman" w:hAnsi="Times New Roman" w:cs="Times New Roman"/>
          <w:color w:val="auto"/>
          <w:kern w:val="2"/>
          <w:sz w:val="21"/>
          <w:szCs w:val="21"/>
          <w:highlight w:val="none"/>
          <w:lang w:val="en-US" w:eastAsia="zh-CN" w:bidi="ar-SA"/>
        </w:rPr>
        <w:t>12</w:t>
      </w:r>
      <w:r>
        <w:rPr>
          <w:rFonts w:hint="default" w:ascii="Times New Roman" w:hAnsi="Times New Roman" w:eastAsia="宋体" w:cs="Times New Roman"/>
          <w:color w:val="auto"/>
          <w:kern w:val="2"/>
          <w:sz w:val="21"/>
          <w:szCs w:val="21"/>
          <w:highlight w:val="none"/>
          <w:lang w:val="en-US" w:eastAsia="zh-CN" w:bidi="ar-SA"/>
        </w:rPr>
        <w:t>0mg/m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vertAlign w:val="baseline"/>
          <w:lang w:val="en-US" w:eastAsia="zh-CN" w:bidi="ar-SA"/>
        </w:rPr>
        <w:t>×</w:t>
      </w:r>
      <w:r>
        <w:rPr>
          <w:rFonts w:hint="default" w:ascii="Times New Roman" w:hAnsi="Times New Roman" w:cs="Times New Roman"/>
          <w:color w:val="auto"/>
          <w:kern w:val="2"/>
          <w:sz w:val="21"/>
          <w:szCs w:val="21"/>
          <w:highlight w:val="none"/>
          <w:vertAlign w:val="baseline"/>
          <w:lang w:val="en-US" w:eastAsia="zh-CN" w:bidi="ar-SA"/>
        </w:rPr>
        <w:t>4800</w:t>
      </w:r>
      <w:r>
        <w:rPr>
          <w:rFonts w:hint="default" w:ascii="Times New Roman" w:hAnsi="Times New Roman" w:eastAsia="宋体" w:cs="Times New Roman"/>
          <w:color w:val="auto"/>
          <w:kern w:val="2"/>
          <w:sz w:val="21"/>
          <w:szCs w:val="21"/>
          <w:highlight w:val="none"/>
          <w:vertAlign w:val="baseline"/>
          <w:lang w:val="en-US" w:eastAsia="zh-CN" w:bidi="ar-SA"/>
        </w:rPr>
        <w:t>h×10</w:t>
      </w:r>
      <w:r>
        <w:rPr>
          <w:rFonts w:hint="default" w:ascii="Times New Roman" w:hAnsi="Times New Roman" w:eastAsia="宋体" w:cs="Times New Roman"/>
          <w:color w:val="auto"/>
          <w:kern w:val="2"/>
          <w:sz w:val="21"/>
          <w:szCs w:val="21"/>
          <w:highlight w:val="none"/>
          <w:vertAlign w:val="superscript"/>
          <w:lang w:val="en-US" w:eastAsia="zh-CN" w:bidi="ar-SA"/>
        </w:rPr>
        <w:t>-9</w:t>
      </w:r>
      <w:r>
        <w:rPr>
          <w:rFonts w:hint="default" w:ascii="Times New Roman" w:hAnsi="Times New Roman" w:eastAsia="宋体" w:cs="Times New Roman"/>
          <w:color w:val="auto"/>
          <w:kern w:val="2"/>
          <w:sz w:val="21"/>
          <w:szCs w:val="21"/>
          <w:highlight w:val="none"/>
          <w:vertAlign w:val="baseline"/>
          <w:lang w:val="en-US" w:eastAsia="zh-CN" w:bidi="ar-SA"/>
        </w:rPr>
        <w:t>=</w:t>
      </w:r>
      <w:r>
        <w:rPr>
          <w:rFonts w:hint="default" w:ascii="Times New Roman" w:hAnsi="Times New Roman" w:cs="Times New Roman"/>
          <w:color w:val="auto"/>
          <w:kern w:val="2"/>
          <w:sz w:val="21"/>
          <w:szCs w:val="21"/>
          <w:highlight w:val="none"/>
          <w:vertAlign w:val="baseline"/>
          <w:lang w:val="en-US" w:eastAsia="zh-CN" w:bidi="ar-SA"/>
        </w:rPr>
        <w:t>2.304</w:t>
      </w:r>
      <w:r>
        <w:rPr>
          <w:rFonts w:hint="default" w:ascii="Times New Roman" w:hAnsi="Times New Roman" w:eastAsia="宋体" w:cs="Times New Roman"/>
          <w:color w:val="auto"/>
          <w:kern w:val="2"/>
          <w:sz w:val="21"/>
          <w:szCs w:val="21"/>
          <w:highlight w:val="none"/>
          <w:vertAlign w:val="baseline"/>
          <w:lang w:val="en-US" w:eastAsia="zh-CN" w:bidi="ar-SA"/>
        </w:rPr>
        <w:t>t/a</w:t>
      </w:r>
    </w:p>
    <w:p w14:paraId="0764C6D6">
      <w:pPr>
        <w:keepNext w:val="0"/>
        <w:keepLines w:val="0"/>
        <w:pageBreakBefore w:val="0"/>
        <w:widowControl w:val="0"/>
        <w:tabs>
          <w:tab w:val="right" w:leader="dot" w:pos="8460"/>
        </w:tabs>
        <w:kinsoku/>
        <w:wordWrap/>
        <w:overflowPunct/>
        <w:topLinePunct w:val="0"/>
        <w:autoSpaceDE/>
        <w:autoSpaceDN/>
        <w:bidi w:val="0"/>
        <w:adjustRightInd/>
        <w:snapToGrid/>
        <w:spacing w:line="360" w:lineRule="auto"/>
        <w:ind w:left="0" w:leftChars="0" w:firstLine="420" w:firstLineChars="20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bscript"/>
          <w:lang w:val="en-US" w:eastAsia="zh-CN" w:bidi="ar-SA"/>
        </w:rPr>
        <w:t>（</w:t>
      </w:r>
      <w:r>
        <w:rPr>
          <w:rFonts w:hint="default" w:ascii="Times New Roman" w:hAnsi="Times New Roman" w:cs="Times New Roman"/>
          <w:color w:val="auto"/>
          <w:kern w:val="2"/>
          <w:sz w:val="21"/>
          <w:szCs w:val="21"/>
          <w:highlight w:val="none"/>
          <w:vertAlign w:val="subscript"/>
          <w:lang w:val="en-US" w:eastAsia="zh-CN" w:bidi="ar-SA"/>
        </w:rPr>
        <w:t>挥发性有机物</w:t>
      </w:r>
      <w:r>
        <w:rPr>
          <w:rFonts w:hint="default" w:ascii="Times New Roman" w:hAnsi="Times New Roman" w:eastAsia="宋体" w:cs="Times New Roman"/>
          <w:color w:val="auto"/>
          <w:kern w:val="2"/>
          <w:sz w:val="21"/>
          <w:szCs w:val="21"/>
          <w:highlight w:val="none"/>
          <w:vertAlign w:val="subscript"/>
          <w:lang w:val="en-US" w:eastAsia="zh-CN" w:bidi="ar-SA"/>
        </w:rPr>
        <w:t>，DA001）</w:t>
      </w:r>
      <w:r>
        <w:rPr>
          <w:rFonts w:hint="default" w:ascii="Times New Roman" w:hAnsi="Times New Roman" w:eastAsia="宋体" w:cs="Times New Roman"/>
          <w:color w:val="auto"/>
          <w:kern w:val="2"/>
          <w:sz w:val="21"/>
          <w:szCs w:val="21"/>
          <w:highlight w:val="none"/>
          <w:lang w:val="en-US" w:eastAsia="zh-CN" w:bidi="ar-SA"/>
        </w:rPr>
        <w:t>=</w:t>
      </w:r>
      <w:r>
        <w:rPr>
          <w:rFonts w:hint="default" w:ascii="Times New Roman" w:hAnsi="Times New Roman" w:cs="Times New Roman"/>
          <w:color w:val="auto"/>
          <w:kern w:val="2"/>
          <w:sz w:val="21"/>
          <w:szCs w:val="21"/>
          <w:highlight w:val="none"/>
          <w:lang w:val="en-US" w:eastAsia="zh-CN" w:bidi="ar-SA"/>
        </w:rPr>
        <w:t>1</w:t>
      </w:r>
      <w:r>
        <w:rPr>
          <w:rFonts w:hint="default" w:ascii="Times New Roman" w:hAnsi="Times New Roman" w:eastAsia="宋体" w:cs="Times New Roman"/>
          <w:color w:val="auto"/>
          <w:kern w:val="2"/>
          <w:sz w:val="21"/>
          <w:szCs w:val="21"/>
          <w:highlight w:val="none"/>
          <w:lang w:val="en-US" w:eastAsia="zh-CN" w:bidi="ar-SA"/>
        </w:rPr>
        <w:t>000m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/h×</w:t>
      </w:r>
      <w:r>
        <w:rPr>
          <w:rFonts w:hint="default" w:ascii="Times New Roman" w:hAnsi="Times New Roman" w:cs="Times New Roman"/>
          <w:color w:val="auto"/>
          <w:sz w:val="21"/>
          <w:szCs w:val="21"/>
          <w:highlight w:val="none"/>
          <w:lang w:val="en-US" w:eastAsia="zh-CN"/>
        </w:rPr>
        <w:t>120</w:t>
      </w:r>
      <w:r>
        <w:rPr>
          <w:rFonts w:hint="default" w:ascii="Times New Roman" w:hAnsi="Times New Roman" w:eastAsia="宋体" w:cs="Times New Roman"/>
          <w:color w:val="auto"/>
          <w:kern w:val="2"/>
          <w:sz w:val="21"/>
          <w:szCs w:val="21"/>
          <w:highlight w:val="none"/>
          <w:lang w:val="en-US" w:eastAsia="zh-CN" w:bidi="ar-SA"/>
        </w:rPr>
        <w:t>mg/m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vertAlign w:val="baseline"/>
          <w:lang w:val="en-US" w:eastAsia="zh-CN" w:bidi="ar-SA"/>
        </w:rPr>
        <w:t>×</w:t>
      </w:r>
      <w:r>
        <w:rPr>
          <w:rFonts w:hint="default" w:ascii="Times New Roman" w:hAnsi="Times New Roman" w:cs="Times New Roman"/>
          <w:color w:val="auto"/>
          <w:kern w:val="2"/>
          <w:sz w:val="21"/>
          <w:szCs w:val="21"/>
          <w:highlight w:val="none"/>
          <w:vertAlign w:val="baseline"/>
          <w:lang w:val="en-US" w:eastAsia="zh-CN" w:bidi="ar-SA"/>
        </w:rPr>
        <w:t>4800</w:t>
      </w:r>
      <w:r>
        <w:rPr>
          <w:rFonts w:hint="default" w:ascii="Times New Roman" w:hAnsi="Times New Roman" w:eastAsia="宋体" w:cs="Times New Roman"/>
          <w:color w:val="auto"/>
          <w:kern w:val="2"/>
          <w:sz w:val="21"/>
          <w:szCs w:val="21"/>
          <w:highlight w:val="none"/>
          <w:vertAlign w:val="baseline"/>
          <w:lang w:val="en-US" w:eastAsia="zh-CN" w:bidi="ar-SA"/>
        </w:rPr>
        <w:t>h×10</w:t>
      </w:r>
      <w:r>
        <w:rPr>
          <w:rFonts w:hint="default" w:ascii="Times New Roman" w:hAnsi="Times New Roman" w:eastAsia="宋体" w:cs="Times New Roman"/>
          <w:color w:val="auto"/>
          <w:kern w:val="2"/>
          <w:sz w:val="21"/>
          <w:szCs w:val="21"/>
          <w:highlight w:val="none"/>
          <w:vertAlign w:val="superscript"/>
          <w:lang w:val="en-US" w:eastAsia="zh-CN" w:bidi="ar-SA"/>
        </w:rPr>
        <w:t>-9</w:t>
      </w:r>
      <w:r>
        <w:rPr>
          <w:rFonts w:hint="default" w:ascii="Times New Roman" w:hAnsi="Times New Roman" w:eastAsia="宋体" w:cs="Times New Roman"/>
          <w:color w:val="auto"/>
          <w:kern w:val="2"/>
          <w:sz w:val="21"/>
          <w:szCs w:val="21"/>
          <w:highlight w:val="none"/>
          <w:vertAlign w:val="baseline"/>
          <w:lang w:val="en-US" w:eastAsia="zh-CN" w:bidi="ar-SA"/>
        </w:rPr>
        <w:t>=0.576t/a</w:t>
      </w:r>
    </w:p>
    <w:p w14:paraId="1987E0E0">
      <w:pPr>
        <w:pStyle w:val="30"/>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（3）废水</w:t>
      </w:r>
    </w:p>
    <w:p w14:paraId="11DE9658">
      <w:pPr>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szCs w:val="21"/>
          <w:highlight w:val="none"/>
          <w:lang w:val="en-US" w:eastAsia="zh-CN"/>
        </w:rPr>
        <w:t>本项目</w:t>
      </w:r>
      <w:r>
        <w:rPr>
          <w:rFonts w:hint="default" w:ascii="Times New Roman" w:hAnsi="Times New Roman" w:cs="Times New Roman"/>
          <w:color w:val="auto"/>
          <w:sz w:val="21"/>
          <w:szCs w:val="21"/>
          <w:highlight w:val="none"/>
          <w:lang w:val="en-US" w:eastAsia="zh-CN"/>
        </w:rPr>
        <w:t>生活污水排放量为</w:t>
      </w:r>
      <w:r>
        <w:rPr>
          <w:rFonts w:hint="eastAsia" w:cs="Times New Roman"/>
          <w:color w:val="auto"/>
          <w:sz w:val="21"/>
          <w:szCs w:val="21"/>
          <w:highlight w:val="none"/>
          <w:lang w:val="en-US" w:eastAsia="zh-CN"/>
        </w:rPr>
        <w:t>1695</w:t>
      </w:r>
      <w:r>
        <w:rPr>
          <w:rFonts w:hint="default" w:ascii="Times New Roman" w:hAnsi="Times New Roman" w:cs="Times New Roman"/>
          <w:color w:val="auto"/>
          <w:sz w:val="21"/>
          <w:szCs w:val="21"/>
          <w:highlight w:val="none"/>
          <w:lang w:val="en-US" w:eastAsia="zh-CN"/>
        </w:rPr>
        <w:t>t/a。</w:t>
      </w:r>
      <w:r>
        <w:rPr>
          <w:rFonts w:hint="default" w:ascii="Times New Roman" w:hAnsi="Times New Roman" w:cs="Times New Roman"/>
          <w:color w:val="auto"/>
          <w:highlight w:val="none"/>
        </w:rPr>
        <w:t>生活污水排入厂区化粪池</w:t>
      </w:r>
      <w:r>
        <w:rPr>
          <w:rFonts w:hint="default" w:ascii="Times New Roman" w:hAnsi="Times New Roman" w:cs="Times New Roman"/>
          <w:color w:val="auto"/>
          <w:highlight w:val="none"/>
          <w:lang w:val="en-US" w:eastAsia="zh-CN"/>
        </w:rPr>
        <w:t>后经</w:t>
      </w:r>
      <w:r>
        <w:rPr>
          <w:rFonts w:hint="default" w:ascii="Times New Roman" w:hAnsi="Times New Roman" w:cs="Times New Roman"/>
          <w:color w:val="auto"/>
          <w:highlight w:val="none"/>
        </w:rPr>
        <w:t>排入园区污水管网</w:t>
      </w:r>
      <w:r>
        <w:rPr>
          <w:rFonts w:hint="default" w:ascii="Times New Roman" w:hAnsi="Times New Roman" w:cs="Times New Roman"/>
          <w:color w:val="auto"/>
          <w:sz w:val="21"/>
          <w:szCs w:val="21"/>
          <w:highlight w:val="none"/>
          <w:lang w:val="en-US" w:eastAsia="zh-CN"/>
        </w:rPr>
        <w:t>排入铁力市污水处理厂深度处理。</w:t>
      </w:r>
      <w:r>
        <w:rPr>
          <w:rFonts w:hint="default" w:ascii="Times New Roman" w:hAnsi="Times New Roman" w:cs="Times New Roman"/>
          <w:color w:val="auto"/>
          <w:highlight w:val="none"/>
        </w:rPr>
        <w:t>生产过程中产生的废浆、废水均汇入废浆池，然后用泵打入切割机下废浆搅拌池作制浆用水。</w:t>
      </w:r>
      <w:r>
        <w:rPr>
          <w:rFonts w:hint="default" w:ascii="Times New Roman" w:hAnsi="Times New Roman" w:cs="Times New Roman"/>
          <w:color w:val="auto"/>
          <w:sz w:val="21"/>
          <w:szCs w:val="21"/>
          <w:highlight w:val="none"/>
          <w:lang w:val="en-US" w:eastAsia="zh-CN"/>
        </w:rPr>
        <w:t>锅炉排污水及软化处理废水用于锅炉房及厂区内洒水降尘，不外排。</w:t>
      </w:r>
    </w:p>
    <w:p w14:paraId="54D27387">
      <w:pPr>
        <w:keepNext w:val="0"/>
        <w:keepLines w:val="0"/>
        <w:pageBreakBefore w:val="0"/>
        <w:widowControl w:val="0"/>
        <w:tabs>
          <w:tab w:val="right" w:leader="dot" w:pos="8460"/>
        </w:tabs>
        <w:kinsoku/>
        <w:wordWrap/>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则本项目COD、NH</w:t>
      </w:r>
      <w:r>
        <w:rPr>
          <w:rFonts w:hint="default" w:ascii="Times New Roman" w:hAnsi="Times New Roman" w:eastAsia="宋体" w:cs="Times New Roman"/>
          <w:color w:val="auto"/>
          <w:kern w:val="2"/>
          <w:sz w:val="21"/>
          <w:szCs w:val="21"/>
          <w:highlight w:val="none"/>
          <w:vertAlign w:val="sub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-N的核定排放量为：</w:t>
      </w:r>
    </w:p>
    <w:p w14:paraId="3842B445">
      <w:pPr>
        <w:keepNext w:val="0"/>
        <w:keepLines w:val="0"/>
        <w:pageBreakBefore w:val="0"/>
        <w:widowControl w:val="0"/>
        <w:tabs>
          <w:tab w:val="right" w:leader="dot" w:pos="8460"/>
        </w:tabs>
        <w:kinsoku/>
        <w:wordWrap/>
        <w:overflowPunct/>
        <w:topLinePunct w:val="0"/>
        <w:autoSpaceDE/>
        <w:autoSpaceDN/>
        <w:bidi w:val="0"/>
        <w:adjustRightInd/>
        <w:snapToGrid/>
        <w:spacing w:line="360" w:lineRule="auto"/>
        <w:ind w:left="0" w:leftChars="0" w:firstLine="420" w:firstLineChars="20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COD核定排放量=500mg/L×</w:t>
      </w:r>
      <w:r>
        <w:rPr>
          <w:rFonts w:hint="eastAsia" w:cs="Times New Roman"/>
          <w:color w:val="auto"/>
          <w:sz w:val="21"/>
          <w:szCs w:val="21"/>
          <w:highlight w:val="none"/>
          <w:lang w:val="en-US" w:eastAsia="zh-CN"/>
        </w:rPr>
        <w:t>1695</w:t>
      </w: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/a×10</w:t>
      </w:r>
      <w:r>
        <w:rPr>
          <w:rFonts w:hint="default" w:ascii="Times New Roman" w:hAnsi="Times New Roman" w:eastAsia="宋体" w:cs="Times New Roman"/>
          <w:color w:val="auto"/>
          <w:kern w:val="2"/>
          <w:sz w:val="21"/>
          <w:szCs w:val="21"/>
          <w:highlight w:val="none"/>
          <w:vertAlign w:val="superscript"/>
          <w:lang w:val="en-US" w:eastAsia="zh-CN" w:bidi="ar-SA"/>
        </w:rPr>
        <w:t>-6</w:t>
      </w:r>
      <w:r>
        <w:rPr>
          <w:rFonts w:hint="default" w:ascii="Times New Roman" w:hAnsi="Times New Roman" w:eastAsia="宋体" w:cs="Times New Roman"/>
          <w:color w:val="auto"/>
          <w:kern w:val="2"/>
          <w:sz w:val="21"/>
          <w:szCs w:val="21"/>
          <w:highlight w:val="none"/>
          <w:lang w:val="en-US" w:eastAsia="zh-CN" w:bidi="ar-SA"/>
        </w:rPr>
        <w:t>=</w:t>
      </w:r>
      <w:r>
        <w:rPr>
          <w:rFonts w:hint="eastAsia" w:cs="Times New Roman"/>
          <w:color w:val="auto"/>
          <w:kern w:val="2"/>
          <w:sz w:val="21"/>
          <w:szCs w:val="21"/>
          <w:highlight w:val="none"/>
          <w:lang w:val="en-US" w:eastAsia="zh-CN" w:bidi="ar-SA"/>
        </w:rPr>
        <w:t>0.848</w:t>
      </w:r>
      <w:r>
        <w:rPr>
          <w:rFonts w:hint="default" w:ascii="Times New Roman" w:hAnsi="Times New Roman" w:eastAsia="宋体" w:cs="Times New Roman"/>
          <w:color w:val="auto"/>
          <w:kern w:val="2"/>
          <w:sz w:val="21"/>
          <w:szCs w:val="21"/>
          <w:highlight w:val="none"/>
          <w:lang w:val="en-US" w:eastAsia="zh-CN" w:bidi="ar-SA"/>
        </w:rPr>
        <w:t>t/a。</w:t>
      </w:r>
    </w:p>
    <w:p w14:paraId="2D203736">
      <w:pPr>
        <w:keepNext w:val="0"/>
        <w:keepLines w:val="0"/>
        <w:pageBreakBefore w:val="0"/>
        <w:widowControl w:val="0"/>
        <w:tabs>
          <w:tab w:val="right" w:leader="dot" w:pos="8460"/>
        </w:tabs>
        <w:kinsoku/>
        <w:wordWrap/>
        <w:overflowPunct/>
        <w:topLinePunct w:val="0"/>
        <w:autoSpaceDE/>
        <w:autoSpaceDN/>
        <w:bidi w:val="0"/>
        <w:adjustRightInd/>
        <w:snapToGrid/>
        <w:spacing w:line="360" w:lineRule="auto"/>
        <w:ind w:left="0" w:leftChars="0" w:firstLine="420" w:firstLineChars="20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NH</w:t>
      </w:r>
      <w:r>
        <w:rPr>
          <w:rFonts w:hint="default" w:ascii="Times New Roman" w:hAnsi="Times New Roman" w:eastAsia="宋体" w:cs="Times New Roman"/>
          <w:color w:val="auto"/>
          <w:kern w:val="2"/>
          <w:sz w:val="21"/>
          <w:szCs w:val="21"/>
          <w:highlight w:val="none"/>
          <w:vertAlign w:val="sub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-N核定排放量=25mg/L×</w:t>
      </w:r>
      <w:r>
        <w:rPr>
          <w:rFonts w:hint="eastAsia" w:cs="Times New Roman"/>
          <w:color w:val="auto"/>
          <w:sz w:val="21"/>
          <w:szCs w:val="21"/>
          <w:highlight w:val="none"/>
          <w:lang w:val="en-US" w:eastAsia="zh-CN"/>
        </w:rPr>
        <w:t>1695</w:t>
      </w:r>
      <w:r>
        <w:rPr>
          <w:rFonts w:hint="default" w:ascii="Times New Roman" w:hAnsi="Times New Roman" w:eastAsia="宋体"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vertAlign w:val="super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/a×10</w:t>
      </w:r>
      <w:r>
        <w:rPr>
          <w:rFonts w:hint="default" w:ascii="Times New Roman" w:hAnsi="Times New Roman" w:eastAsia="宋体" w:cs="Times New Roman"/>
          <w:color w:val="auto"/>
          <w:kern w:val="2"/>
          <w:sz w:val="21"/>
          <w:szCs w:val="21"/>
          <w:highlight w:val="none"/>
          <w:vertAlign w:val="superscript"/>
          <w:lang w:val="en-US" w:eastAsia="zh-CN" w:bidi="ar-SA"/>
        </w:rPr>
        <w:t>-6</w:t>
      </w:r>
      <w:r>
        <w:rPr>
          <w:rFonts w:hint="default" w:ascii="Times New Roman" w:hAnsi="Times New Roman" w:eastAsia="宋体" w:cs="Times New Roman"/>
          <w:color w:val="auto"/>
          <w:kern w:val="2"/>
          <w:sz w:val="21"/>
          <w:szCs w:val="21"/>
          <w:highlight w:val="none"/>
          <w:lang w:val="en-US" w:eastAsia="zh-CN" w:bidi="ar-SA"/>
        </w:rPr>
        <w:t>=0.0</w:t>
      </w:r>
      <w:r>
        <w:rPr>
          <w:rFonts w:hint="eastAsia" w:cs="Times New Roman"/>
          <w:color w:val="auto"/>
          <w:kern w:val="2"/>
          <w:sz w:val="21"/>
          <w:szCs w:val="21"/>
          <w:highlight w:val="none"/>
          <w:lang w:val="en-US" w:eastAsia="zh-CN" w:bidi="ar-SA"/>
        </w:rPr>
        <w:t>42</w:t>
      </w:r>
      <w:r>
        <w:rPr>
          <w:rFonts w:hint="default" w:ascii="Times New Roman" w:hAnsi="Times New Roman" w:eastAsia="宋体" w:cs="Times New Roman"/>
          <w:color w:val="auto"/>
          <w:kern w:val="2"/>
          <w:sz w:val="21"/>
          <w:szCs w:val="21"/>
          <w:highlight w:val="none"/>
          <w:lang w:val="en-US" w:eastAsia="zh-CN" w:bidi="ar-SA"/>
        </w:rPr>
        <w:t>t/a</w:t>
      </w:r>
    </w:p>
    <w:p w14:paraId="3D96DD83">
      <w:pPr>
        <w:keepNext w:val="0"/>
        <w:keepLines w:val="0"/>
        <w:pageBreakBefore w:val="0"/>
        <w:widowControl w:val="0"/>
        <w:tabs>
          <w:tab w:val="right" w:leader="dot" w:pos="8460"/>
        </w:tabs>
        <w:kinsoku/>
        <w:wordWrap/>
        <w:overflowPunct/>
        <w:topLinePunct w:val="0"/>
        <w:autoSpaceDE/>
        <w:autoSpaceDN/>
        <w:bidi w:val="0"/>
        <w:adjustRightInd/>
        <w:snapToGrid/>
        <w:spacing w:line="360" w:lineRule="auto"/>
        <w:ind w:left="0" w:leftChars="0" w:firstLine="420" w:firstLineChars="20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p w14:paraId="2181C41D">
      <w:pPr>
        <w:ind w:firstLine="422" w:firstLineChars="20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w:t>
      </w:r>
      <w:r>
        <w:rPr>
          <w:rFonts w:hint="default" w:ascii="Times New Roman" w:hAnsi="Times New Roman" w:cs="Times New Roman"/>
          <w:b/>
          <w:color w:val="auto"/>
          <w:sz w:val="21"/>
          <w:szCs w:val="21"/>
          <w:highlight w:val="none"/>
          <w:lang w:val="en-US" w:eastAsia="zh-CN"/>
        </w:rPr>
        <w:t>1</w:t>
      </w:r>
      <w:r>
        <w:rPr>
          <w:rFonts w:hint="default" w:ascii="Times New Roman" w:hAnsi="Times New Roman" w:cs="Times New Roman"/>
          <w:b/>
          <w:color w:val="auto"/>
          <w:sz w:val="21"/>
          <w:szCs w:val="21"/>
          <w:highlight w:val="none"/>
        </w:rPr>
        <w:t xml:space="preserve">  总量指标  单位：t/a</w:t>
      </w:r>
    </w:p>
    <w:tbl>
      <w:tblPr>
        <w:tblStyle w:val="3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9"/>
        <w:gridCol w:w="1344"/>
        <w:gridCol w:w="1085"/>
        <w:gridCol w:w="1107"/>
        <w:gridCol w:w="1766"/>
        <w:gridCol w:w="1184"/>
        <w:gridCol w:w="1184"/>
      </w:tblGrid>
      <w:tr w14:paraId="5A4A1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389" w:type="dxa"/>
            <w:noWrap w:val="0"/>
            <w:vAlign w:val="center"/>
          </w:tcPr>
          <w:p w14:paraId="534F76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指标</w:t>
            </w:r>
          </w:p>
        </w:tc>
        <w:tc>
          <w:tcPr>
            <w:tcW w:w="1344" w:type="dxa"/>
            <w:noWrap w:val="0"/>
            <w:vAlign w:val="center"/>
          </w:tcPr>
          <w:p w14:paraId="24E1BC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颗粒物</w:t>
            </w:r>
          </w:p>
        </w:tc>
        <w:tc>
          <w:tcPr>
            <w:tcW w:w="1085" w:type="dxa"/>
            <w:noWrap w:val="0"/>
            <w:vAlign w:val="center"/>
          </w:tcPr>
          <w:p w14:paraId="76A8DD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p>
        </w:tc>
        <w:tc>
          <w:tcPr>
            <w:tcW w:w="1107" w:type="dxa"/>
            <w:noWrap w:val="0"/>
            <w:vAlign w:val="center"/>
          </w:tcPr>
          <w:p w14:paraId="05121B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NO</w:t>
            </w:r>
            <w:r>
              <w:rPr>
                <w:rFonts w:hint="default" w:ascii="Times New Roman" w:hAnsi="Times New Roman" w:cs="Times New Roman"/>
                <w:color w:val="auto"/>
                <w:sz w:val="18"/>
                <w:szCs w:val="18"/>
                <w:highlight w:val="none"/>
                <w:vertAlign w:val="subscript"/>
              </w:rPr>
              <w:t>x</w:t>
            </w:r>
          </w:p>
        </w:tc>
        <w:tc>
          <w:tcPr>
            <w:tcW w:w="1766" w:type="dxa"/>
            <w:noWrap w:val="0"/>
            <w:vAlign w:val="center"/>
          </w:tcPr>
          <w:p w14:paraId="58FC9A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挥发性有机物</w:t>
            </w:r>
          </w:p>
        </w:tc>
        <w:tc>
          <w:tcPr>
            <w:tcW w:w="1184" w:type="dxa"/>
            <w:noWrap w:val="0"/>
            <w:vAlign w:val="center"/>
          </w:tcPr>
          <w:p w14:paraId="1F2030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eastAsia="宋体" w:cs="Times New Roman"/>
                <w:color w:val="auto"/>
                <w:kern w:val="2"/>
                <w:sz w:val="21"/>
                <w:szCs w:val="21"/>
                <w:highlight w:val="none"/>
                <w:lang w:val="en-US" w:eastAsia="zh-CN" w:bidi="ar-SA"/>
              </w:rPr>
              <w:t>COD</w:t>
            </w:r>
          </w:p>
        </w:tc>
        <w:tc>
          <w:tcPr>
            <w:tcW w:w="1184" w:type="dxa"/>
            <w:noWrap w:val="0"/>
            <w:vAlign w:val="center"/>
          </w:tcPr>
          <w:p w14:paraId="4A87CC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eastAsia="宋体" w:cs="Times New Roman"/>
                <w:color w:val="auto"/>
                <w:kern w:val="2"/>
                <w:sz w:val="21"/>
                <w:szCs w:val="21"/>
                <w:highlight w:val="none"/>
                <w:lang w:val="en-US" w:eastAsia="zh-CN" w:bidi="ar-SA"/>
              </w:rPr>
              <w:t>NH</w:t>
            </w:r>
            <w:r>
              <w:rPr>
                <w:rFonts w:hint="default" w:ascii="Times New Roman" w:hAnsi="Times New Roman" w:eastAsia="宋体" w:cs="Times New Roman"/>
                <w:color w:val="auto"/>
                <w:kern w:val="2"/>
                <w:sz w:val="21"/>
                <w:szCs w:val="21"/>
                <w:highlight w:val="none"/>
                <w:vertAlign w:val="subscript"/>
                <w:lang w:val="en-US" w:eastAsia="zh-CN" w:bidi="ar-SA"/>
              </w:rPr>
              <w:t>3</w:t>
            </w:r>
            <w:r>
              <w:rPr>
                <w:rFonts w:hint="default" w:ascii="Times New Roman" w:hAnsi="Times New Roman" w:eastAsia="宋体" w:cs="Times New Roman"/>
                <w:color w:val="auto"/>
                <w:kern w:val="2"/>
                <w:sz w:val="21"/>
                <w:szCs w:val="21"/>
                <w:highlight w:val="none"/>
                <w:lang w:val="en-US" w:eastAsia="zh-CN" w:bidi="ar-SA"/>
              </w:rPr>
              <w:t>-N</w:t>
            </w:r>
          </w:p>
        </w:tc>
      </w:tr>
      <w:tr w14:paraId="1CA997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389" w:type="dxa"/>
            <w:noWrap w:val="0"/>
            <w:vAlign w:val="center"/>
          </w:tcPr>
          <w:p w14:paraId="6D2EFC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核定量</w:t>
            </w:r>
          </w:p>
        </w:tc>
        <w:tc>
          <w:tcPr>
            <w:tcW w:w="1344" w:type="dxa"/>
            <w:noWrap w:val="0"/>
            <w:vAlign w:val="center"/>
          </w:tcPr>
          <w:p w14:paraId="779C03A5">
            <w:pPr>
              <w:pStyle w:val="73"/>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8.048</w:t>
            </w:r>
          </w:p>
        </w:tc>
        <w:tc>
          <w:tcPr>
            <w:tcW w:w="1085" w:type="dxa"/>
            <w:noWrap w:val="0"/>
            <w:vAlign w:val="center"/>
          </w:tcPr>
          <w:p w14:paraId="3E6351B1">
            <w:pPr>
              <w:pStyle w:val="73"/>
              <w:rPr>
                <w:rFonts w:hint="default" w:ascii="Times New Roman" w:hAnsi="Times New Roman" w:cs="Times New Roman"/>
                <w:snapToGrid w:val="0"/>
                <w:color w:val="auto"/>
                <w:kern w:val="21"/>
                <w:sz w:val="18"/>
                <w:szCs w:val="18"/>
                <w:highlight w:val="none"/>
                <w:lang w:val="en-US" w:eastAsia="zh-CN"/>
              </w:rPr>
            </w:pPr>
            <w:r>
              <w:rPr>
                <w:rFonts w:hint="eastAsia" w:cs="Times New Roman"/>
                <w:color w:val="auto"/>
                <w:sz w:val="18"/>
                <w:szCs w:val="18"/>
                <w:highlight w:val="none"/>
                <w:lang w:val="en-US" w:eastAsia="zh-CN"/>
              </w:rPr>
              <w:t>16.51</w:t>
            </w:r>
          </w:p>
        </w:tc>
        <w:tc>
          <w:tcPr>
            <w:tcW w:w="1107" w:type="dxa"/>
            <w:noWrap w:val="0"/>
            <w:vAlign w:val="center"/>
          </w:tcPr>
          <w:p w14:paraId="63DC4D3D">
            <w:pPr>
              <w:pStyle w:val="73"/>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20.64</w:t>
            </w:r>
          </w:p>
        </w:tc>
        <w:tc>
          <w:tcPr>
            <w:tcW w:w="1766" w:type="dxa"/>
            <w:noWrap w:val="0"/>
            <w:vAlign w:val="center"/>
          </w:tcPr>
          <w:p w14:paraId="6811F521">
            <w:pPr>
              <w:pStyle w:val="73"/>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0.576</w:t>
            </w:r>
          </w:p>
        </w:tc>
        <w:tc>
          <w:tcPr>
            <w:tcW w:w="1184" w:type="dxa"/>
            <w:noWrap w:val="0"/>
            <w:vAlign w:val="center"/>
          </w:tcPr>
          <w:p w14:paraId="5878F7B5">
            <w:pPr>
              <w:pStyle w:val="73"/>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0.848</w:t>
            </w:r>
          </w:p>
        </w:tc>
        <w:tc>
          <w:tcPr>
            <w:tcW w:w="1184" w:type="dxa"/>
            <w:noWrap w:val="0"/>
            <w:vAlign w:val="center"/>
          </w:tcPr>
          <w:p w14:paraId="78FD317B">
            <w:pPr>
              <w:pStyle w:val="73"/>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0.042</w:t>
            </w:r>
          </w:p>
        </w:tc>
      </w:tr>
    </w:tbl>
    <w:p w14:paraId="798EBD5E">
      <w:pPr>
        <w:spacing w:line="360" w:lineRule="auto"/>
        <w:ind w:firstLine="420" w:firstLineChars="200"/>
        <w:rPr>
          <w:rFonts w:hint="default" w:ascii="Times New Roman" w:hAnsi="Times New Roman" w:cs="Times New Roman"/>
          <w:b w:val="0"/>
          <w:bCs w:val="0"/>
          <w:color w:val="auto"/>
          <w:kern w:val="18"/>
          <w:szCs w:val="21"/>
          <w:highlight w:val="none"/>
        </w:rPr>
      </w:pPr>
    </w:p>
    <w:p w14:paraId="516EFE65">
      <w:pPr>
        <w:spacing w:line="360" w:lineRule="auto"/>
        <w:ind w:firstLine="420" w:firstLineChars="200"/>
        <w:rPr>
          <w:rFonts w:hint="default" w:ascii="Times New Roman" w:hAnsi="Times New Roman" w:cs="Times New Roman"/>
          <w:b w:val="0"/>
          <w:bCs w:val="0"/>
          <w:color w:val="auto"/>
          <w:kern w:val="18"/>
          <w:szCs w:val="21"/>
          <w:highlight w:val="none"/>
        </w:rPr>
      </w:pPr>
    </w:p>
    <w:p w14:paraId="18285006">
      <w:pPr>
        <w:spacing w:line="360" w:lineRule="auto"/>
        <w:ind w:firstLine="420" w:firstLineChars="200"/>
        <w:rPr>
          <w:rFonts w:hint="default" w:ascii="Times New Roman" w:hAnsi="Times New Roman" w:cs="Times New Roman"/>
          <w:b w:val="0"/>
          <w:bCs w:val="0"/>
          <w:color w:val="auto"/>
          <w:kern w:val="18"/>
          <w:szCs w:val="21"/>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8B26421">
      <w:pPr>
        <w:pStyle w:val="119"/>
        <w:jc w:val="both"/>
        <w:rPr>
          <w:rFonts w:hint="default"/>
          <w:color w:val="auto"/>
          <w:highlight w:val="none"/>
        </w:rPr>
      </w:pPr>
      <w:bookmarkStart w:id="31" w:name="_Toc31529"/>
      <w:bookmarkStart w:id="32" w:name="_Toc8306"/>
      <w:r>
        <w:rPr>
          <w:rFonts w:hint="eastAsia" w:ascii="Times New Roman" w:hAnsi="Times New Roman" w:eastAsia="宋体" w:cs="Times New Roman"/>
          <w:b/>
          <w:bCs/>
          <w:color w:val="auto"/>
          <w:kern w:val="44"/>
          <w:sz w:val="24"/>
          <w:szCs w:val="24"/>
          <w:highlight w:val="none"/>
          <w:lang w:val="en-US" w:eastAsia="zh-CN" w:bidi="ar-SA"/>
        </w:rPr>
        <w:t>附件10</w:t>
      </w:r>
      <w:r>
        <w:rPr>
          <w:rFonts w:hint="default" w:ascii="Times New Roman" w:hAnsi="Times New Roman" w:eastAsia="宋体" w:cs="Times New Roman"/>
          <w:b/>
          <w:bCs/>
          <w:color w:val="auto"/>
          <w:kern w:val="44"/>
          <w:sz w:val="24"/>
          <w:szCs w:val="24"/>
          <w:highlight w:val="none"/>
          <w:lang w:val="en-US" w:eastAsia="zh-CN" w:bidi="ar-SA"/>
        </w:rPr>
        <w:t>关于《黑龙江省伊春市城乡固体废物分类治理专项规划（2019—2035年）(2024年修订版）环境影响报告书》审查意见的函</w:t>
      </w:r>
      <w:r>
        <w:rPr>
          <w:color w:val="auto"/>
          <w:highlight w:val="none"/>
        </w:rPr>
        <w:drawing>
          <wp:inline distT="0" distB="0" distL="114300" distR="114300">
            <wp:extent cx="5428615" cy="7377430"/>
            <wp:effectExtent l="0" t="0" r="635" b="139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79"/>
                    <a:stretch>
                      <a:fillRect/>
                    </a:stretch>
                  </pic:blipFill>
                  <pic:spPr>
                    <a:xfrm>
                      <a:off x="0" y="0"/>
                      <a:ext cx="5428615" cy="7377430"/>
                    </a:xfrm>
                    <a:prstGeom prst="rect">
                      <a:avLst/>
                    </a:prstGeom>
                    <a:noFill/>
                    <a:ln>
                      <a:noFill/>
                    </a:ln>
                  </pic:spPr>
                </pic:pic>
              </a:graphicData>
            </a:graphic>
          </wp:inline>
        </w:drawing>
      </w:r>
      <w:bookmarkEnd w:id="31"/>
      <w:bookmarkEnd w:id="32"/>
    </w:p>
    <w:p w14:paraId="4D810BA6">
      <w:pPr>
        <w:pStyle w:val="120"/>
        <w:rPr>
          <w:rFonts w:hint="default"/>
          <w:color w:val="auto"/>
          <w:highlight w:val="none"/>
        </w:rPr>
      </w:pPr>
      <w:r>
        <w:rPr>
          <w:color w:val="auto"/>
          <w:highlight w:val="none"/>
        </w:rPr>
        <w:drawing>
          <wp:inline distT="0" distB="0" distL="114300" distR="114300">
            <wp:extent cx="5577840" cy="8333105"/>
            <wp:effectExtent l="0" t="0" r="3810" b="1079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80"/>
                    <a:stretch>
                      <a:fillRect/>
                    </a:stretch>
                  </pic:blipFill>
                  <pic:spPr>
                    <a:xfrm>
                      <a:off x="0" y="0"/>
                      <a:ext cx="5577840" cy="8333105"/>
                    </a:xfrm>
                    <a:prstGeom prst="rect">
                      <a:avLst/>
                    </a:prstGeom>
                    <a:noFill/>
                    <a:ln>
                      <a:noFill/>
                    </a:ln>
                  </pic:spPr>
                </pic:pic>
              </a:graphicData>
            </a:graphic>
          </wp:inline>
        </w:drawing>
      </w:r>
      <w:r>
        <w:rPr>
          <w:color w:val="auto"/>
          <w:highlight w:val="none"/>
        </w:rPr>
        <w:drawing>
          <wp:inline distT="0" distB="0" distL="114300" distR="114300">
            <wp:extent cx="5639435" cy="7606030"/>
            <wp:effectExtent l="0" t="0" r="18415" b="139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81"/>
                    <a:stretch>
                      <a:fillRect/>
                    </a:stretch>
                  </pic:blipFill>
                  <pic:spPr>
                    <a:xfrm>
                      <a:off x="0" y="0"/>
                      <a:ext cx="5639435" cy="7606030"/>
                    </a:xfrm>
                    <a:prstGeom prst="rect">
                      <a:avLst/>
                    </a:prstGeom>
                    <a:noFill/>
                    <a:ln>
                      <a:noFill/>
                    </a:ln>
                  </pic:spPr>
                </pic:pic>
              </a:graphicData>
            </a:graphic>
          </wp:inline>
        </w:drawing>
      </w:r>
      <w:r>
        <w:rPr>
          <w:color w:val="auto"/>
          <w:highlight w:val="none"/>
        </w:rPr>
        <w:drawing>
          <wp:inline distT="0" distB="0" distL="114300" distR="114300">
            <wp:extent cx="5589905" cy="7463790"/>
            <wp:effectExtent l="0" t="0" r="10795" b="381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82"/>
                    <a:stretch>
                      <a:fillRect/>
                    </a:stretch>
                  </pic:blipFill>
                  <pic:spPr>
                    <a:xfrm>
                      <a:off x="0" y="0"/>
                      <a:ext cx="5589905" cy="7463790"/>
                    </a:xfrm>
                    <a:prstGeom prst="rect">
                      <a:avLst/>
                    </a:prstGeom>
                    <a:noFill/>
                    <a:ln>
                      <a:noFill/>
                    </a:ln>
                  </pic:spPr>
                </pic:pic>
              </a:graphicData>
            </a:graphic>
          </wp:inline>
        </w:drawing>
      </w:r>
    </w:p>
    <w:p w14:paraId="7AC3DE96">
      <w:pPr>
        <w:rPr>
          <w:color w:val="auto"/>
          <w:highlight w:val="none"/>
        </w:rPr>
      </w:pPr>
    </w:p>
    <w:p w14:paraId="11C51DA6">
      <w:pPr>
        <w:rPr>
          <w:color w:val="auto"/>
          <w:highlight w:val="none"/>
        </w:rPr>
      </w:pPr>
    </w:p>
    <w:p w14:paraId="336DFE69">
      <w:pPr>
        <w:pStyle w:val="30"/>
        <w:rPr>
          <w:rFonts w:hint="default"/>
          <w:color w:val="auto"/>
          <w:highlight w:val="none"/>
        </w:rPr>
      </w:pPr>
    </w:p>
    <w:p w14:paraId="090C3C49">
      <w:pPr>
        <w:spacing w:line="360" w:lineRule="auto"/>
        <w:ind w:firstLine="420" w:firstLineChars="200"/>
        <w:rPr>
          <w:rFonts w:hint="default" w:ascii="Times New Roman" w:hAnsi="Times New Roman" w:cs="Times New Roman"/>
          <w:b w:val="0"/>
          <w:bCs w:val="0"/>
          <w:color w:val="auto"/>
          <w:kern w:val="18"/>
          <w:szCs w:val="21"/>
          <w:highlight w:val="none"/>
        </w:rPr>
      </w:pPr>
    </w:p>
    <w:p w14:paraId="5CE025E7">
      <w:pPr>
        <w:jc w:val="both"/>
        <w:rPr>
          <w:rFonts w:hint="default" w:cs="Times New Roman"/>
          <w:color w:val="auto"/>
          <w:highlight w:val="none"/>
          <w:lang w:val="en-US" w:eastAsia="zh-CN"/>
        </w:rPr>
      </w:pP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442">
      <wne:acd wne:acdName="acd0"/>
    </wne:keymap>
    <wne:keymap wne:kcmPrimary="0454">
      <wne:acd wne:acdName="acd1"/>
    </wne:keymap>
  </wne:keymaps>
  <wne:acds>
    <wne:acd wne:argValue="AgBrWGiIN2gPXw==" wne:acdName="acd0" wne:fciIndexBasedOn="0065"/>
    <wne:acd wne:argValue="AgBrWGiIh2VXWw==" wne:acdName="acd1"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A90EFB">
    <w:pPr>
      <w:pStyle w:val="2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37EABC">
    <w:pPr>
      <w:pStyle w:val="20"/>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33985" cy="153035"/>
              <wp:effectExtent l="0" t="1270" r="635" b="0"/>
              <wp:wrapNone/>
              <wp:docPr id="2" name="文本框 2049"/>
              <wp:cNvGraphicFramePr/>
              <a:graphic xmlns:a="http://schemas.openxmlformats.org/drawingml/2006/main">
                <a:graphicData uri="http://schemas.microsoft.com/office/word/2010/wordprocessingShape">
                  <wps:wsp>
                    <wps:cNvSpPr txBox="1">
                      <a:spLocks noChangeArrowheads="1"/>
                    </wps:cNvSpPr>
                    <wps:spPr bwMode="auto">
                      <a:xfrm>
                        <a:off x="0" y="0"/>
                        <a:ext cx="133985" cy="153035"/>
                      </a:xfrm>
                      <a:prstGeom prst="rect">
                        <a:avLst/>
                      </a:prstGeom>
                      <a:noFill/>
                      <a:ln>
                        <a:noFill/>
                      </a:ln>
                    </wps:spPr>
                    <wps:txbx>
                      <w:txbxContent>
                        <w:p w14:paraId="7A93A6B8">
                          <w:pPr>
                            <w:pStyle w:val="20"/>
                            <w:rPr>
                              <w:rStyle w:val="37"/>
                              <w:rFonts w:ascii="宋体" w:hAnsi="宋体"/>
                              <w:sz w:val="28"/>
                              <w:szCs w:val="28"/>
                            </w:rPr>
                          </w:pPr>
                          <w:r>
                            <w:rPr>
                              <w:sz w:val="21"/>
                              <w:szCs w:val="21"/>
                            </w:rPr>
                            <w:fldChar w:fldCharType="begin"/>
                          </w:r>
                          <w:r>
                            <w:rPr>
                              <w:rStyle w:val="37"/>
                              <w:sz w:val="21"/>
                              <w:szCs w:val="21"/>
                            </w:rPr>
                            <w:instrText xml:space="preserve">PAGE  </w:instrText>
                          </w:r>
                          <w:r>
                            <w:rPr>
                              <w:sz w:val="21"/>
                              <w:szCs w:val="21"/>
                            </w:rPr>
                            <w:fldChar w:fldCharType="separate"/>
                          </w:r>
                          <w:r>
                            <w:rPr>
                              <w:rStyle w:val="37"/>
                              <w:sz w:val="21"/>
                              <w:szCs w:val="21"/>
                            </w:rPr>
                            <w:t>25</w:t>
                          </w:r>
                          <w:r>
                            <w:rPr>
                              <w:sz w:val="21"/>
                              <w:szCs w:val="21"/>
                            </w:rPr>
                            <w:fldChar w:fldCharType="end"/>
                          </w:r>
                        </w:p>
                      </w:txbxContent>
                    </wps:txbx>
                    <wps:bodyPr rot="0" vert="horz" wrap="none" lIns="0" tIns="0" rIns="0" bIns="0" anchor="t" anchorCtr="0" upright="1">
                      <a:spAutoFit/>
                    </wps:bodyPr>
                  </wps:wsp>
                </a:graphicData>
              </a:graphic>
            </wp:anchor>
          </w:drawing>
        </mc:Choice>
        <mc:Fallback>
          <w:pict>
            <v:shape id="文本框 2049" o:spid="_x0000_s1026" o:spt="202" type="#_x0000_t202" style="position:absolute;left:0pt;margin-top:0pt;height:12.05pt;width:10.55pt;mso-position-horizontal:center;mso-position-horizontal-relative:margin;mso-wrap-style:none;z-index:251659264;mso-width-relative:page;mso-height-relative:page;" filled="f" stroked="f" coordsize="21600,21600" o:gfxdata="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&#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B7XTPQAAAAAwEAAA8AAAAAAAAAAQAgAAAAIgAAAGRy&#10;cy9kb3ducmV2LnhtbFBLAQIUABQAAAAIAIdO4kCqFOcNDQIAAAUEAAAOAAAAAAAAAAEAIAAAAB8B&#10;AABkcnMvZTJvRG9jLnhtbFBLBQYAAAAABgAGAFkBAACeBQAAAAA=&#10;">
              <v:fill on="f" focussize="0,0"/>
              <v:stroke on="f"/>
              <v:imagedata o:title=""/>
              <o:lock v:ext="edit" aspectratio="f"/>
              <v:textbox inset="0mm,0mm,0mm,0mm" style="mso-fit-shape-to-text:t;">
                <w:txbxContent>
                  <w:p w14:paraId="7A93A6B8">
                    <w:pPr>
                      <w:pStyle w:val="20"/>
                      <w:rPr>
                        <w:rStyle w:val="37"/>
                        <w:rFonts w:ascii="宋体" w:hAnsi="宋体"/>
                        <w:sz w:val="28"/>
                        <w:szCs w:val="28"/>
                      </w:rPr>
                    </w:pPr>
                    <w:r>
                      <w:rPr>
                        <w:sz w:val="21"/>
                        <w:szCs w:val="21"/>
                      </w:rPr>
                      <w:fldChar w:fldCharType="begin"/>
                    </w:r>
                    <w:r>
                      <w:rPr>
                        <w:rStyle w:val="37"/>
                        <w:sz w:val="21"/>
                        <w:szCs w:val="21"/>
                      </w:rPr>
                      <w:instrText xml:space="preserve">PAGE  </w:instrText>
                    </w:r>
                    <w:r>
                      <w:rPr>
                        <w:sz w:val="21"/>
                        <w:szCs w:val="21"/>
                      </w:rPr>
                      <w:fldChar w:fldCharType="separate"/>
                    </w:r>
                    <w:r>
                      <w:rPr>
                        <w:rStyle w:val="37"/>
                        <w:sz w:val="21"/>
                        <w:szCs w:val="21"/>
                      </w:rPr>
                      <w:t>25</w:t>
                    </w:r>
                    <w:r>
                      <w:rPr>
                        <w:sz w:val="21"/>
                        <w:szCs w:val="21"/>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37832C">
    <w:pPr>
      <w:pStyle w:val="20"/>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33985" cy="153035"/>
              <wp:effectExtent l="0" t="0" r="635" b="0"/>
              <wp:wrapNone/>
              <wp:docPr id="1" name="文本框 2050"/>
              <wp:cNvGraphicFramePr/>
              <a:graphic xmlns:a="http://schemas.openxmlformats.org/drawingml/2006/main">
                <a:graphicData uri="http://schemas.microsoft.com/office/word/2010/wordprocessingShape">
                  <wps:wsp>
                    <wps:cNvSpPr txBox="1">
                      <a:spLocks noChangeArrowheads="1"/>
                    </wps:cNvSpPr>
                    <wps:spPr bwMode="auto">
                      <a:xfrm>
                        <a:off x="0" y="0"/>
                        <a:ext cx="133985" cy="153035"/>
                      </a:xfrm>
                      <a:prstGeom prst="rect">
                        <a:avLst/>
                      </a:prstGeom>
                      <a:noFill/>
                      <a:ln>
                        <a:noFill/>
                      </a:ln>
                    </wps:spPr>
                    <wps:txbx>
                      <w:txbxContent>
                        <w:p w14:paraId="26B42042">
                          <w:pPr>
                            <w:pStyle w:val="20"/>
                            <w:rPr>
                              <w:rStyle w:val="37"/>
                              <w:rFonts w:ascii="宋体" w:hAnsi="宋体"/>
                              <w:sz w:val="21"/>
                              <w:szCs w:val="21"/>
                            </w:rPr>
                          </w:pPr>
                          <w:r>
                            <w:rPr>
                              <w:sz w:val="21"/>
                              <w:szCs w:val="21"/>
                            </w:rPr>
                            <w:fldChar w:fldCharType="begin"/>
                          </w:r>
                          <w:r>
                            <w:rPr>
                              <w:rStyle w:val="37"/>
                              <w:sz w:val="21"/>
                              <w:szCs w:val="21"/>
                            </w:rPr>
                            <w:instrText xml:space="preserve">PAGE  </w:instrText>
                          </w:r>
                          <w:r>
                            <w:rPr>
                              <w:sz w:val="21"/>
                              <w:szCs w:val="21"/>
                            </w:rPr>
                            <w:fldChar w:fldCharType="separate"/>
                          </w:r>
                          <w:r>
                            <w:rPr>
                              <w:rStyle w:val="37"/>
                              <w:sz w:val="21"/>
                              <w:szCs w:val="21"/>
                            </w:rPr>
                            <w:t>87</w:t>
                          </w:r>
                          <w:r>
                            <w:rPr>
                              <w:sz w:val="21"/>
                              <w:szCs w:val="21"/>
                            </w:rPr>
                            <w:fldChar w:fldCharType="end"/>
                          </w:r>
                        </w:p>
                      </w:txbxContent>
                    </wps:txbx>
                    <wps:bodyPr rot="0" vert="horz" wrap="none" lIns="0" tIns="0" rIns="0" bIns="0" anchor="t" anchorCtr="0" upright="1">
                      <a:spAutoFit/>
                    </wps:bodyPr>
                  </wps:wsp>
                </a:graphicData>
              </a:graphic>
            </wp:anchor>
          </w:drawing>
        </mc:Choice>
        <mc:Fallback>
          <w:pict>
            <v:shape id="文本框 2050" o:spid="_x0000_s1026" o:spt="202" type="#_x0000_t202" style="position:absolute;left:0pt;margin-top:0pt;height:12.05pt;width:10.55pt;mso-position-horizontal:center;mso-position-horizontal-relative:margin;mso-wrap-style:none;z-index:251660288;mso-width-relative:page;mso-height-relative:page;" filled="f" stroked="f" coordsize="21600,21600" o:gfxdata="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HtdM9AAAAADAQAADwAAAAAAAAABACAAAAAiAAAAZHJz&#10;L2Rvd25yZXYueG1sUEsBAhQAFAAAAAgAh07iQEm9fuMMAgAABQQAAA4AAAAAAAAAAQAgAAAAHwEA&#10;AGRycy9lMm9Eb2MueG1sUEsFBgAAAAAGAAYAWQEAAJ0FAAAAAA==&#10;">
              <v:fill on="f" focussize="0,0"/>
              <v:stroke on="f"/>
              <v:imagedata o:title=""/>
              <o:lock v:ext="edit" aspectratio="f"/>
              <v:textbox inset="0mm,0mm,0mm,0mm" style="mso-fit-shape-to-text:t;">
                <w:txbxContent>
                  <w:p w14:paraId="26B42042">
                    <w:pPr>
                      <w:pStyle w:val="20"/>
                      <w:rPr>
                        <w:rStyle w:val="37"/>
                        <w:rFonts w:ascii="宋体" w:hAnsi="宋体"/>
                        <w:sz w:val="21"/>
                        <w:szCs w:val="21"/>
                      </w:rPr>
                    </w:pPr>
                    <w:r>
                      <w:rPr>
                        <w:sz w:val="21"/>
                        <w:szCs w:val="21"/>
                      </w:rPr>
                      <w:fldChar w:fldCharType="begin"/>
                    </w:r>
                    <w:r>
                      <w:rPr>
                        <w:rStyle w:val="37"/>
                        <w:sz w:val="21"/>
                        <w:szCs w:val="21"/>
                      </w:rPr>
                      <w:instrText xml:space="preserve">PAGE  </w:instrText>
                    </w:r>
                    <w:r>
                      <w:rPr>
                        <w:sz w:val="21"/>
                        <w:szCs w:val="21"/>
                      </w:rPr>
                      <w:fldChar w:fldCharType="separate"/>
                    </w:r>
                    <w:r>
                      <w:rPr>
                        <w:rStyle w:val="37"/>
                        <w:sz w:val="21"/>
                        <w:szCs w:val="21"/>
                      </w:rPr>
                      <w:t>87</w:t>
                    </w:r>
                    <w:r>
                      <w:rPr>
                        <w:sz w:val="21"/>
                        <w:szCs w:val="21"/>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C68C3F"/>
    <w:multiLevelType w:val="singleLevel"/>
    <w:tmpl w:val="87C68C3F"/>
    <w:lvl w:ilvl="0" w:tentative="0">
      <w:start w:val="1"/>
      <w:numFmt w:val="bullet"/>
      <w:pStyle w:val="16"/>
      <w:lvlText w:val=""/>
      <w:lvlJc w:val="left"/>
      <w:pPr>
        <w:tabs>
          <w:tab w:val="left" w:pos="2040"/>
        </w:tabs>
        <w:ind w:left="2040" w:hanging="360"/>
      </w:pPr>
      <w:rPr>
        <w:rFonts w:hint="default" w:ascii="Wingdings" w:hAnsi="Wingdings"/>
      </w:rPr>
    </w:lvl>
  </w:abstractNum>
  <w:abstractNum w:abstractNumId="1">
    <w:nsid w:val="996317F4"/>
    <w:multiLevelType w:val="singleLevel"/>
    <w:tmpl w:val="996317F4"/>
    <w:lvl w:ilvl="0" w:tentative="0">
      <w:start w:val="1"/>
      <w:numFmt w:val="decimal"/>
      <w:suff w:val="nothing"/>
      <w:lvlText w:val="%1．"/>
      <w:lvlJc w:val="left"/>
    </w:lvl>
  </w:abstractNum>
  <w:abstractNum w:abstractNumId="2">
    <w:nsid w:val="9BC6A2A6"/>
    <w:multiLevelType w:val="singleLevel"/>
    <w:tmpl w:val="9BC6A2A6"/>
    <w:lvl w:ilvl="0" w:tentative="0">
      <w:start w:val="4"/>
      <w:numFmt w:val="decimal"/>
      <w:suff w:val="nothing"/>
      <w:lvlText w:val="%1、"/>
      <w:lvlJc w:val="left"/>
    </w:lvl>
  </w:abstractNum>
  <w:abstractNum w:abstractNumId="3">
    <w:nsid w:val="DC974530"/>
    <w:multiLevelType w:val="singleLevel"/>
    <w:tmpl w:val="DC974530"/>
    <w:lvl w:ilvl="0" w:tentative="0">
      <w:start w:val="3"/>
      <w:numFmt w:val="decimal"/>
      <w:suff w:val="nothing"/>
      <w:lvlText w:val="（%1）"/>
      <w:lvlJc w:val="left"/>
    </w:lvl>
  </w:abstractNum>
  <w:abstractNum w:abstractNumId="4">
    <w:nsid w:val="E583E6C5"/>
    <w:multiLevelType w:val="singleLevel"/>
    <w:tmpl w:val="E583E6C5"/>
    <w:lvl w:ilvl="0" w:tentative="0">
      <w:start w:val="1"/>
      <w:numFmt w:val="decimal"/>
      <w:lvlText w:val="(%1)"/>
      <w:lvlJc w:val="left"/>
      <w:pPr>
        <w:tabs>
          <w:tab w:val="left" w:pos="312"/>
        </w:tabs>
      </w:pPr>
    </w:lvl>
  </w:abstractNum>
  <w:abstractNum w:abstractNumId="5">
    <w:nsid w:val="0A5FD57F"/>
    <w:multiLevelType w:val="singleLevel"/>
    <w:tmpl w:val="0A5FD57F"/>
    <w:lvl w:ilvl="0" w:tentative="0">
      <w:start w:val="12"/>
      <w:numFmt w:val="decimal"/>
      <w:suff w:val="nothing"/>
      <w:lvlText w:val="%1、"/>
      <w:lvlJc w:val="left"/>
    </w:lvl>
  </w:abstractNum>
  <w:abstractNum w:abstractNumId="6">
    <w:nsid w:val="1454DFCB"/>
    <w:multiLevelType w:val="singleLevel"/>
    <w:tmpl w:val="1454DFCB"/>
    <w:lvl w:ilvl="0" w:tentative="0">
      <w:start w:val="2"/>
      <w:numFmt w:val="decimal"/>
      <w:suff w:val="nothing"/>
      <w:lvlText w:val="%1、"/>
      <w:lvlJc w:val="left"/>
    </w:lvl>
  </w:abstractNum>
  <w:abstractNum w:abstractNumId="7">
    <w:nsid w:val="46833A87"/>
    <w:multiLevelType w:val="singleLevel"/>
    <w:tmpl w:val="46833A87"/>
    <w:lvl w:ilvl="0" w:tentative="0">
      <w:start w:val="7"/>
      <w:numFmt w:val="decimal"/>
      <w:suff w:val="nothing"/>
      <w:lvlText w:val="（%1）"/>
      <w:lvlJc w:val="left"/>
    </w:lvl>
  </w:abstractNum>
  <w:abstractNum w:abstractNumId="8">
    <w:nsid w:val="7894A61D"/>
    <w:multiLevelType w:val="singleLevel"/>
    <w:tmpl w:val="7894A61D"/>
    <w:lvl w:ilvl="0" w:tentative="0">
      <w:start w:val="1"/>
      <w:numFmt w:val="decimal"/>
      <w:suff w:val="nothing"/>
      <w:lvlText w:val="%1、"/>
      <w:lvlJc w:val="left"/>
    </w:lvl>
  </w:abstractNum>
  <w:num w:numId="1">
    <w:abstractNumId w:val="0"/>
  </w:num>
  <w:num w:numId="2">
    <w:abstractNumId w:val="3"/>
  </w:num>
  <w:num w:numId="3">
    <w:abstractNumId w:val="5"/>
  </w:num>
  <w:num w:numId="4">
    <w:abstractNumId w:val="1"/>
  </w:num>
  <w:num w:numId="5">
    <w:abstractNumId w:val="8"/>
  </w:num>
  <w:num w:numId="6">
    <w:abstractNumId w:val="6"/>
  </w:num>
  <w:num w:numId="7">
    <w:abstractNumId w:val="2"/>
  </w:num>
  <w:num w:numId="8">
    <w:abstractNumId w:val="7"/>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E2ODJjZjJlYmVhYTFjNjg1OWUzOTExYWZkNTI1ZjMifQ=="/>
    <w:docVar w:name="KSO_WPS_MARK_KEY" w:val="2ad0ddb6-07fa-420e-b4eb-7696bfce480f"/>
  </w:docVars>
  <w:rsids>
    <w:rsidRoot w:val="00A14947"/>
    <w:rsid w:val="00004073"/>
    <w:rsid w:val="000060B3"/>
    <w:rsid w:val="0000675D"/>
    <w:rsid w:val="00012E80"/>
    <w:rsid w:val="00015E01"/>
    <w:rsid w:val="000160D0"/>
    <w:rsid w:val="0004364B"/>
    <w:rsid w:val="00044597"/>
    <w:rsid w:val="00046F1A"/>
    <w:rsid w:val="0005753B"/>
    <w:rsid w:val="00061366"/>
    <w:rsid w:val="00061B1F"/>
    <w:rsid w:val="00065265"/>
    <w:rsid w:val="00072686"/>
    <w:rsid w:val="000733C4"/>
    <w:rsid w:val="00074783"/>
    <w:rsid w:val="0008070B"/>
    <w:rsid w:val="000810AC"/>
    <w:rsid w:val="00081A02"/>
    <w:rsid w:val="00082231"/>
    <w:rsid w:val="00092331"/>
    <w:rsid w:val="00092D38"/>
    <w:rsid w:val="0009377B"/>
    <w:rsid w:val="000A20C9"/>
    <w:rsid w:val="000A354F"/>
    <w:rsid w:val="000A4094"/>
    <w:rsid w:val="000B058F"/>
    <w:rsid w:val="000B3485"/>
    <w:rsid w:val="000B4467"/>
    <w:rsid w:val="000B4DB9"/>
    <w:rsid w:val="000B7965"/>
    <w:rsid w:val="000C09AC"/>
    <w:rsid w:val="000C0DBB"/>
    <w:rsid w:val="000C3782"/>
    <w:rsid w:val="000C767F"/>
    <w:rsid w:val="000D1541"/>
    <w:rsid w:val="000D5A44"/>
    <w:rsid w:val="000E0ACB"/>
    <w:rsid w:val="000E3ED2"/>
    <w:rsid w:val="000E55BB"/>
    <w:rsid w:val="001011F9"/>
    <w:rsid w:val="00104D0D"/>
    <w:rsid w:val="001114EB"/>
    <w:rsid w:val="001279E6"/>
    <w:rsid w:val="00131F42"/>
    <w:rsid w:val="001357F1"/>
    <w:rsid w:val="00137346"/>
    <w:rsid w:val="0013751D"/>
    <w:rsid w:val="00140FA8"/>
    <w:rsid w:val="00142FEB"/>
    <w:rsid w:val="00143A2D"/>
    <w:rsid w:val="00145A41"/>
    <w:rsid w:val="00151675"/>
    <w:rsid w:val="00157435"/>
    <w:rsid w:val="0016666B"/>
    <w:rsid w:val="0017360A"/>
    <w:rsid w:val="0017504D"/>
    <w:rsid w:val="0017671A"/>
    <w:rsid w:val="00177422"/>
    <w:rsid w:val="00184590"/>
    <w:rsid w:val="001870D1"/>
    <w:rsid w:val="0018781E"/>
    <w:rsid w:val="00191865"/>
    <w:rsid w:val="0019262D"/>
    <w:rsid w:val="00192809"/>
    <w:rsid w:val="001A041D"/>
    <w:rsid w:val="001A1B35"/>
    <w:rsid w:val="001A2989"/>
    <w:rsid w:val="001A40C7"/>
    <w:rsid w:val="001A48A2"/>
    <w:rsid w:val="001A6F61"/>
    <w:rsid w:val="001B30CE"/>
    <w:rsid w:val="001B60EA"/>
    <w:rsid w:val="001B72B8"/>
    <w:rsid w:val="001C2CA6"/>
    <w:rsid w:val="001C555F"/>
    <w:rsid w:val="001C6892"/>
    <w:rsid w:val="001C69B3"/>
    <w:rsid w:val="001C7E50"/>
    <w:rsid w:val="001D3F4F"/>
    <w:rsid w:val="001D5595"/>
    <w:rsid w:val="001D7874"/>
    <w:rsid w:val="001D7F22"/>
    <w:rsid w:val="001E2942"/>
    <w:rsid w:val="001F0F17"/>
    <w:rsid w:val="001F3347"/>
    <w:rsid w:val="001F63A1"/>
    <w:rsid w:val="001F69E4"/>
    <w:rsid w:val="002020A3"/>
    <w:rsid w:val="002125B4"/>
    <w:rsid w:val="002155B8"/>
    <w:rsid w:val="00217A79"/>
    <w:rsid w:val="00224385"/>
    <w:rsid w:val="00224839"/>
    <w:rsid w:val="002249B2"/>
    <w:rsid w:val="00226574"/>
    <w:rsid w:val="0022661F"/>
    <w:rsid w:val="002278EC"/>
    <w:rsid w:val="0023280E"/>
    <w:rsid w:val="00233E7E"/>
    <w:rsid w:val="002355FE"/>
    <w:rsid w:val="002357E4"/>
    <w:rsid w:val="002377D1"/>
    <w:rsid w:val="00242D83"/>
    <w:rsid w:val="00244316"/>
    <w:rsid w:val="0024484C"/>
    <w:rsid w:val="0024500D"/>
    <w:rsid w:val="002506BC"/>
    <w:rsid w:val="00254345"/>
    <w:rsid w:val="00263AFD"/>
    <w:rsid w:val="00264557"/>
    <w:rsid w:val="002805AB"/>
    <w:rsid w:val="00283945"/>
    <w:rsid w:val="00284204"/>
    <w:rsid w:val="00287AE6"/>
    <w:rsid w:val="00291773"/>
    <w:rsid w:val="00291F6D"/>
    <w:rsid w:val="002A168C"/>
    <w:rsid w:val="002A3AA7"/>
    <w:rsid w:val="002A3DC7"/>
    <w:rsid w:val="002A5238"/>
    <w:rsid w:val="002B247F"/>
    <w:rsid w:val="002B49E2"/>
    <w:rsid w:val="002B7B00"/>
    <w:rsid w:val="002B7C44"/>
    <w:rsid w:val="002C2B17"/>
    <w:rsid w:val="002D3DD0"/>
    <w:rsid w:val="002D3F44"/>
    <w:rsid w:val="002D41AE"/>
    <w:rsid w:val="002D440A"/>
    <w:rsid w:val="002E1BB2"/>
    <w:rsid w:val="002E1F3A"/>
    <w:rsid w:val="002E298A"/>
    <w:rsid w:val="002E5872"/>
    <w:rsid w:val="002E6AFB"/>
    <w:rsid w:val="002F408D"/>
    <w:rsid w:val="00301978"/>
    <w:rsid w:val="0030332C"/>
    <w:rsid w:val="003051C2"/>
    <w:rsid w:val="00307841"/>
    <w:rsid w:val="00312296"/>
    <w:rsid w:val="00314F0E"/>
    <w:rsid w:val="003160A8"/>
    <w:rsid w:val="003166C1"/>
    <w:rsid w:val="00321D8E"/>
    <w:rsid w:val="00325928"/>
    <w:rsid w:val="00327841"/>
    <w:rsid w:val="00332863"/>
    <w:rsid w:val="00332D8C"/>
    <w:rsid w:val="0033684D"/>
    <w:rsid w:val="0033776A"/>
    <w:rsid w:val="00337B42"/>
    <w:rsid w:val="00341B42"/>
    <w:rsid w:val="0034348F"/>
    <w:rsid w:val="00346DF0"/>
    <w:rsid w:val="003474EA"/>
    <w:rsid w:val="00356653"/>
    <w:rsid w:val="00356D8F"/>
    <w:rsid w:val="0035743F"/>
    <w:rsid w:val="00357BE2"/>
    <w:rsid w:val="0036170C"/>
    <w:rsid w:val="003667B8"/>
    <w:rsid w:val="00366E0F"/>
    <w:rsid w:val="00375A9F"/>
    <w:rsid w:val="00381A72"/>
    <w:rsid w:val="00384676"/>
    <w:rsid w:val="00390857"/>
    <w:rsid w:val="003A4BF3"/>
    <w:rsid w:val="003B420D"/>
    <w:rsid w:val="003C3CF8"/>
    <w:rsid w:val="003C6C16"/>
    <w:rsid w:val="003D1039"/>
    <w:rsid w:val="003D1A24"/>
    <w:rsid w:val="003D20ED"/>
    <w:rsid w:val="003D2327"/>
    <w:rsid w:val="003D3F93"/>
    <w:rsid w:val="003D794D"/>
    <w:rsid w:val="003E2A81"/>
    <w:rsid w:val="003E3058"/>
    <w:rsid w:val="003E6B3A"/>
    <w:rsid w:val="003E705A"/>
    <w:rsid w:val="003E7455"/>
    <w:rsid w:val="003E76A9"/>
    <w:rsid w:val="003F0809"/>
    <w:rsid w:val="003F1A71"/>
    <w:rsid w:val="003F4643"/>
    <w:rsid w:val="003F59CA"/>
    <w:rsid w:val="003F6A8C"/>
    <w:rsid w:val="003F755C"/>
    <w:rsid w:val="00406F01"/>
    <w:rsid w:val="00407D70"/>
    <w:rsid w:val="004111CD"/>
    <w:rsid w:val="00416D50"/>
    <w:rsid w:val="00416FD5"/>
    <w:rsid w:val="00417772"/>
    <w:rsid w:val="00420E6A"/>
    <w:rsid w:val="00425A9E"/>
    <w:rsid w:val="00426D6B"/>
    <w:rsid w:val="00430120"/>
    <w:rsid w:val="00430EDB"/>
    <w:rsid w:val="0043196D"/>
    <w:rsid w:val="00431E6C"/>
    <w:rsid w:val="00433CE7"/>
    <w:rsid w:val="004372A1"/>
    <w:rsid w:val="00443F7D"/>
    <w:rsid w:val="00444B12"/>
    <w:rsid w:val="00446546"/>
    <w:rsid w:val="00452738"/>
    <w:rsid w:val="00456091"/>
    <w:rsid w:val="00456AB6"/>
    <w:rsid w:val="00461D82"/>
    <w:rsid w:val="004643C5"/>
    <w:rsid w:val="00466321"/>
    <w:rsid w:val="004669AD"/>
    <w:rsid w:val="00481759"/>
    <w:rsid w:val="00484B9B"/>
    <w:rsid w:val="004855F6"/>
    <w:rsid w:val="0048661E"/>
    <w:rsid w:val="00492F29"/>
    <w:rsid w:val="00494670"/>
    <w:rsid w:val="004A3823"/>
    <w:rsid w:val="004B33DA"/>
    <w:rsid w:val="004B370D"/>
    <w:rsid w:val="004B39E7"/>
    <w:rsid w:val="004B4FAE"/>
    <w:rsid w:val="004C0560"/>
    <w:rsid w:val="004C1098"/>
    <w:rsid w:val="004C79D1"/>
    <w:rsid w:val="004D1E49"/>
    <w:rsid w:val="004D3E76"/>
    <w:rsid w:val="004D55F7"/>
    <w:rsid w:val="004D5A23"/>
    <w:rsid w:val="004E11FF"/>
    <w:rsid w:val="004E6946"/>
    <w:rsid w:val="004F1AD8"/>
    <w:rsid w:val="004F4203"/>
    <w:rsid w:val="005014FF"/>
    <w:rsid w:val="00503215"/>
    <w:rsid w:val="005039CB"/>
    <w:rsid w:val="0050422A"/>
    <w:rsid w:val="0050558F"/>
    <w:rsid w:val="00506286"/>
    <w:rsid w:val="0051007E"/>
    <w:rsid w:val="00510813"/>
    <w:rsid w:val="00511990"/>
    <w:rsid w:val="00511DE0"/>
    <w:rsid w:val="00513AE3"/>
    <w:rsid w:val="005141BA"/>
    <w:rsid w:val="005147AC"/>
    <w:rsid w:val="00514870"/>
    <w:rsid w:val="00514B9B"/>
    <w:rsid w:val="00517F02"/>
    <w:rsid w:val="00524303"/>
    <w:rsid w:val="005258A2"/>
    <w:rsid w:val="00534548"/>
    <w:rsid w:val="005359E2"/>
    <w:rsid w:val="005401AE"/>
    <w:rsid w:val="00542E07"/>
    <w:rsid w:val="005450B9"/>
    <w:rsid w:val="00545424"/>
    <w:rsid w:val="0055059C"/>
    <w:rsid w:val="00554A7B"/>
    <w:rsid w:val="0055572C"/>
    <w:rsid w:val="0056106A"/>
    <w:rsid w:val="005653D2"/>
    <w:rsid w:val="005716DD"/>
    <w:rsid w:val="005720AE"/>
    <w:rsid w:val="005730DC"/>
    <w:rsid w:val="00587A0A"/>
    <w:rsid w:val="00594D77"/>
    <w:rsid w:val="005969E4"/>
    <w:rsid w:val="005A06B7"/>
    <w:rsid w:val="005A1759"/>
    <w:rsid w:val="005A68A7"/>
    <w:rsid w:val="005B3BF8"/>
    <w:rsid w:val="005B5058"/>
    <w:rsid w:val="005B5B11"/>
    <w:rsid w:val="005C00C7"/>
    <w:rsid w:val="005C200B"/>
    <w:rsid w:val="005D2C3B"/>
    <w:rsid w:val="005D36AB"/>
    <w:rsid w:val="005F4496"/>
    <w:rsid w:val="005F60FD"/>
    <w:rsid w:val="00617CC3"/>
    <w:rsid w:val="00622EC4"/>
    <w:rsid w:val="006302AC"/>
    <w:rsid w:val="00631D01"/>
    <w:rsid w:val="00635476"/>
    <w:rsid w:val="006377A6"/>
    <w:rsid w:val="00637A3D"/>
    <w:rsid w:val="006411EF"/>
    <w:rsid w:val="00663B5A"/>
    <w:rsid w:val="00666CE1"/>
    <w:rsid w:val="006675DE"/>
    <w:rsid w:val="00671E70"/>
    <w:rsid w:val="006730EB"/>
    <w:rsid w:val="006735B4"/>
    <w:rsid w:val="006737C3"/>
    <w:rsid w:val="006748B8"/>
    <w:rsid w:val="006775C3"/>
    <w:rsid w:val="00681887"/>
    <w:rsid w:val="00682FA4"/>
    <w:rsid w:val="006830A4"/>
    <w:rsid w:val="00683D5E"/>
    <w:rsid w:val="0069052B"/>
    <w:rsid w:val="00691ED3"/>
    <w:rsid w:val="0069290A"/>
    <w:rsid w:val="00693AC1"/>
    <w:rsid w:val="00695E3E"/>
    <w:rsid w:val="0069775A"/>
    <w:rsid w:val="00697813"/>
    <w:rsid w:val="00697A86"/>
    <w:rsid w:val="006A3EE8"/>
    <w:rsid w:val="006A72BF"/>
    <w:rsid w:val="006B03F2"/>
    <w:rsid w:val="006B37DC"/>
    <w:rsid w:val="006B4D8B"/>
    <w:rsid w:val="006B4F68"/>
    <w:rsid w:val="006C0592"/>
    <w:rsid w:val="006C2681"/>
    <w:rsid w:val="006C272E"/>
    <w:rsid w:val="006C5479"/>
    <w:rsid w:val="006D13B5"/>
    <w:rsid w:val="006D6ACA"/>
    <w:rsid w:val="006D72F3"/>
    <w:rsid w:val="006E12FF"/>
    <w:rsid w:val="006E2583"/>
    <w:rsid w:val="006E4964"/>
    <w:rsid w:val="006E607E"/>
    <w:rsid w:val="006F245A"/>
    <w:rsid w:val="006F2A55"/>
    <w:rsid w:val="00700109"/>
    <w:rsid w:val="00700DFB"/>
    <w:rsid w:val="00704529"/>
    <w:rsid w:val="00706C5D"/>
    <w:rsid w:val="00706D2F"/>
    <w:rsid w:val="00714004"/>
    <w:rsid w:val="0073023D"/>
    <w:rsid w:val="00732922"/>
    <w:rsid w:val="00744287"/>
    <w:rsid w:val="00745572"/>
    <w:rsid w:val="007457D7"/>
    <w:rsid w:val="00750DDF"/>
    <w:rsid w:val="0075162E"/>
    <w:rsid w:val="00754034"/>
    <w:rsid w:val="00754923"/>
    <w:rsid w:val="00754EE8"/>
    <w:rsid w:val="00756556"/>
    <w:rsid w:val="007618C4"/>
    <w:rsid w:val="00767980"/>
    <w:rsid w:val="00770B19"/>
    <w:rsid w:val="0077463F"/>
    <w:rsid w:val="007836EA"/>
    <w:rsid w:val="007840AB"/>
    <w:rsid w:val="00784CDA"/>
    <w:rsid w:val="00784DB5"/>
    <w:rsid w:val="007906C4"/>
    <w:rsid w:val="007940EA"/>
    <w:rsid w:val="007967E8"/>
    <w:rsid w:val="007A2170"/>
    <w:rsid w:val="007A22BF"/>
    <w:rsid w:val="007A3323"/>
    <w:rsid w:val="007A56D0"/>
    <w:rsid w:val="007B036E"/>
    <w:rsid w:val="007B72B8"/>
    <w:rsid w:val="007B7A58"/>
    <w:rsid w:val="007C0D7E"/>
    <w:rsid w:val="007C21B5"/>
    <w:rsid w:val="007C6941"/>
    <w:rsid w:val="007D5BD9"/>
    <w:rsid w:val="007E3A36"/>
    <w:rsid w:val="007E45DE"/>
    <w:rsid w:val="007E47D0"/>
    <w:rsid w:val="007E4BD2"/>
    <w:rsid w:val="007E7772"/>
    <w:rsid w:val="007F5423"/>
    <w:rsid w:val="00801393"/>
    <w:rsid w:val="00802F58"/>
    <w:rsid w:val="00802F88"/>
    <w:rsid w:val="0080588F"/>
    <w:rsid w:val="0081293E"/>
    <w:rsid w:val="0081410B"/>
    <w:rsid w:val="00815465"/>
    <w:rsid w:val="00817E9A"/>
    <w:rsid w:val="00825702"/>
    <w:rsid w:val="008306BD"/>
    <w:rsid w:val="008312AC"/>
    <w:rsid w:val="00831A80"/>
    <w:rsid w:val="00833743"/>
    <w:rsid w:val="008340A4"/>
    <w:rsid w:val="00837665"/>
    <w:rsid w:val="00842F47"/>
    <w:rsid w:val="00853145"/>
    <w:rsid w:val="00857014"/>
    <w:rsid w:val="00861F93"/>
    <w:rsid w:val="0087135F"/>
    <w:rsid w:val="00872D94"/>
    <w:rsid w:val="0087464E"/>
    <w:rsid w:val="0087509F"/>
    <w:rsid w:val="00876002"/>
    <w:rsid w:val="00880364"/>
    <w:rsid w:val="00887D4D"/>
    <w:rsid w:val="00891592"/>
    <w:rsid w:val="00891E9E"/>
    <w:rsid w:val="00894212"/>
    <w:rsid w:val="008A1FBC"/>
    <w:rsid w:val="008A2F68"/>
    <w:rsid w:val="008B2048"/>
    <w:rsid w:val="008B4FA6"/>
    <w:rsid w:val="008B5282"/>
    <w:rsid w:val="008B7C17"/>
    <w:rsid w:val="008C051B"/>
    <w:rsid w:val="008C2D01"/>
    <w:rsid w:val="008C2FF8"/>
    <w:rsid w:val="008C40E6"/>
    <w:rsid w:val="008D0F7A"/>
    <w:rsid w:val="008D1A4F"/>
    <w:rsid w:val="008D24FA"/>
    <w:rsid w:val="008D68E4"/>
    <w:rsid w:val="008E0506"/>
    <w:rsid w:val="008E0CFF"/>
    <w:rsid w:val="008E1707"/>
    <w:rsid w:val="008E5D6B"/>
    <w:rsid w:val="008E76F0"/>
    <w:rsid w:val="008F15FE"/>
    <w:rsid w:val="008F255C"/>
    <w:rsid w:val="008F2D29"/>
    <w:rsid w:val="008F5187"/>
    <w:rsid w:val="008F60D8"/>
    <w:rsid w:val="00902727"/>
    <w:rsid w:val="0090312B"/>
    <w:rsid w:val="0091028F"/>
    <w:rsid w:val="0091736D"/>
    <w:rsid w:val="00926465"/>
    <w:rsid w:val="0093037A"/>
    <w:rsid w:val="009372A0"/>
    <w:rsid w:val="00937BF7"/>
    <w:rsid w:val="0094154D"/>
    <w:rsid w:val="00942E32"/>
    <w:rsid w:val="00943742"/>
    <w:rsid w:val="0095155F"/>
    <w:rsid w:val="00954429"/>
    <w:rsid w:val="009563CE"/>
    <w:rsid w:val="00961621"/>
    <w:rsid w:val="00964AFD"/>
    <w:rsid w:val="00974A7F"/>
    <w:rsid w:val="00976328"/>
    <w:rsid w:val="0097680D"/>
    <w:rsid w:val="00981C08"/>
    <w:rsid w:val="00982438"/>
    <w:rsid w:val="0098404C"/>
    <w:rsid w:val="00985283"/>
    <w:rsid w:val="00995992"/>
    <w:rsid w:val="009A03E5"/>
    <w:rsid w:val="009A0F3B"/>
    <w:rsid w:val="009A1BB4"/>
    <w:rsid w:val="009A2628"/>
    <w:rsid w:val="009A3200"/>
    <w:rsid w:val="009B0897"/>
    <w:rsid w:val="009B0CBC"/>
    <w:rsid w:val="009B1ED1"/>
    <w:rsid w:val="009B59E7"/>
    <w:rsid w:val="009B7BD9"/>
    <w:rsid w:val="009C486B"/>
    <w:rsid w:val="009C7DD5"/>
    <w:rsid w:val="009E227D"/>
    <w:rsid w:val="009E5019"/>
    <w:rsid w:val="009E5601"/>
    <w:rsid w:val="009E7144"/>
    <w:rsid w:val="00A04F1B"/>
    <w:rsid w:val="00A0501B"/>
    <w:rsid w:val="00A14947"/>
    <w:rsid w:val="00A1571D"/>
    <w:rsid w:val="00A2720A"/>
    <w:rsid w:val="00A32A83"/>
    <w:rsid w:val="00A34891"/>
    <w:rsid w:val="00A34A45"/>
    <w:rsid w:val="00A368DB"/>
    <w:rsid w:val="00A423AA"/>
    <w:rsid w:val="00A442C4"/>
    <w:rsid w:val="00A4780B"/>
    <w:rsid w:val="00A53EC6"/>
    <w:rsid w:val="00A54600"/>
    <w:rsid w:val="00A55C0F"/>
    <w:rsid w:val="00A576FD"/>
    <w:rsid w:val="00A6720B"/>
    <w:rsid w:val="00A67DCC"/>
    <w:rsid w:val="00A72AD4"/>
    <w:rsid w:val="00A764B7"/>
    <w:rsid w:val="00A86469"/>
    <w:rsid w:val="00A8713F"/>
    <w:rsid w:val="00A90192"/>
    <w:rsid w:val="00A90BA1"/>
    <w:rsid w:val="00A97A9A"/>
    <w:rsid w:val="00AA0671"/>
    <w:rsid w:val="00AA2531"/>
    <w:rsid w:val="00AA3CBA"/>
    <w:rsid w:val="00AA47AD"/>
    <w:rsid w:val="00AA6DA3"/>
    <w:rsid w:val="00AB1E09"/>
    <w:rsid w:val="00AB4A83"/>
    <w:rsid w:val="00AB5330"/>
    <w:rsid w:val="00AB739F"/>
    <w:rsid w:val="00AB7747"/>
    <w:rsid w:val="00AC0BA0"/>
    <w:rsid w:val="00AC146E"/>
    <w:rsid w:val="00AC14CE"/>
    <w:rsid w:val="00AC2A56"/>
    <w:rsid w:val="00AC7691"/>
    <w:rsid w:val="00AD055E"/>
    <w:rsid w:val="00AD47A7"/>
    <w:rsid w:val="00AE19A1"/>
    <w:rsid w:val="00AE295C"/>
    <w:rsid w:val="00AE67DC"/>
    <w:rsid w:val="00AE712C"/>
    <w:rsid w:val="00AF0CBF"/>
    <w:rsid w:val="00AF121C"/>
    <w:rsid w:val="00AF257F"/>
    <w:rsid w:val="00AF2E82"/>
    <w:rsid w:val="00AF33CF"/>
    <w:rsid w:val="00AF4D50"/>
    <w:rsid w:val="00AF6179"/>
    <w:rsid w:val="00AF7620"/>
    <w:rsid w:val="00B01558"/>
    <w:rsid w:val="00B02073"/>
    <w:rsid w:val="00B05B6C"/>
    <w:rsid w:val="00B07F8A"/>
    <w:rsid w:val="00B123AC"/>
    <w:rsid w:val="00B1295A"/>
    <w:rsid w:val="00B138EF"/>
    <w:rsid w:val="00B20A45"/>
    <w:rsid w:val="00B22C5C"/>
    <w:rsid w:val="00B241AE"/>
    <w:rsid w:val="00B24F30"/>
    <w:rsid w:val="00B31ABF"/>
    <w:rsid w:val="00B33BE3"/>
    <w:rsid w:val="00B41722"/>
    <w:rsid w:val="00B50C6D"/>
    <w:rsid w:val="00B53B5D"/>
    <w:rsid w:val="00B562B4"/>
    <w:rsid w:val="00B6055E"/>
    <w:rsid w:val="00B6317D"/>
    <w:rsid w:val="00B71F02"/>
    <w:rsid w:val="00B7680D"/>
    <w:rsid w:val="00B7723F"/>
    <w:rsid w:val="00B80534"/>
    <w:rsid w:val="00B82DBD"/>
    <w:rsid w:val="00B8433C"/>
    <w:rsid w:val="00B87491"/>
    <w:rsid w:val="00B9391A"/>
    <w:rsid w:val="00B93D26"/>
    <w:rsid w:val="00BA29E9"/>
    <w:rsid w:val="00BA34C4"/>
    <w:rsid w:val="00BA7142"/>
    <w:rsid w:val="00BB237C"/>
    <w:rsid w:val="00BB41A3"/>
    <w:rsid w:val="00BC32DC"/>
    <w:rsid w:val="00BC35B6"/>
    <w:rsid w:val="00BD1B51"/>
    <w:rsid w:val="00BD4596"/>
    <w:rsid w:val="00BD7A15"/>
    <w:rsid w:val="00BE1405"/>
    <w:rsid w:val="00BE312D"/>
    <w:rsid w:val="00BE3433"/>
    <w:rsid w:val="00BF1C20"/>
    <w:rsid w:val="00C015AD"/>
    <w:rsid w:val="00C073CE"/>
    <w:rsid w:val="00C1006A"/>
    <w:rsid w:val="00C10578"/>
    <w:rsid w:val="00C135BC"/>
    <w:rsid w:val="00C1454C"/>
    <w:rsid w:val="00C15C95"/>
    <w:rsid w:val="00C1712D"/>
    <w:rsid w:val="00C17C16"/>
    <w:rsid w:val="00C231E1"/>
    <w:rsid w:val="00C237D5"/>
    <w:rsid w:val="00C2596A"/>
    <w:rsid w:val="00C27537"/>
    <w:rsid w:val="00C30BDE"/>
    <w:rsid w:val="00C328FE"/>
    <w:rsid w:val="00C33507"/>
    <w:rsid w:val="00C36EFE"/>
    <w:rsid w:val="00C4409D"/>
    <w:rsid w:val="00C44E72"/>
    <w:rsid w:val="00C45A06"/>
    <w:rsid w:val="00C46A1E"/>
    <w:rsid w:val="00C47E5B"/>
    <w:rsid w:val="00C61E4B"/>
    <w:rsid w:val="00C64BFF"/>
    <w:rsid w:val="00C704E9"/>
    <w:rsid w:val="00C72686"/>
    <w:rsid w:val="00C763C9"/>
    <w:rsid w:val="00C80057"/>
    <w:rsid w:val="00C82232"/>
    <w:rsid w:val="00C82913"/>
    <w:rsid w:val="00C958CD"/>
    <w:rsid w:val="00C965E0"/>
    <w:rsid w:val="00C972B1"/>
    <w:rsid w:val="00CA2CCE"/>
    <w:rsid w:val="00CA43FD"/>
    <w:rsid w:val="00CA7EF8"/>
    <w:rsid w:val="00CB0B5E"/>
    <w:rsid w:val="00CB5CCF"/>
    <w:rsid w:val="00CC03FD"/>
    <w:rsid w:val="00CC489B"/>
    <w:rsid w:val="00CD2BCD"/>
    <w:rsid w:val="00CD2E8D"/>
    <w:rsid w:val="00CD3A4C"/>
    <w:rsid w:val="00CD5315"/>
    <w:rsid w:val="00CD7179"/>
    <w:rsid w:val="00CE10E9"/>
    <w:rsid w:val="00CE2910"/>
    <w:rsid w:val="00CE497B"/>
    <w:rsid w:val="00CE5393"/>
    <w:rsid w:val="00CF0BC9"/>
    <w:rsid w:val="00CF36BE"/>
    <w:rsid w:val="00CF5F6E"/>
    <w:rsid w:val="00CF6000"/>
    <w:rsid w:val="00D003F3"/>
    <w:rsid w:val="00D027DE"/>
    <w:rsid w:val="00D0364F"/>
    <w:rsid w:val="00D03F72"/>
    <w:rsid w:val="00D04744"/>
    <w:rsid w:val="00D06834"/>
    <w:rsid w:val="00D15406"/>
    <w:rsid w:val="00D15D3A"/>
    <w:rsid w:val="00D1666A"/>
    <w:rsid w:val="00D30731"/>
    <w:rsid w:val="00D308ED"/>
    <w:rsid w:val="00D36D86"/>
    <w:rsid w:val="00D4012F"/>
    <w:rsid w:val="00D428AA"/>
    <w:rsid w:val="00D47637"/>
    <w:rsid w:val="00D50A34"/>
    <w:rsid w:val="00D53EFA"/>
    <w:rsid w:val="00D559D0"/>
    <w:rsid w:val="00D55D54"/>
    <w:rsid w:val="00D5662D"/>
    <w:rsid w:val="00D60CC6"/>
    <w:rsid w:val="00D65233"/>
    <w:rsid w:val="00D6756C"/>
    <w:rsid w:val="00D74B34"/>
    <w:rsid w:val="00D77D5F"/>
    <w:rsid w:val="00D90AAC"/>
    <w:rsid w:val="00D94A7C"/>
    <w:rsid w:val="00D95896"/>
    <w:rsid w:val="00D972D8"/>
    <w:rsid w:val="00DA5C09"/>
    <w:rsid w:val="00DB2983"/>
    <w:rsid w:val="00DB5265"/>
    <w:rsid w:val="00DC1257"/>
    <w:rsid w:val="00DC33FE"/>
    <w:rsid w:val="00DC3788"/>
    <w:rsid w:val="00DC3DC0"/>
    <w:rsid w:val="00DC5B2B"/>
    <w:rsid w:val="00DD318D"/>
    <w:rsid w:val="00DD31AC"/>
    <w:rsid w:val="00DE19F4"/>
    <w:rsid w:val="00DE2A08"/>
    <w:rsid w:val="00DF02C8"/>
    <w:rsid w:val="00DF2E12"/>
    <w:rsid w:val="00DF514A"/>
    <w:rsid w:val="00DF6690"/>
    <w:rsid w:val="00DF6804"/>
    <w:rsid w:val="00E0358D"/>
    <w:rsid w:val="00E03F40"/>
    <w:rsid w:val="00E04323"/>
    <w:rsid w:val="00E05AE4"/>
    <w:rsid w:val="00E0701A"/>
    <w:rsid w:val="00E070A2"/>
    <w:rsid w:val="00E11C93"/>
    <w:rsid w:val="00E140B5"/>
    <w:rsid w:val="00E14764"/>
    <w:rsid w:val="00E14E16"/>
    <w:rsid w:val="00E23B49"/>
    <w:rsid w:val="00E2656A"/>
    <w:rsid w:val="00E3389C"/>
    <w:rsid w:val="00E33CBF"/>
    <w:rsid w:val="00E412D0"/>
    <w:rsid w:val="00E42696"/>
    <w:rsid w:val="00E449D2"/>
    <w:rsid w:val="00E4593A"/>
    <w:rsid w:val="00E46F02"/>
    <w:rsid w:val="00E473D8"/>
    <w:rsid w:val="00E539BC"/>
    <w:rsid w:val="00E541B5"/>
    <w:rsid w:val="00E56322"/>
    <w:rsid w:val="00E60982"/>
    <w:rsid w:val="00E61B79"/>
    <w:rsid w:val="00E62C62"/>
    <w:rsid w:val="00E654C1"/>
    <w:rsid w:val="00E65D97"/>
    <w:rsid w:val="00E65F4F"/>
    <w:rsid w:val="00E67A54"/>
    <w:rsid w:val="00E72A5A"/>
    <w:rsid w:val="00E73354"/>
    <w:rsid w:val="00E86262"/>
    <w:rsid w:val="00E9242D"/>
    <w:rsid w:val="00E97616"/>
    <w:rsid w:val="00EA0B1B"/>
    <w:rsid w:val="00EB5255"/>
    <w:rsid w:val="00EB527C"/>
    <w:rsid w:val="00EB5C47"/>
    <w:rsid w:val="00ED0639"/>
    <w:rsid w:val="00ED23E2"/>
    <w:rsid w:val="00ED560B"/>
    <w:rsid w:val="00ED6001"/>
    <w:rsid w:val="00EE11E1"/>
    <w:rsid w:val="00EE3A91"/>
    <w:rsid w:val="00EF29ED"/>
    <w:rsid w:val="00EF4755"/>
    <w:rsid w:val="00EF5B88"/>
    <w:rsid w:val="00EF7135"/>
    <w:rsid w:val="00F01C87"/>
    <w:rsid w:val="00F027DB"/>
    <w:rsid w:val="00F1218E"/>
    <w:rsid w:val="00F138E7"/>
    <w:rsid w:val="00F14A7A"/>
    <w:rsid w:val="00F2100B"/>
    <w:rsid w:val="00F22985"/>
    <w:rsid w:val="00F3383E"/>
    <w:rsid w:val="00F33C0B"/>
    <w:rsid w:val="00F35AF1"/>
    <w:rsid w:val="00F465A7"/>
    <w:rsid w:val="00F50B7C"/>
    <w:rsid w:val="00F550E6"/>
    <w:rsid w:val="00F6616D"/>
    <w:rsid w:val="00F67171"/>
    <w:rsid w:val="00F74345"/>
    <w:rsid w:val="00F7520A"/>
    <w:rsid w:val="00F80A0A"/>
    <w:rsid w:val="00F82B19"/>
    <w:rsid w:val="00F8383B"/>
    <w:rsid w:val="00F9047D"/>
    <w:rsid w:val="00F9212D"/>
    <w:rsid w:val="00F965DA"/>
    <w:rsid w:val="00F96CEC"/>
    <w:rsid w:val="00F9757F"/>
    <w:rsid w:val="00FA06F9"/>
    <w:rsid w:val="00FA1E31"/>
    <w:rsid w:val="00FA20AF"/>
    <w:rsid w:val="00FA406A"/>
    <w:rsid w:val="00FA74BD"/>
    <w:rsid w:val="00FB0946"/>
    <w:rsid w:val="00FB503A"/>
    <w:rsid w:val="00FB516C"/>
    <w:rsid w:val="00FC199D"/>
    <w:rsid w:val="00FC1E26"/>
    <w:rsid w:val="00FD0236"/>
    <w:rsid w:val="00FD074A"/>
    <w:rsid w:val="00FD18F4"/>
    <w:rsid w:val="00FD1D17"/>
    <w:rsid w:val="00FD3B4F"/>
    <w:rsid w:val="00FD471E"/>
    <w:rsid w:val="00FD54DB"/>
    <w:rsid w:val="00FD619F"/>
    <w:rsid w:val="00FD7809"/>
    <w:rsid w:val="00FE3208"/>
    <w:rsid w:val="00FE4797"/>
    <w:rsid w:val="00FE51A8"/>
    <w:rsid w:val="00FF12A2"/>
    <w:rsid w:val="01154EDD"/>
    <w:rsid w:val="01290F7E"/>
    <w:rsid w:val="012E5BDE"/>
    <w:rsid w:val="015D1E09"/>
    <w:rsid w:val="01611A28"/>
    <w:rsid w:val="01705095"/>
    <w:rsid w:val="018B1BF8"/>
    <w:rsid w:val="01E72761"/>
    <w:rsid w:val="023B2E67"/>
    <w:rsid w:val="0241191A"/>
    <w:rsid w:val="025C63A8"/>
    <w:rsid w:val="02697903"/>
    <w:rsid w:val="026D7A9F"/>
    <w:rsid w:val="027171BF"/>
    <w:rsid w:val="02BF77F6"/>
    <w:rsid w:val="02C95157"/>
    <w:rsid w:val="02F96569"/>
    <w:rsid w:val="030376E3"/>
    <w:rsid w:val="03366062"/>
    <w:rsid w:val="03444559"/>
    <w:rsid w:val="037C7F30"/>
    <w:rsid w:val="03915322"/>
    <w:rsid w:val="039336D5"/>
    <w:rsid w:val="03A24C2B"/>
    <w:rsid w:val="03A50164"/>
    <w:rsid w:val="03BD5AE4"/>
    <w:rsid w:val="03DC42C8"/>
    <w:rsid w:val="03EA7B21"/>
    <w:rsid w:val="03EC63C9"/>
    <w:rsid w:val="04313AF2"/>
    <w:rsid w:val="0478199D"/>
    <w:rsid w:val="04DA71E9"/>
    <w:rsid w:val="050738F2"/>
    <w:rsid w:val="05447FEC"/>
    <w:rsid w:val="056976B3"/>
    <w:rsid w:val="058B453B"/>
    <w:rsid w:val="05AC19E1"/>
    <w:rsid w:val="05BA0C69"/>
    <w:rsid w:val="05F83EAE"/>
    <w:rsid w:val="06071773"/>
    <w:rsid w:val="063E7D85"/>
    <w:rsid w:val="06411DC3"/>
    <w:rsid w:val="06517819"/>
    <w:rsid w:val="066E1617"/>
    <w:rsid w:val="06914036"/>
    <w:rsid w:val="06D21302"/>
    <w:rsid w:val="06D71E2B"/>
    <w:rsid w:val="07200226"/>
    <w:rsid w:val="07293586"/>
    <w:rsid w:val="07295285"/>
    <w:rsid w:val="07415EA1"/>
    <w:rsid w:val="07636392"/>
    <w:rsid w:val="076D5A73"/>
    <w:rsid w:val="07770C56"/>
    <w:rsid w:val="078D0075"/>
    <w:rsid w:val="07941CCB"/>
    <w:rsid w:val="07C073C4"/>
    <w:rsid w:val="07CF5DE6"/>
    <w:rsid w:val="07FB307F"/>
    <w:rsid w:val="08157403"/>
    <w:rsid w:val="082A74C0"/>
    <w:rsid w:val="083D6901"/>
    <w:rsid w:val="08690B38"/>
    <w:rsid w:val="086E1AA3"/>
    <w:rsid w:val="086E242E"/>
    <w:rsid w:val="087921F6"/>
    <w:rsid w:val="089F0D2F"/>
    <w:rsid w:val="08D51B22"/>
    <w:rsid w:val="08DF474E"/>
    <w:rsid w:val="091163D0"/>
    <w:rsid w:val="092018E9"/>
    <w:rsid w:val="092217DD"/>
    <w:rsid w:val="093A7294"/>
    <w:rsid w:val="093F36AD"/>
    <w:rsid w:val="09872DA7"/>
    <w:rsid w:val="09CF49F2"/>
    <w:rsid w:val="09D43B4D"/>
    <w:rsid w:val="0A09548A"/>
    <w:rsid w:val="0A0D0373"/>
    <w:rsid w:val="0A263993"/>
    <w:rsid w:val="0A2D3AC2"/>
    <w:rsid w:val="0A567102"/>
    <w:rsid w:val="0A59408D"/>
    <w:rsid w:val="0A6F463C"/>
    <w:rsid w:val="0A766000"/>
    <w:rsid w:val="0AA755DF"/>
    <w:rsid w:val="0ABF086F"/>
    <w:rsid w:val="0AC534D0"/>
    <w:rsid w:val="0AED452D"/>
    <w:rsid w:val="0B120D44"/>
    <w:rsid w:val="0B266665"/>
    <w:rsid w:val="0B282067"/>
    <w:rsid w:val="0B447A0D"/>
    <w:rsid w:val="0B693D78"/>
    <w:rsid w:val="0B6B32EB"/>
    <w:rsid w:val="0B6B6740"/>
    <w:rsid w:val="0B7A6D5D"/>
    <w:rsid w:val="0B81776F"/>
    <w:rsid w:val="0B9B2B90"/>
    <w:rsid w:val="0BB3188A"/>
    <w:rsid w:val="0BC1638D"/>
    <w:rsid w:val="0BCA3494"/>
    <w:rsid w:val="0BD27BF6"/>
    <w:rsid w:val="0BD83D63"/>
    <w:rsid w:val="0BE910BD"/>
    <w:rsid w:val="0BFE7670"/>
    <w:rsid w:val="0C0369A6"/>
    <w:rsid w:val="0C3B3C7D"/>
    <w:rsid w:val="0C91430F"/>
    <w:rsid w:val="0CAB2EAE"/>
    <w:rsid w:val="0CB16402"/>
    <w:rsid w:val="0CB43779"/>
    <w:rsid w:val="0CC77727"/>
    <w:rsid w:val="0CD776AF"/>
    <w:rsid w:val="0CDB519E"/>
    <w:rsid w:val="0D10137A"/>
    <w:rsid w:val="0D3F27E7"/>
    <w:rsid w:val="0D4C7ED9"/>
    <w:rsid w:val="0D532E09"/>
    <w:rsid w:val="0D621C7D"/>
    <w:rsid w:val="0D76532D"/>
    <w:rsid w:val="0DA63A1E"/>
    <w:rsid w:val="0DA959CB"/>
    <w:rsid w:val="0DD34E86"/>
    <w:rsid w:val="0DE34D68"/>
    <w:rsid w:val="0E002722"/>
    <w:rsid w:val="0E203F6A"/>
    <w:rsid w:val="0E236E8B"/>
    <w:rsid w:val="0E344BF5"/>
    <w:rsid w:val="0E3A1AAE"/>
    <w:rsid w:val="0E4E4068"/>
    <w:rsid w:val="0E683E45"/>
    <w:rsid w:val="0E73034D"/>
    <w:rsid w:val="0E8E336C"/>
    <w:rsid w:val="0E9953A0"/>
    <w:rsid w:val="0EB110CC"/>
    <w:rsid w:val="0EC70C82"/>
    <w:rsid w:val="0ED35F9F"/>
    <w:rsid w:val="0F13775A"/>
    <w:rsid w:val="0F5A4B2F"/>
    <w:rsid w:val="0F5F45FE"/>
    <w:rsid w:val="0F662FA4"/>
    <w:rsid w:val="0F6B38DE"/>
    <w:rsid w:val="0F6F521C"/>
    <w:rsid w:val="0F827BE2"/>
    <w:rsid w:val="0F8B4B7F"/>
    <w:rsid w:val="0F9A112B"/>
    <w:rsid w:val="0FAC4166"/>
    <w:rsid w:val="0FDA6ED1"/>
    <w:rsid w:val="0FFD54BA"/>
    <w:rsid w:val="10120F66"/>
    <w:rsid w:val="101E4DA4"/>
    <w:rsid w:val="104D2A6E"/>
    <w:rsid w:val="105F4049"/>
    <w:rsid w:val="106169CB"/>
    <w:rsid w:val="106D2F64"/>
    <w:rsid w:val="109C4A0D"/>
    <w:rsid w:val="10B63710"/>
    <w:rsid w:val="10BE1BC0"/>
    <w:rsid w:val="10F10820"/>
    <w:rsid w:val="111C2F7A"/>
    <w:rsid w:val="113A4C18"/>
    <w:rsid w:val="114E06C3"/>
    <w:rsid w:val="11665CA1"/>
    <w:rsid w:val="11974C93"/>
    <w:rsid w:val="11A52E1D"/>
    <w:rsid w:val="11AD51DE"/>
    <w:rsid w:val="11C37D4E"/>
    <w:rsid w:val="11CE574A"/>
    <w:rsid w:val="11D61091"/>
    <w:rsid w:val="11E576D1"/>
    <w:rsid w:val="11EF4361"/>
    <w:rsid w:val="12040D82"/>
    <w:rsid w:val="12186DAC"/>
    <w:rsid w:val="122370C7"/>
    <w:rsid w:val="122F43D5"/>
    <w:rsid w:val="12382C34"/>
    <w:rsid w:val="128E3392"/>
    <w:rsid w:val="129817C1"/>
    <w:rsid w:val="12C14EC5"/>
    <w:rsid w:val="12C461E8"/>
    <w:rsid w:val="12C622C0"/>
    <w:rsid w:val="12CA044F"/>
    <w:rsid w:val="12FA7437"/>
    <w:rsid w:val="132A5CDB"/>
    <w:rsid w:val="13392190"/>
    <w:rsid w:val="134B47A9"/>
    <w:rsid w:val="13951726"/>
    <w:rsid w:val="13D675C8"/>
    <w:rsid w:val="13ED2229"/>
    <w:rsid w:val="14001A13"/>
    <w:rsid w:val="140D63D3"/>
    <w:rsid w:val="143771ED"/>
    <w:rsid w:val="14396509"/>
    <w:rsid w:val="14DD2C3C"/>
    <w:rsid w:val="14ED151D"/>
    <w:rsid w:val="155B57D4"/>
    <w:rsid w:val="15804314"/>
    <w:rsid w:val="15804BC3"/>
    <w:rsid w:val="15C141FE"/>
    <w:rsid w:val="15E06BBC"/>
    <w:rsid w:val="15E9674E"/>
    <w:rsid w:val="16087E1D"/>
    <w:rsid w:val="16233A52"/>
    <w:rsid w:val="163B1BD0"/>
    <w:rsid w:val="169A2366"/>
    <w:rsid w:val="169E4EEF"/>
    <w:rsid w:val="16AA6823"/>
    <w:rsid w:val="16C444FD"/>
    <w:rsid w:val="16C60990"/>
    <w:rsid w:val="16C94348"/>
    <w:rsid w:val="16EB0762"/>
    <w:rsid w:val="1729007E"/>
    <w:rsid w:val="175F0533"/>
    <w:rsid w:val="17701D14"/>
    <w:rsid w:val="17735226"/>
    <w:rsid w:val="178D1819"/>
    <w:rsid w:val="17903699"/>
    <w:rsid w:val="17BE0E8F"/>
    <w:rsid w:val="180B763B"/>
    <w:rsid w:val="18521AD7"/>
    <w:rsid w:val="18641DA2"/>
    <w:rsid w:val="189F624C"/>
    <w:rsid w:val="18AB7B04"/>
    <w:rsid w:val="18AD336F"/>
    <w:rsid w:val="18B54B84"/>
    <w:rsid w:val="18C5427F"/>
    <w:rsid w:val="18E66D77"/>
    <w:rsid w:val="19B4184E"/>
    <w:rsid w:val="19BA322A"/>
    <w:rsid w:val="19CE059A"/>
    <w:rsid w:val="19E03E83"/>
    <w:rsid w:val="19EB2588"/>
    <w:rsid w:val="19EC7F41"/>
    <w:rsid w:val="19EF179C"/>
    <w:rsid w:val="1A0B0371"/>
    <w:rsid w:val="1A0C111B"/>
    <w:rsid w:val="1A122DAC"/>
    <w:rsid w:val="1A1B13AA"/>
    <w:rsid w:val="1A1C66C0"/>
    <w:rsid w:val="1A2A6C0F"/>
    <w:rsid w:val="1A42393B"/>
    <w:rsid w:val="1A460073"/>
    <w:rsid w:val="1AAD45DE"/>
    <w:rsid w:val="1ABC0FF8"/>
    <w:rsid w:val="1AD865B4"/>
    <w:rsid w:val="1AED7ED5"/>
    <w:rsid w:val="1B046F80"/>
    <w:rsid w:val="1B133F19"/>
    <w:rsid w:val="1B2E7853"/>
    <w:rsid w:val="1B3267B5"/>
    <w:rsid w:val="1B3C0693"/>
    <w:rsid w:val="1B40161D"/>
    <w:rsid w:val="1B441859"/>
    <w:rsid w:val="1B612829"/>
    <w:rsid w:val="1B6606B1"/>
    <w:rsid w:val="1B696DAE"/>
    <w:rsid w:val="1B936A5D"/>
    <w:rsid w:val="1BC111D7"/>
    <w:rsid w:val="1BCA6B98"/>
    <w:rsid w:val="1C1153B4"/>
    <w:rsid w:val="1C164ECA"/>
    <w:rsid w:val="1C5E7925"/>
    <w:rsid w:val="1C602CE5"/>
    <w:rsid w:val="1CAE6E38"/>
    <w:rsid w:val="1CC730D8"/>
    <w:rsid w:val="1CD640CB"/>
    <w:rsid w:val="1CEF6950"/>
    <w:rsid w:val="1CEF7619"/>
    <w:rsid w:val="1CFA6CD7"/>
    <w:rsid w:val="1CFD070F"/>
    <w:rsid w:val="1D2B3008"/>
    <w:rsid w:val="1D5F6196"/>
    <w:rsid w:val="1D6132A5"/>
    <w:rsid w:val="1D6D1ED1"/>
    <w:rsid w:val="1D731997"/>
    <w:rsid w:val="1D8C1EC4"/>
    <w:rsid w:val="1D8E56D5"/>
    <w:rsid w:val="1DB00010"/>
    <w:rsid w:val="1DB101A6"/>
    <w:rsid w:val="1DC615E1"/>
    <w:rsid w:val="1DD60A88"/>
    <w:rsid w:val="1DF70B64"/>
    <w:rsid w:val="1DFD02F3"/>
    <w:rsid w:val="1E22594E"/>
    <w:rsid w:val="1E36682A"/>
    <w:rsid w:val="1E407556"/>
    <w:rsid w:val="1E5F4694"/>
    <w:rsid w:val="1E7312BB"/>
    <w:rsid w:val="1E7A43DA"/>
    <w:rsid w:val="1E91399D"/>
    <w:rsid w:val="1EB13A99"/>
    <w:rsid w:val="1EDC730E"/>
    <w:rsid w:val="1EDF21CB"/>
    <w:rsid w:val="1F043212"/>
    <w:rsid w:val="1F12248C"/>
    <w:rsid w:val="1F233DD7"/>
    <w:rsid w:val="1F8352B0"/>
    <w:rsid w:val="1F9906FB"/>
    <w:rsid w:val="1F9E01BF"/>
    <w:rsid w:val="1FE12702"/>
    <w:rsid w:val="1FE7539E"/>
    <w:rsid w:val="1FF04823"/>
    <w:rsid w:val="200460BB"/>
    <w:rsid w:val="202C40EB"/>
    <w:rsid w:val="20352FDD"/>
    <w:rsid w:val="206228D9"/>
    <w:rsid w:val="20671BE0"/>
    <w:rsid w:val="208524A2"/>
    <w:rsid w:val="20857321"/>
    <w:rsid w:val="20926958"/>
    <w:rsid w:val="20963CB8"/>
    <w:rsid w:val="20A81A1B"/>
    <w:rsid w:val="20AB7ECD"/>
    <w:rsid w:val="20B07FB6"/>
    <w:rsid w:val="20B646FB"/>
    <w:rsid w:val="20EF05C9"/>
    <w:rsid w:val="21120393"/>
    <w:rsid w:val="213B74B1"/>
    <w:rsid w:val="215A2310"/>
    <w:rsid w:val="215C25DE"/>
    <w:rsid w:val="217114F1"/>
    <w:rsid w:val="21736E7D"/>
    <w:rsid w:val="21B70D22"/>
    <w:rsid w:val="21D544E9"/>
    <w:rsid w:val="21DE318A"/>
    <w:rsid w:val="21EF5B80"/>
    <w:rsid w:val="22056B7C"/>
    <w:rsid w:val="221072FD"/>
    <w:rsid w:val="22265A25"/>
    <w:rsid w:val="222757EE"/>
    <w:rsid w:val="222E483B"/>
    <w:rsid w:val="22394A78"/>
    <w:rsid w:val="22576990"/>
    <w:rsid w:val="228026A7"/>
    <w:rsid w:val="228634D9"/>
    <w:rsid w:val="22A63B52"/>
    <w:rsid w:val="22AA39D0"/>
    <w:rsid w:val="22B0319D"/>
    <w:rsid w:val="22BE6D2B"/>
    <w:rsid w:val="22DC5549"/>
    <w:rsid w:val="22F47480"/>
    <w:rsid w:val="23534EB1"/>
    <w:rsid w:val="236256C3"/>
    <w:rsid w:val="23754AA7"/>
    <w:rsid w:val="237E3B0E"/>
    <w:rsid w:val="23861693"/>
    <w:rsid w:val="239A7798"/>
    <w:rsid w:val="23A0430E"/>
    <w:rsid w:val="23B51EDC"/>
    <w:rsid w:val="23CE0ED5"/>
    <w:rsid w:val="23D55097"/>
    <w:rsid w:val="23D9206E"/>
    <w:rsid w:val="23DE1C48"/>
    <w:rsid w:val="23EC0010"/>
    <w:rsid w:val="240210CD"/>
    <w:rsid w:val="241906BD"/>
    <w:rsid w:val="24642B27"/>
    <w:rsid w:val="2493685C"/>
    <w:rsid w:val="24A00DDE"/>
    <w:rsid w:val="24BF09F7"/>
    <w:rsid w:val="24D72CDE"/>
    <w:rsid w:val="24E9195A"/>
    <w:rsid w:val="252434E6"/>
    <w:rsid w:val="252D53FE"/>
    <w:rsid w:val="25460A24"/>
    <w:rsid w:val="2558048A"/>
    <w:rsid w:val="255F65A3"/>
    <w:rsid w:val="25902C01"/>
    <w:rsid w:val="25EC2D81"/>
    <w:rsid w:val="25FA2433"/>
    <w:rsid w:val="262B43C2"/>
    <w:rsid w:val="262C74E4"/>
    <w:rsid w:val="262D432B"/>
    <w:rsid w:val="262F4B27"/>
    <w:rsid w:val="266E19B5"/>
    <w:rsid w:val="267075F7"/>
    <w:rsid w:val="2677791D"/>
    <w:rsid w:val="26783C9F"/>
    <w:rsid w:val="269705FD"/>
    <w:rsid w:val="26C0321D"/>
    <w:rsid w:val="26DB7CFE"/>
    <w:rsid w:val="26E0653A"/>
    <w:rsid w:val="26E256DE"/>
    <w:rsid w:val="26E70ADE"/>
    <w:rsid w:val="26F947D6"/>
    <w:rsid w:val="2742617D"/>
    <w:rsid w:val="274D20E6"/>
    <w:rsid w:val="275A071F"/>
    <w:rsid w:val="277057A2"/>
    <w:rsid w:val="27E1656F"/>
    <w:rsid w:val="2811047F"/>
    <w:rsid w:val="28355CE1"/>
    <w:rsid w:val="284E63B5"/>
    <w:rsid w:val="287842E9"/>
    <w:rsid w:val="287B4761"/>
    <w:rsid w:val="287C121A"/>
    <w:rsid w:val="289F5EF7"/>
    <w:rsid w:val="28DB43F7"/>
    <w:rsid w:val="28F27547"/>
    <w:rsid w:val="28F402C9"/>
    <w:rsid w:val="29174CA4"/>
    <w:rsid w:val="291E5AE2"/>
    <w:rsid w:val="29206EB8"/>
    <w:rsid w:val="292F2731"/>
    <w:rsid w:val="294E00A2"/>
    <w:rsid w:val="29595666"/>
    <w:rsid w:val="29874881"/>
    <w:rsid w:val="29B83A7A"/>
    <w:rsid w:val="29E325E0"/>
    <w:rsid w:val="29EC23D0"/>
    <w:rsid w:val="2A0C5D48"/>
    <w:rsid w:val="2A1D0EFA"/>
    <w:rsid w:val="2A415DDF"/>
    <w:rsid w:val="2A452503"/>
    <w:rsid w:val="2A4D6EDB"/>
    <w:rsid w:val="2A615063"/>
    <w:rsid w:val="2A6E00A0"/>
    <w:rsid w:val="2A6F709B"/>
    <w:rsid w:val="2A7C063E"/>
    <w:rsid w:val="2A9F1C41"/>
    <w:rsid w:val="2AC53F08"/>
    <w:rsid w:val="2B06037E"/>
    <w:rsid w:val="2B08326B"/>
    <w:rsid w:val="2B54022C"/>
    <w:rsid w:val="2B597F39"/>
    <w:rsid w:val="2B6927B5"/>
    <w:rsid w:val="2B795EE5"/>
    <w:rsid w:val="2B822FEC"/>
    <w:rsid w:val="2BA936A8"/>
    <w:rsid w:val="2BAC08D4"/>
    <w:rsid w:val="2BD17ACF"/>
    <w:rsid w:val="2BEE68D3"/>
    <w:rsid w:val="2C18097B"/>
    <w:rsid w:val="2C1D3476"/>
    <w:rsid w:val="2C315A5A"/>
    <w:rsid w:val="2C332538"/>
    <w:rsid w:val="2C4B1C25"/>
    <w:rsid w:val="2C78263F"/>
    <w:rsid w:val="2C8663FB"/>
    <w:rsid w:val="2C8E59C0"/>
    <w:rsid w:val="2C9462C5"/>
    <w:rsid w:val="2CA456F0"/>
    <w:rsid w:val="2D3640E1"/>
    <w:rsid w:val="2D404F0C"/>
    <w:rsid w:val="2D490080"/>
    <w:rsid w:val="2D5B48E2"/>
    <w:rsid w:val="2D611553"/>
    <w:rsid w:val="2D6120BE"/>
    <w:rsid w:val="2D92512C"/>
    <w:rsid w:val="2D9E56F5"/>
    <w:rsid w:val="2DA32E56"/>
    <w:rsid w:val="2DBD655D"/>
    <w:rsid w:val="2DD9710F"/>
    <w:rsid w:val="2E532CCF"/>
    <w:rsid w:val="2E667F96"/>
    <w:rsid w:val="2E8226AB"/>
    <w:rsid w:val="2E8F28F0"/>
    <w:rsid w:val="2E9A7237"/>
    <w:rsid w:val="2E9F0DD7"/>
    <w:rsid w:val="2ECC20BA"/>
    <w:rsid w:val="2EF97A69"/>
    <w:rsid w:val="2F294252"/>
    <w:rsid w:val="2F594063"/>
    <w:rsid w:val="2F780198"/>
    <w:rsid w:val="2F8D2526"/>
    <w:rsid w:val="2F8E23AD"/>
    <w:rsid w:val="2F9F0F19"/>
    <w:rsid w:val="2FB47769"/>
    <w:rsid w:val="2FC50F6B"/>
    <w:rsid w:val="2FCE775E"/>
    <w:rsid w:val="2FD065E6"/>
    <w:rsid w:val="2FD96870"/>
    <w:rsid w:val="30054AD9"/>
    <w:rsid w:val="301934DF"/>
    <w:rsid w:val="30580BC9"/>
    <w:rsid w:val="30890978"/>
    <w:rsid w:val="308A7C85"/>
    <w:rsid w:val="30935EB5"/>
    <w:rsid w:val="30B63EFA"/>
    <w:rsid w:val="30C0496D"/>
    <w:rsid w:val="30C271B1"/>
    <w:rsid w:val="30D357C8"/>
    <w:rsid w:val="30E9283D"/>
    <w:rsid w:val="30EE7677"/>
    <w:rsid w:val="311E2ED7"/>
    <w:rsid w:val="315619EE"/>
    <w:rsid w:val="315C449C"/>
    <w:rsid w:val="318D0DF6"/>
    <w:rsid w:val="319770C5"/>
    <w:rsid w:val="31A1217C"/>
    <w:rsid w:val="31A93EA6"/>
    <w:rsid w:val="31AD0696"/>
    <w:rsid w:val="31B82709"/>
    <w:rsid w:val="31C47B63"/>
    <w:rsid w:val="31D04E70"/>
    <w:rsid w:val="31D05482"/>
    <w:rsid w:val="31E11D9A"/>
    <w:rsid w:val="31E3230A"/>
    <w:rsid w:val="31F407D3"/>
    <w:rsid w:val="320F198F"/>
    <w:rsid w:val="322272D6"/>
    <w:rsid w:val="32392E37"/>
    <w:rsid w:val="32400B34"/>
    <w:rsid w:val="32706DDE"/>
    <w:rsid w:val="3289005C"/>
    <w:rsid w:val="329E6876"/>
    <w:rsid w:val="32A51A7F"/>
    <w:rsid w:val="33267CFF"/>
    <w:rsid w:val="333015F2"/>
    <w:rsid w:val="333F5C66"/>
    <w:rsid w:val="33445EAA"/>
    <w:rsid w:val="334B2813"/>
    <w:rsid w:val="334B6320"/>
    <w:rsid w:val="339A10EE"/>
    <w:rsid w:val="33B91574"/>
    <w:rsid w:val="33D36C88"/>
    <w:rsid w:val="33D934D4"/>
    <w:rsid w:val="33DC6794"/>
    <w:rsid w:val="33E764F4"/>
    <w:rsid w:val="33EE3E5F"/>
    <w:rsid w:val="33FB1C78"/>
    <w:rsid w:val="33FE2F6A"/>
    <w:rsid w:val="340E07E5"/>
    <w:rsid w:val="34235BF7"/>
    <w:rsid w:val="343147AA"/>
    <w:rsid w:val="34467594"/>
    <w:rsid w:val="34550A15"/>
    <w:rsid w:val="349D5218"/>
    <w:rsid w:val="34EC49A4"/>
    <w:rsid w:val="34EE16F2"/>
    <w:rsid w:val="35011425"/>
    <w:rsid w:val="3538471B"/>
    <w:rsid w:val="355C7D01"/>
    <w:rsid w:val="35631F5E"/>
    <w:rsid w:val="358C5FA8"/>
    <w:rsid w:val="35C15DF1"/>
    <w:rsid w:val="35C57E8E"/>
    <w:rsid w:val="36074A7F"/>
    <w:rsid w:val="3659583E"/>
    <w:rsid w:val="36665E50"/>
    <w:rsid w:val="36923549"/>
    <w:rsid w:val="36AA31EF"/>
    <w:rsid w:val="36B75FBF"/>
    <w:rsid w:val="36BD0C45"/>
    <w:rsid w:val="36E30DB3"/>
    <w:rsid w:val="36F8145B"/>
    <w:rsid w:val="370C20AD"/>
    <w:rsid w:val="37310F56"/>
    <w:rsid w:val="37E00298"/>
    <w:rsid w:val="381207D1"/>
    <w:rsid w:val="38196B26"/>
    <w:rsid w:val="38224A48"/>
    <w:rsid w:val="384F24A7"/>
    <w:rsid w:val="387A1B39"/>
    <w:rsid w:val="388A34DF"/>
    <w:rsid w:val="38B302F9"/>
    <w:rsid w:val="38CE3A97"/>
    <w:rsid w:val="38E2747C"/>
    <w:rsid w:val="38F12CD3"/>
    <w:rsid w:val="38F94775"/>
    <w:rsid w:val="392971ED"/>
    <w:rsid w:val="39325651"/>
    <w:rsid w:val="39693A3D"/>
    <w:rsid w:val="39882115"/>
    <w:rsid w:val="39936652"/>
    <w:rsid w:val="399E65E3"/>
    <w:rsid w:val="39D5634C"/>
    <w:rsid w:val="39DA66B4"/>
    <w:rsid w:val="39DE6784"/>
    <w:rsid w:val="39FF58C2"/>
    <w:rsid w:val="3A502507"/>
    <w:rsid w:val="3A583727"/>
    <w:rsid w:val="3A872856"/>
    <w:rsid w:val="3AFD652B"/>
    <w:rsid w:val="3B3763D1"/>
    <w:rsid w:val="3B713BD8"/>
    <w:rsid w:val="3B800BCA"/>
    <w:rsid w:val="3BC7202E"/>
    <w:rsid w:val="3BF515B8"/>
    <w:rsid w:val="3BF95B90"/>
    <w:rsid w:val="3C1C54DF"/>
    <w:rsid w:val="3C2F6E1E"/>
    <w:rsid w:val="3C495460"/>
    <w:rsid w:val="3C4F64BA"/>
    <w:rsid w:val="3C567B76"/>
    <w:rsid w:val="3C783ED2"/>
    <w:rsid w:val="3C7931E0"/>
    <w:rsid w:val="3CA04CA6"/>
    <w:rsid w:val="3CAC434E"/>
    <w:rsid w:val="3CDA245A"/>
    <w:rsid w:val="3CEA023A"/>
    <w:rsid w:val="3CF8289B"/>
    <w:rsid w:val="3CFF4272"/>
    <w:rsid w:val="3D1E06B7"/>
    <w:rsid w:val="3D43674A"/>
    <w:rsid w:val="3D490006"/>
    <w:rsid w:val="3D4A2680"/>
    <w:rsid w:val="3D610D25"/>
    <w:rsid w:val="3D7C6E63"/>
    <w:rsid w:val="3D896902"/>
    <w:rsid w:val="3D8E6F35"/>
    <w:rsid w:val="3DA274C2"/>
    <w:rsid w:val="3DB1150E"/>
    <w:rsid w:val="3DB32D8E"/>
    <w:rsid w:val="3DB66B25"/>
    <w:rsid w:val="3DF61D61"/>
    <w:rsid w:val="3E2F1460"/>
    <w:rsid w:val="3E3E7246"/>
    <w:rsid w:val="3E4D317B"/>
    <w:rsid w:val="3E532449"/>
    <w:rsid w:val="3E6E07FD"/>
    <w:rsid w:val="3E6F5462"/>
    <w:rsid w:val="3E8F7F45"/>
    <w:rsid w:val="3EA90720"/>
    <w:rsid w:val="3EDA0523"/>
    <w:rsid w:val="3EE53B65"/>
    <w:rsid w:val="3EF33D96"/>
    <w:rsid w:val="3F1D32FF"/>
    <w:rsid w:val="3F2020CA"/>
    <w:rsid w:val="3F4B4C6D"/>
    <w:rsid w:val="3F51605E"/>
    <w:rsid w:val="3FC4065B"/>
    <w:rsid w:val="3FC94D77"/>
    <w:rsid w:val="400C5E08"/>
    <w:rsid w:val="40167CB3"/>
    <w:rsid w:val="403265B6"/>
    <w:rsid w:val="40504597"/>
    <w:rsid w:val="405565C0"/>
    <w:rsid w:val="407A6407"/>
    <w:rsid w:val="409E1975"/>
    <w:rsid w:val="40AE5EB1"/>
    <w:rsid w:val="40D93BB2"/>
    <w:rsid w:val="412A1D04"/>
    <w:rsid w:val="412B1E9E"/>
    <w:rsid w:val="41407681"/>
    <w:rsid w:val="41890CBB"/>
    <w:rsid w:val="41953714"/>
    <w:rsid w:val="419F16A1"/>
    <w:rsid w:val="41A27AEC"/>
    <w:rsid w:val="41C51A2C"/>
    <w:rsid w:val="41CC4B69"/>
    <w:rsid w:val="4200449D"/>
    <w:rsid w:val="42092ACF"/>
    <w:rsid w:val="423A3BCC"/>
    <w:rsid w:val="424E57D2"/>
    <w:rsid w:val="42614D21"/>
    <w:rsid w:val="427859CF"/>
    <w:rsid w:val="42B26C49"/>
    <w:rsid w:val="42D25BFE"/>
    <w:rsid w:val="42FF419F"/>
    <w:rsid w:val="4315789A"/>
    <w:rsid w:val="43280ECD"/>
    <w:rsid w:val="432A1125"/>
    <w:rsid w:val="433A6FE6"/>
    <w:rsid w:val="43480868"/>
    <w:rsid w:val="4350713C"/>
    <w:rsid w:val="4364759F"/>
    <w:rsid w:val="436653E0"/>
    <w:rsid w:val="43872B46"/>
    <w:rsid w:val="438751EB"/>
    <w:rsid w:val="4392527B"/>
    <w:rsid w:val="43BD0AC4"/>
    <w:rsid w:val="43C4431A"/>
    <w:rsid w:val="43C9786C"/>
    <w:rsid w:val="440D795A"/>
    <w:rsid w:val="442A1AE0"/>
    <w:rsid w:val="443D79A2"/>
    <w:rsid w:val="44415C15"/>
    <w:rsid w:val="44574204"/>
    <w:rsid w:val="44A577A5"/>
    <w:rsid w:val="44B951CC"/>
    <w:rsid w:val="44C10958"/>
    <w:rsid w:val="44CD14E0"/>
    <w:rsid w:val="44EF5614"/>
    <w:rsid w:val="44F20B0B"/>
    <w:rsid w:val="452E5F4C"/>
    <w:rsid w:val="45327A65"/>
    <w:rsid w:val="454D5FC1"/>
    <w:rsid w:val="45612018"/>
    <w:rsid w:val="456F4AC2"/>
    <w:rsid w:val="45744530"/>
    <w:rsid w:val="45891D9B"/>
    <w:rsid w:val="458946E9"/>
    <w:rsid w:val="45990EBC"/>
    <w:rsid w:val="459B66E6"/>
    <w:rsid w:val="45A35BE1"/>
    <w:rsid w:val="45A47C0E"/>
    <w:rsid w:val="45C143B5"/>
    <w:rsid w:val="45ED2711"/>
    <w:rsid w:val="461730D5"/>
    <w:rsid w:val="46577FD6"/>
    <w:rsid w:val="466325F7"/>
    <w:rsid w:val="46845A12"/>
    <w:rsid w:val="46CC329E"/>
    <w:rsid w:val="46D955A7"/>
    <w:rsid w:val="46F20FF0"/>
    <w:rsid w:val="46F71594"/>
    <w:rsid w:val="47133957"/>
    <w:rsid w:val="47250E24"/>
    <w:rsid w:val="472E7B46"/>
    <w:rsid w:val="474D4D1E"/>
    <w:rsid w:val="47990211"/>
    <w:rsid w:val="47A07E0C"/>
    <w:rsid w:val="47A47C74"/>
    <w:rsid w:val="47B30173"/>
    <w:rsid w:val="47E03CE3"/>
    <w:rsid w:val="48276F9D"/>
    <w:rsid w:val="48607F8D"/>
    <w:rsid w:val="48620221"/>
    <w:rsid w:val="4870272E"/>
    <w:rsid w:val="4882573D"/>
    <w:rsid w:val="4894054B"/>
    <w:rsid w:val="48A9466D"/>
    <w:rsid w:val="48BD7E40"/>
    <w:rsid w:val="48C77BBB"/>
    <w:rsid w:val="48FA1FBB"/>
    <w:rsid w:val="49153299"/>
    <w:rsid w:val="49164016"/>
    <w:rsid w:val="493B2B85"/>
    <w:rsid w:val="494E7713"/>
    <w:rsid w:val="497C0979"/>
    <w:rsid w:val="4997535B"/>
    <w:rsid w:val="49B66455"/>
    <w:rsid w:val="49CA5E32"/>
    <w:rsid w:val="49DC7715"/>
    <w:rsid w:val="4A014652"/>
    <w:rsid w:val="4A023139"/>
    <w:rsid w:val="4A1C2405"/>
    <w:rsid w:val="4A222F19"/>
    <w:rsid w:val="4A7B576F"/>
    <w:rsid w:val="4A862F48"/>
    <w:rsid w:val="4A9B490D"/>
    <w:rsid w:val="4AE64875"/>
    <w:rsid w:val="4AF561A9"/>
    <w:rsid w:val="4B0F1064"/>
    <w:rsid w:val="4B291270"/>
    <w:rsid w:val="4B2A3235"/>
    <w:rsid w:val="4B413ED2"/>
    <w:rsid w:val="4B454262"/>
    <w:rsid w:val="4B6857B2"/>
    <w:rsid w:val="4BDD0D28"/>
    <w:rsid w:val="4BE90460"/>
    <w:rsid w:val="4BFB184F"/>
    <w:rsid w:val="4BFC3ABF"/>
    <w:rsid w:val="4C4A0649"/>
    <w:rsid w:val="4C583BC9"/>
    <w:rsid w:val="4C7E5ECA"/>
    <w:rsid w:val="4C801323"/>
    <w:rsid w:val="4C876AA5"/>
    <w:rsid w:val="4C9A58C3"/>
    <w:rsid w:val="4CA72414"/>
    <w:rsid w:val="4CE26304"/>
    <w:rsid w:val="4CE27936"/>
    <w:rsid w:val="4CFF4044"/>
    <w:rsid w:val="4D0559A7"/>
    <w:rsid w:val="4D0E00FB"/>
    <w:rsid w:val="4D176606"/>
    <w:rsid w:val="4D2B3D75"/>
    <w:rsid w:val="4D543566"/>
    <w:rsid w:val="4D6755D3"/>
    <w:rsid w:val="4D72223B"/>
    <w:rsid w:val="4DA33EAB"/>
    <w:rsid w:val="4DEC4FB0"/>
    <w:rsid w:val="4E075D8A"/>
    <w:rsid w:val="4E3617BE"/>
    <w:rsid w:val="4E691556"/>
    <w:rsid w:val="4E8B1782"/>
    <w:rsid w:val="4EC00FAD"/>
    <w:rsid w:val="4EC5173E"/>
    <w:rsid w:val="4EF03F1B"/>
    <w:rsid w:val="4EF77617"/>
    <w:rsid w:val="4F953258"/>
    <w:rsid w:val="4F9843DC"/>
    <w:rsid w:val="4F99748F"/>
    <w:rsid w:val="4FA92D7F"/>
    <w:rsid w:val="4FBF2925"/>
    <w:rsid w:val="4FC056D0"/>
    <w:rsid w:val="4FC62A8C"/>
    <w:rsid w:val="4FE20F0D"/>
    <w:rsid w:val="4FE51552"/>
    <w:rsid w:val="5003619A"/>
    <w:rsid w:val="50504C4B"/>
    <w:rsid w:val="50562DD2"/>
    <w:rsid w:val="508677F2"/>
    <w:rsid w:val="50874A7C"/>
    <w:rsid w:val="50915FD3"/>
    <w:rsid w:val="509C6E7C"/>
    <w:rsid w:val="509F1B6F"/>
    <w:rsid w:val="509F3DE1"/>
    <w:rsid w:val="50B21464"/>
    <w:rsid w:val="50D16BBF"/>
    <w:rsid w:val="50FD1679"/>
    <w:rsid w:val="511F1B27"/>
    <w:rsid w:val="51346287"/>
    <w:rsid w:val="514B3AE6"/>
    <w:rsid w:val="5162104E"/>
    <w:rsid w:val="51A61F0F"/>
    <w:rsid w:val="51AC22C1"/>
    <w:rsid w:val="51ED027F"/>
    <w:rsid w:val="51FD7FA8"/>
    <w:rsid w:val="522B21C9"/>
    <w:rsid w:val="5238325A"/>
    <w:rsid w:val="524045C0"/>
    <w:rsid w:val="525B6B2A"/>
    <w:rsid w:val="528D4E0A"/>
    <w:rsid w:val="52F91536"/>
    <w:rsid w:val="531E3C37"/>
    <w:rsid w:val="53427AA2"/>
    <w:rsid w:val="53483285"/>
    <w:rsid w:val="53945D27"/>
    <w:rsid w:val="53A039CC"/>
    <w:rsid w:val="53A1505A"/>
    <w:rsid w:val="53A83831"/>
    <w:rsid w:val="53BA45F8"/>
    <w:rsid w:val="53D61877"/>
    <w:rsid w:val="53E40B28"/>
    <w:rsid w:val="53F75400"/>
    <w:rsid w:val="54063E08"/>
    <w:rsid w:val="543437E8"/>
    <w:rsid w:val="54520516"/>
    <w:rsid w:val="54F73313"/>
    <w:rsid w:val="54F80955"/>
    <w:rsid w:val="551F143F"/>
    <w:rsid w:val="555170A7"/>
    <w:rsid w:val="555C7B5A"/>
    <w:rsid w:val="5587536D"/>
    <w:rsid w:val="5597701D"/>
    <w:rsid w:val="559A33D1"/>
    <w:rsid w:val="559B174B"/>
    <w:rsid w:val="55A0213D"/>
    <w:rsid w:val="55A3416E"/>
    <w:rsid w:val="55CE0CF4"/>
    <w:rsid w:val="55CE2568"/>
    <w:rsid w:val="55D46EDA"/>
    <w:rsid w:val="55E609E4"/>
    <w:rsid w:val="55FE4156"/>
    <w:rsid w:val="55FE7241"/>
    <w:rsid w:val="56296129"/>
    <w:rsid w:val="56446155"/>
    <w:rsid w:val="5650772A"/>
    <w:rsid w:val="56517337"/>
    <w:rsid w:val="565E7B09"/>
    <w:rsid w:val="56816640"/>
    <w:rsid w:val="56955A19"/>
    <w:rsid w:val="56A8574D"/>
    <w:rsid w:val="56B22A9C"/>
    <w:rsid w:val="56B67367"/>
    <w:rsid w:val="56C14EE7"/>
    <w:rsid w:val="56D2375E"/>
    <w:rsid w:val="56EF512A"/>
    <w:rsid w:val="574B4B29"/>
    <w:rsid w:val="577E4995"/>
    <w:rsid w:val="57854E22"/>
    <w:rsid w:val="578E1383"/>
    <w:rsid w:val="57AE270E"/>
    <w:rsid w:val="57B72A76"/>
    <w:rsid w:val="57C3426C"/>
    <w:rsid w:val="57C403C1"/>
    <w:rsid w:val="57CB52C8"/>
    <w:rsid w:val="57CD0748"/>
    <w:rsid w:val="57CE1F93"/>
    <w:rsid w:val="57CE6FB5"/>
    <w:rsid w:val="57ED254D"/>
    <w:rsid w:val="58214DBF"/>
    <w:rsid w:val="5869181F"/>
    <w:rsid w:val="588743D1"/>
    <w:rsid w:val="5887701A"/>
    <w:rsid w:val="58A41F44"/>
    <w:rsid w:val="58CD3249"/>
    <w:rsid w:val="58DA5965"/>
    <w:rsid w:val="58E740A9"/>
    <w:rsid w:val="59104748"/>
    <w:rsid w:val="59126EAD"/>
    <w:rsid w:val="59172716"/>
    <w:rsid w:val="591C666C"/>
    <w:rsid w:val="59224C88"/>
    <w:rsid w:val="592D3CE7"/>
    <w:rsid w:val="59370B13"/>
    <w:rsid w:val="5986045F"/>
    <w:rsid w:val="599D54FE"/>
    <w:rsid w:val="59B23D61"/>
    <w:rsid w:val="59C0439F"/>
    <w:rsid w:val="5A2E292A"/>
    <w:rsid w:val="5A5677ED"/>
    <w:rsid w:val="5A893C27"/>
    <w:rsid w:val="5ABE2233"/>
    <w:rsid w:val="5B1651F0"/>
    <w:rsid w:val="5B293DE5"/>
    <w:rsid w:val="5B724990"/>
    <w:rsid w:val="5B7B25AB"/>
    <w:rsid w:val="5B7F3D40"/>
    <w:rsid w:val="5B99398E"/>
    <w:rsid w:val="5BCA5C17"/>
    <w:rsid w:val="5BD06AE9"/>
    <w:rsid w:val="5BDF5D95"/>
    <w:rsid w:val="5BF62997"/>
    <w:rsid w:val="5BFE7528"/>
    <w:rsid w:val="5C02145B"/>
    <w:rsid w:val="5C074CC3"/>
    <w:rsid w:val="5C24476D"/>
    <w:rsid w:val="5C324ACD"/>
    <w:rsid w:val="5C48063C"/>
    <w:rsid w:val="5C4E7358"/>
    <w:rsid w:val="5C80495A"/>
    <w:rsid w:val="5CDF4400"/>
    <w:rsid w:val="5D072AA1"/>
    <w:rsid w:val="5D295125"/>
    <w:rsid w:val="5D396E8F"/>
    <w:rsid w:val="5D5F468B"/>
    <w:rsid w:val="5DA07926"/>
    <w:rsid w:val="5DAF6E97"/>
    <w:rsid w:val="5DEF373A"/>
    <w:rsid w:val="5E2467F1"/>
    <w:rsid w:val="5E482DBC"/>
    <w:rsid w:val="5E751564"/>
    <w:rsid w:val="5E827130"/>
    <w:rsid w:val="5EB07418"/>
    <w:rsid w:val="5EC10731"/>
    <w:rsid w:val="5F1A2B43"/>
    <w:rsid w:val="5F210ECC"/>
    <w:rsid w:val="5F427A83"/>
    <w:rsid w:val="5F4F583E"/>
    <w:rsid w:val="5F6F13DE"/>
    <w:rsid w:val="5F88611B"/>
    <w:rsid w:val="5FB837BB"/>
    <w:rsid w:val="5FBC5582"/>
    <w:rsid w:val="5FC66889"/>
    <w:rsid w:val="5FE1582B"/>
    <w:rsid w:val="5FFB68ED"/>
    <w:rsid w:val="60593315"/>
    <w:rsid w:val="606D5311"/>
    <w:rsid w:val="608F6263"/>
    <w:rsid w:val="60CC405A"/>
    <w:rsid w:val="60EF35BD"/>
    <w:rsid w:val="60F43F81"/>
    <w:rsid w:val="60F81610"/>
    <w:rsid w:val="6114697D"/>
    <w:rsid w:val="6116283D"/>
    <w:rsid w:val="614D245F"/>
    <w:rsid w:val="61AF7B51"/>
    <w:rsid w:val="61C15285"/>
    <w:rsid w:val="61E215D8"/>
    <w:rsid w:val="620F1D71"/>
    <w:rsid w:val="621B3775"/>
    <w:rsid w:val="621E68C3"/>
    <w:rsid w:val="622B1D3A"/>
    <w:rsid w:val="622D760F"/>
    <w:rsid w:val="62364782"/>
    <w:rsid w:val="6243070D"/>
    <w:rsid w:val="62514511"/>
    <w:rsid w:val="62522B82"/>
    <w:rsid w:val="62641050"/>
    <w:rsid w:val="626B1986"/>
    <w:rsid w:val="62B63818"/>
    <w:rsid w:val="62D43425"/>
    <w:rsid w:val="6300246C"/>
    <w:rsid w:val="634400E3"/>
    <w:rsid w:val="63512CC8"/>
    <w:rsid w:val="6357238E"/>
    <w:rsid w:val="638D642E"/>
    <w:rsid w:val="6394356A"/>
    <w:rsid w:val="63B43096"/>
    <w:rsid w:val="63B53257"/>
    <w:rsid w:val="63C61B2C"/>
    <w:rsid w:val="63C9049F"/>
    <w:rsid w:val="63CF43EA"/>
    <w:rsid w:val="63D40BE9"/>
    <w:rsid w:val="63DF0811"/>
    <w:rsid w:val="63E92F01"/>
    <w:rsid w:val="64102431"/>
    <w:rsid w:val="64183B7B"/>
    <w:rsid w:val="64195594"/>
    <w:rsid w:val="642553BA"/>
    <w:rsid w:val="64393D7D"/>
    <w:rsid w:val="64A5243A"/>
    <w:rsid w:val="64AA52A9"/>
    <w:rsid w:val="64F531DE"/>
    <w:rsid w:val="64F974F7"/>
    <w:rsid w:val="64FB738F"/>
    <w:rsid w:val="652A5B5F"/>
    <w:rsid w:val="6535464F"/>
    <w:rsid w:val="6536364D"/>
    <w:rsid w:val="65373578"/>
    <w:rsid w:val="65765EE4"/>
    <w:rsid w:val="65B20C48"/>
    <w:rsid w:val="65C55E8C"/>
    <w:rsid w:val="65EB11B2"/>
    <w:rsid w:val="66096E92"/>
    <w:rsid w:val="660D1E09"/>
    <w:rsid w:val="6611765D"/>
    <w:rsid w:val="66355A7C"/>
    <w:rsid w:val="664C63DE"/>
    <w:rsid w:val="66557ECD"/>
    <w:rsid w:val="665B398F"/>
    <w:rsid w:val="665C6CD5"/>
    <w:rsid w:val="66620D39"/>
    <w:rsid w:val="66994C17"/>
    <w:rsid w:val="66CD589D"/>
    <w:rsid w:val="66D36807"/>
    <w:rsid w:val="670C1B0F"/>
    <w:rsid w:val="671F124A"/>
    <w:rsid w:val="67282309"/>
    <w:rsid w:val="677A33C6"/>
    <w:rsid w:val="67931E4B"/>
    <w:rsid w:val="67C65302"/>
    <w:rsid w:val="67DD16E6"/>
    <w:rsid w:val="67E1461B"/>
    <w:rsid w:val="67EE4D7A"/>
    <w:rsid w:val="681B4E58"/>
    <w:rsid w:val="681F6961"/>
    <w:rsid w:val="68610A2F"/>
    <w:rsid w:val="68805514"/>
    <w:rsid w:val="68B059AC"/>
    <w:rsid w:val="68BF08FC"/>
    <w:rsid w:val="68F851E0"/>
    <w:rsid w:val="690778E8"/>
    <w:rsid w:val="691D2A0C"/>
    <w:rsid w:val="691D5B26"/>
    <w:rsid w:val="69313E71"/>
    <w:rsid w:val="69316E2F"/>
    <w:rsid w:val="694D2DD4"/>
    <w:rsid w:val="694E2071"/>
    <w:rsid w:val="69522B7C"/>
    <w:rsid w:val="69766163"/>
    <w:rsid w:val="697A3B33"/>
    <w:rsid w:val="697C05C4"/>
    <w:rsid w:val="69867236"/>
    <w:rsid w:val="69D44760"/>
    <w:rsid w:val="69E716D5"/>
    <w:rsid w:val="69F207AF"/>
    <w:rsid w:val="6A00564D"/>
    <w:rsid w:val="6A0507F1"/>
    <w:rsid w:val="6A143A3E"/>
    <w:rsid w:val="6A154A4F"/>
    <w:rsid w:val="6A445335"/>
    <w:rsid w:val="6A520EC7"/>
    <w:rsid w:val="6A711AD5"/>
    <w:rsid w:val="6A8A6BF9"/>
    <w:rsid w:val="6AB02A35"/>
    <w:rsid w:val="6AE24709"/>
    <w:rsid w:val="6AF87E20"/>
    <w:rsid w:val="6B2B3DFF"/>
    <w:rsid w:val="6B322639"/>
    <w:rsid w:val="6B36044D"/>
    <w:rsid w:val="6B364C7D"/>
    <w:rsid w:val="6B424955"/>
    <w:rsid w:val="6B7E03D2"/>
    <w:rsid w:val="6B9419A4"/>
    <w:rsid w:val="6B997143"/>
    <w:rsid w:val="6C0D7B78"/>
    <w:rsid w:val="6C170869"/>
    <w:rsid w:val="6C3B62C3"/>
    <w:rsid w:val="6C636C38"/>
    <w:rsid w:val="6C7926A6"/>
    <w:rsid w:val="6CB5519A"/>
    <w:rsid w:val="6CBD554D"/>
    <w:rsid w:val="6CCB1F66"/>
    <w:rsid w:val="6CCC149B"/>
    <w:rsid w:val="6CE81FA7"/>
    <w:rsid w:val="6D0F4B4D"/>
    <w:rsid w:val="6D400035"/>
    <w:rsid w:val="6D4B6BEB"/>
    <w:rsid w:val="6D77254E"/>
    <w:rsid w:val="6DB34098"/>
    <w:rsid w:val="6DB545B6"/>
    <w:rsid w:val="6DE02FB4"/>
    <w:rsid w:val="6DE93E7C"/>
    <w:rsid w:val="6DFD3F62"/>
    <w:rsid w:val="6DFD4A68"/>
    <w:rsid w:val="6E0A4EAB"/>
    <w:rsid w:val="6E2039C3"/>
    <w:rsid w:val="6E3C496B"/>
    <w:rsid w:val="6E505BE8"/>
    <w:rsid w:val="6E514CED"/>
    <w:rsid w:val="6E755BDC"/>
    <w:rsid w:val="6EA634D6"/>
    <w:rsid w:val="6EA700E5"/>
    <w:rsid w:val="6EB563D5"/>
    <w:rsid w:val="6EC61155"/>
    <w:rsid w:val="6ECE47B7"/>
    <w:rsid w:val="6ED92677"/>
    <w:rsid w:val="6F1A20A9"/>
    <w:rsid w:val="6F2067E3"/>
    <w:rsid w:val="6F225983"/>
    <w:rsid w:val="6F6A4D73"/>
    <w:rsid w:val="6F6F075E"/>
    <w:rsid w:val="6FAA79E8"/>
    <w:rsid w:val="6FFC5590"/>
    <w:rsid w:val="70027703"/>
    <w:rsid w:val="70407F78"/>
    <w:rsid w:val="704B2330"/>
    <w:rsid w:val="704E6802"/>
    <w:rsid w:val="704F5E28"/>
    <w:rsid w:val="706D1DD0"/>
    <w:rsid w:val="707F0E75"/>
    <w:rsid w:val="70856B87"/>
    <w:rsid w:val="708E730A"/>
    <w:rsid w:val="709124D8"/>
    <w:rsid w:val="70AF5E5C"/>
    <w:rsid w:val="70C27A56"/>
    <w:rsid w:val="70C7280E"/>
    <w:rsid w:val="70D527EE"/>
    <w:rsid w:val="70DF7B65"/>
    <w:rsid w:val="70EA7726"/>
    <w:rsid w:val="70FF3E64"/>
    <w:rsid w:val="711E6643"/>
    <w:rsid w:val="71586386"/>
    <w:rsid w:val="715B5300"/>
    <w:rsid w:val="71606187"/>
    <w:rsid w:val="717A37C3"/>
    <w:rsid w:val="718F7014"/>
    <w:rsid w:val="71C11019"/>
    <w:rsid w:val="71D27F8A"/>
    <w:rsid w:val="72062ED0"/>
    <w:rsid w:val="72553024"/>
    <w:rsid w:val="72575D91"/>
    <w:rsid w:val="725A4AE4"/>
    <w:rsid w:val="727803C3"/>
    <w:rsid w:val="72795E7F"/>
    <w:rsid w:val="728C208D"/>
    <w:rsid w:val="728E3039"/>
    <w:rsid w:val="729256DE"/>
    <w:rsid w:val="72E94085"/>
    <w:rsid w:val="72F62F44"/>
    <w:rsid w:val="73122968"/>
    <w:rsid w:val="731F5D5E"/>
    <w:rsid w:val="73691968"/>
    <w:rsid w:val="738C0C87"/>
    <w:rsid w:val="739536CC"/>
    <w:rsid w:val="73B955E2"/>
    <w:rsid w:val="73C51AD5"/>
    <w:rsid w:val="73E2211F"/>
    <w:rsid w:val="741C6ECC"/>
    <w:rsid w:val="741E793C"/>
    <w:rsid w:val="743474DC"/>
    <w:rsid w:val="745C3920"/>
    <w:rsid w:val="745E3944"/>
    <w:rsid w:val="74607B7D"/>
    <w:rsid w:val="747405C4"/>
    <w:rsid w:val="747426FD"/>
    <w:rsid w:val="74820F33"/>
    <w:rsid w:val="74E219D2"/>
    <w:rsid w:val="74E920C5"/>
    <w:rsid w:val="74EC61F0"/>
    <w:rsid w:val="75061A75"/>
    <w:rsid w:val="75322959"/>
    <w:rsid w:val="754C5D2B"/>
    <w:rsid w:val="759A22AD"/>
    <w:rsid w:val="760179C7"/>
    <w:rsid w:val="760B4F58"/>
    <w:rsid w:val="761A519B"/>
    <w:rsid w:val="762A270D"/>
    <w:rsid w:val="7635099D"/>
    <w:rsid w:val="764566BC"/>
    <w:rsid w:val="764A2098"/>
    <w:rsid w:val="76791873"/>
    <w:rsid w:val="76885999"/>
    <w:rsid w:val="76A51AE4"/>
    <w:rsid w:val="76B94E2F"/>
    <w:rsid w:val="76F80EF0"/>
    <w:rsid w:val="77001F84"/>
    <w:rsid w:val="771F36B2"/>
    <w:rsid w:val="772E0EFE"/>
    <w:rsid w:val="7740798D"/>
    <w:rsid w:val="776A4BEC"/>
    <w:rsid w:val="776C706F"/>
    <w:rsid w:val="77762421"/>
    <w:rsid w:val="77764653"/>
    <w:rsid w:val="77B47CCC"/>
    <w:rsid w:val="77B56B1F"/>
    <w:rsid w:val="77E95665"/>
    <w:rsid w:val="77EF6850"/>
    <w:rsid w:val="780052C0"/>
    <w:rsid w:val="780F09F4"/>
    <w:rsid w:val="782B28ED"/>
    <w:rsid w:val="78600CD7"/>
    <w:rsid w:val="786F6222"/>
    <w:rsid w:val="78866B18"/>
    <w:rsid w:val="78A90480"/>
    <w:rsid w:val="78AC5093"/>
    <w:rsid w:val="78B267D3"/>
    <w:rsid w:val="79525F4A"/>
    <w:rsid w:val="79762B1D"/>
    <w:rsid w:val="797B443F"/>
    <w:rsid w:val="79876F8B"/>
    <w:rsid w:val="79924211"/>
    <w:rsid w:val="7995123F"/>
    <w:rsid w:val="79B866DE"/>
    <w:rsid w:val="79DF5D1A"/>
    <w:rsid w:val="79E61F64"/>
    <w:rsid w:val="79F72FA5"/>
    <w:rsid w:val="7A187C7E"/>
    <w:rsid w:val="7A2D5E32"/>
    <w:rsid w:val="7A2E09BD"/>
    <w:rsid w:val="7A364017"/>
    <w:rsid w:val="7A8265E1"/>
    <w:rsid w:val="7A8620CA"/>
    <w:rsid w:val="7AAE3428"/>
    <w:rsid w:val="7AB826F4"/>
    <w:rsid w:val="7ABF613F"/>
    <w:rsid w:val="7AF83336"/>
    <w:rsid w:val="7AF91823"/>
    <w:rsid w:val="7AFC68E4"/>
    <w:rsid w:val="7AFE605E"/>
    <w:rsid w:val="7B1E2A27"/>
    <w:rsid w:val="7B3C7563"/>
    <w:rsid w:val="7B686D42"/>
    <w:rsid w:val="7B841746"/>
    <w:rsid w:val="7BAE0F0F"/>
    <w:rsid w:val="7BFA5853"/>
    <w:rsid w:val="7C281977"/>
    <w:rsid w:val="7C2D29C5"/>
    <w:rsid w:val="7C594C70"/>
    <w:rsid w:val="7C641A27"/>
    <w:rsid w:val="7C68120A"/>
    <w:rsid w:val="7C6C5AC7"/>
    <w:rsid w:val="7CA061BA"/>
    <w:rsid w:val="7CC429A4"/>
    <w:rsid w:val="7CC6544B"/>
    <w:rsid w:val="7CDB015E"/>
    <w:rsid w:val="7D0239FF"/>
    <w:rsid w:val="7D3F3525"/>
    <w:rsid w:val="7D5E40CD"/>
    <w:rsid w:val="7D716BEA"/>
    <w:rsid w:val="7D9B444F"/>
    <w:rsid w:val="7DC67B33"/>
    <w:rsid w:val="7DCD56F2"/>
    <w:rsid w:val="7DE83F93"/>
    <w:rsid w:val="7E2D302A"/>
    <w:rsid w:val="7E9E6F4B"/>
    <w:rsid w:val="7F001CE7"/>
    <w:rsid w:val="7F087B98"/>
    <w:rsid w:val="7F413799"/>
    <w:rsid w:val="7F435763"/>
    <w:rsid w:val="7FE47E50"/>
    <w:rsid w:val="7FFC47E3"/>
    <w:rsid w:val="7FFE59D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qFormat="1" w:uiPriority="99"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qFormat="1" w:unhideWhenUsed="0" w:uiPriority="0" w:semiHidden="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59"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44"/>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53"/>
    <w:qFormat/>
    <w:locked/>
    <w:uiPriority w:val="0"/>
    <w:pPr>
      <w:keepNext/>
      <w:keepLines/>
      <w:spacing w:before="260" w:after="260" w:line="416" w:lineRule="auto"/>
      <w:outlineLvl w:val="1"/>
    </w:pPr>
    <w:rPr>
      <w:rFonts w:ascii="Calibri Light" w:hAnsi="Calibri Light"/>
      <w:b/>
      <w:bCs/>
      <w:sz w:val="32"/>
      <w:szCs w:val="32"/>
    </w:rPr>
  </w:style>
  <w:style w:type="paragraph" w:styleId="5">
    <w:name w:val="heading 3"/>
    <w:basedOn w:val="1"/>
    <w:next w:val="1"/>
    <w:qFormat/>
    <w:locked/>
    <w:uiPriority w:val="0"/>
    <w:pPr>
      <w:keepNext/>
      <w:keepLines/>
      <w:spacing w:before="260" w:after="260" w:line="416" w:lineRule="auto"/>
      <w:outlineLvl w:val="2"/>
    </w:pPr>
    <w:rPr>
      <w:b/>
      <w:bCs/>
      <w:sz w:val="32"/>
      <w:szCs w:val="32"/>
    </w:rPr>
  </w:style>
  <w:style w:type="paragraph" w:styleId="6">
    <w:name w:val="heading 4"/>
    <w:basedOn w:val="1"/>
    <w:next w:val="1"/>
    <w:qFormat/>
    <w:locked/>
    <w:uiPriority w:val="0"/>
    <w:pPr>
      <w:spacing w:line="360" w:lineRule="auto"/>
      <w:outlineLvl w:val="3"/>
    </w:pPr>
    <w:rPr>
      <w:rFonts w:ascii="黑体" w:eastAsia="黑体"/>
      <w:sz w:val="24"/>
      <w:szCs w:val="20"/>
    </w:rPr>
  </w:style>
  <w:style w:type="character" w:default="1" w:styleId="35">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customStyle="1" w:styleId="2">
    <w:name w:val="_Style 4"/>
    <w:qFormat/>
    <w:uiPriority w:val="0"/>
    <w:pPr>
      <w:widowControl w:val="0"/>
      <w:ind w:firstLine="200" w:firstLineChars="200"/>
      <w:jc w:val="both"/>
    </w:pPr>
    <w:rPr>
      <w:rFonts w:ascii="Times New Roman" w:hAnsi="Times New Roman" w:eastAsia="宋体" w:cs="Times New Roman"/>
      <w:kern w:val="2"/>
      <w:sz w:val="24"/>
      <w:szCs w:val="21"/>
      <w:lang w:val="en-US" w:eastAsia="zh-CN" w:bidi="ar-SA"/>
    </w:rPr>
  </w:style>
  <w:style w:type="paragraph" w:styleId="7">
    <w:name w:val="table of authorities"/>
    <w:basedOn w:val="1"/>
    <w:next w:val="1"/>
    <w:qFormat/>
    <w:locked/>
    <w:uiPriority w:val="0"/>
    <w:pPr>
      <w:spacing w:line="360" w:lineRule="auto"/>
      <w:ind w:left="420" w:leftChars="200" w:firstLine="640" w:firstLineChars="200"/>
    </w:pPr>
    <w:rPr>
      <w:sz w:val="24"/>
    </w:rPr>
  </w:style>
  <w:style w:type="paragraph" w:styleId="8">
    <w:name w:val="Normal Indent"/>
    <w:basedOn w:val="1"/>
    <w:qFormat/>
    <w:locked/>
    <w:uiPriority w:val="0"/>
    <w:pPr>
      <w:spacing w:line="460" w:lineRule="atLeast"/>
      <w:ind w:firstLine="420"/>
    </w:pPr>
    <w:rPr>
      <w:sz w:val="24"/>
    </w:rPr>
  </w:style>
  <w:style w:type="paragraph" w:styleId="9">
    <w:name w:val="annotation text"/>
    <w:basedOn w:val="1"/>
    <w:link w:val="47"/>
    <w:qFormat/>
    <w:uiPriority w:val="0"/>
    <w:pPr>
      <w:jc w:val="left"/>
    </w:pPr>
  </w:style>
  <w:style w:type="paragraph" w:styleId="10">
    <w:name w:val="Salutation"/>
    <w:basedOn w:val="1"/>
    <w:next w:val="1"/>
    <w:qFormat/>
    <w:locked/>
    <w:uiPriority w:val="0"/>
  </w:style>
  <w:style w:type="paragraph" w:styleId="11">
    <w:name w:val="Body Text"/>
    <w:basedOn w:val="1"/>
    <w:next w:val="12"/>
    <w:qFormat/>
    <w:uiPriority w:val="1"/>
    <w:rPr>
      <w:rFonts w:ascii="宋体" w:hAnsi="宋体" w:cs="宋体"/>
      <w:sz w:val="24"/>
      <w:lang w:val="zh-CN" w:bidi="zh-CN"/>
    </w:rPr>
  </w:style>
  <w:style w:type="paragraph" w:customStyle="1" w:styleId="12">
    <w:name w:val="Normal (Web)1"/>
    <w:basedOn w:val="1"/>
    <w:next w:val="13"/>
    <w:qFormat/>
    <w:uiPriority w:val="0"/>
    <w:pPr>
      <w:widowControl/>
      <w:jc w:val="left"/>
    </w:pPr>
    <w:rPr>
      <w:rFonts w:ascii="宋体"/>
      <w:kern w:val="0"/>
      <w:sz w:val="24"/>
      <w:szCs w:val="21"/>
    </w:rPr>
  </w:style>
  <w:style w:type="paragraph" w:customStyle="1" w:styleId="13">
    <w:name w:val="Date1"/>
    <w:basedOn w:val="1"/>
    <w:next w:val="1"/>
    <w:qFormat/>
    <w:uiPriority w:val="0"/>
    <w:pPr>
      <w:ind w:left="2500" w:leftChars="2500"/>
    </w:pPr>
  </w:style>
  <w:style w:type="paragraph" w:styleId="14">
    <w:name w:val="Body Text Indent"/>
    <w:basedOn w:val="1"/>
    <w:qFormat/>
    <w:uiPriority w:val="0"/>
    <w:pPr>
      <w:spacing w:after="120"/>
      <w:ind w:left="420" w:leftChars="200"/>
    </w:pPr>
    <w:rPr>
      <w:kern w:val="0"/>
      <w:sz w:val="24"/>
      <w:szCs w:val="20"/>
    </w:rPr>
  </w:style>
  <w:style w:type="paragraph" w:styleId="15">
    <w:name w:val="Plain Text"/>
    <w:basedOn w:val="1"/>
    <w:qFormat/>
    <w:uiPriority w:val="0"/>
    <w:rPr>
      <w:rFonts w:ascii="宋体" w:hAnsi="Courier New"/>
      <w:szCs w:val="21"/>
    </w:rPr>
  </w:style>
  <w:style w:type="paragraph" w:styleId="16">
    <w:name w:val="List Bullet 5"/>
    <w:basedOn w:val="1"/>
    <w:qFormat/>
    <w:locked/>
    <w:uiPriority w:val="0"/>
    <w:pPr>
      <w:numPr>
        <w:ilvl w:val="0"/>
        <w:numId w:val="1"/>
      </w:numPr>
    </w:pPr>
  </w:style>
  <w:style w:type="paragraph" w:styleId="17">
    <w:name w:val="Date"/>
    <w:basedOn w:val="1"/>
    <w:next w:val="1"/>
    <w:link w:val="43"/>
    <w:qFormat/>
    <w:uiPriority w:val="0"/>
    <w:pPr>
      <w:ind w:left="100" w:leftChars="2500"/>
    </w:pPr>
    <w:rPr>
      <w:kern w:val="0"/>
      <w:sz w:val="24"/>
      <w:szCs w:val="20"/>
    </w:rPr>
  </w:style>
  <w:style w:type="paragraph" w:styleId="18">
    <w:name w:val="Body Text Indent 2"/>
    <w:basedOn w:val="1"/>
    <w:qFormat/>
    <w:locked/>
    <w:uiPriority w:val="0"/>
    <w:pPr>
      <w:spacing w:after="120" w:line="480" w:lineRule="auto"/>
      <w:ind w:left="420" w:leftChars="200"/>
    </w:pPr>
  </w:style>
  <w:style w:type="paragraph" w:styleId="19">
    <w:name w:val="Balloon Text"/>
    <w:basedOn w:val="1"/>
    <w:link w:val="54"/>
    <w:qFormat/>
    <w:uiPriority w:val="0"/>
    <w:rPr>
      <w:sz w:val="18"/>
      <w:szCs w:val="18"/>
    </w:rPr>
  </w:style>
  <w:style w:type="paragraph" w:styleId="20">
    <w:name w:val="footer"/>
    <w:basedOn w:val="1"/>
    <w:link w:val="48"/>
    <w:qFormat/>
    <w:uiPriority w:val="99"/>
    <w:pPr>
      <w:tabs>
        <w:tab w:val="center" w:pos="4153"/>
        <w:tab w:val="right" w:pos="8306"/>
      </w:tabs>
      <w:snapToGrid w:val="0"/>
      <w:jc w:val="left"/>
    </w:pPr>
    <w:rPr>
      <w:kern w:val="0"/>
      <w:sz w:val="18"/>
      <w:szCs w:val="20"/>
    </w:rPr>
  </w:style>
  <w:style w:type="paragraph" w:styleId="21">
    <w:name w:val="header"/>
    <w:basedOn w:val="1"/>
    <w:link w:val="42"/>
    <w:qFormat/>
    <w:uiPriority w:val="0"/>
    <w:pPr>
      <w:pBdr>
        <w:bottom w:val="single" w:color="auto" w:sz="6" w:space="1"/>
      </w:pBdr>
      <w:tabs>
        <w:tab w:val="center" w:pos="4153"/>
        <w:tab w:val="right" w:pos="8306"/>
      </w:tabs>
      <w:snapToGrid w:val="0"/>
      <w:jc w:val="center"/>
    </w:pPr>
    <w:rPr>
      <w:kern w:val="0"/>
      <w:sz w:val="18"/>
      <w:szCs w:val="20"/>
    </w:rPr>
  </w:style>
  <w:style w:type="paragraph" w:styleId="22">
    <w:name w:val="toc 1"/>
    <w:basedOn w:val="1"/>
    <w:next w:val="1"/>
    <w:qFormat/>
    <w:locked/>
    <w:uiPriority w:val="39"/>
  </w:style>
  <w:style w:type="paragraph" w:styleId="23">
    <w:name w:val="table of figures"/>
    <w:basedOn w:val="1"/>
    <w:next w:val="1"/>
    <w:unhideWhenUsed/>
    <w:qFormat/>
    <w:locked/>
    <w:uiPriority w:val="99"/>
    <w:pPr>
      <w:ind w:left="200" w:leftChars="200" w:hanging="200" w:hangingChars="200"/>
    </w:pPr>
  </w:style>
  <w:style w:type="paragraph" w:styleId="24">
    <w:name w:val="toc 2"/>
    <w:basedOn w:val="1"/>
    <w:next w:val="1"/>
    <w:unhideWhenUsed/>
    <w:qFormat/>
    <w:locked/>
    <w:uiPriority w:val="39"/>
    <w:pPr>
      <w:widowControl/>
      <w:spacing w:after="100" w:line="276" w:lineRule="auto"/>
      <w:ind w:left="220"/>
      <w:jc w:val="left"/>
    </w:pPr>
    <w:rPr>
      <w:rFonts w:ascii="Calibri" w:hAnsi="Calibri"/>
      <w:kern w:val="0"/>
      <w:sz w:val="22"/>
      <w:szCs w:val="22"/>
    </w:rPr>
  </w:style>
  <w:style w:type="paragraph" w:styleId="25">
    <w:name w:val="Body Text 2"/>
    <w:basedOn w:val="1"/>
    <w:unhideWhenUsed/>
    <w:qFormat/>
    <w:locked/>
    <w:uiPriority w:val="0"/>
    <w:pPr>
      <w:spacing w:after="120" w:line="480" w:lineRule="auto"/>
    </w:pPr>
  </w:style>
  <w:style w:type="paragraph" w:styleId="26">
    <w:name w:val="Message Header"/>
    <w:basedOn w:val="1"/>
    <w:qFormat/>
    <w:locked/>
    <w:uiPriority w:val="0"/>
    <w:pPr>
      <w:keepNext/>
      <w:pBdr>
        <w:top w:val="single" w:color="auto" w:sz="6" w:space="1"/>
        <w:left w:val="single" w:color="auto" w:sz="6" w:space="1"/>
        <w:bottom w:val="single" w:color="auto" w:sz="6" w:space="1"/>
        <w:right w:val="single" w:color="auto" w:sz="6" w:space="1"/>
      </w:pBdr>
      <w:shd w:val="pct20" w:color="auto" w:fill="auto"/>
      <w:spacing w:line="360" w:lineRule="auto"/>
      <w:ind w:left="1000" w:leftChars="500" w:hanging="500" w:hangingChars="500"/>
      <w:jc w:val="left"/>
    </w:pPr>
    <w:rPr>
      <w:rFonts w:ascii="Arial" w:hAnsi="Arial" w:cs="Arial"/>
      <w:color w:val="000000"/>
      <w:sz w:val="24"/>
    </w:rPr>
  </w:style>
  <w:style w:type="paragraph" w:styleId="27">
    <w:name w:val="Normal (Web)"/>
    <w:basedOn w:val="1"/>
    <w:link w:val="57"/>
    <w:qFormat/>
    <w:uiPriority w:val="0"/>
    <w:pPr>
      <w:widowControl/>
      <w:spacing w:before="100" w:beforeAutospacing="1" w:after="100" w:afterAutospacing="1"/>
      <w:jc w:val="left"/>
    </w:pPr>
    <w:rPr>
      <w:rFonts w:ascii="宋体" w:hAnsi="宋体"/>
      <w:kern w:val="0"/>
      <w:sz w:val="24"/>
      <w:szCs w:val="20"/>
    </w:rPr>
  </w:style>
  <w:style w:type="paragraph" w:styleId="28">
    <w:name w:val="Title"/>
    <w:basedOn w:val="1"/>
    <w:next w:val="1"/>
    <w:qFormat/>
    <w:locked/>
    <w:uiPriority w:val="0"/>
    <w:pPr>
      <w:spacing w:line="500" w:lineRule="exact"/>
    </w:pPr>
    <w:rPr>
      <w:rFonts w:eastAsia="仿宋_GB2312"/>
      <w:bCs/>
      <w:sz w:val="28"/>
      <w:szCs w:val="32"/>
    </w:rPr>
  </w:style>
  <w:style w:type="paragraph" w:styleId="29">
    <w:name w:val="annotation subject"/>
    <w:basedOn w:val="9"/>
    <w:next w:val="9"/>
    <w:link w:val="45"/>
    <w:qFormat/>
    <w:uiPriority w:val="0"/>
    <w:rPr>
      <w:b/>
      <w:bCs/>
    </w:rPr>
  </w:style>
  <w:style w:type="paragraph" w:styleId="30">
    <w:name w:val="Body Text First Indent"/>
    <w:basedOn w:val="11"/>
    <w:next w:val="1"/>
    <w:qFormat/>
    <w:locked/>
    <w:uiPriority w:val="0"/>
    <w:pPr>
      <w:ind w:firstLine="420" w:firstLineChars="100"/>
    </w:pPr>
  </w:style>
  <w:style w:type="paragraph" w:styleId="31">
    <w:name w:val="Body Text First Indent 2"/>
    <w:basedOn w:val="14"/>
    <w:qFormat/>
    <w:locked/>
    <w:uiPriority w:val="0"/>
    <w:pPr>
      <w:spacing w:line="360" w:lineRule="auto"/>
      <w:ind w:firstLine="420" w:firstLineChars="200"/>
    </w:pPr>
  </w:style>
  <w:style w:type="table" w:styleId="33">
    <w:name w:val="Table Grid"/>
    <w:basedOn w:val="32"/>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4">
    <w:name w:val="Table Classic 1"/>
    <w:basedOn w:val="32"/>
    <w:qFormat/>
    <w:locked/>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character" w:styleId="36">
    <w:name w:val="Strong"/>
    <w:basedOn w:val="35"/>
    <w:qFormat/>
    <w:locked/>
    <w:uiPriority w:val="0"/>
    <w:rPr>
      <w:b/>
    </w:rPr>
  </w:style>
  <w:style w:type="character" w:styleId="37">
    <w:name w:val="page number"/>
    <w:basedOn w:val="35"/>
    <w:qFormat/>
    <w:locked/>
    <w:uiPriority w:val="0"/>
  </w:style>
  <w:style w:type="character" w:styleId="38">
    <w:name w:val="Hyperlink"/>
    <w:basedOn w:val="35"/>
    <w:unhideWhenUsed/>
    <w:qFormat/>
    <w:locked/>
    <w:uiPriority w:val="99"/>
    <w:rPr>
      <w:color w:val="0563C1" w:themeColor="hyperlink"/>
      <w:u w:val="single"/>
      <w14:textFill>
        <w14:solidFill>
          <w14:schemeClr w14:val="hlink"/>
        </w14:solidFill>
      </w14:textFill>
    </w:rPr>
  </w:style>
  <w:style w:type="character" w:styleId="39">
    <w:name w:val="annotation reference"/>
    <w:semiHidden/>
    <w:qFormat/>
    <w:uiPriority w:val="0"/>
    <w:rPr>
      <w:sz w:val="21"/>
    </w:rPr>
  </w:style>
  <w:style w:type="paragraph" w:customStyle="1" w:styleId="40">
    <w:name w:val="样式 正文首行缩进 + 首行缩进:  2 字符1"/>
    <w:basedOn w:val="1"/>
    <w:next w:val="22"/>
    <w:qFormat/>
    <w:uiPriority w:val="0"/>
    <w:pPr>
      <w:spacing w:line="360" w:lineRule="auto"/>
      <w:ind w:firstLine="480" w:firstLineChars="200"/>
    </w:pPr>
    <w:rPr>
      <w:sz w:val="24"/>
    </w:rPr>
  </w:style>
  <w:style w:type="character" w:customStyle="1" w:styleId="41">
    <w:name w:val="日期 字符"/>
    <w:semiHidden/>
    <w:qFormat/>
    <w:uiPriority w:val="0"/>
    <w:rPr>
      <w:rFonts w:ascii="Times New Roman" w:hAnsi="Times New Roman" w:eastAsia="宋体"/>
      <w:sz w:val="24"/>
    </w:rPr>
  </w:style>
  <w:style w:type="character" w:customStyle="1" w:styleId="42">
    <w:name w:val="页眉 Char"/>
    <w:link w:val="21"/>
    <w:qFormat/>
    <w:locked/>
    <w:uiPriority w:val="0"/>
    <w:rPr>
      <w:sz w:val="18"/>
    </w:rPr>
  </w:style>
  <w:style w:type="character" w:customStyle="1" w:styleId="43">
    <w:name w:val="日期 Char"/>
    <w:link w:val="17"/>
    <w:qFormat/>
    <w:locked/>
    <w:uiPriority w:val="0"/>
    <w:rPr>
      <w:rFonts w:ascii="Times New Roman" w:hAnsi="Times New Roman" w:eastAsia="宋体"/>
      <w:sz w:val="24"/>
    </w:rPr>
  </w:style>
  <w:style w:type="character" w:customStyle="1" w:styleId="44">
    <w:name w:val="标题 1 Char"/>
    <w:link w:val="3"/>
    <w:qFormat/>
    <w:uiPriority w:val="99"/>
    <w:rPr>
      <w:rFonts w:eastAsia="黑体"/>
      <w:b/>
      <w:bCs/>
      <w:color w:val="000000"/>
      <w:kern w:val="44"/>
      <w:sz w:val="30"/>
      <w:szCs w:val="30"/>
    </w:rPr>
  </w:style>
  <w:style w:type="character" w:customStyle="1" w:styleId="45">
    <w:name w:val="批注主题 Char"/>
    <w:link w:val="29"/>
    <w:qFormat/>
    <w:uiPriority w:val="0"/>
    <w:rPr>
      <w:rFonts w:ascii="Times New Roman" w:hAnsi="Times New Roman" w:eastAsia="宋体"/>
      <w:b/>
      <w:bCs/>
      <w:kern w:val="2"/>
      <w:sz w:val="21"/>
      <w:szCs w:val="24"/>
    </w:rPr>
  </w:style>
  <w:style w:type="character" w:customStyle="1" w:styleId="46">
    <w:name w:val="font21"/>
    <w:qFormat/>
    <w:uiPriority w:val="0"/>
    <w:rPr>
      <w:rFonts w:hint="default" w:ascii="Times New Roman" w:hAnsi="Times New Roman" w:cs="Times New Roman"/>
      <w:color w:val="000000"/>
      <w:sz w:val="21"/>
      <w:szCs w:val="21"/>
      <w:u w:val="none"/>
    </w:rPr>
  </w:style>
  <w:style w:type="character" w:customStyle="1" w:styleId="47">
    <w:name w:val="批注文字 Char"/>
    <w:link w:val="9"/>
    <w:qFormat/>
    <w:uiPriority w:val="0"/>
    <w:rPr>
      <w:rFonts w:ascii="Times New Roman" w:hAnsi="Times New Roman" w:eastAsia="宋体"/>
      <w:kern w:val="2"/>
      <w:sz w:val="21"/>
      <w:szCs w:val="24"/>
    </w:rPr>
  </w:style>
  <w:style w:type="character" w:customStyle="1" w:styleId="48">
    <w:name w:val="页脚 Char"/>
    <w:link w:val="20"/>
    <w:qFormat/>
    <w:locked/>
    <w:uiPriority w:val="99"/>
    <w:rPr>
      <w:sz w:val="18"/>
    </w:rPr>
  </w:style>
  <w:style w:type="character" w:customStyle="1" w:styleId="49">
    <w:name w:val="段落正文 Char"/>
    <w:link w:val="50"/>
    <w:qFormat/>
    <w:uiPriority w:val="0"/>
    <w:rPr>
      <w:rFonts w:eastAsia="仿宋_GB2312"/>
      <w:sz w:val="28"/>
      <w:szCs w:val="28"/>
    </w:rPr>
  </w:style>
  <w:style w:type="paragraph" w:customStyle="1" w:styleId="50">
    <w:name w:val="段落正文"/>
    <w:basedOn w:val="1"/>
    <w:link w:val="49"/>
    <w:qFormat/>
    <w:uiPriority w:val="0"/>
    <w:pPr>
      <w:spacing w:line="500" w:lineRule="atLeast"/>
      <w:ind w:firstLine="200" w:firstLineChars="200"/>
    </w:pPr>
    <w:rPr>
      <w:rFonts w:eastAsia="仿宋_GB2312"/>
      <w:sz w:val="28"/>
      <w:szCs w:val="28"/>
    </w:rPr>
  </w:style>
  <w:style w:type="character" w:customStyle="1" w:styleId="51">
    <w:name w:val="正文文本 字符1"/>
    <w:semiHidden/>
    <w:qFormat/>
    <w:uiPriority w:val="0"/>
    <w:rPr>
      <w:rFonts w:ascii="Times New Roman" w:hAnsi="Times New Roman" w:eastAsia="宋体"/>
      <w:sz w:val="24"/>
    </w:rPr>
  </w:style>
  <w:style w:type="character" w:customStyle="1" w:styleId="52">
    <w:name w:val="font11"/>
    <w:qFormat/>
    <w:uiPriority w:val="0"/>
    <w:rPr>
      <w:rFonts w:hint="default" w:ascii="Times New Roman" w:hAnsi="Times New Roman" w:cs="Times New Roman"/>
      <w:color w:val="000000"/>
      <w:sz w:val="21"/>
      <w:szCs w:val="21"/>
      <w:u w:val="none"/>
      <w:vertAlign w:val="superscript"/>
    </w:rPr>
  </w:style>
  <w:style w:type="character" w:customStyle="1" w:styleId="53">
    <w:name w:val="标题 2 Char"/>
    <w:link w:val="4"/>
    <w:qFormat/>
    <w:uiPriority w:val="0"/>
    <w:rPr>
      <w:rFonts w:ascii="Calibri Light" w:hAnsi="Calibri Light" w:eastAsia="宋体" w:cs="Times New Roman"/>
      <w:b/>
      <w:bCs/>
      <w:sz w:val="32"/>
      <w:szCs w:val="32"/>
    </w:rPr>
  </w:style>
  <w:style w:type="character" w:customStyle="1" w:styleId="54">
    <w:name w:val="批注框文本 Char"/>
    <w:link w:val="19"/>
    <w:qFormat/>
    <w:uiPriority w:val="0"/>
    <w:rPr>
      <w:rFonts w:ascii="Times New Roman" w:hAnsi="Times New Roman" w:eastAsia="宋体"/>
      <w:kern w:val="2"/>
      <w:sz w:val="18"/>
      <w:szCs w:val="18"/>
    </w:rPr>
  </w:style>
  <w:style w:type="character" w:customStyle="1" w:styleId="55">
    <w:name w:val="表格 Char"/>
    <w:link w:val="56"/>
    <w:qFormat/>
    <w:locked/>
    <w:uiPriority w:val="0"/>
    <w:rPr>
      <w:rFonts w:ascii="宋体"/>
      <w:sz w:val="21"/>
    </w:rPr>
  </w:style>
  <w:style w:type="paragraph" w:customStyle="1" w:styleId="56">
    <w:name w:val="表格"/>
    <w:basedOn w:val="15"/>
    <w:next w:val="1"/>
    <w:link w:val="55"/>
    <w:qFormat/>
    <w:uiPriority w:val="0"/>
    <w:pPr>
      <w:adjustRightInd w:val="0"/>
      <w:snapToGrid w:val="0"/>
      <w:spacing w:beforeLines="10" w:afterLines="10" w:line="259" w:lineRule="auto"/>
      <w:jc w:val="center"/>
    </w:pPr>
    <w:rPr>
      <w:rFonts w:ascii="宋体"/>
      <w:kern w:val="0"/>
      <w:szCs w:val="20"/>
    </w:rPr>
  </w:style>
  <w:style w:type="character" w:customStyle="1" w:styleId="57">
    <w:name w:val="普通(网站) Char"/>
    <w:link w:val="27"/>
    <w:qFormat/>
    <w:locked/>
    <w:uiPriority w:val="0"/>
    <w:rPr>
      <w:rFonts w:ascii="宋体" w:hAnsi="宋体" w:eastAsia="宋体"/>
      <w:sz w:val="24"/>
    </w:rPr>
  </w:style>
  <w:style w:type="character" w:customStyle="1" w:styleId="58">
    <w:name w:val="font01"/>
    <w:qFormat/>
    <w:uiPriority w:val="0"/>
    <w:rPr>
      <w:rFonts w:hint="eastAsia" w:ascii="宋体" w:hAnsi="宋体" w:eastAsia="宋体" w:cs="宋体"/>
      <w:color w:val="000000"/>
      <w:sz w:val="21"/>
      <w:szCs w:val="21"/>
      <w:u w:val="none"/>
    </w:rPr>
  </w:style>
  <w:style w:type="character" w:customStyle="1" w:styleId="59">
    <w:name w:val="页脚 字符"/>
    <w:qFormat/>
    <w:uiPriority w:val="99"/>
  </w:style>
  <w:style w:type="character" w:customStyle="1" w:styleId="60">
    <w:name w:val="内容 Char"/>
    <w:link w:val="61"/>
    <w:qFormat/>
    <w:locked/>
    <w:uiPriority w:val="0"/>
    <w:rPr>
      <w:rFonts w:ascii="Times New Roman" w:hAnsi="Times New Roman" w:cs="Times New Roman"/>
      <w:color w:val="000000"/>
      <w:szCs w:val="20"/>
    </w:rPr>
  </w:style>
  <w:style w:type="paragraph" w:customStyle="1" w:styleId="61">
    <w:name w:val="内容"/>
    <w:basedOn w:val="1"/>
    <w:link w:val="60"/>
    <w:qFormat/>
    <w:uiPriority w:val="0"/>
    <w:pPr>
      <w:spacing w:beforeLines="50" w:afterLines="50"/>
      <w:ind w:firstLine="200" w:firstLineChars="200"/>
    </w:pPr>
    <w:rPr>
      <w:color w:val="000000"/>
      <w:szCs w:val="20"/>
    </w:rPr>
  </w:style>
  <w:style w:type="paragraph" w:customStyle="1" w:styleId="6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3">
    <w:name w:val="填表样式"/>
    <w:basedOn w:val="1"/>
    <w:qFormat/>
    <w:uiPriority w:val="0"/>
    <w:pPr>
      <w:adjustRightInd w:val="0"/>
      <w:snapToGrid w:val="0"/>
      <w:spacing w:line="360" w:lineRule="auto"/>
      <w:ind w:firstLine="720" w:firstLineChars="200"/>
    </w:pPr>
  </w:style>
  <w:style w:type="paragraph" w:customStyle="1" w:styleId="64">
    <w:name w:val="环评表中文字"/>
    <w:basedOn w:val="1"/>
    <w:qFormat/>
    <w:uiPriority w:val="0"/>
    <w:pPr>
      <w:jc w:val="center"/>
    </w:pPr>
    <w:rPr>
      <w:rFonts w:ascii="宋体" w:hAnsi="宋体" w:cs="宋体"/>
      <w:sz w:val="24"/>
      <w:szCs w:val="22"/>
    </w:rPr>
  </w:style>
  <w:style w:type="paragraph" w:customStyle="1" w:styleId="65">
    <w:name w:val="表文"/>
    <w:basedOn w:val="1"/>
    <w:qFormat/>
    <w:uiPriority w:val="0"/>
    <w:pPr>
      <w:jc w:val="center"/>
    </w:pPr>
    <w:rPr>
      <w:rFonts w:ascii="宋体"/>
    </w:rPr>
  </w:style>
  <w:style w:type="paragraph" w:customStyle="1" w:styleId="66">
    <w:name w:val="登记标式"/>
    <w:basedOn w:val="1"/>
    <w:qFormat/>
    <w:uiPriority w:val="0"/>
    <w:rPr>
      <w:sz w:val="28"/>
    </w:rPr>
  </w:style>
  <w:style w:type="paragraph" w:customStyle="1" w:styleId="67">
    <w:name w:val="样式 标题 4款标题1.1.1.1 南陵标题 4标题 4 CharH4PIM 4h4First Subheadin..."/>
    <w:basedOn w:val="6"/>
    <w:qFormat/>
    <w:uiPriority w:val="0"/>
    <w:pPr>
      <w:spacing w:line="500" w:lineRule="exact"/>
    </w:pPr>
    <w:rPr>
      <w:rFonts w:ascii="宋体" w:hAnsi="宋体"/>
    </w:rPr>
  </w:style>
  <w:style w:type="paragraph" w:customStyle="1" w:styleId="68">
    <w:name w:val="表格填充项"/>
    <w:basedOn w:val="1"/>
    <w:qFormat/>
    <w:uiPriority w:val="0"/>
    <w:pPr>
      <w:spacing w:line="240" w:lineRule="atLeast"/>
      <w:jc w:val="center"/>
    </w:pPr>
    <w:rPr>
      <w:rFonts w:ascii="宋体" w:hAnsi="宋体"/>
      <w:b/>
    </w:rPr>
  </w:style>
  <w:style w:type="paragraph" w:customStyle="1" w:styleId="69">
    <w:name w:val="Table Paragraph"/>
    <w:basedOn w:val="1"/>
    <w:qFormat/>
    <w:uiPriority w:val="1"/>
    <w:rPr>
      <w:rFonts w:ascii="宋体" w:hAnsi="宋体" w:cs="宋体"/>
      <w:lang w:val="zh-CN" w:bidi="zh-CN"/>
    </w:rPr>
  </w:style>
  <w:style w:type="paragraph" w:customStyle="1" w:styleId="70">
    <w:name w:val="报告书正文"/>
    <w:basedOn w:val="1"/>
    <w:qFormat/>
    <w:uiPriority w:val="0"/>
    <w:pPr>
      <w:adjustRightInd w:val="0"/>
      <w:snapToGrid w:val="0"/>
      <w:ind w:firstLine="425"/>
      <w:textAlignment w:val="baseline"/>
    </w:pPr>
    <w:rPr>
      <w:rFonts w:ascii="Arial" w:hAnsi="Arial"/>
      <w:kern w:val="0"/>
    </w:rPr>
  </w:style>
  <w:style w:type="paragraph" w:customStyle="1" w:styleId="71">
    <w:name w:val="正文自创"/>
    <w:basedOn w:val="1"/>
    <w:qFormat/>
    <w:uiPriority w:val="0"/>
    <w:pPr>
      <w:spacing w:line="360" w:lineRule="auto"/>
      <w:ind w:firstLine="200" w:firstLineChars="200"/>
    </w:pPr>
  </w:style>
  <w:style w:type="paragraph" w:customStyle="1" w:styleId="72">
    <w:name w:val="帆表头"/>
    <w:basedOn w:val="1"/>
    <w:qFormat/>
    <w:uiPriority w:val="0"/>
    <w:pPr>
      <w:widowControl/>
      <w:spacing w:line="360" w:lineRule="auto"/>
      <w:jc w:val="center"/>
    </w:pPr>
    <w:rPr>
      <w:rFonts w:ascii="黑体" w:hAnsi="黑体" w:eastAsia="黑体"/>
      <w:bCs/>
      <w:szCs w:val="21"/>
    </w:rPr>
  </w:style>
  <w:style w:type="paragraph" w:customStyle="1" w:styleId="73">
    <w:name w:val="[表中文字]"/>
    <w:basedOn w:val="1"/>
    <w:qFormat/>
    <w:uiPriority w:val="0"/>
    <w:pPr>
      <w:spacing w:before="60" w:after="60"/>
      <w:jc w:val="center"/>
    </w:pPr>
    <w:rPr>
      <w:rFonts w:eastAsia="仿宋_GB2312"/>
      <w:sz w:val="24"/>
    </w:rPr>
  </w:style>
  <w:style w:type="paragraph" w:customStyle="1" w:styleId="74">
    <w:name w:val="11111"/>
    <w:next w:val="1"/>
    <w:qFormat/>
    <w:uiPriority w:val="0"/>
    <w:pPr>
      <w:widowControl w:val="0"/>
      <w:spacing w:line="360" w:lineRule="auto"/>
      <w:ind w:firstLine="200" w:firstLineChars="200"/>
      <w:jc w:val="both"/>
    </w:pPr>
    <w:rPr>
      <w:rFonts w:ascii="Times New Roman" w:hAnsi="宋体" w:eastAsia="宋体" w:cs="宋体"/>
      <w:kern w:val="2"/>
      <w:sz w:val="21"/>
      <w:szCs w:val="24"/>
      <w:lang w:val="en-US" w:eastAsia="zh-CN" w:bidi="ar-SA"/>
    </w:rPr>
  </w:style>
  <w:style w:type="paragraph" w:customStyle="1" w:styleId="75">
    <w:name w:val="图注"/>
    <w:basedOn w:val="1"/>
    <w:qFormat/>
    <w:uiPriority w:val="0"/>
    <w:pPr>
      <w:jc w:val="center"/>
    </w:pPr>
    <w:rPr>
      <w:rFonts w:eastAsia="黑体"/>
    </w:rPr>
  </w:style>
  <w:style w:type="paragraph" w:customStyle="1" w:styleId="76">
    <w:name w:val="1黑体头"/>
    <w:basedOn w:val="1"/>
    <w:qFormat/>
    <w:uiPriority w:val="0"/>
    <w:pPr>
      <w:spacing w:line="360" w:lineRule="auto"/>
      <w:ind w:firstLine="479" w:firstLineChars="199"/>
      <w:jc w:val="left"/>
      <w:textAlignment w:val="center"/>
    </w:pPr>
    <w:rPr>
      <w:rFonts w:ascii="Verdana" w:hAnsi="Verdana"/>
      <w:b/>
      <w:sz w:val="24"/>
      <w:lang w:eastAsia="en-US"/>
    </w:rPr>
  </w:style>
  <w:style w:type="paragraph" w:customStyle="1" w:styleId="77">
    <w:name w:val="【表头】"/>
    <w:basedOn w:val="1"/>
    <w:qFormat/>
    <w:uiPriority w:val="0"/>
    <w:pPr>
      <w:jc w:val="center"/>
    </w:pPr>
    <w:rPr>
      <w:rFonts w:eastAsia="黑体"/>
      <w:kern w:val="0"/>
      <w:sz w:val="24"/>
      <w:szCs w:val="20"/>
    </w:rPr>
  </w:style>
  <w:style w:type="paragraph" w:customStyle="1" w:styleId="78">
    <w:name w:val="Default"/>
    <w:basedOn w:val="79"/>
    <w:next w:val="1"/>
    <w:qFormat/>
    <w:uiPriority w:val="0"/>
    <w:pPr>
      <w:widowControl w:val="0"/>
      <w:autoSpaceDE w:val="0"/>
      <w:autoSpaceDN w:val="0"/>
    </w:pPr>
    <w:rPr>
      <w:rFonts w:hAnsi="宋体" w:cs="宋体"/>
      <w:color w:val="000000"/>
      <w:szCs w:val="24"/>
    </w:rPr>
  </w:style>
  <w:style w:type="paragraph" w:customStyle="1" w:styleId="79">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80">
    <w:name w:val="普通(网站)2"/>
    <w:basedOn w:val="1"/>
    <w:qFormat/>
    <w:uiPriority w:val="0"/>
    <w:pPr>
      <w:widowControl/>
      <w:spacing w:before="100" w:beforeAutospacing="1" w:after="100" w:afterAutospacing="1"/>
      <w:jc w:val="left"/>
    </w:pPr>
    <w:rPr>
      <w:rFonts w:ascii="宋体" w:hAnsi="宋体"/>
      <w:sz w:val="24"/>
      <w:szCs w:val="20"/>
    </w:rPr>
  </w:style>
  <w:style w:type="paragraph" w:styleId="81">
    <w:name w:val="List Paragraph"/>
    <w:basedOn w:val="1"/>
    <w:qFormat/>
    <w:uiPriority w:val="99"/>
    <w:pPr>
      <w:ind w:firstLine="420" w:firstLineChars="200"/>
    </w:pPr>
    <w:rPr>
      <w:rFonts w:ascii="Calibri" w:hAnsi="Calibri"/>
      <w:szCs w:val="22"/>
    </w:rPr>
  </w:style>
  <w:style w:type="paragraph" w:customStyle="1" w:styleId="82">
    <w:name w:val="【表中文字】"/>
    <w:basedOn w:val="1"/>
    <w:qFormat/>
    <w:uiPriority w:val="0"/>
    <w:pPr>
      <w:jc w:val="center"/>
    </w:pPr>
    <w:rPr>
      <w:sz w:val="20"/>
      <w:szCs w:val="20"/>
      <w:lang w:val="zh-CN"/>
    </w:rPr>
  </w:style>
  <w:style w:type="paragraph" w:customStyle="1" w:styleId="83">
    <w:name w:val="[表题]"/>
    <w:basedOn w:val="1"/>
    <w:next w:val="73"/>
    <w:qFormat/>
    <w:uiPriority w:val="0"/>
    <w:pPr>
      <w:keepNext/>
      <w:spacing w:before="180" w:after="60"/>
      <w:jc w:val="center"/>
    </w:pPr>
    <w:rPr>
      <w:rFonts w:eastAsia="仿宋_GB2312"/>
      <w:sz w:val="28"/>
    </w:rPr>
  </w:style>
  <w:style w:type="paragraph" w:customStyle="1" w:styleId="84">
    <w:name w:val="Char"/>
    <w:basedOn w:val="1"/>
    <w:qFormat/>
    <w:uiPriority w:val="0"/>
    <w:pPr>
      <w:snapToGrid w:val="0"/>
      <w:spacing w:line="440" w:lineRule="atLeast"/>
      <w:ind w:firstLine="200" w:firstLineChars="200"/>
    </w:pPr>
  </w:style>
  <w:style w:type="paragraph" w:customStyle="1" w:styleId="85">
    <w:name w:val="表格内容样式"/>
    <w:basedOn w:val="1"/>
    <w:next w:val="1"/>
    <w:qFormat/>
    <w:uiPriority w:val="0"/>
    <w:pPr>
      <w:adjustRightInd w:val="0"/>
      <w:snapToGrid w:val="0"/>
      <w:spacing w:line="360" w:lineRule="exact"/>
      <w:jc w:val="center"/>
    </w:pPr>
    <w:rPr>
      <w:kern w:val="0"/>
    </w:rPr>
  </w:style>
  <w:style w:type="character" w:customStyle="1" w:styleId="86">
    <w:name w:val="C【表头】 字符"/>
    <w:link w:val="87"/>
    <w:qFormat/>
    <w:uiPriority w:val="0"/>
    <w:rPr>
      <w:rFonts w:eastAsia="黑体" w:cs="宋体"/>
      <w:sz w:val="21"/>
    </w:rPr>
  </w:style>
  <w:style w:type="paragraph" w:customStyle="1" w:styleId="87">
    <w:name w:val="C【表头】"/>
    <w:basedOn w:val="1"/>
    <w:link w:val="86"/>
    <w:qFormat/>
    <w:uiPriority w:val="0"/>
    <w:pPr>
      <w:widowControl/>
      <w:adjustRightInd w:val="0"/>
      <w:snapToGrid w:val="0"/>
      <w:jc w:val="center"/>
    </w:pPr>
    <w:rPr>
      <w:rFonts w:eastAsia="黑体" w:cs="宋体"/>
      <w:kern w:val="0"/>
      <w:szCs w:val="20"/>
    </w:rPr>
  </w:style>
  <w:style w:type="paragraph" w:customStyle="1" w:styleId="88">
    <w:name w:val="表格题目"/>
    <w:basedOn w:val="1"/>
    <w:qFormat/>
    <w:uiPriority w:val="0"/>
    <w:pPr>
      <w:spacing w:line="240" w:lineRule="atLeast"/>
      <w:jc w:val="center"/>
    </w:pPr>
    <w:rPr>
      <w:rFonts w:ascii="黑体" w:hAnsi="宋体" w:eastAsia="黑体"/>
      <w:sz w:val="24"/>
    </w:rPr>
  </w:style>
  <w:style w:type="paragraph" w:customStyle="1" w:styleId="89">
    <w:name w:val="盂县"/>
    <w:basedOn w:val="1"/>
    <w:qFormat/>
    <w:uiPriority w:val="0"/>
    <w:pPr>
      <w:adjustRightInd w:val="0"/>
      <w:snapToGrid w:val="0"/>
      <w:spacing w:line="312" w:lineRule="auto"/>
      <w:ind w:firstLine="560" w:firstLineChars="200"/>
    </w:pPr>
    <w:rPr>
      <w:sz w:val="28"/>
    </w:rPr>
  </w:style>
  <w:style w:type="paragraph" w:customStyle="1" w:styleId="90">
    <w:name w:val="表内容"/>
    <w:basedOn w:val="1"/>
    <w:next w:val="1"/>
    <w:qFormat/>
    <w:uiPriority w:val="0"/>
    <w:pPr>
      <w:spacing w:line="320" w:lineRule="exact"/>
      <w:jc w:val="center"/>
    </w:pPr>
    <w:rPr>
      <w:szCs w:val="20"/>
    </w:rPr>
  </w:style>
  <w:style w:type="paragraph" w:customStyle="1" w:styleId="91">
    <w:name w:val="xl24"/>
    <w:basedOn w:val="1"/>
    <w:qFormat/>
    <w:uiPriority w:val="0"/>
    <w:pPr>
      <w:widowControl/>
      <w:pBdr>
        <w:right w:val="single" w:color="auto" w:sz="4" w:space="0"/>
      </w:pBdr>
      <w:spacing w:before="100" w:beforeAutospacing="1" w:after="100" w:afterAutospacing="1"/>
      <w:jc w:val="center"/>
    </w:pPr>
    <w:rPr>
      <w:rFonts w:hint="eastAsia" w:ascii="仿宋_GB2312" w:hAnsi="宋体" w:eastAsia="仿宋_GB2312"/>
      <w:kern w:val="0"/>
      <w:szCs w:val="21"/>
    </w:rPr>
  </w:style>
  <w:style w:type="character" w:customStyle="1" w:styleId="92">
    <w:name w:val="表格正文 Char"/>
    <w:link w:val="93"/>
    <w:qFormat/>
    <w:uiPriority w:val="0"/>
    <w:rPr>
      <w:rFonts w:cs="宋体"/>
      <w:kern w:val="2"/>
      <w:sz w:val="21"/>
      <w:szCs w:val="24"/>
    </w:rPr>
  </w:style>
  <w:style w:type="paragraph" w:customStyle="1" w:styleId="93">
    <w:name w:val="表格正文"/>
    <w:basedOn w:val="1"/>
    <w:link w:val="92"/>
    <w:qFormat/>
    <w:uiPriority w:val="0"/>
    <w:pPr>
      <w:spacing w:line="320" w:lineRule="exact"/>
      <w:jc w:val="center"/>
    </w:pPr>
    <w:rPr>
      <w:rFonts w:cs="宋体"/>
    </w:rPr>
  </w:style>
  <w:style w:type="paragraph" w:customStyle="1" w:styleId="94">
    <w:name w:val="L表中文字"/>
    <w:basedOn w:val="1"/>
    <w:qFormat/>
    <w:uiPriority w:val="0"/>
    <w:pPr>
      <w:jc w:val="center"/>
    </w:pPr>
    <w:rPr>
      <w:kern w:val="0"/>
      <w:szCs w:val="20"/>
    </w:rPr>
  </w:style>
  <w:style w:type="paragraph" w:customStyle="1" w:styleId="95">
    <w:name w:val="C【表中文字】-"/>
    <w:basedOn w:val="1"/>
    <w:qFormat/>
    <w:uiPriority w:val="0"/>
    <w:pPr>
      <w:adjustRightInd w:val="0"/>
      <w:snapToGrid w:val="0"/>
      <w:jc w:val="center"/>
    </w:pPr>
    <w:rPr>
      <w:kern w:val="0"/>
      <w:sz w:val="18"/>
      <w:szCs w:val="20"/>
    </w:rPr>
  </w:style>
  <w:style w:type="paragraph" w:customStyle="1" w:styleId="96">
    <w:name w:val="C首行缩进正文"/>
    <w:basedOn w:val="97"/>
    <w:qFormat/>
    <w:uiPriority w:val="0"/>
  </w:style>
  <w:style w:type="paragraph" w:customStyle="1" w:styleId="97">
    <w:name w:val="【正文】"/>
    <w:basedOn w:val="1"/>
    <w:next w:val="26"/>
    <w:qFormat/>
    <w:uiPriority w:val="0"/>
    <w:pPr>
      <w:spacing w:line="360" w:lineRule="auto"/>
      <w:ind w:firstLine="200" w:firstLineChars="200"/>
    </w:pPr>
    <w:rPr>
      <w:rFonts w:cs="宋体"/>
      <w:color w:val="000000" w:themeColor="text1"/>
      <w:kern w:val="0"/>
      <w14:textFill>
        <w14:solidFill>
          <w14:schemeClr w14:val="tx1"/>
        </w14:solidFill>
      </w14:textFill>
    </w:rPr>
  </w:style>
  <w:style w:type="paragraph" w:customStyle="1" w:styleId="98">
    <w:name w:val="【表中表】居中"/>
    <w:basedOn w:val="1"/>
    <w:qFormat/>
    <w:uiPriority w:val="0"/>
    <w:pPr>
      <w:autoSpaceDE w:val="0"/>
      <w:autoSpaceDN w:val="0"/>
      <w:adjustRightInd w:val="0"/>
      <w:snapToGrid w:val="0"/>
      <w:jc w:val="center"/>
    </w:pPr>
    <w:rPr>
      <w:color w:val="4F81BD"/>
    </w:rPr>
  </w:style>
  <w:style w:type="paragraph" w:customStyle="1" w:styleId="99">
    <w:name w:val="图表"/>
    <w:basedOn w:val="1"/>
    <w:next w:val="56"/>
    <w:qFormat/>
    <w:uiPriority w:val="0"/>
    <w:pPr>
      <w:keepNext/>
      <w:keepLines/>
      <w:adjustRightInd w:val="0"/>
      <w:snapToGrid w:val="0"/>
      <w:ind w:firstLine="0" w:firstLineChars="0"/>
      <w:jc w:val="center"/>
      <w:outlineLvl w:val="3"/>
    </w:pPr>
    <w:rPr>
      <w:rFonts w:hint="eastAsia"/>
      <w:b/>
      <w:kern w:val="44"/>
    </w:rPr>
  </w:style>
  <w:style w:type="paragraph" w:customStyle="1" w:styleId="100">
    <w:name w:val="Table Text"/>
    <w:basedOn w:val="1"/>
    <w:semiHidden/>
    <w:qFormat/>
    <w:uiPriority w:val="0"/>
    <w:rPr>
      <w:rFonts w:ascii="宋体" w:hAnsi="宋体" w:eastAsia="宋体" w:cs="宋体"/>
      <w:sz w:val="24"/>
      <w:szCs w:val="24"/>
      <w:lang w:val="en-US" w:eastAsia="en-US" w:bidi="ar-SA"/>
    </w:rPr>
  </w:style>
  <w:style w:type="table" w:customStyle="1" w:styleId="101">
    <w:name w:val="Table Normal"/>
    <w:semiHidden/>
    <w:unhideWhenUsed/>
    <w:qFormat/>
    <w:uiPriority w:val="0"/>
    <w:tblPr>
      <w:tblCellMar>
        <w:top w:w="0" w:type="dxa"/>
        <w:left w:w="0" w:type="dxa"/>
        <w:bottom w:w="0" w:type="dxa"/>
        <w:right w:w="0" w:type="dxa"/>
      </w:tblCellMar>
    </w:tblPr>
  </w:style>
  <w:style w:type="paragraph" w:customStyle="1" w:styleId="102">
    <w:name w:val="表头-图"/>
    <w:next w:val="1"/>
    <w:qFormat/>
    <w:uiPriority w:val="0"/>
    <w:pPr>
      <w:widowControl w:val="0"/>
      <w:kinsoku w:val="0"/>
      <w:overflowPunct w:val="0"/>
      <w:spacing w:beforeLines="0" w:afterLines="0" w:line="360" w:lineRule="auto"/>
      <w:jc w:val="center"/>
      <w:outlineLvl w:val="9"/>
    </w:pPr>
    <w:rPr>
      <w:rFonts w:hint="default" w:ascii="Times New Roman" w:hAnsi="Times New Roman" w:eastAsiaTheme="minorEastAsia" w:cstheme="minorBidi"/>
      <w:b/>
      <w:sz w:val="21"/>
    </w:rPr>
  </w:style>
  <w:style w:type="paragraph" w:customStyle="1" w:styleId="103">
    <w:name w:val="表格内文字"/>
    <w:next w:val="1"/>
    <w:qFormat/>
    <w:uiPriority w:val="0"/>
    <w:pPr>
      <w:widowControl w:val="0"/>
      <w:kinsoku w:val="0"/>
      <w:overflowPunct w:val="0"/>
      <w:spacing w:beforeLines="0" w:afterLines="0"/>
      <w:jc w:val="center"/>
      <w:outlineLvl w:val="9"/>
    </w:pPr>
    <w:rPr>
      <w:rFonts w:hint="default" w:ascii="Times New Roman" w:hAnsi="Times New Roman" w:eastAsia="宋体" w:cstheme="minorBidi"/>
      <w:sz w:val="21"/>
      <w:szCs w:val="21"/>
    </w:rPr>
  </w:style>
  <w:style w:type="paragraph" w:customStyle="1" w:styleId="104">
    <w:name w:val="表格内容"/>
    <w:basedOn w:val="1"/>
    <w:next w:val="1"/>
    <w:qFormat/>
    <w:uiPriority w:val="0"/>
    <w:pPr>
      <w:adjustRightInd w:val="0"/>
      <w:snapToGrid w:val="0"/>
      <w:spacing w:line="240" w:lineRule="auto"/>
      <w:ind w:firstLine="0" w:firstLineChars="0"/>
      <w:jc w:val="center"/>
    </w:pPr>
    <w:rPr>
      <w:rFonts w:ascii="Times New Roman" w:hAnsi="Times New Roman" w:eastAsia="宋体"/>
      <w:color w:val="000000"/>
      <w:sz w:val="21"/>
    </w:rPr>
  </w:style>
  <w:style w:type="paragraph" w:customStyle="1" w:styleId="105">
    <w:name w:val="通用正文"/>
    <w:basedOn w:val="106"/>
    <w:qFormat/>
    <w:uiPriority w:val="0"/>
    <w:pPr>
      <w:wordWrap w:val="0"/>
      <w:topLinePunct/>
      <w:spacing w:line="360" w:lineRule="auto"/>
      <w:ind w:firstLine="420" w:firstLineChars="200"/>
      <w:jc w:val="left"/>
    </w:pPr>
    <w:rPr>
      <w:rFonts w:ascii="Times New Roman" w:hAnsi="Times New Roman"/>
      <w:sz w:val="24"/>
    </w:rPr>
  </w:style>
  <w:style w:type="paragraph" w:customStyle="1" w:styleId="106">
    <w:name w:val="00通用正文"/>
    <w:basedOn w:val="1"/>
    <w:qFormat/>
    <w:uiPriority w:val="0"/>
    <w:pPr>
      <w:widowControl w:val="0"/>
      <w:wordWrap w:val="0"/>
      <w:spacing w:after="0" w:line="360" w:lineRule="auto"/>
      <w:ind w:firstLine="420" w:firstLineChars="200"/>
      <w:jc w:val="left"/>
    </w:pPr>
    <w:rPr>
      <w:rFonts w:ascii="Times New Roman" w:hAnsi="Times New Roman" w:eastAsia="宋体" w:cs="Times New Roman"/>
      <w:color w:val="000000"/>
      <w:kern w:val="2"/>
      <w:sz w:val="24"/>
      <w:szCs w:val="24"/>
      <w:lang w:val="en-US" w:bidi="ar-SA"/>
    </w:rPr>
  </w:style>
  <w:style w:type="paragraph" w:customStyle="1" w:styleId="107">
    <w:name w:val="表头"/>
    <w:next w:val="1"/>
    <w:qFormat/>
    <w:uiPriority w:val="0"/>
    <w:pPr>
      <w:ind w:firstLine="0" w:firstLineChars="0"/>
      <w:jc w:val="center"/>
    </w:pPr>
    <w:rPr>
      <w:rFonts w:ascii="Times New Roman" w:hAnsi="Times New Roman" w:eastAsia="宋体" w:cs="Times New Roman"/>
      <w:b/>
      <w:sz w:val="21"/>
    </w:rPr>
  </w:style>
  <w:style w:type="paragraph" w:customStyle="1" w:styleId="108">
    <w:name w:val="表体"/>
    <w:basedOn w:val="1"/>
    <w:qFormat/>
    <w:uiPriority w:val="0"/>
    <w:pPr>
      <w:spacing w:line="240" w:lineRule="auto"/>
      <w:ind w:firstLine="0" w:firstLineChars="0"/>
    </w:pPr>
    <w:rPr>
      <w:sz w:val="21"/>
    </w:rPr>
  </w:style>
  <w:style w:type="paragraph" w:customStyle="1" w:styleId="109">
    <w:name w:val="0图表表头"/>
    <w:basedOn w:val="106"/>
    <w:next w:val="110"/>
    <w:qFormat/>
    <w:uiPriority w:val="0"/>
    <w:pPr>
      <w:spacing w:line="240" w:lineRule="auto"/>
      <w:ind w:firstLine="0" w:firstLineChars="0"/>
      <w:jc w:val="center"/>
    </w:pPr>
    <w:rPr>
      <w:rFonts w:hint="eastAsia" w:ascii="Times New Roman" w:hAnsi="Times New Roman" w:eastAsia="宋体" w:cs="宋体"/>
      <w:b/>
      <w:sz w:val="24"/>
    </w:rPr>
  </w:style>
  <w:style w:type="paragraph" w:customStyle="1" w:styleId="110">
    <w:name w:val="0通用正文"/>
    <w:basedOn w:val="1"/>
    <w:qFormat/>
    <w:uiPriority w:val="0"/>
    <w:pPr>
      <w:wordWrap w:val="0"/>
      <w:topLinePunct/>
      <w:spacing w:line="360" w:lineRule="auto"/>
      <w:ind w:firstLine="420" w:firstLineChars="200"/>
      <w:jc w:val="left"/>
    </w:pPr>
    <w:rPr>
      <w:rFonts w:ascii="Times New Roman" w:hAnsi="Times New Roman" w:eastAsia="宋体"/>
    </w:rPr>
  </w:style>
  <w:style w:type="paragraph" w:customStyle="1" w:styleId="111">
    <w:name w:val="0表格文字"/>
    <w:basedOn w:val="106"/>
    <w:next w:val="106"/>
    <w:qFormat/>
    <w:uiPriority w:val="0"/>
    <w:pPr>
      <w:autoSpaceDE/>
      <w:autoSpaceDN/>
      <w:adjustRightInd/>
      <w:spacing w:line="240" w:lineRule="auto"/>
      <w:ind w:firstLine="0" w:firstLineChars="0"/>
      <w:jc w:val="center"/>
    </w:pPr>
    <w:rPr>
      <w:rFonts w:ascii="Times New Roman" w:hAnsi="Times New Roman" w:eastAsia="宋体" w:cs="宋体"/>
      <w:color w:val="000000"/>
      <w:sz w:val="21"/>
      <w:szCs w:val="21"/>
    </w:rPr>
  </w:style>
  <w:style w:type="paragraph" w:customStyle="1" w:styleId="112">
    <w:name w:val="01通用正文"/>
    <w:basedOn w:val="106"/>
    <w:next w:val="106"/>
    <w:qFormat/>
    <w:uiPriority w:val="0"/>
    <w:pPr>
      <w:topLinePunct/>
      <w:spacing w:before="50" w:beforeLines="50"/>
    </w:pPr>
    <w:rPr>
      <w:rFonts w:hint="eastAsia"/>
    </w:rPr>
  </w:style>
  <w:style w:type="character" w:customStyle="1" w:styleId="113">
    <w:name w:val="font31"/>
    <w:basedOn w:val="35"/>
    <w:qFormat/>
    <w:uiPriority w:val="0"/>
    <w:rPr>
      <w:rFonts w:ascii="宋体" w:hAnsi="宋体" w:eastAsia="宋体" w:cs="宋体"/>
      <w:b/>
      <w:bCs/>
      <w:color w:val="000000"/>
      <w:sz w:val="30"/>
      <w:szCs w:val="30"/>
      <w:u w:val="none"/>
    </w:rPr>
  </w:style>
  <w:style w:type="character" w:customStyle="1" w:styleId="114">
    <w:name w:val="font41"/>
    <w:basedOn w:val="35"/>
    <w:qFormat/>
    <w:uiPriority w:val="0"/>
    <w:rPr>
      <w:rFonts w:ascii="宋体" w:hAnsi="宋体" w:eastAsia="宋体" w:cs="宋体"/>
      <w:color w:val="000000"/>
      <w:sz w:val="24"/>
      <w:szCs w:val="24"/>
      <w:u w:val="none"/>
    </w:rPr>
  </w:style>
  <w:style w:type="character" w:customStyle="1" w:styleId="115">
    <w:name w:val="font51"/>
    <w:basedOn w:val="35"/>
    <w:qFormat/>
    <w:uiPriority w:val="0"/>
    <w:rPr>
      <w:rFonts w:ascii="Arial" w:hAnsi="Arial" w:cs="Arial"/>
      <w:color w:val="000000"/>
      <w:sz w:val="13"/>
      <w:szCs w:val="13"/>
      <w:u w:val="none"/>
    </w:rPr>
  </w:style>
  <w:style w:type="character" w:customStyle="1" w:styleId="116">
    <w:name w:val="font61"/>
    <w:basedOn w:val="35"/>
    <w:qFormat/>
    <w:uiPriority w:val="0"/>
    <w:rPr>
      <w:rFonts w:hint="default" w:ascii="Arial" w:hAnsi="Arial" w:cs="Arial"/>
      <w:color w:val="000000"/>
      <w:sz w:val="12"/>
      <w:szCs w:val="12"/>
      <w:u w:val="none"/>
    </w:rPr>
  </w:style>
  <w:style w:type="character" w:customStyle="1" w:styleId="117">
    <w:name w:val="font71"/>
    <w:basedOn w:val="35"/>
    <w:qFormat/>
    <w:uiPriority w:val="0"/>
    <w:rPr>
      <w:rFonts w:hint="default" w:ascii="Arial" w:hAnsi="Arial" w:cs="Arial"/>
      <w:color w:val="000000"/>
      <w:sz w:val="18"/>
      <w:szCs w:val="18"/>
      <w:u w:val="none"/>
    </w:rPr>
  </w:style>
  <w:style w:type="paragraph" w:customStyle="1" w:styleId="118">
    <w:name w:val="我的正文"/>
    <w:basedOn w:val="1"/>
    <w:autoRedefine/>
    <w:qFormat/>
    <w:uiPriority w:val="0"/>
    <w:pPr>
      <w:adjustRightInd w:val="0"/>
      <w:snapToGrid w:val="0"/>
      <w:spacing w:line="360" w:lineRule="auto"/>
      <w:ind w:firstLine="480" w:firstLineChars="200"/>
    </w:pPr>
    <w:rPr>
      <w:rFonts w:ascii="Times New Roman" w:hAnsi="Times New Roman"/>
      <w:sz w:val="24"/>
      <w:szCs w:val="24"/>
    </w:rPr>
  </w:style>
  <w:style w:type="paragraph" w:customStyle="1" w:styleId="119">
    <w:name w:val="附件与附图"/>
    <w:next w:val="120"/>
    <w:qFormat/>
    <w:uiPriority w:val="0"/>
    <w:pPr>
      <w:outlineLvl w:val="0"/>
    </w:pPr>
    <w:rPr>
      <w:rFonts w:hint="eastAsia" w:ascii="Times New Roman" w:hAnsi="Times New Roman" w:eastAsia="宋体" w:cs="Times New Roman"/>
      <w:b/>
      <w:sz w:val="30"/>
      <w:lang w:val="en-US" w:eastAsia="zh-CN" w:bidi="ar-SA"/>
    </w:rPr>
  </w:style>
  <w:style w:type="paragraph" w:customStyle="1" w:styleId="120">
    <w:name w:val="附1"/>
    <w:next w:val="15"/>
    <w:qFormat/>
    <w:uiPriority w:val="0"/>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6" Type="http://schemas.openxmlformats.org/officeDocument/2006/relationships/fontTable" Target="fontTable.xml"/><Relationship Id="rId85" Type="http://schemas.microsoft.com/office/2006/relationships/keyMapCustomizations" Target="customizations.xml"/><Relationship Id="rId84" Type="http://schemas.openxmlformats.org/officeDocument/2006/relationships/numbering" Target="numbering.xml"/><Relationship Id="rId83" Type="http://schemas.openxmlformats.org/officeDocument/2006/relationships/customXml" Target="../customXml/item1.xml"/><Relationship Id="rId82" Type="http://schemas.openxmlformats.org/officeDocument/2006/relationships/image" Target="media/image67.png"/><Relationship Id="rId81" Type="http://schemas.openxmlformats.org/officeDocument/2006/relationships/image" Target="media/image66.png"/><Relationship Id="rId80" Type="http://schemas.openxmlformats.org/officeDocument/2006/relationships/image" Target="media/image65.png"/><Relationship Id="rId8" Type="http://schemas.openxmlformats.org/officeDocument/2006/relationships/image" Target="media/image2.jpeg"/><Relationship Id="rId79" Type="http://schemas.openxmlformats.org/officeDocument/2006/relationships/image" Target="media/image64.png"/><Relationship Id="rId78" Type="http://schemas.openxmlformats.org/officeDocument/2006/relationships/image" Target="media/image63.wmf"/><Relationship Id="rId77" Type="http://schemas.openxmlformats.org/officeDocument/2006/relationships/oleObject" Target="embeddings/oleObject9.bin"/><Relationship Id="rId76" Type="http://schemas.openxmlformats.org/officeDocument/2006/relationships/image" Target="media/image62.wmf"/><Relationship Id="rId75" Type="http://schemas.openxmlformats.org/officeDocument/2006/relationships/oleObject" Target="embeddings/oleObject8.bin"/><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image" Target="media/image1.png"/><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theme" Target="theme/theme1.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jpe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3.xml"/><Relationship Id="rId49" Type="http://schemas.openxmlformats.org/officeDocument/2006/relationships/image" Target="media/image36.png"/><Relationship Id="rId48" Type="http://schemas.openxmlformats.org/officeDocument/2006/relationships/image" Target="media/image35.jpe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jpeg"/><Relationship Id="rId4" Type="http://schemas.openxmlformats.org/officeDocument/2006/relationships/footer" Target="foot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emf"/><Relationship Id="rId36" Type="http://schemas.openxmlformats.org/officeDocument/2006/relationships/oleObject" Target="embeddings/oleObject7.bin"/><Relationship Id="rId35" Type="http://schemas.openxmlformats.org/officeDocument/2006/relationships/image" Target="media/image23.jpe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wmf"/><Relationship Id="rId28" Type="http://schemas.openxmlformats.org/officeDocument/2006/relationships/oleObject" Target="embeddings/oleObject6.bin"/><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wmf"/><Relationship Id="rId23" Type="http://schemas.openxmlformats.org/officeDocument/2006/relationships/oleObject" Target="embeddings/oleObject5.bin"/><Relationship Id="rId22" Type="http://schemas.openxmlformats.org/officeDocument/2006/relationships/image" Target="media/image12.wmf"/><Relationship Id="rId21" Type="http://schemas.openxmlformats.org/officeDocument/2006/relationships/oleObject" Target="embeddings/oleObject4.bin"/><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emf"/><Relationship Id="rId17" Type="http://schemas.openxmlformats.org/officeDocument/2006/relationships/oleObject" Target="embeddings/oleObject3.bin"/><Relationship Id="rId16" Type="http://schemas.openxmlformats.org/officeDocument/2006/relationships/image" Target="media/image8.emf"/><Relationship Id="rId15" Type="http://schemas.openxmlformats.org/officeDocument/2006/relationships/oleObject" Target="embeddings/oleObject2.bin"/><Relationship Id="rId14" Type="http://schemas.openxmlformats.org/officeDocument/2006/relationships/image" Target="media/image7.png"/><Relationship Id="rId13" Type="http://schemas.openxmlformats.org/officeDocument/2006/relationships/image" Target="media/image6.emf"/><Relationship Id="rId12" Type="http://schemas.openxmlformats.org/officeDocument/2006/relationships/oleObject" Target="embeddings/oleObject1.bin"/><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120</Pages>
  <Words>22159</Words>
  <Characters>23521</Characters>
  <Lines>333</Lines>
  <Paragraphs>93</Paragraphs>
  <TotalTime>54</TotalTime>
  <ScaleCrop>false</ScaleCrop>
  <LinksUpToDate>false</LinksUpToDate>
  <CharactersWithSpaces>23618</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2021-09-17T10:29:00Z</dcterms:created>
  <dc:creator>lhj</dc:creator>
  <cp:lastModifiedBy>w</cp:lastModifiedBy>
  <cp:lastPrinted>2026-05-15T06:43:00Z</cp:lastPrinted>
  <dcterms:modified xsi:type="dcterms:W3CDTF">2026-06-05T01:35:52Z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22CB5475F82541AD8396CDA6E5BA2A4B_13</vt:lpwstr>
  </property>
  <property fmtid="{D5CDD505-2E9C-101B-9397-08002B2CF9AE}" pid="4" name="KSOTemplateDocerSaveRecord">
    <vt:lpwstr>eyJoZGlkIjoiOGI0MWQwNTY1OWIzMDMwZjZmYTBlNjhiNDFlOWJjNGMiLCJ1c2VySWQiOiIyOTU1NTYxNDkifQ==</vt:lpwstr>
  </property>
</Properties>
</file>